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2.xml" ContentType="application/vnd.openxmlformats-officedocument.wordprocessingml.header+xml"/>
  <Override PartName="/word/footer11.xml" ContentType="application/vnd.openxmlformats-officedocument.wordprocessingml.footer+xml"/>
  <Override PartName="/word/header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9"/>
          <w:szCs w:val="29"/>
        </w:rPr>
      </w:pPr>
    </w:p>
    <w:p>
      <w:pPr>
        <w:spacing w:line="460" w:lineRule="exact" w:before="0"/>
        <w:ind w:left="122" w:right="1105" w:firstLine="0"/>
        <w:jc w:val="center"/>
        <w:rPr>
          <w:rFonts w:ascii="宋体" w:hAnsi="宋体" w:cs="宋体" w:eastAsia="宋体" w:hint="default"/>
          <w:sz w:val="36"/>
          <w:szCs w:val="36"/>
        </w:rPr>
      </w:pPr>
      <w:r>
        <w:rPr/>
        <w:pict>
          <v:group style="position:absolute;margin-left:55.200001pt;margin-top:-90.431252pt;width:484.9pt;height:.1pt;mso-position-horizontal-relative:page;mso-position-vertical-relative:paragraph;z-index:0" coordorigin="1104,-1809" coordsize="9698,2">
            <v:shape style="position:absolute;left:1104;top:-1809;width:9698;height:2" coordorigin="1104,-1809" coordsize="9698,0" path="m1104,-1809l10802,-1809e" filled="false" stroked="true" strokeweight=".72pt" strokecolor="#000000">
              <v:path arrowok="t"/>
            </v:shape>
            <w10:wrap type="none"/>
          </v:group>
        </w:pict>
      </w:r>
      <w:r>
        <w:rPr>
          <w:rFonts w:ascii="宋体" w:hAnsi="宋体" w:cs="宋体" w:eastAsia="宋体" w:hint="default"/>
          <w:b/>
          <w:bCs/>
          <w:sz w:val="36"/>
          <w:szCs w:val="36"/>
        </w:rPr>
        <w:t>深圳中青宝互动网络股份有限公司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spacing w:before="0"/>
        <w:ind w:left="124" w:right="1105"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3"/>
        <w:rPr>
          <w:rFonts w:ascii="宋体" w:hAnsi="宋体" w:cs="宋体" w:eastAsia="宋体" w:hint="default"/>
          <w:b/>
          <w:bCs/>
          <w:sz w:val="32"/>
          <w:szCs w:val="32"/>
        </w:rPr>
      </w:pPr>
    </w:p>
    <w:p>
      <w:pPr>
        <w:spacing w:before="0"/>
        <w:ind w:left="126" w:right="1105" w:firstLine="0"/>
        <w:jc w:val="center"/>
        <w:rPr>
          <w:rFonts w:ascii="Times New Roman" w:hAnsi="Times New Roman" w:cs="Times New Roman" w:eastAsia="Times New Roman" w:hint="default"/>
          <w:sz w:val="32"/>
          <w:szCs w:val="32"/>
        </w:rPr>
      </w:pPr>
      <w:r>
        <w:rPr>
          <w:rFonts w:ascii="Times New Roman"/>
          <w:b/>
          <w:sz w:val="32"/>
        </w:rPr>
        <w:t>2020-023</w:t>
      </w:r>
      <w:r>
        <w:rPr>
          <w:rFonts w:ascii="Times New Roman"/>
          <w:sz w:val="32"/>
        </w:rPr>
      </w: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4"/>
        <w:rPr>
          <w:rFonts w:ascii="Times New Roman" w:hAnsi="Times New Roman" w:cs="Times New Roman" w:eastAsia="Times New Roman" w:hint="default"/>
          <w:b/>
          <w:bCs/>
          <w:sz w:val="37"/>
          <w:szCs w:val="37"/>
        </w:rPr>
      </w:pPr>
    </w:p>
    <w:p>
      <w:pPr>
        <w:spacing w:before="0"/>
        <w:ind w:left="127" w:right="1105"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72"/>
        <w:ind w:left="3014" w:right="996" w:firstLine="0"/>
        <w:jc w:val="left"/>
        <w:rPr>
          <w:rFonts w:ascii="宋体" w:hAnsi="宋体" w:cs="宋体" w:eastAsia="宋体" w:hint="default"/>
          <w:sz w:val="30"/>
          <w:szCs w:val="30"/>
        </w:rPr>
      </w:pPr>
      <w:bookmarkStart w:name="_bookmark0" w:id="1"/>
      <w:bookmarkEnd w:id="1"/>
      <w:r>
        <w:rPr/>
      </w:r>
      <w:r>
        <w:rPr>
          <w:rFonts w:ascii="宋体" w:hAnsi="宋体" w:cs="宋体" w:eastAsia="宋体" w:hint="default"/>
          <w:b/>
          <w:bCs/>
          <w:sz w:val="30"/>
          <w:szCs w:val="30"/>
        </w:rPr>
        <w:t>第一节重要提示、目录和释义</w:t>
      </w:r>
      <w:r>
        <w:rPr>
          <w:rFonts w:ascii="宋体" w:hAnsi="宋体" w:cs="宋体" w:eastAsia="宋体" w:hint="default"/>
          <w:sz w:val="30"/>
          <w:szCs w:val="30"/>
        </w:rPr>
      </w:r>
    </w:p>
    <w:p>
      <w:pPr>
        <w:spacing w:line="240" w:lineRule="auto" w:before="5"/>
        <w:rPr>
          <w:rFonts w:ascii="宋体" w:hAnsi="宋体" w:cs="宋体" w:eastAsia="宋体" w:hint="default"/>
          <w:b/>
          <w:bCs/>
          <w:sz w:val="39"/>
          <w:szCs w:val="39"/>
        </w:rPr>
      </w:pPr>
    </w:p>
    <w:p>
      <w:pPr>
        <w:pStyle w:val="Heading3"/>
        <w:spacing w:line="357" w:lineRule="auto" w:before="0"/>
        <w:ind w:right="996" w:firstLine="480"/>
        <w:jc w:val="left"/>
      </w:pPr>
      <w:r>
        <w:rPr/>
        <w:t>公司董事会、监事会及董事、监事、高级管理人员保证年度报告内容的真实、准确、完 整，不存在虚假记载、误导性陈述或重大遗漏，并承担个别和连带的法律责任。</w:t>
      </w:r>
    </w:p>
    <w:p>
      <w:pPr>
        <w:pStyle w:val="Heading3"/>
        <w:spacing w:line="338" w:lineRule="auto"/>
        <w:ind w:right="996" w:firstLine="480"/>
        <w:jc w:val="left"/>
      </w:pPr>
      <w:r>
        <w:rPr>
          <w:spacing w:val="2"/>
        </w:rPr>
        <w:t>公司负责人李瑞杰、主管会计工作负责人张思群及会计机构负责人</w:t>
      </w:r>
      <w:r>
        <w:rPr>
          <w:rFonts w:ascii="Times New Roman" w:hAnsi="Times New Roman" w:cs="Times New Roman" w:eastAsia="Times New Roman" w:hint="default"/>
          <w:spacing w:val="2"/>
        </w:rPr>
        <w:t>(</w:t>
      </w:r>
      <w:r>
        <w:rPr>
          <w:spacing w:val="2"/>
        </w:rPr>
        <w:t>会计主管人员</w:t>
      </w:r>
      <w:r>
        <w:rPr>
          <w:rFonts w:ascii="Times New Roman" w:hAnsi="Times New Roman" w:cs="Times New Roman" w:eastAsia="Times New Roman" w:hint="default"/>
          <w:spacing w:val="2"/>
        </w:rPr>
        <w:t>)</w:t>
      </w:r>
      <w:r>
        <w:rPr>
          <w:spacing w:val="2"/>
        </w:rPr>
        <w:t>朱丹 </w:t>
      </w:r>
      <w:r>
        <w:rPr/>
        <w:t>平声明：保证年度报告中财务报告的真实、准确、完整。</w:t>
      </w:r>
    </w:p>
    <w:p>
      <w:pPr>
        <w:pStyle w:val="Heading3"/>
        <w:spacing w:line="357" w:lineRule="auto" w:before="55"/>
        <w:ind w:left="633" w:right="996"/>
        <w:jc w:val="left"/>
      </w:pPr>
      <w:r>
        <w:rPr/>
        <w:t>所有董事均已出席了审议本报告的董事会会议。 本报告中涉及未来计划或规划等前瞻性陈述的，均不构成公司对投资者的实质承诺，投</w:t>
      </w:r>
    </w:p>
    <w:p>
      <w:pPr>
        <w:pStyle w:val="Heading3"/>
        <w:spacing w:line="357" w:lineRule="auto" w:before="37"/>
        <w:ind w:left="633" w:right="996" w:hanging="481"/>
        <w:jc w:val="left"/>
      </w:pPr>
      <w:r>
        <w:rPr>
          <w:spacing w:val="-2"/>
        </w:rPr>
        <w:t>资者及相关人士均应对此保持足够的风险认识，并且应当理解计划、预测与承诺之间的差异。</w:t>
      </w:r>
      <w:r>
        <w:rPr/>
        <w:t> 公司需遵守《深圳证券交易所创业板行业信息披露指引第 </w:t>
      </w:r>
      <w:r>
        <w:rPr>
          <w:rFonts w:ascii="Times New Roman" w:hAnsi="Times New Roman" w:cs="Times New Roman" w:eastAsia="Times New Roman" w:hint="default"/>
        </w:rPr>
        <w:t>5</w:t>
      </w:r>
      <w:r>
        <w:rPr>
          <w:rFonts w:ascii="Times New Roman" w:hAnsi="Times New Roman" w:cs="Times New Roman" w:eastAsia="Times New Roman" w:hint="default"/>
          <w:spacing w:val="-21"/>
        </w:rPr>
        <w:t> </w:t>
      </w:r>
      <w:r>
        <w:rPr/>
        <w:t>号</w:t>
      </w:r>
      <w:r>
        <w:rPr>
          <w:rFonts w:ascii="Times New Roman" w:hAnsi="Times New Roman" w:cs="Times New Roman" w:eastAsia="Times New Roman" w:hint="default"/>
        </w:rPr>
        <w:t>——</w:t>
      </w:r>
      <w:r>
        <w:rPr/>
        <w:t>上市公司从事从事互</w:t>
      </w:r>
    </w:p>
    <w:p>
      <w:pPr>
        <w:pStyle w:val="Heading3"/>
        <w:spacing w:line="240" w:lineRule="auto" w:before="5"/>
        <w:ind w:right="0"/>
        <w:jc w:val="both"/>
      </w:pPr>
      <w:r>
        <w:rPr/>
        <w:t>联网游戏业务》的披露要求</w:t>
      </w:r>
    </w:p>
    <w:p>
      <w:pPr>
        <w:pStyle w:val="Heading3"/>
        <w:spacing w:line="338" w:lineRule="auto" w:before="154"/>
        <w:ind w:left="633" w:right="996"/>
        <w:jc w:val="left"/>
      </w:pPr>
      <w:r>
        <w:rPr>
          <w:rFonts w:ascii="Times New Roman" w:hAnsi="Times New Roman" w:cs="Times New Roman" w:eastAsia="Times New Roman" w:hint="default"/>
        </w:rPr>
        <w:t>1</w:t>
      </w:r>
      <w:r>
        <w:rPr/>
        <w:t>、市场风险 随着游戏行业的迅速发展以及游戏对玩家体验的提升，游戏玩家对游戏质量的要求越来</w:t>
      </w:r>
    </w:p>
    <w:p>
      <w:pPr>
        <w:pStyle w:val="Heading3"/>
        <w:spacing w:line="357" w:lineRule="auto" w:before="55"/>
        <w:ind w:right="1136"/>
        <w:jc w:val="both"/>
      </w:pPr>
      <w:r>
        <w:rPr/>
        <w:t>越高，玩家爱好的转变以及对于热点游戏的切换速度也越来越快，而新游戏开发和测试需要</w:t>
      </w:r>
      <w:r>
        <w:rPr>
          <w:spacing w:val="-91"/>
        </w:rPr>
        <w:t> </w:t>
      </w:r>
      <w:r>
        <w:rPr>
          <w:spacing w:val="-91"/>
        </w:rPr>
      </w:r>
      <w:r>
        <w:rPr/>
        <w:t>大量前期投入，试错成本高，若未能准确把握玩家喜好，顺应市场需求，则会影响公司的经</w:t>
      </w:r>
      <w:r>
        <w:rPr>
          <w:spacing w:val="-91"/>
        </w:rPr>
        <w:t> </w:t>
      </w:r>
      <w:r>
        <w:rPr>
          <w:spacing w:val="-91"/>
        </w:rPr>
      </w:r>
      <w:r>
        <w:rPr/>
        <w:t>营业绩。此外游戏行业的迅速发展，也带来了日趋激烈的行业内部竞争环境，而网络游戏以</w:t>
      </w:r>
      <w:r>
        <w:rPr>
          <w:spacing w:val="-89"/>
        </w:rPr>
        <w:t> </w:t>
      </w:r>
      <w:r>
        <w:rPr>
          <w:spacing w:val="-89"/>
        </w:rPr>
      </w:r>
      <w:r>
        <w:rPr/>
        <w:t>外的互联网娱乐行业也在加剧外部竞争，给公司带来了一定的市场竞争风险。</w:t>
      </w:r>
    </w:p>
    <w:p>
      <w:pPr>
        <w:pStyle w:val="Heading3"/>
        <w:spacing w:line="357" w:lineRule="auto"/>
        <w:ind w:right="996" w:firstLine="480"/>
        <w:jc w:val="left"/>
      </w:pPr>
      <w:r>
        <w:rPr>
          <w:spacing w:val="-3"/>
        </w:rPr>
        <w:t>针对该风险，一方面公司将不断致力于提升管理水平和创新能力，加强用户的游戏体验，</w:t>
      </w:r>
      <w:r>
        <w:rPr/>
        <w:t> 增加用户的粘性，保持竞争优势；另一方面：公司将通过加大投入，持续开发出新的精品游</w:t>
      </w:r>
      <w:r>
        <w:rPr>
          <w:spacing w:val="-91"/>
        </w:rPr>
        <w:t> </w:t>
      </w:r>
      <w:r>
        <w:rPr>
          <w:spacing w:val="-91"/>
        </w:rPr>
      </w:r>
      <w:r>
        <w:rPr/>
        <w:t>戏，不断强化自身核心优势，扩大市场份额。</w:t>
      </w:r>
    </w:p>
    <w:p>
      <w:pPr>
        <w:pStyle w:val="Heading3"/>
        <w:spacing w:line="338" w:lineRule="auto"/>
        <w:ind w:left="633" w:right="996"/>
        <w:jc w:val="left"/>
      </w:pPr>
      <w:r>
        <w:rPr>
          <w:rFonts w:ascii="Times New Roman" w:hAnsi="Times New Roman" w:cs="Times New Roman" w:eastAsia="Times New Roman" w:hint="default"/>
        </w:rPr>
        <w:t>2</w:t>
      </w:r>
      <w:r>
        <w:rPr/>
        <w:t>、行业和政策风险 网络游戏行业受文化和新闻出版、工业信息等部门监管，在中国境内从事移动网络游戏</w:t>
      </w:r>
    </w:p>
    <w:p>
      <w:pPr>
        <w:pStyle w:val="Heading3"/>
        <w:spacing w:line="357" w:lineRule="auto" w:before="55"/>
        <w:ind w:right="1138"/>
        <w:jc w:val="both"/>
      </w:pPr>
      <w:r>
        <w:rPr/>
        <w:t>运营的，需要取得许可，存在不通过的风险。新开发的游戏需要在相关部门备案并通过出版</w:t>
      </w:r>
      <w:r>
        <w:rPr>
          <w:spacing w:val="-91"/>
        </w:rPr>
        <w:t> </w:t>
      </w:r>
      <w:r>
        <w:rPr>
          <w:spacing w:val="-91"/>
        </w:rPr>
      </w:r>
      <w:r>
        <w:rPr/>
        <w:t>行政部门审批，存在无法上线的风险。游戏内虚拟货币经营业务需取得额外批准或许可，我</w:t>
      </w:r>
      <w:r>
        <w:rPr>
          <w:spacing w:val="-90"/>
        </w:rPr>
        <w:t> </w:t>
      </w:r>
      <w:r>
        <w:rPr>
          <w:spacing w:val="-90"/>
        </w:rPr>
      </w:r>
      <w:r>
        <w:rPr/>
        <w:t>国尚未出台虚拟资产产权监管的法律法规，因此政策上存在不确定性。</w:t>
      </w:r>
    </w:p>
    <w:p>
      <w:pPr>
        <w:pStyle w:val="Heading3"/>
        <w:spacing w:line="357" w:lineRule="auto"/>
        <w:ind w:right="996" w:firstLine="480"/>
        <w:jc w:val="left"/>
      </w:pPr>
      <w:r>
        <w:rPr/>
        <w:t>针对该风险，公司全力配合政府和管理机构的工作，确保业务和经营的合法合规，尽可 能降低潜在的政策风险。同时对行业最新的法律法规保持关注，及时更新避免违规风险。</w:t>
      </w:r>
    </w:p>
    <w:p>
      <w:pPr>
        <w:pStyle w:val="Heading3"/>
        <w:spacing w:line="338" w:lineRule="auto"/>
        <w:ind w:left="633" w:right="996"/>
        <w:jc w:val="left"/>
      </w:pPr>
      <w:r>
        <w:rPr>
          <w:rFonts w:ascii="Times New Roman" w:hAnsi="Times New Roman" w:cs="Times New Roman" w:eastAsia="Times New Roman" w:hint="default"/>
        </w:rPr>
        <w:t>3</w:t>
      </w:r>
      <w:r>
        <w:rPr/>
        <w:t>、核心人员流失风险 稳定、高素质的游戏研发、运营和管理人才队伍是公司保持核心竞争优势的重要保障。</w:t>
      </w:r>
    </w:p>
    <w:p>
      <w:pPr>
        <w:spacing w:after="0" w:line="338" w:lineRule="auto"/>
        <w:jc w:val="left"/>
        <w:sectPr>
          <w:footerReference w:type="default" r:id="rId7"/>
          <w:pgSz w:w="11910" w:h="16840"/>
          <w:pgMar w:footer="980" w:header="745" w:top="1060" w:bottom="1160" w:left="980" w:right="0"/>
          <w:pgNumType w:start="2"/>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5"/>
          <w:szCs w:val="25"/>
        </w:rPr>
      </w:pPr>
    </w:p>
    <w:p>
      <w:pPr>
        <w:pStyle w:val="Heading3"/>
        <w:spacing w:line="357" w:lineRule="auto" w:before="26"/>
        <w:ind w:right="1139"/>
        <w:jc w:val="both"/>
      </w:pPr>
      <w:r>
        <w:rPr/>
        <w:t>如果公司不能有效建设核心人才队伍，对核心人员进行合理的激励和管理，保持人才队伍的</w:t>
      </w:r>
      <w:r>
        <w:rPr>
          <w:spacing w:val="-91"/>
        </w:rPr>
        <w:t> </w:t>
      </w:r>
      <w:r>
        <w:rPr>
          <w:spacing w:val="-91"/>
        </w:rPr>
      </w:r>
      <w:r>
        <w:rPr/>
        <w:t>创造力与活力，则会对公司的核心竞争力带来不利影响。</w:t>
      </w:r>
    </w:p>
    <w:p>
      <w:pPr>
        <w:pStyle w:val="Heading3"/>
        <w:spacing w:line="357" w:lineRule="auto"/>
        <w:ind w:right="996" w:firstLine="480"/>
        <w:jc w:val="left"/>
      </w:pPr>
      <w:r>
        <w:rPr>
          <w:spacing w:val="-3"/>
        </w:rPr>
        <w:t>针对该风险，公司不断完善管理体系建设，注重人才引进和人才培养，建立了吸引人才、</w:t>
      </w:r>
      <w:r>
        <w:rPr/>
        <w:t> 保留人才和激励员工的薪酬管理体系，此外，公司还实施股权激励计划，充分调动员工积极</w:t>
      </w:r>
      <w:r>
        <w:rPr>
          <w:spacing w:val="-91"/>
        </w:rPr>
        <w:t> </w:t>
      </w:r>
      <w:r>
        <w:rPr>
          <w:spacing w:val="-91"/>
        </w:rPr>
      </w:r>
      <w:r>
        <w:rPr/>
        <w:t>性，增强公司凝聚力。</w:t>
      </w:r>
    </w:p>
    <w:p>
      <w:pPr>
        <w:pStyle w:val="Heading3"/>
        <w:spacing w:line="338" w:lineRule="auto"/>
        <w:ind w:left="633" w:right="996"/>
        <w:jc w:val="left"/>
      </w:pPr>
      <w:r>
        <w:rPr>
          <w:rFonts w:ascii="Times New Roman" w:hAnsi="Times New Roman" w:cs="Times New Roman" w:eastAsia="Times New Roman" w:hint="default"/>
        </w:rPr>
        <w:t>4</w:t>
      </w:r>
      <w:r>
        <w:rPr/>
        <w:t>、投资风险 由于互联网行业和智能手机技术的飞速发展，手机游戏市场面临多方面的挑战。在这个</w:t>
      </w:r>
    </w:p>
    <w:p>
      <w:pPr>
        <w:pStyle w:val="Heading3"/>
        <w:spacing w:line="357" w:lineRule="auto" w:before="55"/>
        <w:ind w:right="1139"/>
        <w:jc w:val="both"/>
      </w:pPr>
      <w:r>
        <w:rPr/>
        <w:t>快速发展灵活多变的市场中生存，除了加强自身研发能力之外，收购整合及资产重组同行业</w:t>
      </w:r>
      <w:r>
        <w:rPr>
          <w:spacing w:val="-91"/>
        </w:rPr>
        <w:t> </w:t>
      </w:r>
      <w:r>
        <w:rPr>
          <w:spacing w:val="-91"/>
        </w:rPr>
      </w:r>
      <w:r>
        <w:rPr/>
        <w:t>或上下游企业是公司的重要战略规划之一，但资产重组或兼并将带来不确定性风险或者投资</w:t>
      </w:r>
      <w:r>
        <w:rPr>
          <w:spacing w:val="-91"/>
        </w:rPr>
        <w:t> </w:t>
      </w:r>
      <w:r>
        <w:rPr>
          <w:spacing w:val="-91"/>
        </w:rPr>
      </w:r>
      <w:r>
        <w:rPr/>
        <w:t>失败的风险。</w:t>
      </w:r>
    </w:p>
    <w:p>
      <w:pPr>
        <w:pStyle w:val="Heading3"/>
        <w:spacing w:line="357" w:lineRule="auto"/>
        <w:ind w:right="1136" w:firstLine="480"/>
        <w:jc w:val="both"/>
      </w:pPr>
      <w:r>
        <w:rPr/>
        <w:t>针对该风险，首先，收购前对自身实力进行充分评估，避免高估自身资金实力；其次， 明确收购标的是否符合公司属性，收购完成后对公司的发展是否有推进作用，做好充分的可</w:t>
      </w:r>
      <w:r>
        <w:rPr>
          <w:spacing w:val="-91"/>
        </w:rPr>
        <w:t> </w:t>
      </w:r>
      <w:r>
        <w:rPr>
          <w:spacing w:val="-91"/>
        </w:rPr>
      </w:r>
      <w:r>
        <w:rPr/>
        <w:t>行性分析及经济效益分析；最后，公司对收购标的进行详细的资产评估并通过审计、券商等</w:t>
      </w:r>
      <w:r>
        <w:rPr>
          <w:spacing w:val="-91"/>
        </w:rPr>
        <w:t> </w:t>
      </w:r>
      <w:r>
        <w:rPr>
          <w:spacing w:val="-91"/>
        </w:rPr>
      </w:r>
      <w:r>
        <w:rPr/>
        <w:t>中介机构对收购项目进行尽职调查，制定适宜且可行的收购方案，增加收购兼并成功的可能</w:t>
      </w:r>
      <w:r>
        <w:rPr>
          <w:spacing w:val="-91"/>
        </w:rPr>
        <w:t> </w:t>
      </w:r>
      <w:r>
        <w:rPr>
          <w:spacing w:val="-91"/>
        </w:rPr>
      </w:r>
      <w:r>
        <w:rPr/>
        <w:t>性。</w:t>
      </w:r>
    </w:p>
    <w:p>
      <w:pPr>
        <w:pStyle w:val="Heading3"/>
        <w:spacing w:line="338" w:lineRule="auto"/>
        <w:ind w:left="633" w:right="996"/>
        <w:jc w:val="left"/>
      </w:pPr>
      <w:r>
        <w:rPr>
          <w:rFonts w:ascii="Times New Roman" w:hAnsi="Times New Roman" w:cs="Times New Roman" w:eastAsia="Times New Roman" w:hint="default"/>
        </w:rPr>
        <w:t>5</w:t>
      </w:r>
      <w:r>
        <w:rPr/>
        <w:t>、新业务开拓风险 互联网行业发展迅速，创新是增强企业核心竞争力的重要手段，为了有效保持公司的竞</w:t>
      </w:r>
    </w:p>
    <w:p>
      <w:pPr>
        <w:pStyle w:val="Heading3"/>
        <w:spacing w:line="357" w:lineRule="auto" w:before="56"/>
        <w:ind w:right="1138"/>
        <w:jc w:val="both"/>
      </w:pPr>
      <w:r>
        <w:rPr/>
        <w:t>争优势并发展新的利润来源，公司有必要根据市场需求以及公司战略规划开拓新业务、新领</w:t>
      </w:r>
      <w:r>
        <w:rPr>
          <w:spacing w:val="-91"/>
        </w:rPr>
        <w:t> </w:t>
      </w:r>
      <w:r>
        <w:rPr>
          <w:spacing w:val="-91"/>
        </w:rPr>
      </w:r>
      <w:r>
        <w:rPr/>
        <w:t>域。但新业务、新领域受市场接受需要一定周期，且新业务、新领域与公司原有体系的有机</w:t>
      </w:r>
      <w:r>
        <w:rPr>
          <w:spacing w:val="-91"/>
        </w:rPr>
        <w:t> </w:t>
      </w:r>
      <w:r>
        <w:rPr>
          <w:spacing w:val="-91"/>
        </w:rPr>
      </w:r>
      <w:r>
        <w:rPr/>
        <w:t>结合也存在不确定性，如果公司的新业务不能快速被市场接受，将带来新业务、新领域市场</w:t>
      </w:r>
      <w:r>
        <w:rPr>
          <w:spacing w:val="-91"/>
        </w:rPr>
        <w:t> </w:t>
      </w:r>
      <w:r>
        <w:rPr>
          <w:spacing w:val="-91"/>
        </w:rPr>
      </w:r>
      <w:r>
        <w:rPr/>
        <w:t>拓展的风险。</w:t>
      </w:r>
    </w:p>
    <w:p>
      <w:pPr>
        <w:pStyle w:val="Heading3"/>
        <w:spacing w:line="357" w:lineRule="auto"/>
        <w:ind w:right="1139" w:firstLine="480"/>
        <w:jc w:val="both"/>
      </w:pPr>
      <w:r>
        <w:rPr/>
        <w:t>针对该风险，公司将在新业务制定之前进行全面的市场调研，全方位考察和把握新业务 开发的可行性和市场适应性，对新业务的成本，投资回报率，风险程度等方面严格把关，最</w:t>
      </w:r>
      <w:r>
        <w:rPr>
          <w:spacing w:val="-91"/>
        </w:rPr>
        <w:t> </w:t>
      </w:r>
      <w:r>
        <w:rPr>
          <w:spacing w:val="-91"/>
        </w:rPr>
      </w:r>
      <w:r>
        <w:rPr/>
        <w:t>大限度降低新业务开拓的风险。</w:t>
      </w:r>
    </w:p>
    <w:p>
      <w:pPr>
        <w:pStyle w:val="Heading3"/>
        <w:spacing w:line="240" w:lineRule="auto"/>
        <w:ind w:left="633" w:right="996"/>
        <w:jc w:val="left"/>
      </w:pPr>
      <w:r>
        <w:rPr/>
        <w:t>公司经本次董事会审议通过的利润分配预案为：以 </w:t>
      </w:r>
      <w:r>
        <w:rPr>
          <w:rFonts w:ascii="Times New Roman" w:hAnsi="Times New Roman" w:cs="Times New Roman" w:eastAsia="Times New Roman" w:hint="default"/>
        </w:rPr>
        <w:t>263,269,300 </w:t>
      </w:r>
      <w:r>
        <w:rPr>
          <w:rFonts w:ascii="Times New Roman" w:hAnsi="Times New Roman" w:cs="Times New Roman" w:eastAsia="Times New Roman" w:hint="default"/>
          <w:spacing w:val="34"/>
        </w:rPr>
        <w:t> </w:t>
      </w:r>
      <w:r>
        <w:rPr/>
        <w:t>为基数，向全体股东每</w:t>
      </w:r>
    </w:p>
    <w:p>
      <w:pPr>
        <w:pStyle w:val="Heading3"/>
        <w:spacing w:line="240" w:lineRule="auto" w:before="136"/>
        <w:ind w:right="0"/>
        <w:jc w:val="both"/>
      </w:pP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股派发现金红利</w:t>
      </w:r>
      <w:r>
        <w:rPr>
          <w:spacing w:val="-56"/>
        </w:rPr>
        <w:t> </w:t>
      </w:r>
      <w:r>
        <w:rPr>
          <w:rFonts w:ascii="Times New Roman" w:hAnsi="Times New Roman" w:cs="Times New Roman" w:eastAsia="Times New Roman" w:hint="default"/>
        </w:rPr>
        <w:t>0.</w:t>
      </w:r>
      <w:r>
        <w:rPr>
          <w:rFonts w:ascii="Times New Roman" w:hAnsi="Times New Roman" w:cs="Times New Roman" w:eastAsia="Times New Roman" w:hint="default"/>
          <w:spacing w:val="2"/>
        </w:rPr>
        <w:t>2</w:t>
      </w:r>
      <w:r>
        <w:rPr>
          <w:rFonts w:ascii="Times New Roman" w:hAnsi="Times New Roman" w:cs="Times New Roman" w:eastAsia="Times New Roman" w:hint="default"/>
        </w:rPr>
        <w:t>0</w:t>
      </w:r>
      <w:r>
        <w:rPr>
          <w:rFonts w:ascii="Times New Roman" w:hAnsi="Times New Roman" w:cs="Times New Roman" w:eastAsia="Times New Roman" w:hint="default"/>
          <w:spacing w:val="5"/>
        </w:rPr>
        <w:t> </w:t>
      </w:r>
      <w:r>
        <w:rPr/>
        <w:t>元（含税</w:t>
      </w:r>
      <w:r>
        <w:rPr>
          <w:spacing w:val="-120"/>
        </w:rPr>
        <w:t>）</w:t>
      </w:r>
      <w:r>
        <w:rPr/>
        <w:t>，送红股</w:t>
      </w:r>
      <w:r>
        <w:rPr>
          <w:spacing w:val="-53"/>
        </w:rPr>
        <w:t>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t>股（含税</w:t>
      </w:r>
      <w:r>
        <w:rPr>
          <w:spacing w:val="-120"/>
        </w:rPr>
        <w:t>）</w:t>
      </w:r>
      <w:r>
        <w:rPr/>
        <w:t>，以资本公积金向全体股东每</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股</w:t>
      </w:r>
    </w:p>
    <w:p>
      <w:pPr>
        <w:pStyle w:val="Heading3"/>
        <w:spacing w:line="240" w:lineRule="auto" w:before="135"/>
        <w:ind w:right="0"/>
        <w:jc w:val="both"/>
      </w:pPr>
      <w:r>
        <w:rPr/>
        <w:t>转增</w:t>
      </w:r>
      <w:r>
        <w:rPr>
          <w:spacing w:val="-60"/>
        </w:rPr>
        <w:t> </w:t>
      </w:r>
      <w:r>
        <w:rPr>
          <w:rFonts w:ascii="Times New Roman" w:hAnsi="Times New Roman" w:cs="Times New Roman" w:eastAsia="Times New Roman" w:hint="default"/>
        </w:rPr>
        <w:t>0 </w:t>
      </w:r>
      <w:r>
        <w:rPr/>
        <w:t>股。</w:t>
      </w:r>
    </w:p>
    <w:p>
      <w:pPr>
        <w:spacing w:after="0" w:line="240"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spacing w:before="7"/>
        <w:ind w:left="127" w:right="1105" w:firstLine="0"/>
        <w:jc w:val="center"/>
        <w:rPr>
          <w:rFonts w:ascii="宋体" w:hAnsi="宋体" w:cs="宋体" w:eastAsia="宋体" w:hint="default"/>
          <w:sz w:val="30"/>
          <w:szCs w:val="30"/>
        </w:rPr>
      </w:pPr>
      <w:r>
        <w:rPr>
          <w:rFonts w:ascii="宋体" w:hAnsi="宋体" w:cs="宋体" w:eastAsia="宋体" w:hint="default"/>
          <w:b/>
          <w:bCs/>
          <w:sz w:val="30"/>
          <w:szCs w:val="30"/>
        </w:rPr>
        <w:t>目录</w:t>
      </w:r>
      <w:r>
        <w:rPr>
          <w:rFonts w:ascii="宋体" w:hAnsi="宋体" w:cs="宋体" w:eastAsia="宋体" w:hint="default"/>
          <w:sz w:val="30"/>
          <w:szCs w:val="30"/>
        </w:rPr>
      </w:r>
    </w:p>
    <w:sdt>
      <w:sdtPr>
        <w:docPartObj>
          <w:docPartGallery w:val="Table of Contents"/>
          <w:docPartUnique/>
        </w:docPartObj>
      </w:sdtPr>
      <w:sdtEndPr/>
      <w:sdtContent>
        <w:p>
          <w:pPr>
            <w:pStyle w:val="TOC1"/>
            <w:tabs>
              <w:tab w:pos="9782" w:val="right" w:leader="dot"/>
            </w:tabs>
            <w:spacing w:line="240" w:lineRule="auto" w:before="640"/>
            <w:ind w:right="0"/>
            <w:jc w:val="left"/>
            <w:rPr>
              <w:rFonts w:ascii="Times New Roman" w:hAnsi="Times New Roman" w:cs="Times New Roman" w:eastAsia="Times New Roman" w:hint="default"/>
              <w:b w:val="0"/>
              <w:bCs w:val="0"/>
            </w:rPr>
          </w:pPr>
          <w:hyperlink w:history="true" w:anchor="_bookmark0">
            <w:r>
              <w:rPr/>
              <w:t>第一节重要提示、目录和释义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第二节公司简介和主要财务指标</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76" w:val="right" w:leader="dot"/>
            </w:tabs>
            <w:spacing w:line="240" w:lineRule="auto" w:before="101"/>
            <w:ind w:right="0"/>
            <w:jc w:val="left"/>
            <w:rPr>
              <w:rFonts w:ascii="Times New Roman" w:hAnsi="Times New Roman" w:cs="Times New Roman" w:eastAsia="Times New Roman" w:hint="default"/>
              <w:b w:val="0"/>
              <w:bCs w:val="0"/>
            </w:rPr>
          </w:pPr>
          <w:hyperlink w:history="true" w:anchor="_bookmark2">
            <w:r>
              <w:rPr/>
              <w:t>第三节公司业务概要</w:t>
            </w:r>
            <w:r>
              <w:rPr>
                <w:rFonts w:ascii="Times New Roman" w:hAnsi="Times New Roman" w:cs="Times New Roman" w:eastAsia="Times New Roman" w:hint="default"/>
              </w:rPr>
              <w:tab/>
            </w:r>
            <w:r>
              <w:rPr>
                <w:rFonts w:ascii="Times New Roman" w:hAnsi="Times New Roman" w:cs="Times New Roman" w:eastAsia="Times New Roman" w:hint="default"/>
                <w:spacing w:val="-9"/>
              </w:rPr>
              <w:t>11</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第四节经营情况讨论与分析</w:t>
            </w:r>
            <w:r>
              <w:rPr>
                <w:rFonts w:ascii="Times New Roman" w:hAnsi="Times New Roman" w:cs="Times New Roman" w:eastAsia="Times New Roman" w:hint="default"/>
              </w:rPr>
              <w:tab/>
              <w:t>15</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第五节重要事项</w:t>
            </w:r>
            <w:r>
              <w:rPr>
                <w:rFonts w:ascii="Times New Roman" w:hAnsi="Times New Roman" w:cs="Times New Roman" w:eastAsia="Times New Roman" w:hint="default"/>
              </w:rPr>
              <w:tab/>
              <w:t>43</w:t>
            </w:r>
            <w:r>
              <w:rPr>
                <w:rFonts w:ascii="Times New Roman" w:hAnsi="Times New Roman" w:cs="Times New Roman" w:eastAsia="Times New Roman" w:hint="default"/>
                <w:b w:val="0"/>
                <w:bCs w:val="0"/>
              </w:rPr>
            </w:r>
          </w:hyperlink>
        </w:p>
        <w:p>
          <w:pPr>
            <w:pStyle w:val="TOC1"/>
            <w:tabs>
              <w:tab w:pos="9785" w:val="right" w:leader="dot"/>
            </w:tabs>
            <w:spacing w:line="240" w:lineRule="auto" w:before="101"/>
            <w:ind w:right="0"/>
            <w:jc w:val="left"/>
            <w:rPr>
              <w:rFonts w:ascii="Times New Roman" w:hAnsi="Times New Roman" w:cs="Times New Roman" w:eastAsia="Times New Roman" w:hint="default"/>
              <w:b w:val="0"/>
              <w:bCs w:val="0"/>
            </w:rPr>
          </w:pPr>
          <w:hyperlink w:history="true" w:anchor="_bookmark5">
            <w:r>
              <w:rPr/>
              <w:t>第六节股份变动及股东情况</w:t>
            </w:r>
            <w:r>
              <w:rPr>
                <w:rFonts w:ascii="Times New Roman" w:hAnsi="Times New Roman" w:cs="Times New Roman" w:eastAsia="Times New Roman" w:hint="default"/>
              </w:rPr>
              <w:tab/>
              <w:t>67</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第七节优先股相关情况</w:t>
            </w:r>
            <w:r>
              <w:rPr>
                <w:rFonts w:ascii="Times New Roman" w:hAnsi="Times New Roman" w:cs="Times New Roman" w:eastAsia="Times New Roman" w:hint="default"/>
              </w:rPr>
              <w:tab/>
              <w:t>75</w:t>
            </w:r>
            <w:r>
              <w:rPr>
                <w:rFonts w:ascii="Times New Roman" w:hAnsi="Times New Roman" w:cs="Times New Roman" w:eastAsia="Times New Roman" w:hint="default"/>
                <w:b w:val="0"/>
                <w:bCs w:val="0"/>
              </w:rPr>
            </w:r>
          </w:hyperlink>
        </w:p>
        <w:p>
          <w:pPr>
            <w:pStyle w:val="TOC1"/>
            <w:tabs>
              <w:tab w:pos="9785" w:val="right" w:leader="dot"/>
            </w:tabs>
            <w:spacing w:line="240" w:lineRule="auto" w:before="104"/>
            <w:ind w:right="0"/>
            <w:jc w:val="left"/>
            <w:rPr>
              <w:rFonts w:ascii="Times New Roman" w:hAnsi="Times New Roman" w:cs="Times New Roman" w:eastAsia="Times New Roman" w:hint="default"/>
              <w:b w:val="0"/>
              <w:bCs w:val="0"/>
            </w:rPr>
          </w:pPr>
          <w:hyperlink w:history="true" w:anchor="_bookmark7">
            <w:r>
              <w:rPr/>
              <w:t>第八节可转换公司债券相关情况</w:t>
            </w:r>
            <w:r>
              <w:rPr>
                <w:rFonts w:ascii="Times New Roman" w:hAnsi="Times New Roman" w:cs="Times New Roman" w:eastAsia="Times New Roman" w:hint="default"/>
              </w:rPr>
              <w:tab/>
              <w:t>76</w:t>
            </w:r>
            <w:r>
              <w:rPr>
                <w:rFonts w:ascii="Times New Roman" w:hAnsi="Times New Roman" w:cs="Times New Roman" w:eastAsia="Times New Roman" w:hint="default"/>
                <w:b w:val="0"/>
                <w:bCs w:val="0"/>
              </w:rPr>
            </w:r>
          </w:hyperlink>
        </w:p>
        <w:p>
          <w:pPr>
            <w:pStyle w:val="TOC1"/>
            <w:tabs>
              <w:tab w:pos="9785" w:val="right" w:leader="dot"/>
            </w:tabs>
            <w:spacing w:line="240" w:lineRule="auto" w:before="101"/>
            <w:ind w:right="0"/>
            <w:jc w:val="left"/>
            <w:rPr>
              <w:rFonts w:ascii="Times New Roman" w:hAnsi="Times New Roman" w:cs="Times New Roman" w:eastAsia="Times New Roman" w:hint="default"/>
              <w:b w:val="0"/>
              <w:bCs w:val="0"/>
            </w:rPr>
          </w:pPr>
          <w:hyperlink w:history="true" w:anchor="_bookmark8">
            <w:r>
              <w:rPr/>
              <w:t>第九节董事、监事、高级管理人员和员工情况</w:t>
            </w:r>
            <w:r>
              <w:rPr>
                <w:rFonts w:ascii="Times New Roman" w:hAnsi="Times New Roman" w:cs="Times New Roman" w:eastAsia="Times New Roman" w:hint="default"/>
              </w:rPr>
              <w:tab/>
              <w:t>77</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第十节公司治理</w:t>
            </w:r>
            <w:r>
              <w:rPr>
                <w:rFonts w:ascii="Times New Roman" w:hAnsi="Times New Roman" w:cs="Times New Roman" w:eastAsia="Times New Roman" w:hint="default"/>
              </w:rPr>
              <w:tab/>
              <w:t>86</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第十一节公司债券相关情况</w:t>
            </w:r>
            <w:r>
              <w:rPr>
                <w:rFonts w:ascii="Times New Roman" w:hAnsi="Times New Roman" w:cs="Times New Roman" w:eastAsia="Times New Roman" w:hint="default"/>
              </w:rPr>
              <w:tab/>
              <w:t>95</w:t>
            </w:r>
            <w:r>
              <w:rPr>
                <w:rFonts w:ascii="Times New Roman" w:hAnsi="Times New Roman" w:cs="Times New Roman" w:eastAsia="Times New Roman" w:hint="default"/>
                <w:b w:val="0"/>
                <w:bCs w:val="0"/>
              </w:rPr>
            </w:r>
          </w:hyperlink>
        </w:p>
        <w:p>
          <w:pPr>
            <w:pStyle w:val="TOC1"/>
            <w:tabs>
              <w:tab w:pos="9785" w:val="right" w:leader="dot"/>
            </w:tabs>
            <w:spacing w:line="240" w:lineRule="auto" w:before="101"/>
            <w:ind w:right="0"/>
            <w:jc w:val="left"/>
            <w:rPr>
              <w:rFonts w:ascii="Times New Roman" w:hAnsi="Times New Roman" w:cs="Times New Roman" w:eastAsia="Times New Roman" w:hint="default"/>
              <w:b w:val="0"/>
              <w:bCs w:val="0"/>
            </w:rPr>
          </w:pPr>
          <w:hyperlink w:history="true" w:anchor="_bookmark11">
            <w:r>
              <w:rPr/>
              <w:t>第十二节财务报告</w:t>
            </w:r>
            <w:r>
              <w:rPr>
                <w:rFonts w:ascii="Times New Roman" w:hAnsi="Times New Roman" w:cs="Times New Roman" w:eastAsia="Times New Roman" w:hint="default"/>
              </w:rPr>
              <w:tab/>
              <w:t>96</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12">
            <w:r>
              <w:rPr/>
              <w:t>第十三节备查文件目录</w:t>
            </w:r>
            <w:r>
              <w:rPr>
                <w:rFonts w:ascii="Times New Roman" w:hAnsi="Times New Roman" w:cs="Times New Roman" w:eastAsia="Times New Roman" w:hint="default"/>
              </w:rPr>
              <w:tab/>
              <w:t>219</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5" w:footer="980" w:top="1060" w:bottom="1160" w:left="980" w:right="0"/>
        </w:sectPr>
      </w:pPr>
    </w:p>
    <w:p>
      <w:pPr>
        <w:spacing w:before="945"/>
        <w:ind w:left="127" w:right="1105"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81" w:type="dxa"/>
        <w:tblLayout w:type="fixed"/>
        <w:tblCellMar>
          <w:top w:w="0" w:type="dxa"/>
          <w:left w:w="0" w:type="dxa"/>
          <w:bottom w:w="0" w:type="dxa"/>
          <w:right w:w="0" w:type="dxa"/>
        </w:tblCellMar>
        <w:tblLook w:val="01E0"/>
      </w:tblPr>
      <w:tblGrid>
        <w:gridCol w:w="3539"/>
        <w:gridCol w:w="596"/>
        <w:gridCol w:w="5436"/>
      </w:tblGrid>
      <w:tr>
        <w:trPr>
          <w:trHeight w:val="403" w:hRule="exact"/>
        </w:trPr>
        <w:tc>
          <w:tcPr>
            <w:tcW w:w="3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本公司、公司、中青宝、中青宝网</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深圳中青宝互动网络股份有限公司</w:t>
            </w:r>
          </w:p>
        </w:tc>
      </w:tr>
      <w:tr>
        <w:trPr>
          <w:trHeight w:val="403"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母公司、宝德控股、控股股东</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深圳市宝德投资控股有限公司</w:t>
            </w:r>
          </w:p>
        </w:tc>
      </w:tr>
      <w:tr>
        <w:trPr>
          <w:trHeight w:val="401"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李瑞杰、张云霞</w:t>
            </w:r>
          </w:p>
        </w:tc>
      </w:tr>
      <w:tr>
        <w:trPr>
          <w:trHeight w:val="403"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宝德科技、母公司</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宝德科技集团股份有限公司</w:t>
            </w:r>
          </w:p>
        </w:tc>
      </w:tr>
      <w:tr>
        <w:trPr>
          <w:trHeight w:val="401"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《上市规则》</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深圳证券交易所《创业板股票上市规则》</w:t>
            </w:r>
          </w:p>
        </w:tc>
      </w:tr>
      <w:tr>
        <w:trPr>
          <w:trHeight w:val="401"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深圳中青宝互动网络股份有限公司章程</w:t>
            </w:r>
          </w:p>
        </w:tc>
      </w:tr>
      <w:tr>
        <w:trPr>
          <w:trHeight w:val="403"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MMO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游戏</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大型多人在线游戏</w:t>
            </w:r>
          </w:p>
        </w:tc>
      </w:tr>
      <w:tr>
        <w:trPr>
          <w:trHeight w:val="317" w:hRule="exact"/>
        </w:trPr>
        <w:tc>
          <w:tcPr>
            <w:tcW w:w="3539"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客户端游戏</w:t>
            </w:r>
            <w:r>
              <w:rPr>
                <w:rFonts w:ascii="Times New Roman" w:hAnsi="Times New Roman" w:cs="Times New Roman" w:eastAsia="Times New Roman" w:hint="default"/>
                <w:sz w:val="18"/>
                <w:szCs w:val="18"/>
              </w:rPr>
              <w:t>/</w:t>
            </w:r>
            <w:r>
              <w:rPr>
                <w:rFonts w:ascii="宋体" w:hAnsi="宋体" w:cs="宋体" w:eastAsia="宋体" w:hint="default"/>
                <w:sz w:val="18"/>
                <w:szCs w:val="18"/>
              </w:rPr>
              <w:t>端游</w:t>
            </w:r>
          </w:p>
        </w:tc>
        <w:tc>
          <w:tcPr>
            <w:tcW w:w="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10" w:space="0" w:color="D2D2D2"/>
              <w:right w:val="single" w:sz="4" w:space="0" w:color="000000"/>
            </w:tcBorders>
          </w:tcPr>
          <w:p>
            <w:pPr>
              <w:pStyle w:val="TableParagraph"/>
              <w:spacing w:line="316" w:lineRule="auto" w:before="49"/>
              <w:ind w:left="27" w:right="18"/>
              <w:jc w:val="both"/>
              <w:rPr>
                <w:rFonts w:ascii="宋体" w:hAnsi="宋体" w:cs="宋体" w:eastAsia="宋体" w:hint="default"/>
                <w:sz w:val="18"/>
                <w:szCs w:val="18"/>
              </w:rPr>
            </w:pPr>
            <w:r>
              <w:rPr>
                <w:rFonts w:ascii="宋体" w:hAnsi="宋体" w:cs="宋体" w:eastAsia="宋体" w:hint="default"/>
                <w:spacing w:val="-1"/>
                <w:sz w:val="18"/>
                <w:szCs w:val="18"/>
              </w:rPr>
              <w:t>客户端，是指与游戏服务器相对应，为客户提供本地服务的程式。一</w:t>
            </w:r>
            <w:r>
              <w:rPr>
                <w:rFonts w:ascii="宋体" w:hAnsi="宋体" w:cs="宋体" w:eastAsia="宋体" w:hint="default"/>
                <w:sz w:val="18"/>
                <w:szCs w:val="18"/>
              </w:rPr>
              <w:t> </w:t>
            </w:r>
            <w:r>
              <w:rPr>
                <w:rFonts w:ascii="宋体" w:hAnsi="宋体" w:cs="宋体" w:eastAsia="宋体" w:hint="default"/>
                <w:spacing w:val="-2"/>
                <w:sz w:val="18"/>
                <w:szCs w:val="18"/>
              </w:rPr>
              <w:t>般安装在普通的用户电脑上，需要与游戏伺服端互相配合运行。客户</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端游戏是指需下载客户端，在电脑上进行的网络游戏</w:t>
            </w:r>
          </w:p>
        </w:tc>
      </w:tr>
      <w:tr>
        <w:trPr>
          <w:trHeight w:val="394" w:hRule="exact"/>
        </w:trPr>
        <w:tc>
          <w:tcPr>
            <w:tcW w:w="3539" w:type="dxa"/>
            <w:vMerge/>
            <w:tcBorders>
              <w:left w:val="single" w:sz="4" w:space="0" w:color="000000"/>
              <w:right w:val="single" w:sz="10" w:space="0" w:color="D2D2D2"/>
            </w:tcBorders>
          </w:tcPr>
          <w:p>
            <w:pPr/>
          </w:p>
        </w:tc>
        <w:tc>
          <w:tcPr>
            <w:tcW w:w="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10" w:space="0" w:color="D2D2D2"/>
              <w:right w:val="single" w:sz="4" w:space="0" w:color="000000"/>
            </w:tcBorders>
          </w:tcPr>
          <w:p>
            <w:pPr/>
          </w:p>
        </w:tc>
      </w:tr>
      <w:tr>
        <w:trPr>
          <w:trHeight w:val="317" w:hRule="exact"/>
        </w:trPr>
        <w:tc>
          <w:tcPr>
            <w:tcW w:w="3539" w:type="dxa"/>
            <w:vMerge/>
            <w:tcBorders>
              <w:left w:val="single" w:sz="4" w:space="0" w:color="000000"/>
              <w:bottom w:val="single" w:sz="4" w:space="0" w:color="000000"/>
              <w:right w:val="single" w:sz="10" w:space="0" w:color="D2D2D2"/>
            </w:tcBorders>
          </w:tcPr>
          <w:p>
            <w:pPr/>
          </w:p>
        </w:tc>
        <w:tc>
          <w:tcPr>
            <w:tcW w:w="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10" w:space="0" w:color="D2D2D2"/>
              <w:bottom w:val="single" w:sz="4" w:space="0" w:color="000000"/>
              <w:right w:val="single" w:sz="4" w:space="0" w:color="000000"/>
            </w:tcBorders>
          </w:tcPr>
          <w:p>
            <w:pPr/>
          </w:p>
        </w:tc>
      </w:tr>
      <w:tr>
        <w:trPr>
          <w:trHeight w:val="317" w:hRule="exact"/>
        </w:trPr>
        <w:tc>
          <w:tcPr>
            <w:tcW w:w="3539"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网页游戏</w:t>
            </w:r>
            <w:r>
              <w:rPr>
                <w:rFonts w:ascii="Times New Roman" w:hAnsi="Times New Roman" w:cs="Times New Roman" w:eastAsia="Times New Roman" w:hint="default"/>
                <w:sz w:val="18"/>
                <w:szCs w:val="18"/>
              </w:rPr>
              <w:t>/</w:t>
            </w:r>
            <w:r>
              <w:rPr>
                <w:rFonts w:ascii="宋体" w:hAnsi="宋体" w:cs="宋体" w:eastAsia="宋体" w:hint="default"/>
                <w:sz w:val="18"/>
                <w:szCs w:val="18"/>
              </w:rPr>
              <w:t>页游</w:t>
            </w:r>
          </w:p>
        </w:tc>
        <w:tc>
          <w:tcPr>
            <w:tcW w:w="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10" w:space="0" w:color="D2D2D2"/>
              <w:right w:val="single" w:sz="4" w:space="0" w:color="000000"/>
            </w:tcBorders>
          </w:tcPr>
          <w:p>
            <w:pPr>
              <w:pStyle w:val="TableParagraph"/>
              <w:spacing w:line="316" w:lineRule="auto" w:before="49"/>
              <w:ind w:left="27" w:right="18"/>
              <w:jc w:val="both"/>
              <w:rPr>
                <w:rFonts w:ascii="宋体" w:hAnsi="宋体" w:cs="宋体" w:eastAsia="宋体" w:hint="default"/>
                <w:sz w:val="18"/>
                <w:szCs w:val="18"/>
              </w:rPr>
            </w:pPr>
            <w:r>
              <w:rPr>
                <w:rFonts w:ascii="宋体" w:hAnsi="宋体" w:cs="宋体" w:eastAsia="宋体" w:hint="default"/>
                <w:spacing w:val="-1"/>
                <w:sz w:val="18"/>
                <w:szCs w:val="18"/>
              </w:rPr>
              <w:t>又称无端网游，基于网站开发技术，以标准协议为基础传输形式，无</w:t>
            </w:r>
            <w:r>
              <w:rPr>
                <w:rFonts w:ascii="宋体" w:hAnsi="宋体" w:cs="宋体" w:eastAsia="宋体" w:hint="default"/>
                <w:sz w:val="18"/>
                <w:szCs w:val="18"/>
              </w:rPr>
              <w:t> </w:t>
            </w:r>
            <w:r>
              <w:rPr>
                <w:rFonts w:ascii="宋体" w:hAnsi="宋体" w:cs="宋体" w:eastAsia="宋体" w:hint="default"/>
                <w:spacing w:val="-2"/>
                <w:sz w:val="18"/>
                <w:szCs w:val="18"/>
              </w:rPr>
              <w:t>客户端或基于浏览器内核的微客户端游戏，游戏用户可以直接通过互</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联网浏览器玩网页游戏</w:t>
            </w:r>
          </w:p>
        </w:tc>
      </w:tr>
      <w:tr>
        <w:trPr>
          <w:trHeight w:val="391" w:hRule="exact"/>
        </w:trPr>
        <w:tc>
          <w:tcPr>
            <w:tcW w:w="3539" w:type="dxa"/>
            <w:vMerge/>
            <w:tcBorders>
              <w:left w:val="single" w:sz="4" w:space="0" w:color="000000"/>
              <w:right w:val="single" w:sz="10" w:space="0" w:color="D2D2D2"/>
            </w:tcBorders>
          </w:tcPr>
          <w:p>
            <w:pPr/>
          </w:p>
        </w:tc>
        <w:tc>
          <w:tcPr>
            <w:tcW w:w="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10" w:space="0" w:color="D2D2D2"/>
              <w:right w:val="single" w:sz="4" w:space="0" w:color="000000"/>
            </w:tcBorders>
          </w:tcPr>
          <w:p>
            <w:pPr/>
          </w:p>
        </w:tc>
      </w:tr>
      <w:tr>
        <w:trPr>
          <w:trHeight w:val="317" w:hRule="exact"/>
        </w:trPr>
        <w:tc>
          <w:tcPr>
            <w:tcW w:w="3539" w:type="dxa"/>
            <w:vMerge/>
            <w:tcBorders>
              <w:left w:val="single" w:sz="4" w:space="0" w:color="000000"/>
              <w:bottom w:val="single" w:sz="4" w:space="0" w:color="000000"/>
              <w:right w:val="single" w:sz="10" w:space="0" w:color="D2D2D2"/>
            </w:tcBorders>
          </w:tcPr>
          <w:p>
            <w:pPr/>
          </w:p>
        </w:tc>
        <w:tc>
          <w:tcPr>
            <w:tcW w:w="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10" w:space="0" w:color="D2D2D2"/>
              <w:bottom w:val="single" w:sz="4" w:space="0" w:color="000000"/>
              <w:right w:val="single" w:sz="4" w:space="0" w:color="000000"/>
            </w:tcBorders>
          </w:tcPr>
          <w:p>
            <w:pPr/>
          </w:p>
        </w:tc>
      </w:tr>
      <w:tr>
        <w:trPr>
          <w:trHeight w:val="403"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手机游戏</w:t>
            </w:r>
            <w:r>
              <w:rPr>
                <w:rFonts w:ascii="Times New Roman" w:hAnsi="Times New Roman" w:cs="Times New Roman" w:eastAsia="Times New Roman" w:hint="default"/>
                <w:sz w:val="18"/>
                <w:szCs w:val="18"/>
              </w:rPr>
              <w:t>/</w:t>
            </w:r>
            <w:r>
              <w:rPr>
                <w:rFonts w:ascii="宋体" w:hAnsi="宋体" w:cs="宋体" w:eastAsia="宋体" w:hint="default"/>
                <w:sz w:val="18"/>
                <w:szCs w:val="18"/>
              </w:rPr>
              <w:t>手游</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通过移动网络下载，并运行于手机或其他移动终端上的游戏</w:t>
            </w:r>
          </w:p>
        </w:tc>
      </w:tr>
      <w:tr>
        <w:trPr>
          <w:trHeight w:val="401"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MOBA</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多人在线战术竞技游戏</w:t>
            </w:r>
          </w:p>
        </w:tc>
      </w:tr>
      <w:tr>
        <w:trPr>
          <w:trHeight w:val="403"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ARPG</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互动角色扮演类游戏</w:t>
            </w:r>
          </w:p>
        </w:tc>
      </w:tr>
      <w:tr>
        <w:trPr>
          <w:trHeight w:val="401"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VR</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虚拟现实</w:t>
            </w:r>
          </w:p>
        </w:tc>
      </w:tr>
      <w:tr>
        <w:trPr>
          <w:trHeight w:val="403"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IP</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知识产权</w:t>
            </w:r>
          </w:p>
        </w:tc>
      </w:tr>
      <w:tr>
        <w:trPr>
          <w:trHeight w:val="317" w:hRule="exact"/>
        </w:trPr>
        <w:tc>
          <w:tcPr>
            <w:tcW w:w="3539"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Android</w:t>
            </w:r>
            <w:r>
              <w:rPr>
                <w:rFonts w:ascii="宋体" w:hAnsi="宋体" w:cs="宋体" w:eastAsia="宋体" w:hint="default"/>
                <w:sz w:val="18"/>
                <w:szCs w:val="18"/>
              </w:rPr>
              <w:t>、安卓</w:t>
            </w:r>
          </w:p>
        </w:tc>
        <w:tc>
          <w:tcPr>
            <w:tcW w:w="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10" w:space="0" w:color="D2D2D2"/>
              <w:right w:val="single" w:sz="4" w:space="0" w:color="000000"/>
            </w:tcBorders>
          </w:tcPr>
          <w:p>
            <w:pPr>
              <w:pStyle w:val="TableParagraph"/>
              <w:spacing w:line="300" w:lineRule="auto" w:before="49"/>
              <w:ind w:left="27" w:right="20"/>
              <w:jc w:val="left"/>
              <w:rPr>
                <w:rFonts w:ascii="宋体" w:hAnsi="宋体" w:cs="宋体" w:eastAsia="宋体" w:hint="default"/>
                <w:sz w:val="18"/>
                <w:szCs w:val="18"/>
              </w:rPr>
            </w:pPr>
            <w:r>
              <w:rPr>
                <w:rFonts w:ascii="宋体" w:hAnsi="宋体" w:cs="宋体" w:eastAsia="宋体" w:hint="default"/>
                <w:sz w:val="18"/>
                <w:szCs w:val="18"/>
              </w:rPr>
              <w:t>是一种基于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Linux</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的自由及开放源代码的操作系统，主要使用于移动 设备，如智能手机和平板电脑，由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Google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公司和开放手机联盟领导 及开发</w:t>
            </w:r>
          </w:p>
        </w:tc>
      </w:tr>
      <w:tr>
        <w:trPr>
          <w:trHeight w:val="391" w:hRule="exact"/>
        </w:trPr>
        <w:tc>
          <w:tcPr>
            <w:tcW w:w="3539" w:type="dxa"/>
            <w:vMerge/>
            <w:tcBorders>
              <w:left w:val="single" w:sz="4" w:space="0" w:color="000000"/>
              <w:right w:val="single" w:sz="10" w:space="0" w:color="D2D2D2"/>
            </w:tcBorders>
          </w:tcPr>
          <w:p>
            <w:pPr/>
          </w:p>
        </w:tc>
        <w:tc>
          <w:tcPr>
            <w:tcW w:w="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10" w:space="0" w:color="D2D2D2"/>
              <w:right w:val="single" w:sz="4" w:space="0" w:color="000000"/>
            </w:tcBorders>
          </w:tcPr>
          <w:p>
            <w:pPr/>
          </w:p>
        </w:tc>
      </w:tr>
      <w:tr>
        <w:trPr>
          <w:trHeight w:val="317" w:hRule="exact"/>
        </w:trPr>
        <w:tc>
          <w:tcPr>
            <w:tcW w:w="3539" w:type="dxa"/>
            <w:vMerge/>
            <w:tcBorders>
              <w:left w:val="single" w:sz="4" w:space="0" w:color="000000"/>
              <w:bottom w:val="single" w:sz="4" w:space="0" w:color="000000"/>
              <w:right w:val="single" w:sz="10" w:space="0" w:color="D2D2D2"/>
            </w:tcBorders>
          </w:tcPr>
          <w:p>
            <w:pPr/>
          </w:p>
        </w:tc>
        <w:tc>
          <w:tcPr>
            <w:tcW w:w="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10" w:space="0" w:color="D2D2D2"/>
              <w:bottom w:val="single" w:sz="4" w:space="0" w:color="000000"/>
              <w:right w:val="single" w:sz="4" w:space="0" w:color="000000"/>
            </w:tcBorders>
          </w:tcPr>
          <w:p>
            <w:pPr/>
          </w:p>
        </w:tc>
      </w:tr>
      <w:tr>
        <w:trPr>
          <w:trHeight w:val="403"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App</w:t>
            </w:r>
            <w:r>
              <w:rPr>
                <w:rFonts w:ascii="Times New Roman"/>
                <w:spacing w:val="-3"/>
                <w:sz w:val="18"/>
              </w:rPr>
              <w:t> </w:t>
            </w:r>
            <w:r>
              <w:rPr>
                <w:rFonts w:ascii="Times New Roman"/>
                <w:sz w:val="18"/>
              </w:rPr>
              <w:t>Store</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由美国苹果公司开发的在线应用程序商店</w:t>
            </w:r>
          </w:p>
        </w:tc>
      </w:tr>
      <w:tr>
        <w:trPr>
          <w:trHeight w:val="401"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凤凰县政府</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湖南省湘西土家族苗族自治州凤凰县人民政府</w:t>
            </w:r>
          </w:p>
        </w:tc>
      </w:tr>
      <w:tr>
        <w:trPr>
          <w:trHeight w:val="403"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主题公园</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凤凰科技旅游主题公园</w:t>
            </w:r>
          </w:p>
        </w:tc>
      </w:tr>
      <w:tr>
        <w:trPr>
          <w:trHeight w:val="401"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深圳苏摩</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深圳市苏摩科技有限公司</w:t>
            </w:r>
          </w:p>
        </w:tc>
      </w:tr>
      <w:tr>
        <w:trPr>
          <w:trHeight w:val="403"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深圳宝腾互联、宝腾互联</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深圳市宝腾互联科技有限公司</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3527"/>
        <w:gridCol w:w="619"/>
        <w:gridCol w:w="5425"/>
      </w:tblGrid>
      <w:tr>
        <w:trPr>
          <w:trHeight w:val="401"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前海宝德</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深圳前海宝德资产管理有限公司</w:t>
            </w:r>
          </w:p>
        </w:tc>
      </w:tr>
      <w:tr>
        <w:trPr>
          <w:trHeight w:val="404"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IDC</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互联网数据中心</w:t>
            </w:r>
          </w:p>
        </w:tc>
      </w:tr>
      <w:tr>
        <w:trPr>
          <w:trHeight w:val="401"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CLOUD</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云服务平台</w:t>
            </w:r>
          </w:p>
        </w:tc>
      </w:tr>
      <w:tr>
        <w:trPr>
          <w:trHeight w:val="403"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DCOO</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数据中心运维服务</w:t>
            </w:r>
          </w:p>
        </w:tc>
      </w:tr>
      <w:tr>
        <w:trPr>
          <w:trHeight w:val="713"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ICT</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91"/>
              <w:jc w:val="left"/>
              <w:rPr>
                <w:rFonts w:ascii="宋体" w:hAnsi="宋体" w:cs="宋体" w:eastAsia="宋体" w:hint="default"/>
                <w:sz w:val="18"/>
                <w:szCs w:val="18"/>
              </w:rPr>
            </w:pPr>
            <w:r>
              <w:rPr>
                <w:rFonts w:ascii="宋体" w:hAnsi="宋体" w:cs="宋体" w:eastAsia="宋体" w:hint="default"/>
                <w:sz w:val="18"/>
                <w:szCs w:val="18"/>
              </w:rPr>
              <w:t>即信息和通讯技术，是电信服务、信息服务、</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服务及应用的有机 结合</w:t>
            </w:r>
          </w:p>
        </w:tc>
      </w:tr>
      <w:tr>
        <w:trPr>
          <w:trHeight w:val="403"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RFID</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无线射频技术</w:t>
            </w:r>
          </w:p>
        </w:tc>
      </w:tr>
      <w:tr>
        <w:trPr>
          <w:trHeight w:val="401"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3"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1"/>
          <w:szCs w:val="21"/>
        </w:rPr>
      </w:pPr>
    </w:p>
    <w:p>
      <w:pPr>
        <w:spacing w:before="7"/>
        <w:ind w:left="2863" w:right="996" w:firstLine="0"/>
        <w:jc w:val="left"/>
        <w:rPr>
          <w:rFonts w:ascii="宋体" w:hAnsi="宋体" w:cs="宋体" w:eastAsia="宋体" w:hint="default"/>
          <w:sz w:val="30"/>
          <w:szCs w:val="30"/>
        </w:rPr>
      </w:pPr>
      <w:bookmarkStart w:name="_bookmark1" w:id="2"/>
      <w:bookmarkEnd w:id="2"/>
      <w:r>
        <w:rPr/>
      </w:r>
      <w:r>
        <w:rPr>
          <w:rFonts w:ascii="宋体" w:hAnsi="宋体" w:cs="宋体" w:eastAsia="宋体" w:hint="default"/>
          <w:b/>
          <w:bCs/>
          <w:sz w:val="30"/>
          <w:szCs w:val="30"/>
        </w:rPr>
        <w:t>第二节公司简介和主要财务指标</w:t>
      </w:r>
      <w:r>
        <w:rPr>
          <w:rFonts w:ascii="宋体" w:hAnsi="宋体" w:cs="宋体" w:eastAsia="宋体" w:hint="default"/>
          <w:sz w:val="30"/>
          <w:szCs w:val="30"/>
        </w:rPr>
      </w:r>
    </w:p>
    <w:p>
      <w:pPr>
        <w:spacing w:line="240" w:lineRule="auto" w:before="0"/>
        <w:rPr>
          <w:rFonts w:ascii="宋体" w:hAnsi="宋体" w:cs="宋体" w:eastAsia="宋体" w:hint="default"/>
          <w:b/>
          <w:bCs/>
          <w:sz w:val="20"/>
          <w:szCs w:val="20"/>
        </w:rPr>
      </w:pPr>
    </w:p>
    <w:p>
      <w:pPr>
        <w:pStyle w:val="Heading2"/>
        <w:spacing w:line="240" w:lineRule="auto" w:before="174"/>
        <w:ind w:right="996"/>
        <w:jc w:val="left"/>
        <w:rPr>
          <w:b w:val="0"/>
          <w:bCs w:val="0"/>
        </w:rPr>
      </w:pPr>
      <w:r>
        <w:rPr/>
        <w:pict>
          <v:group style="position:absolute;margin-left:172.339996pt;margin-top:122.19561pt;width:361.55pt;height:19.6pt;mso-position-horizontal-relative:page;mso-position-vertical-relative:paragraph;z-index:-1245136" coordorigin="3447,2444" coordsize="7231,392">
            <v:shape style="position:absolute;left:3447;top:2444;width:7231;height:392" coordorigin="3447,2444" coordsize="7231,392" path="m3447,2835l10677,2835,10677,2444,3447,2444,3447,2835xe" filled="true" fillcolor="#ffffff" stroked="false">
              <v:path arrowok="t"/>
              <v:fill type="solid"/>
            </v:shape>
            <w10:wrap type="none"/>
          </v:group>
        </w:pict>
      </w:r>
      <w:r>
        <w:rPr/>
        <w:t>一、公司信息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54"/>
        <w:gridCol w:w="2177"/>
      </w:tblGrid>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中青宝</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300052</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深圳中青宝互动网络股份有限公司</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中青宝</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SHENZHEN ZQGAME CO.,</w:t>
            </w:r>
            <w:r>
              <w:rPr>
                <w:rFonts w:ascii="Times New Roman"/>
                <w:spacing w:val="-3"/>
                <w:sz w:val="18"/>
              </w:rPr>
              <w:t> </w:t>
            </w:r>
            <w:r>
              <w:rPr>
                <w:rFonts w:ascii="Times New Roman"/>
                <w:spacing w:val="-7"/>
                <w:sz w:val="18"/>
              </w:rPr>
              <w:t>LTD</w:t>
            </w:r>
          </w:p>
        </w:tc>
      </w:tr>
      <w:tr>
        <w:trPr>
          <w:trHeight w:val="401"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ZQGAME</w:t>
            </w:r>
          </w:p>
        </w:tc>
      </w:tr>
      <w:tr>
        <w:trPr>
          <w:trHeight w:val="404"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李瑞杰</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深圳市福田区深南中路电子科技大厦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A1</w:t>
            </w:r>
            <w:r>
              <w:rPr>
                <w:rFonts w:ascii="Times New Roman" w:hAnsi="Times New Roman" w:cs="Times New Roman" w:eastAsia="Times New Roman" w:hint="default"/>
                <w:sz w:val="18"/>
                <w:szCs w:val="18"/>
              </w:rPr>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518000</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深圳市南山区深圳湾科技生态园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21-23 </w:t>
            </w:r>
            <w:r>
              <w:rPr>
                <w:rFonts w:ascii="宋体" w:hAnsi="宋体" w:cs="宋体" w:eastAsia="宋体" w:hint="default"/>
                <w:sz w:val="18"/>
                <w:szCs w:val="18"/>
              </w:rPr>
              <w:t>层</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518000</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https:/</w:t>
            </w:r>
            <w:hyperlink r:id="rId8">
              <w:r>
                <w:rPr>
                  <w:rFonts w:ascii="Times New Roman"/>
                  <w:sz w:val="18"/>
                </w:rPr>
                <w:t>/www</w:t>
              </w:r>
            </w:hyperlink>
            <w:r>
              <w:rPr>
                <w:rFonts w:ascii="Times New Roman"/>
                <w:sz w:val="18"/>
              </w:rPr>
              <w:t>.</w:t>
            </w:r>
            <w:hyperlink r:id="rId8">
              <w:r>
                <w:rPr>
                  <w:rFonts w:ascii="Times New Roman"/>
                  <w:sz w:val="18"/>
                </w:rPr>
                <w:t>zqgame.com/</w:t>
              </w:r>
            </w:hyperlink>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hyperlink r:id="rId9">
              <w:r>
                <w:rPr>
                  <w:rFonts w:ascii="Times New Roman"/>
                  <w:sz w:val="18"/>
                </w:rPr>
                <w:t>ir@zqgame.com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996"/>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文毅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王翊臣</w:t>
            </w:r>
          </w:p>
        </w:tc>
      </w:tr>
      <w:tr>
        <w:trPr>
          <w:trHeight w:val="161" w:hRule="exact"/>
        </w:trPr>
        <w:tc>
          <w:tcPr>
            <w:tcW w:w="3168"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1" w:type="dxa"/>
            <w:vMerge w:val="restart"/>
            <w:tcBorders>
              <w:top w:val="single" w:sz="4" w:space="0" w:color="000000"/>
              <w:left w:val="single" w:sz="9" w:space="0" w:color="D2D2D2"/>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深圳市南山区深圳湾科技生态园三期</w:t>
            </w:r>
          </w:p>
          <w:p>
            <w:pPr>
              <w:pStyle w:val="TableParagraph"/>
              <w:spacing w:line="240" w:lineRule="auto" w:before="74"/>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层</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深圳市南山区深圳湾科技生态园三期</w:t>
            </w:r>
          </w:p>
          <w:p>
            <w:pPr>
              <w:pStyle w:val="TableParagraph"/>
              <w:spacing w:line="240" w:lineRule="auto" w:before="7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层</w:t>
            </w:r>
          </w:p>
        </w:tc>
      </w:tr>
      <w:tr>
        <w:trPr>
          <w:trHeight w:val="391" w:hRule="exact"/>
        </w:trPr>
        <w:tc>
          <w:tcPr>
            <w:tcW w:w="31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68"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1"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0755-26733925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0755-26733925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0755-26000524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0755-26000524</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ir@zqgame.com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ir@zqgame.com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996"/>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4"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《证券时报》</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http://www.cninfo.com.cn</w:t>
              </w:r>
            </w:hyperlink>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深圳市南山区深圳湾科技生态园三期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层董事会秘书办公室</w:t>
            </w:r>
          </w:p>
        </w:tc>
      </w:tr>
    </w:tbl>
    <w:p>
      <w:pPr>
        <w:spacing w:line="240" w:lineRule="auto" w:before="1"/>
        <w:rPr>
          <w:rFonts w:ascii="宋体" w:hAnsi="宋体" w:cs="宋体" w:eastAsia="宋体" w:hint="default"/>
          <w:b/>
          <w:bCs/>
          <w:sz w:val="18"/>
          <w:szCs w:val="18"/>
        </w:rPr>
      </w:pPr>
    </w:p>
    <w:p>
      <w:pPr>
        <w:spacing w:line="525" w:lineRule="auto" w:before="26"/>
        <w:ind w:left="152" w:right="8114" w:firstLine="0"/>
        <w:jc w:val="left"/>
        <w:rPr>
          <w:rFonts w:ascii="宋体" w:hAnsi="宋体" w:cs="宋体" w:eastAsia="宋体" w:hint="default"/>
          <w:sz w:val="24"/>
          <w:szCs w:val="24"/>
        </w:rPr>
      </w:pPr>
      <w:r>
        <w:rPr>
          <w:rFonts w:ascii="宋体" w:hAnsi="宋体" w:cs="宋体" w:eastAsia="宋体" w:hint="default"/>
          <w:b/>
          <w:bCs/>
          <w:sz w:val="24"/>
          <w:szCs w:val="24"/>
        </w:rPr>
        <w:t>四、其他有关资料</w:t>
      </w:r>
      <w:r>
        <w:rPr>
          <w:rFonts w:ascii="宋体" w:hAnsi="宋体" w:cs="宋体" w:eastAsia="宋体" w:hint="default"/>
          <w:b/>
          <w:bCs/>
          <w:w w:val="99"/>
          <w:sz w:val="24"/>
          <w:szCs w:val="24"/>
        </w:rPr>
        <w:t> </w:t>
      </w:r>
      <w:r>
        <w:rPr>
          <w:rFonts w:ascii="宋体" w:hAnsi="宋体" w:cs="宋体" w:eastAsia="宋体" w:hint="default"/>
          <w:sz w:val="24"/>
          <w:szCs w:val="24"/>
        </w:rPr>
        <w:t>公司聘请的会计师事务所</w:t>
      </w:r>
    </w:p>
    <w:p>
      <w:pPr>
        <w:spacing w:after="0" w:line="525" w:lineRule="auto"/>
        <w:jc w:val="left"/>
        <w:rPr>
          <w:rFonts w:ascii="宋体" w:hAnsi="宋体" w:cs="宋体" w:eastAsia="宋体" w:hint="default"/>
          <w:sz w:val="24"/>
          <w:szCs w:val="24"/>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信永中和会计师事务所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深圳市福田区联合广场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郭晋龙、邱乐群</w:t>
            </w:r>
          </w:p>
        </w:tc>
      </w:tr>
    </w:tbl>
    <w:p>
      <w:pPr>
        <w:pStyle w:val="Heading3"/>
        <w:spacing w:line="240" w:lineRule="auto" w:before="39"/>
        <w:ind w:right="996"/>
        <w:jc w:val="left"/>
      </w:pPr>
      <w:r>
        <w:rPr/>
        <w:t>公司聘请的报告期内履行持续督导职责的保荐机构</w:t>
      </w:r>
    </w:p>
    <w:p>
      <w:pPr>
        <w:pStyle w:val="Heading3"/>
        <w:spacing w:line="338" w:lineRule="auto" w:before="154"/>
        <w:ind w:right="54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公司聘请的报告期内履行持续督导职责的财务顾问</w:t>
      </w:r>
    </w:p>
    <w:p>
      <w:pPr>
        <w:pStyle w:val="Heading3"/>
        <w:spacing w:line="240" w:lineRule="auto" w:before="55"/>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spacing w:line="690" w:lineRule="exact" w:before="87"/>
        <w:ind w:left="152" w:right="5954" w:firstLine="0"/>
        <w:jc w:val="left"/>
        <w:rPr>
          <w:rFonts w:ascii="宋体" w:hAnsi="宋体" w:cs="宋体" w:eastAsia="宋体" w:hint="default"/>
          <w:sz w:val="24"/>
          <w:szCs w:val="24"/>
        </w:rPr>
      </w:pPr>
      <w:r>
        <w:rPr>
          <w:rFonts w:ascii="宋体" w:hAnsi="宋体" w:cs="宋体" w:eastAsia="宋体" w:hint="default"/>
          <w:b/>
          <w:bCs/>
          <w:sz w:val="24"/>
          <w:szCs w:val="24"/>
        </w:rPr>
        <w:t>五、主要会计数据和财务指标</w:t>
      </w:r>
      <w:r>
        <w:rPr>
          <w:rFonts w:ascii="宋体" w:hAnsi="宋体" w:cs="宋体" w:eastAsia="宋体" w:hint="default"/>
          <w:b/>
          <w:bCs/>
          <w:w w:val="99"/>
          <w:sz w:val="24"/>
          <w:szCs w:val="24"/>
        </w:rPr>
        <w:t> </w:t>
      </w:r>
      <w:r>
        <w:rPr>
          <w:rFonts w:ascii="宋体" w:hAnsi="宋体" w:cs="宋体" w:eastAsia="宋体" w:hint="default"/>
          <w:sz w:val="24"/>
          <w:szCs w:val="24"/>
        </w:rPr>
        <w:t>公司是否需追溯调整或重述以前年度会计数据</w:t>
      </w:r>
    </w:p>
    <w:p>
      <w:pPr>
        <w:pStyle w:val="Heading3"/>
        <w:spacing w:line="240" w:lineRule="auto" w:before="49"/>
        <w:ind w:right="99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否</w:t>
      </w:r>
    </w:p>
    <w:p>
      <w:pPr>
        <w:spacing w:line="240" w:lineRule="auto" w:before="5"/>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9"/>
        <w:gridCol w:w="1748"/>
        <w:gridCol w:w="1738"/>
        <w:gridCol w:w="1738"/>
        <w:gridCol w:w="1735"/>
      </w:tblGrid>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468,826,313.50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334,005,440.88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40.36%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313,223,143.38</w:t>
            </w:r>
          </w:p>
        </w:tc>
      </w:tr>
      <w:tr>
        <w:trPr>
          <w:trHeight w:val="715"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51,723,043.25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36,361,863.23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42.25%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50,296,660.75</w:t>
            </w:r>
          </w:p>
        </w:tc>
      </w:tr>
      <w:tr>
        <w:trPr>
          <w:trHeight w:val="71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1,898,204.40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27,978,159.78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-93.22%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195,690.37</w:t>
            </w:r>
          </w:p>
        </w:tc>
      </w:tr>
      <w:tr>
        <w:trPr>
          <w:trHeight w:val="716"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3,072,912.19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-5,467,977.03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156.20%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106,706,029.63</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42.86%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0.19</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42.86%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0.19</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1.72%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4.40%</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1,438,349,150.43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1,227,887,863.96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1,139,853,356.27</w:t>
            </w:r>
          </w:p>
        </w:tc>
      </w:tr>
      <w:tr>
        <w:trPr>
          <w:trHeight w:val="715"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834,144,421.73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749,629,104.19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751,785,507.16</w:t>
            </w:r>
          </w:p>
        </w:tc>
      </w:tr>
    </w:tbl>
    <w:p>
      <w:pPr>
        <w:spacing w:line="240" w:lineRule="auto" w:before="1"/>
        <w:rPr>
          <w:rFonts w:ascii="宋体" w:hAnsi="宋体" w:cs="宋体" w:eastAsia="宋体" w:hint="default"/>
          <w:sz w:val="18"/>
          <w:szCs w:val="18"/>
        </w:rPr>
      </w:pPr>
    </w:p>
    <w:p>
      <w:pPr>
        <w:pStyle w:val="Heading2"/>
        <w:spacing w:line="240" w:lineRule="auto" w:before="26"/>
        <w:ind w:right="996"/>
        <w:jc w:val="left"/>
        <w:rPr>
          <w:b w:val="0"/>
          <w:bCs w:val="0"/>
        </w:rPr>
      </w:pPr>
      <w:r>
        <w:rPr/>
        <w:t>六、分季度主要财务指标</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9"/>
        <w:gridCol w:w="1751"/>
        <w:gridCol w:w="1740"/>
        <w:gridCol w:w="1738"/>
        <w:gridCol w:w="1730"/>
      </w:tblGrid>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85,773,149.74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95,294,983.93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66,510,820.92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221,247,358.91</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11,982,253.13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14,717,511.42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41,941,614.85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-16,918,336.15</w:t>
            </w:r>
          </w:p>
        </w:tc>
      </w:tr>
      <w:tr>
        <w:trPr>
          <w:trHeight w:val="71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6,061,930.25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12,745,815.59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-872,764.53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-16,036,776.91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1"/>
        <w:gridCol w:w="1740"/>
        <w:gridCol w:w="1740"/>
        <w:gridCol w:w="1738"/>
        <w:gridCol w:w="1730"/>
      </w:tblGrid>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4" w:right="0"/>
              <w:jc w:val="left"/>
              <w:rPr>
                <w:rFonts w:ascii="Times New Roman" w:hAnsi="Times New Roman" w:cs="Times New Roman" w:eastAsia="Times New Roman" w:hint="default"/>
                <w:sz w:val="18"/>
                <w:szCs w:val="18"/>
              </w:rPr>
            </w:pPr>
            <w:r>
              <w:rPr>
                <w:rFonts w:ascii="Times New Roman"/>
                <w:sz w:val="18"/>
              </w:rPr>
              <w:t>26,416,249.05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1" w:right="0"/>
              <w:jc w:val="left"/>
              <w:rPr>
                <w:rFonts w:ascii="Times New Roman" w:hAnsi="Times New Roman" w:cs="Times New Roman" w:eastAsia="Times New Roman" w:hint="default"/>
                <w:sz w:val="18"/>
                <w:szCs w:val="18"/>
              </w:rPr>
            </w:pPr>
            <w:r>
              <w:rPr>
                <w:rFonts w:ascii="Times New Roman"/>
                <w:sz w:val="18"/>
              </w:rPr>
              <w:t>44,763,846.20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-95,072,918.86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2" w:right="0"/>
              <w:jc w:val="left"/>
              <w:rPr>
                <w:rFonts w:ascii="Times New Roman" w:hAnsi="Times New Roman" w:cs="Times New Roman" w:eastAsia="Times New Roman" w:hint="default"/>
                <w:sz w:val="18"/>
                <w:szCs w:val="18"/>
              </w:rPr>
            </w:pPr>
            <w:r>
              <w:rPr>
                <w:rFonts w:ascii="Times New Roman"/>
                <w:sz w:val="18"/>
              </w:rPr>
              <w:t>26,965,735.80</w:t>
            </w:r>
          </w:p>
        </w:tc>
      </w:tr>
    </w:tbl>
    <w:p>
      <w:pPr>
        <w:pStyle w:val="Heading3"/>
        <w:spacing w:line="357" w:lineRule="auto" w:before="39"/>
        <w:ind w:right="996"/>
        <w:jc w:val="left"/>
      </w:pPr>
      <w:r>
        <w:rPr/>
        <w:t>上述财务指标或其加总数是否与公司已披露季度报告、半年度报告相关财务指标存在重大差</w:t>
      </w:r>
      <w:r>
        <w:rPr>
          <w:spacing w:val="-91"/>
        </w:rPr>
        <w:t> </w:t>
      </w:r>
      <w:r>
        <w:rPr>
          <w:spacing w:val="-91"/>
        </w:rPr>
      </w:r>
      <w:r>
        <w:rPr/>
        <w:t>异</w:t>
      </w:r>
    </w:p>
    <w:p>
      <w:pPr>
        <w:spacing w:line="499" w:lineRule="auto" w:before="36"/>
        <w:ind w:left="152" w:right="6899"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是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否 </w:t>
      </w:r>
      <w:r>
        <w:rPr>
          <w:rFonts w:ascii="宋体" w:hAnsi="宋体" w:cs="宋体" w:eastAsia="宋体" w:hint="default"/>
          <w:b/>
          <w:bCs/>
          <w:sz w:val="24"/>
          <w:szCs w:val="24"/>
        </w:rPr>
        <w:t>七、境内外会计准则下会计数据差异</w:t>
      </w:r>
      <w:r>
        <w:rPr>
          <w:rFonts w:ascii="宋体" w:hAnsi="宋体" w:cs="宋体" w:eastAsia="宋体" w:hint="default"/>
          <w:sz w:val="24"/>
          <w:szCs w:val="24"/>
        </w:rPr>
      </w:r>
    </w:p>
    <w:p>
      <w:pPr>
        <w:pStyle w:val="Heading2"/>
        <w:spacing w:line="240" w:lineRule="auto" w:before="115"/>
        <w:ind w:right="996"/>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350" w:lineRule="auto" w:before="135"/>
        <w:ind w:left="152" w:right="996"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不适用 公司报告期不存在按照国际会计准则与按照中国会计准则披露的财务报告中净利润和净资产</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z w:val="24"/>
          <w:szCs w:val="24"/>
        </w:rPr>
        <w:t>差异情况。 </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、同时按照境外会计准则与按照中国会计准则披露的财务报告中净利润和净资产差异情况</w:t>
      </w:r>
      <w:r>
        <w:rPr>
          <w:rFonts w:ascii="宋体" w:hAnsi="宋体" w:cs="宋体" w:eastAsia="宋体" w:hint="default"/>
          <w:sz w:val="24"/>
          <w:szCs w:val="24"/>
        </w:rPr>
      </w:r>
    </w:p>
    <w:p>
      <w:pPr>
        <w:pStyle w:val="Heading3"/>
        <w:spacing w:line="348" w:lineRule="auto" w:before="13"/>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公司报告期不存在按照境外会计准则与按照中国会计准则披露的财务报告中净利润和净资产</w:t>
      </w:r>
      <w:r>
        <w:rPr>
          <w:spacing w:val="-91"/>
        </w:rPr>
        <w:t> </w:t>
      </w:r>
      <w:r>
        <w:rPr>
          <w:spacing w:val="-91"/>
        </w:rPr>
      </w:r>
      <w:r>
        <w:rPr/>
        <w:t>差异情况。</w:t>
      </w:r>
    </w:p>
    <w:p>
      <w:pPr>
        <w:spacing w:line="240" w:lineRule="auto" w:before="7"/>
        <w:rPr>
          <w:rFonts w:ascii="宋体" w:hAnsi="宋体" w:cs="宋体" w:eastAsia="宋体" w:hint="default"/>
          <w:sz w:val="20"/>
          <w:szCs w:val="20"/>
        </w:rPr>
      </w:pPr>
    </w:p>
    <w:p>
      <w:pPr>
        <w:pStyle w:val="Heading2"/>
        <w:spacing w:line="240" w:lineRule="auto"/>
        <w:ind w:right="996"/>
        <w:jc w:val="left"/>
        <w:rPr>
          <w:b w:val="0"/>
          <w:bCs w:val="0"/>
        </w:rPr>
      </w:pPr>
      <w:r>
        <w:rPr/>
        <w:t>八、非经常性损益项目及金额</w:t>
      </w:r>
      <w:r>
        <w:rPr>
          <w:b w:val="0"/>
          <w:bCs w:val="0"/>
        </w:rPr>
      </w:r>
    </w:p>
    <w:p>
      <w:pPr>
        <w:spacing w:line="240" w:lineRule="auto" w:before="11"/>
        <w:rPr>
          <w:rFonts w:ascii="宋体" w:hAnsi="宋体" w:cs="宋体" w:eastAsia="宋体" w:hint="default"/>
          <w:b/>
          <w:bCs/>
          <w:sz w:val="28"/>
          <w:szCs w:val="28"/>
        </w:rPr>
      </w:pPr>
    </w:p>
    <w:p>
      <w:pPr>
        <w:pStyle w:val="Heading3"/>
        <w:spacing w:line="240" w:lineRule="auto" w:before="0"/>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before="146"/>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-125,343.89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-659,904.14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-462,958.71</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8,146,514.13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7,168,035.66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7,449,052.25</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774,776.73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2,307,275.18</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1"/>
              <w:jc w:val="center"/>
              <w:rPr>
                <w:rFonts w:ascii="宋体" w:hAnsi="宋体" w:cs="宋体" w:eastAsia="宋体" w:hint="default"/>
                <w:sz w:val="18"/>
                <w:szCs w:val="18"/>
              </w:rPr>
            </w:pPr>
            <w:r>
              <w:rPr>
                <w:rFonts w:ascii="宋体" w:hAnsi="宋体" w:cs="宋体" w:eastAsia="宋体" w:hint="default"/>
                <w:sz w:val="18"/>
                <w:szCs w:val="18"/>
              </w:rPr>
              <w:t>财务性投资利息收入</w:t>
            </w:r>
          </w:p>
        </w:tc>
      </w:tr>
      <w:tr>
        <w:trPr>
          <w:trHeight w:val="71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8"/>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8,188,659.18</w:t>
            </w:r>
          </w:p>
        </w:tc>
        <w:tc>
          <w:tcPr>
            <w:tcW w:w="17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22"/>
        <w:gridCol w:w="1711"/>
      </w:tblGrid>
      <w:tr>
        <w:trPr>
          <w:trHeight w:val="227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51,197,453.50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131,506.85</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-1,515,098.16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267,266.76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1,776,029.55</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1,291,581.82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1,138,393.13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38,114,949.47</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9,972,010.24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1,520,294.23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4,207,325.22</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-26,964.96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448,575.76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757,436.14</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49,824,838.85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8,383,703.45</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4"/>
              <w:ind w:right="8"/>
              <w:jc w:val="right"/>
              <w:rPr>
                <w:rFonts w:ascii="Times New Roman" w:hAnsi="Times New Roman" w:cs="Times New Roman" w:eastAsia="Times New Roman" w:hint="default"/>
                <w:sz w:val="18"/>
                <w:szCs w:val="18"/>
              </w:rPr>
            </w:pPr>
            <w:r>
              <w:rPr>
                <w:rFonts w:ascii="Times New Roman"/>
                <w:spacing w:val="-1"/>
                <w:sz w:val="18"/>
              </w:rPr>
              <w:t>50,100,970.38</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bl>
    <w:p>
      <w:pPr>
        <w:pStyle w:val="Heading3"/>
        <w:spacing w:line="240" w:lineRule="auto" w:before="39"/>
        <w:ind w:right="996"/>
        <w:jc w:val="left"/>
      </w:pPr>
      <w:r>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1"/>
        </w:rPr>
        <w:t> </w:t>
      </w:r>
      <w:r>
        <w:rPr/>
        <w:t>号</w:t>
      </w:r>
      <w:r>
        <w:rPr>
          <w:rFonts w:ascii="Times New Roman" w:hAnsi="Times New Roman" w:cs="Times New Roman" w:eastAsia="Times New Roman" w:hint="default"/>
        </w:rPr>
        <w:t>——</w:t>
      </w:r>
      <w:r>
        <w:rPr/>
        <w:t>非经常性损益》定义界定</w:t>
      </w:r>
    </w:p>
    <w:p>
      <w:pPr>
        <w:pStyle w:val="Heading3"/>
        <w:spacing w:line="338" w:lineRule="auto" w:before="135"/>
        <w:ind w:right="1116"/>
        <w:jc w:val="left"/>
      </w:pPr>
      <w:r>
        <w:rPr/>
        <w:t>的非经常性损益项目，以及把《公开发行证券的公司信息披露解释性公告第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t>号</w:t>
      </w:r>
      <w:r>
        <w:rPr>
          <w:rFonts w:ascii="Times New Roman" w:hAnsi="Times New Roman" w:cs="Times New Roman" w:eastAsia="Times New Roman" w:hint="default"/>
        </w:rPr>
        <w:t>——</w:t>
      </w:r>
      <w:r>
        <w:rPr/>
        <w:t>非经常 性损益》中列举的非经常性损益项目界定为经常性损益的项目，应说明原因</w:t>
      </w:r>
    </w:p>
    <w:p>
      <w:pPr>
        <w:pStyle w:val="Heading3"/>
        <w:spacing w:line="240" w:lineRule="auto" w:before="55"/>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pStyle w:val="Heading3"/>
        <w:spacing w:line="338" w:lineRule="auto" w:before="135"/>
        <w:ind w:right="1115"/>
        <w:jc w:val="left"/>
      </w:pPr>
      <w:r>
        <w:rPr/>
        <w:t>公司报告期不存在将根据《公开发行证券的公司信息披露解释性公告第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1"/>
        </w:rPr>
        <w:t> </w:t>
      </w:r>
      <w:r>
        <w:rPr/>
        <w:t>号</w:t>
      </w:r>
      <w:r>
        <w:rPr>
          <w:rFonts w:ascii="Times New Roman" w:hAnsi="Times New Roman" w:cs="Times New Roman" w:eastAsia="Times New Roman" w:hint="default"/>
        </w:rPr>
        <w:t>——</w:t>
      </w:r>
      <w:r>
        <w:rPr/>
        <w:t>非经常性损 益》定义、列举的非经常性损益项目界定为经常性损益的项目的情形。</w:t>
      </w:r>
    </w:p>
    <w:p>
      <w:pPr>
        <w:spacing w:after="0" w:line="33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525" w:right="996"/>
        <w:jc w:val="left"/>
        <w:rPr>
          <w:b w:val="0"/>
          <w:bCs w:val="0"/>
        </w:rPr>
      </w:pPr>
      <w:bookmarkStart w:name="_bookmark2" w:id="3"/>
      <w:bookmarkEnd w:id="3"/>
      <w:r>
        <w:rPr>
          <w:b w:val="0"/>
          <w:bCs w:val="0"/>
        </w:rPr>
      </w:r>
      <w:r>
        <w:rPr/>
        <w:t>第三节公司业务概要</w:t>
      </w:r>
      <w:r>
        <w:rPr>
          <w:b w:val="0"/>
          <w:bCs w:val="0"/>
        </w:rPr>
      </w:r>
    </w:p>
    <w:p>
      <w:pPr>
        <w:spacing w:line="240" w:lineRule="auto" w:before="13"/>
        <w:rPr>
          <w:rFonts w:ascii="宋体" w:hAnsi="宋体" w:cs="宋体" w:eastAsia="宋体" w:hint="default"/>
          <w:b/>
          <w:bCs/>
          <w:sz w:val="38"/>
          <w:szCs w:val="38"/>
        </w:rPr>
      </w:pPr>
    </w:p>
    <w:p>
      <w:pPr>
        <w:pStyle w:val="Heading2"/>
        <w:spacing w:line="240" w:lineRule="auto"/>
        <w:ind w:right="996"/>
        <w:jc w:val="left"/>
        <w:rPr>
          <w:b w:val="0"/>
          <w:bCs w:val="0"/>
        </w:rPr>
      </w:pPr>
      <w:r>
        <w:rPr/>
        <w:t>一、报告期内公司从事的主要业务</w:t>
      </w:r>
      <w:r>
        <w:rPr>
          <w:b w:val="0"/>
          <w:bCs w:val="0"/>
        </w:rPr>
      </w:r>
    </w:p>
    <w:p>
      <w:pPr>
        <w:spacing w:line="240" w:lineRule="auto" w:before="11"/>
        <w:rPr>
          <w:rFonts w:ascii="宋体" w:hAnsi="宋体" w:cs="宋体" w:eastAsia="宋体" w:hint="default"/>
          <w:b/>
          <w:bCs/>
          <w:sz w:val="28"/>
          <w:szCs w:val="28"/>
        </w:rPr>
      </w:pPr>
    </w:p>
    <w:p>
      <w:pPr>
        <w:pStyle w:val="Heading3"/>
        <w:spacing w:line="338" w:lineRule="auto" w:before="0"/>
        <w:ind w:right="1115"/>
        <w:jc w:val="left"/>
      </w:pPr>
      <w:r>
        <w:rPr/>
        <w:t>公司需遵守《深圳证券交易所创业板行业信息披露指引第 </w:t>
      </w:r>
      <w:r>
        <w:rPr>
          <w:rFonts w:ascii="Times New Roman" w:hAnsi="Times New Roman" w:cs="Times New Roman" w:eastAsia="Times New Roman" w:hint="default"/>
        </w:rPr>
        <w:t>5</w:t>
      </w:r>
      <w:r>
        <w:rPr>
          <w:rFonts w:ascii="Times New Roman" w:hAnsi="Times New Roman" w:cs="Times New Roman" w:eastAsia="Times New Roman" w:hint="default"/>
          <w:spacing w:val="-21"/>
        </w:rPr>
        <w:t> </w:t>
      </w:r>
      <w:r>
        <w:rPr/>
        <w:t>号</w:t>
      </w:r>
      <w:r>
        <w:rPr>
          <w:rFonts w:ascii="Times New Roman" w:hAnsi="Times New Roman" w:cs="Times New Roman" w:eastAsia="Times New Roman" w:hint="default"/>
        </w:rPr>
        <w:t>——</w:t>
      </w:r>
      <w:r>
        <w:rPr/>
        <w:t>上市公司从事互联网游戏 业务》的披露要求：</w:t>
      </w:r>
    </w:p>
    <w:p>
      <w:pPr>
        <w:pStyle w:val="Heading3"/>
        <w:spacing w:line="357" w:lineRule="auto" w:before="55"/>
        <w:ind w:right="1139" w:firstLine="480"/>
        <w:jc w:val="both"/>
      </w:pPr>
      <w:r>
        <w:rPr/>
        <w:t>公司通过多年来对所处游戏行业的深度探索、研发、运营经验的不断积累及产业链上下 游的广泛布局，自主创新和建立了一系列可持续发展生态业务模式。报告期内，公司在保持</w:t>
      </w:r>
      <w:r>
        <w:rPr>
          <w:spacing w:val="-91"/>
        </w:rPr>
        <w:t> </w:t>
      </w:r>
      <w:r>
        <w:rPr>
          <w:spacing w:val="-91"/>
        </w:rPr>
      </w:r>
      <w:r>
        <w:rPr/>
        <w:t>传统游戏业务稳步前进的前提下，大力发展云服务业务，实现了游戏业务和云服务业务两大</w:t>
      </w:r>
      <w:r>
        <w:rPr>
          <w:spacing w:val="-91"/>
        </w:rPr>
        <w:t> </w:t>
      </w:r>
      <w:r>
        <w:rPr>
          <w:spacing w:val="-91"/>
        </w:rPr>
      </w:r>
      <w:r>
        <w:rPr/>
        <w:t>板块的双轮驱动模式，此外，公司还兼顾科技文旅业务，以达到多板块相互协同发展、互为</w:t>
      </w:r>
      <w:r>
        <w:rPr>
          <w:spacing w:val="-91"/>
        </w:rPr>
        <w:t> </w:t>
      </w:r>
      <w:r>
        <w:rPr>
          <w:spacing w:val="-91"/>
        </w:rPr>
      </w:r>
      <w:r>
        <w:rPr/>
        <w:t>支撑的战略目标。具体业务情况如下：</w:t>
      </w:r>
    </w:p>
    <w:p>
      <w:pPr>
        <w:pStyle w:val="Heading3"/>
        <w:spacing w:line="338" w:lineRule="auto"/>
        <w:ind w:left="633" w:right="996"/>
        <w:jc w:val="left"/>
      </w:pPr>
      <w:r>
        <w:rPr>
          <w:rFonts w:ascii="Times New Roman" w:hAnsi="Times New Roman" w:cs="Times New Roman" w:eastAsia="Times New Roman" w:hint="default"/>
        </w:rPr>
        <w:t>1</w:t>
      </w:r>
      <w:r>
        <w:rPr/>
        <w:t>、游戏业务 </w:t>
      </w:r>
      <w:r>
        <w:rPr>
          <w:spacing w:val="-3"/>
        </w:rPr>
        <w:t>作为行业内老牌游戏上市公司，公司自成立以来，一直专注从事网络游戏的研发和运营，</w:t>
      </w:r>
    </w:p>
    <w:p>
      <w:pPr>
        <w:pStyle w:val="Heading3"/>
        <w:spacing w:line="357" w:lineRule="auto" w:before="55"/>
        <w:ind w:right="996"/>
        <w:jc w:val="left"/>
      </w:pPr>
      <w:r>
        <w:rPr/>
        <w:t>经过多年发展，公司已经积累了丰富的经验及技术，能够较好的把握市场需求、玩家心理和</w:t>
      </w:r>
      <w:r>
        <w:rPr>
          <w:spacing w:val="-87"/>
        </w:rPr>
        <w:t> </w:t>
      </w:r>
      <w:r>
        <w:rPr>
          <w:spacing w:val="-87"/>
        </w:rPr>
      </w:r>
      <w:r>
        <w:rPr/>
        <w:t>游戏行业动向，持续推出精品游戏。</w:t>
      </w:r>
    </w:p>
    <w:p>
      <w:pPr>
        <w:pStyle w:val="Heading3"/>
        <w:spacing w:line="338" w:lineRule="auto"/>
        <w:ind w:right="996" w:firstLine="480"/>
        <w:jc w:val="left"/>
      </w:pPr>
      <w:r>
        <w:rPr>
          <w:spacing w:val="-6"/>
        </w:rPr>
        <w:t>报告期内，中青宝老牌红色网游系列产品《抗战》、《亮剑》、《兵王</w:t>
      </w:r>
      <w:r>
        <w:rPr>
          <w:rFonts w:ascii="Times New Roman" w:hAnsi="Times New Roman" w:cs="Times New Roman" w:eastAsia="Times New Roman" w:hint="default"/>
          <w:spacing w:val="-6"/>
        </w:rPr>
        <w:t>2</w:t>
      </w:r>
      <w:r>
        <w:rPr>
          <w:spacing w:val="-6"/>
        </w:rPr>
        <w:t>》、《最后一炮》</w:t>
      </w:r>
      <w:r>
        <w:rPr/>
        <w:t> 以及国战类网游产品《天道》、《新战国英雄》在线用户数、盈利能力都保持稳定。</w:t>
      </w:r>
    </w:p>
    <w:p>
      <w:pPr>
        <w:pStyle w:val="Heading3"/>
        <w:spacing w:line="348" w:lineRule="auto" w:before="55"/>
        <w:ind w:right="1132" w:firstLine="480"/>
        <w:jc w:val="both"/>
      </w:pPr>
      <w:r>
        <w:rPr/>
        <w:t>手游方面：</w:t>
      </w:r>
      <w:r>
        <w:rPr>
          <w:rFonts w:ascii="Times New Roman" w:hAnsi="Times New Roman" w:cs="Times New Roman" w:eastAsia="Times New Roman" w:hint="default"/>
        </w:rPr>
        <w:t>2019</w:t>
      </w:r>
      <w:r>
        <w:rPr/>
        <w:t>年手机游戏行业进入白热化竞争阶段，中青宝凭借麦迪代言的《街球艺 术》一举打入国内体育品类游戏市场，凭借公司多年累积的用户基础，为首发阶段的用户爆</w:t>
      </w:r>
      <w:r>
        <w:rPr>
          <w:spacing w:val="-91"/>
        </w:rPr>
        <w:t> </w:t>
      </w:r>
      <w:r>
        <w:rPr>
          <w:spacing w:val="-91"/>
        </w:rPr>
      </w:r>
      <w:r>
        <w:rPr/>
        <w:t>发提供了由量变到质变的动力；公司签下的《街头足球》在测试阶段就已受行业内及广大玩</w:t>
      </w:r>
      <w:r>
        <w:rPr>
          <w:spacing w:val="-91"/>
        </w:rPr>
        <w:t> </w:t>
      </w:r>
      <w:r>
        <w:rPr>
          <w:spacing w:val="-91"/>
        </w:rPr>
      </w:r>
      <w:r>
        <w:rPr/>
        <w:t>家的好评，进一步夯实公司布局</w:t>
      </w:r>
      <w:r>
        <w:rPr>
          <w:rFonts w:ascii="Times New Roman" w:hAnsi="Times New Roman" w:cs="Times New Roman" w:eastAsia="Times New Roman" w:hint="default"/>
        </w:rPr>
        <w:t>”</w:t>
      </w:r>
      <w:r>
        <w:rPr/>
        <w:t>重竞技，高留存，高活跃</w:t>
      </w:r>
      <w:r>
        <w:rPr>
          <w:rFonts w:ascii="Times New Roman" w:hAnsi="Times New Roman" w:cs="Times New Roman" w:eastAsia="Times New Roman" w:hint="default"/>
        </w:rPr>
        <w:t>“</w:t>
      </w:r>
      <w:r>
        <w:rPr/>
        <w:t>的基础，一举打入游戏体育品类</w:t>
      </w:r>
      <w:r>
        <w:rPr>
          <w:spacing w:val="-61"/>
        </w:rPr>
        <w:t> </w:t>
      </w:r>
      <w:r>
        <w:rPr>
          <w:spacing w:val="-61"/>
        </w:rPr>
      </w:r>
      <w:r>
        <w:rPr/>
        <w:t>的决赛圈。</w:t>
      </w:r>
    </w:p>
    <w:p>
      <w:pPr>
        <w:pStyle w:val="Heading3"/>
        <w:spacing w:line="338" w:lineRule="auto" w:before="46"/>
        <w:ind w:right="1134" w:firstLine="480"/>
        <w:jc w:val="both"/>
      </w:pPr>
      <w:r>
        <w:rPr>
          <w:spacing w:val="-3"/>
        </w:rPr>
        <w:t>页游方面：《大话女儿国》上线</w:t>
      </w:r>
      <w:r>
        <w:rPr>
          <w:rFonts w:ascii="Times New Roman" w:hAnsi="Times New Roman" w:cs="Times New Roman" w:eastAsia="Times New Roman" w:hint="default"/>
          <w:spacing w:val="-3"/>
        </w:rPr>
        <w:t>2</w:t>
      </w:r>
      <w:r>
        <w:rPr>
          <w:spacing w:val="-3"/>
        </w:rPr>
        <w:t>年仍然表现良好，在线用户和收入保持稳定水平。页游</w:t>
      </w:r>
      <w:r>
        <w:rPr/>
        <w:t> 老牌产品《裂天之刃》拥有一批忠实用户，持续维持着良好游戏生态和稳定的付费水平。</w:t>
      </w:r>
    </w:p>
    <w:p>
      <w:pPr>
        <w:pStyle w:val="Heading3"/>
        <w:spacing w:line="338" w:lineRule="auto" w:before="56"/>
        <w:ind w:left="633" w:right="996"/>
        <w:jc w:val="left"/>
      </w:pPr>
      <w:r>
        <w:rPr/>
        <w:t>报告期内，公司游戏平台新增运营的游戏有</w:t>
      </w:r>
      <w:r>
        <w:rPr>
          <w:rFonts w:ascii="Times New Roman" w:hAnsi="Times New Roman" w:cs="Times New Roman" w:eastAsia="Times New Roman" w:hint="default"/>
        </w:rPr>
        <w:t>15</w:t>
      </w:r>
      <w:r>
        <w:rPr/>
        <w:t>款，报告期末运营的游戏总计</w:t>
      </w:r>
      <w:r>
        <w:rPr>
          <w:rFonts w:ascii="Times New Roman" w:hAnsi="Times New Roman" w:cs="Times New Roman" w:eastAsia="Times New Roman" w:hint="default"/>
        </w:rPr>
        <w:t>92</w:t>
      </w:r>
      <w:r>
        <w:rPr/>
        <w:t>款。 </w:t>
      </w:r>
      <w:r>
        <w:rPr>
          <w:rFonts w:ascii="Times New Roman" w:hAnsi="Times New Roman" w:cs="Times New Roman" w:eastAsia="Times New Roman" w:hint="default"/>
        </w:rPr>
        <w:t>2</w:t>
      </w:r>
      <w:r>
        <w:rPr/>
        <w:t>、云服务业务 </w:t>
      </w:r>
      <w:r>
        <w:rPr>
          <w:spacing w:val="-3"/>
        </w:rPr>
        <w:t>报告期内，公司子公司宝腾互联专注于</w:t>
      </w:r>
      <w:r>
        <w:rPr>
          <w:rFonts w:ascii="Times New Roman" w:hAnsi="Times New Roman" w:cs="Times New Roman" w:eastAsia="Times New Roman" w:hint="default"/>
          <w:spacing w:val="-3"/>
        </w:rPr>
        <w:t>IDC</w:t>
      </w:r>
      <w:r>
        <w:rPr>
          <w:spacing w:val="-3"/>
        </w:rPr>
        <w:t>、云计算，同时以</w:t>
      </w:r>
      <w:r>
        <w:rPr>
          <w:rFonts w:ascii="Times New Roman" w:hAnsi="Times New Roman" w:cs="Times New Roman" w:eastAsia="Times New Roman" w:hint="default"/>
          <w:spacing w:val="-3"/>
        </w:rPr>
        <w:t>IaaS</w:t>
      </w:r>
      <w:r>
        <w:rPr>
          <w:spacing w:val="-3"/>
        </w:rPr>
        <w:t>层服务为基础，积极寻</w:t>
      </w:r>
    </w:p>
    <w:p>
      <w:pPr>
        <w:pStyle w:val="Heading3"/>
        <w:spacing w:line="357" w:lineRule="auto" w:before="27"/>
        <w:ind w:right="996"/>
        <w:jc w:val="left"/>
      </w:pPr>
      <w:r>
        <w:rPr/>
        <w:t>求业务突破与创新，继续围绕各项云增值业务进行产品设计和平台整合，致力于为全行业客</w:t>
      </w:r>
      <w:r>
        <w:rPr>
          <w:spacing w:val="-91"/>
        </w:rPr>
        <w:t> </w:t>
      </w:r>
      <w:r>
        <w:rPr>
          <w:spacing w:val="-91"/>
        </w:rPr>
      </w:r>
      <w:r>
        <w:rPr/>
        <w:t>户提供全维度的数字化运维服务。</w:t>
      </w:r>
    </w:p>
    <w:p>
      <w:pPr>
        <w:spacing w:after="0" w:line="357" w:lineRule="auto"/>
        <w:jc w:val="left"/>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pStyle w:val="Heading3"/>
        <w:spacing w:line="338" w:lineRule="auto" w:before="26"/>
        <w:ind w:right="1131" w:firstLine="480"/>
        <w:jc w:val="both"/>
      </w:pPr>
      <w:r>
        <w:rPr/>
        <w:t>（</w:t>
      </w:r>
      <w:r>
        <w:rPr>
          <w:rFonts w:ascii="Times New Roman" w:hAnsi="Times New Roman" w:cs="Times New Roman" w:eastAsia="Times New Roman" w:hint="default"/>
        </w:rPr>
        <w:t>1</w:t>
      </w:r>
      <w:r>
        <w:rPr/>
        <w:t>）数据中心业务：宝腾互联在深圳观澜拥有自建高等级数据中心（</w:t>
      </w:r>
      <w:r>
        <w:rPr>
          <w:rFonts w:ascii="Times New Roman" w:hAnsi="Times New Roman" w:cs="Times New Roman" w:eastAsia="Times New Roman" w:hint="default"/>
        </w:rPr>
        <w:t>T3+</w:t>
      </w:r>
      <w:r>
        <w:rPr/>
        <w:t>），拥有专业 高效的数据中心运维团队，协同三大运营商为多家客户提供安全、稳定、高效的</w:t>
      </w:r>
      <w:r>
        <w:rPr>
          <w:rFonts w:ascii="Times New Roman" w:hAnsi="Times New Roman" w:cs="Times New Roman" w:eastAsia="Times New Roman" w:hint="default"/>
        </w:rPr>
        <w:t>IaaS</w:t>
      </w:r>
      <w:r>
        <w:rPr/>
        <w:t>层云服</w:t>
      </w:r>
      <w:r>
        <w:rPr>
          <w:spacing w:val="-44"/>
        </w:rPr>
        <w:t> </w:t>
      </w:r>
      <w:r>
        <w:rPr/>
        <w:t>务。</w:t>
      </w:r>
    </w:p>
    <w:p>
      <w:pPr>
        <w:pStyle w:val="Heading3"/>
        <w:spacing w:line="343" w:lineRule="auto" w:before="55"/>
        <w:ind w:right="1128" w:firstLine="480"/>
        <w:jc w:val="both"/>
      </w:pPr>
      <w:r>
        <w:rPr>
          <w:spacing w:val="2"/>
        </w:rPr>
        <w:t>（</w:t>
      </w:r>
      <w:r>
        <w:rPr>
          <w:rFonts w:ascii="Times New Roman" w:hAnsi="Times New Roman" w:cs="Times New Roman" w:eastAsia="Times New Roman" w:hint="default"/>
          <w:spacing w:val="2"/>
        </w:rPr>
        <w:t>2</w:t>
      </w:r>
      <w:r>
        <w:rPr>
          <w:spacing w:val="2"/>
        </w:rPr>
        <w:t>）数据中心运维外包业务方面：宝腾互联承接了泸州城市政务云数据中心</w:t>
      </w:r>
      <w:r>
        <w:rPr>
          <w:rFonts w:ascii="Times New Roman" w:hAnsi="Times New Roman" w:cs="Times New Roman" w:eastAsia="Times New Roman" w:hint="default"/>
          <w:spacing w:val="2"/>
        </w:rPr>
        <w:t>/</w:t>
      </w:r>
      <w:r>
        <w:rPr>
          <w:spacing w:val="2"/>
        </w:rPr>
        <w:t>国家工程 </w:t>
      </w:r>
      <w:r>
        <w:rPr>
          <w:spacing w:val="-1"/>
        </w:rPr>
        <w:t>实验室</w:t>
      </w:r>
      <w:r>
        <w:rPr>
          <w:rFonts w:ascii="Times New Roman" w:hAnsi="Times New Roman" w:cs="Times New Roman" w:eastAsia="Times New Roman" w:hint="default"/>
          <w:spacing w:val="-1"/>
        </w:rPr>
        <w:t>/</w:t>
      </w:r>
      <w:r>
        <w:rPr>
          <w:spacing w:val="-1"/>
        </w:rPr>
        <w:t>盐田政务服务中心等多个数据中心的运维外包项目，</w:t>
      </w:r>
      <w:r>
        <w:rPr>
          <w:rFonts w:ascii="Times New Roman" w:hAnsi="Times New Roman" w:cs="Times New Roman" w:eastAsia="Times New Roman" w:hint="default"/>
          <w:spacing w:val="-1"/>
        </w:rPr>
        <w:t>2019</w:t>
      </w:r>
      <w:r>
        <w:rPr>
          <w:spacing w:val="-1"/>
        </w:rPr>
        <w:t>年公司派出的运维技术团队</w:t>
      </w:r>
      <w:r>
        <w:rPr>
          <w:spacing w:val="-105"/>
        </w:rPr>
        <w:t> </w:t>
      </w:r>
      <w:r>
        <w:rPr>
          <w:spacing w:val="-3"/>
          <w:w w:val="100"/>
        </w:rPr>
        <w:t>在云计算发展与政策论坛委员会主办的，中国</w:t>
      </w:r>
      <w:r>
        <w:rPr>
          <w:rFonts w:ascii="Times New Roman" w:hAnsi="Times New Roman" w:cs="Times New Roman" w:eastAsia="Times New Roman" w:hint="default"/>
          <w:spacing w:val="-3"/>
          <w:w w:val="100"/>
        </w:rPr>
        <w:t>IDC</w:t>
      </w:r>
      <w:r>
        <w:rPr>
          <w:spacing w:val="-3"/>
          <w:w w:val="100"/>
        </w:rPr>
        <w:t>产业年度大典组委会承办的第四届</w:t>
      </w:r>
      <w:r>
        <w:rPr>
          <w:rFonts w:ascii="Times New Roman" w:hAnsi="Times New Roman" w:cs="Times New Roman" w:eastAsia="Times New Roman" w:hint="default"/>
          <w:spacing w:val="-3"/>
          <w:w w:val="100"/>
        </w:rPr>
        <w:t>“</w:t>
      </w:r>
      <w:r>
        <w:rPr>
          <w:spacing w:val="-3"/>
          <w:w w:val="100"/>
        </w:rPr>
        <w:t>攻城狮</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spacing w:val="-42"/>
          <w:w w:val="100"/>
        </w:rPr>
        <w:t> </w:t>
      </w:r>
      <w:r>
        <w:rPr/>
        <w:t>数据中心运维大赛中荣获亚军，极大提升了宝腾在行业内的知名度，为公司在此项业务未来</w:t>
      </w:r>
      <w:r>
        <w:rPr>
          <w:spacing w:val="-91"/>
        </w:rPr>
        <w:t> </w:t>
      </w:r>
      <w:r>
        <w:rPr>
          <w:spacing w:val="-91"/>
        </w:rPr>
      </w:r>
      <w:r>
        <w:rPr/>
        <w:t>的推动发展奠定了良好的口碑。</w:t>
      </w:r>
    </w:p>
    <w:p>
      <w:pPr>
        <w:pStyle w:val="Heading3"/>
        <w:spacing w:line="348" w:lineRule="auto" w:before="50"/>
        <w:ind w:right="1130" w:firstLine="480"/>
        <w:jc w:val="both"/>
      </w:pPr>
      <w:r>
        <w:rPr>
          <w:spacing w:val="-3"/>
        </w:rPr>
        <w:t>（</w:t>
      </w:r>
      <w:r>
        <w:rPr>
          <w:rFonts w:ascii="Times New Roman" w:hAnsi="Times New Roman" w:cs="Times New Roman" w:eastAsia="Times New Roman" w:hint="default"/>
          <w:spacing w:val="-3"/>
        </w:rPr>
        <w:t>3</w:t>
      </w:r>
      <w:r>
        <w:rPr>
          <w:spacing w:val="-3"/>
        </w:rPr>
        <w:t>）云增值业务方面：以宝腾互联自建数据中心及公有云平台作为基础支撑，持续专注</w:t>
      </w:r>
      <w:r>
        <w:rPr/>
        <w:t> 于打造宝腾互联的优质集成品牌，已完成在中国移动集团层面的移动云云市场合作落地。其</w:t>
      </w:r>
      <w:r>
        <w:rPr>
          <w:spacing w:val="-91"/>
        </w:rPr>
        <w:t> </w:t>
      </w:r>
      <w:r>
        <w:rPr>
          <w:spacing w:val="-91"/>
        </w:rPr>
      </w:r>
      <w:r>
        <w:rPr/>
        <w:t>主要有以下四个方面：</w:t>
      </w:r>
    </w:p>
    <w:p>
      <w:pPr>
        <w:pStyle w:val="Heading3"/>
        <w:spacing w:line="348" w:lineRule="auto" w:before="46"/>
        <w:ind w:right="1132" w:firstLine="480"/>
        <w:jc w:val="both"/>
      </w:pPr>
      <w:r>
        <w:rPr/>
        <w:t>①云安全方面：已完成与第一梯队安全厂商的战略合作，丰富宝腾互联在安全方面的产 </w:t>
      </w:r>
      <w:r>
        <w:rPr>
          <w:spacing w:val="-1"/>
        </w:rPr>
        <w:t>品和技术能力，结合网络安全等级保护</w:t>
      </w:r>
      <w:r>
        <w:rPr>
          <w:rFonts w:ascii="Times New Roman" w:hAnsi="Times New Roman" w:cs="Times New Roman" w:eastAsia="Times New Roman" w:hint="default"/>
          <w:spacing w:val="-1"/>
        </w:rPr>
        <w:t>2.0</w:t>
      </w:r>
      <w:r>
        <w:rPr>
          <w:spacing w:val="-1"/>
        </w:rPr>
        <w:t>新的政策指导，在云安全资源池、云安全平台运维</w:t>
      </w:r>
      <w:r>
        <w:rPr>
          <w:spacing w:val="-101"/>
        </w:rPr>
        <w:t> </w:t>
      </w:r>
      <w:r>
        <w:rPr>
          <w:spacing w:val="-101"/>
        </w:rPr>
      </w:r>
      <w:r>
        <w:rPr/>
        <w:t>等业务方向发力；</w:t>
      </w:r>
    </w:p>
    <w:p>
      <w:pPr>
        <w:pStyle w:val="Heading3"/>
        <w:spacing w:line="357" w:lineRule="auto" w:before="46"/>
        <w:ind w:right="1140" w:firstLine="480"/>
        <w:jc w:val="both"/>
      </w:pPr>
      <w:r>
        <w:rPr/>
        <w:t>②云通信方面：已完成宝腾自有智能呼叫中心平台的研发，面向金融服务业，政府或各 部门热线，初期将围绕乐山智慧城市类项目进行落地达产；</w:t>
      </w:r>
    </w:p>
    <w:p>
      <w:pPr>
        <w:pStyle w:val="Heading3"/>
        <w:spacing w:line="357" w:lineRule="auto"/>
        <w:ind w:right="1138" w:firstLine="480"/>
        <w:jc w:val="both"/>
      </w:pPr>
      <w:r>
        <w:rPr/>
        <w:t>③云融合、云存储和云迁移等其他方面：产品设计和平台搭建已完成，通过运营商建立 生态，全国推广落地。</w:t>
      </w:r>
    </w:p>
    <w:p>
      <w:pPr>
        <w:pStyle w:val="Heading3"/>
        <w:spacing w:line="348" w:lineRule="auto"/>
        <w:ind w:right="1133" w:firstLine="480"/>
        <w:jc w:val="both"/>
      </w:pPr>
      <w:r>
        <w:rPr/>
        <w:t>④</w:t>
      </w:r>
      <w:r>
        <w:rPr>
          <w:rFonts w:ascii="Times New Roman" w:hAnsi="Times New Roman" w:cs="Times New Roman" w:eastAsia="Times New Roman" w:hint="default"/>
        </w:rPr>
        <w:t>SAAS</w:t>
      </w:r>
      <w:r>
        <w:rPr/>
        <w:t>增值服务：面向具体企业应用的方向，已完成与移动云</w:t>
      </w:r>
      <w:r>
        <w:rPr>
          <w:rFonts w:ascii="Times New Roman" w:hAnsi="Times New Roman" w:cs="Times New Roman" w:eastAsia="Times New Roman" w:hint="default"/>
        </w:rPr>
        <w:t>SAAS</w:t>
      </w:r>
      <w:r>
        <w:rPr/>
        <w:t>平台的对接，涉及 电子合同、智慧党建、区块链、云通信平台等多个产品的对接上架，初步构造出宝腾互联自</w:t>
      </w:r>
      <w:r>
        <w:rPr>
          <w:spacing w:val="-91"/>
        </w:rPr>
        <w:t> </w:t>
      </w:r>
      <w:r>
        <w:rPr>
          <w:spacing w:val="-91"/>
        </w:rPr>
      </w:r>
      <w:r>
        <w:rPr/>
        <w:t>有</w:t>
      </w:r>
      <w:r>
        <w:rPr>
          <w:rFonts w:ascii="Times New Roman" w:hAnsi="Times New Roman" w:cs="Times New Roman" w:eastAsia="Times New Roman" w:hint="default"/>
        </w:rPr>
        <w:t>“</w:t>
      </w:r>
      <w:r>
        <w:rPr/>
        <w:t>云增值业务资源池</w:t>
      </w:r>
      <w:r>
        <w:rPr>
          <w:rFonts w:ascii="Times New Roman" w:hAnsi="Times New Roman" w:cs="Times New Roman" w:eastAsia="Times New Roman" w:hint="default"/>
        </w:rPr>
        <w:t>”</w:t>
      </w:r>
      <w:r>
        <w:rPr/>
        <w:t>的产品生态。</w:t>
      </w:r>
    </w:p>
    <w:p>
      <w:pPr>
        <w:pStyle w:val="Heading3"/>
        <w:spacing w:line="338" w:lineRule="auto" w:before="16"/>
        <w:ind w:left="633" w:right="996"/>
        <w:jc w:val="left"/>
      </w:pPr>
      <w:r>
        <w:rPr>
          <w:rFonts w:ascii="Times New Roman" w:hAnsi="Times New Roman" w:cs="Times New Roman" w:eastAsia="Times New Roman" w:hint="default"/>
        </w:rPr>
        <w:t>3</w:t>
      </w:r>
      <w:r>
        <w:rPr/>
        <w:t>、科技文旅业务 报告期内，公司持续推进公司在文化创意、文化旅游、新技术应用等方面的探索，打造</w:t>
      </w:r>
    </w:p>
    <w:p>
      <w:pPr>
        <w:spacing w:line="528" w:lineRule="auto" w:before="55"/>
        <w:ind w:left="152" w:right="2834" w:firstLine="0"/>
        <w:jc w:val="left"/>
        <w:rPr>
          <w:rFonts w:ascii="宋体" w:hAnsi="宋体" w:cs="宋体" w:eastAsia="宋体" w:hint="default"/>
          <w:sz w:val="24"/>
          <w:szCs w:val="24"/>
        </w:rPr>
      </w:pPr>
      <w:r>
        <w:rPr>
          <w:rFonts w:ascii="宋体" w:hAnsi="宋体" w:cs="宋体" w:eastAsia="宋体" w:hint="default"/>
          <w:sz w:val="24"/>
          <w:szCs w:val="24"/>
        </w:rPr>
        <w:t>泛娱乐生态圈。目前公司的凤凰高科技文化科普体验园项目在继续推进中。 </w:t>
      </w:r>
      <w:r>
        <w:rPr>
          <w:rFonts w:ascii="宋体" w:hAnsi="宋体" w:cs="宋体" w:eastAsia="宋体" w:hint="default"/>
          <w:b/>
          <w:bCs/>
          <w:sz w:val="24"/>
          <w:szCs w:val="24"/>
        </w:rPr>
        <w:t>二、主要资产重大变化情况</w:t>
      </w:r>
      <w:r>
        <w:rPr>
          <w:rFonts w:ascii="宋体" w:hAnsi="宋体" w:cs="宋体" w:eastAsia="宋体" w:hint="default"/>
          <w:sz w:val="24"/>
          <w:szCs w:val="24"/>
        </w:rPr>
      </w:r>
    </w:p>
    <w:p>
      <w:pPr>
        <w:pStyle w:val="Heading2"/>
        <w:spacing w:line="240" w:lineRule="auto" w:before="86"/>
        <w:ind w:right="996"/>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6"/>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3050"/>
        <w:gridCol w:w="6519"/>
      </w:tblGrid>
      <w:tr>
        <w:trPr>
          <w:trHeight w:val="764" w:hRule="exact"/>
        </w:trPr>
        <w:tc>
          <w:tcPr>
            <w:tcW w:w="3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051"/>
        <w:gridCol w:w="6519"/>
      </w:tblGrid>
      <w:tr>
        <w:trPr>
          <w:trHeight w:val="71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39"/>
                <w:sz w:val="18"/>
                <w:szCs w:val="18"/>
              </w:rPr>
              <w:t> </w:t>
            </w:r>
            <w:r>
              <w:rPr>
                <w:rFonts w:ascii="Times New Roman" w:hAnsi="Times New Roman" w:cs="Times New Roman" w:eastAsia="Times New Roman" w:hint="default"/>
                <w:spacing w:val="-2"/>
                <w:sz w:val="18"/>
                <w:szCs w:val="18"/>
              </w:rPr>
              <w:t>53.84%</w:t>
            </w:r>
            <w:r>
              <w:rPr>
                <w:rFonts w:ascii="宋体" w:hAnsi="宋体" w:cs="宋体" w:eastAsia="宋体" w:hint="default"/>
                <w:spacing w:val="-2"/>
                <w:sz w:val="18"/>
                <w:szCs w:val="18"/>
              </w:rPr>
              <w:t>，主要系本期北京八达岭水关长城</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龙腾九州</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项目正式运营转入</w:t>
            </w:r>
            <w:r>
              <w:rPr>
                <w:rFonts w:ascii="宋体" w:hAnsi="宋体" w:cs="宋体" w:eastAsia="宋体" w:hint="default"/>
                <w:sz w:val="18"/>
                <w:szCs w:val="18"/>
              </w:rPr>
              <w:t> 固定资产所致；</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38.10%</w:t>
            </w:r>
            <w:r>
              <w:rPr>
                <w:rFonts w:ascii="宋体" w:hAnsi="宋体" w:cs="宋体" w:eastAsia="宋体" w:hint="default"/>
                <w:sz w:val="18"/>
                <w:szCs w:val="18"/>
              </w:rPr>
              <w:t>，主要系本期宝德观澜数据中心三期机房增加投入所致；</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33.37%</w:t>
            </w:r>
            <w:r>
              <w:rPr>
                <w:rFonts w:ascii="宋体" w:hAnsi="宋体" w:cs="宋体" w:eastAsia="宋体" w:hint="default"/>
                <w:sz w:val="18"/>
                <w:szCs w:val="18"/>
              </w:rPr>
              <w:t>，主要系本期销售收入增加尚未到回款期所致；</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132.63%,</w:t>
            </w:r>
            <w:r>
              <w:rPr>
                <w:rFonts w:ascii="宋体" w:hAnsi="宋体" w:cs="宋体" w:eastAsia="宋体" w:hint="default"/>
                <w:sz w:val="18"/>
                <w:szCs w:val="18"/>
              </w:rPr>
              <w:t>主要系本期预付产品、软件采购款等增加所致；</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93.00%</w:t>
            </w:r>
            <w:r>
              <w:rPr>
                <w:rFonts w:ascii="宋体" w:hAnsi="宋体" w:cs="宋体" w:eastAsia="宋体" w:hint="default"/>
                <w:sz w:val="18"/>
                <w:szCs w:val="18"/>
              </w:rPr>
              <w:t>，主要系本期支付广告保证金及应收股权款所致；</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30.57%</w:t>
            </w:r>
            <w:r>
              <w:rPr>
                <w:rFonts w:ascii="宋体" w:hAnsi="宋体" w:cs="宋体" w:eastAsia="宋体" w:hint="default"/>
                <w:sz w:val="18"/>
                <w:szCs w:val="18"/>
              </w:rPr>
              <w:t>，主要系本期收回财务资助及增值税进项留抵增加所致；</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128.53%</w:t>
            </w:r>
            <w:r>
              <w:rPr>
                <w:rFonts w:ascii="宋体" w:hAnsi="宋体" w:cs="宋体" w:eastAsia="宋体" w:hint="default"/>
                <w:sz w:val="18"/>
                <w:szCs w:val="18"/>
              </w:rPr>
              <w:t>，主要系本期新增版权金代理费所致；</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114.51%</w:t>
            </w:r>
            <w:r>
              <w:rPr>
                <w:rFonts w:ascii="宋体" w:hAnsi="宋体" w:cs="宋体" w:eastAsia="宋体" w:hint="default"/>
                <w:sz w:val="18"/>
                <w:szCs w:val="18"/>
              </w:rPr>
              <w:t>，主要系本期预付定制产品款所致；</w:t>
            </w:r>
          </w:p>
        </w:tc>
      </w:tr>
    </w:tbl>
    <w:p>
      <w:pPr>
        <w:pStyle w:val="Heading2"/>
        <w:spacing w:line="240" w:lineRule="auto" w:before="39"/>
        <w:ind w:right="996"/>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499" w:lineRule="auto" w:before="136"/>
        <w:ind w:left="152" w:right="8585"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三、核心竞争力分析</w:t>
      </w:r>
      <w:r>
        <w:rPr>
          <w:rFonts w:ascii="宋体" w:hAnsi="宋体" w:cs="宋体" w:eastAsia="宋体" w:hint="default"/>
          <w:sz w:val="24"/>
          <w:szCs w:val="24"/>
        </w:rPr>
      </w:r>
    </w:p>
    <w:p>
      <w:pPr>
        <w:pStyle w:val="Heading3"/>
        <w:spacing w:line="240" w:lineRule="auto" w:before="118"/>
        <w:ind w:left="633" w:right="996"/>
        <w:jc w:val="left"/>
      </w:pPr>
      <w:r>
        <w:rPr>
          <w:rFonts w:ascii="Times New Roman" w:hAnsi="Times New Roman" w:cs="Times New Roman" w:eastAsia="Times New Roman" w:hint="default"/>
        </w:rPr>
        <w:t>1</w:t>
      </w:r>
      <w:r>
        <w:rPr/>
        <w:t>、游戏业务：</w:t>
      </w:r>
    </w:p>
    <w:p>
      <w:pPr>
        <w:pStyle w:val="Heading3"/>
        <w:spacing w:line="338" w:lineRule="auto" w:before="135"/>
        <w:ind w:left="633" w:right="996"/>
        <w:jc w:val="left"/>
      </w:pPr>
      <w:r>
        <w:rPr/>
        <w:t>（</w:t>
      </w:r>
      <w:r>
        <w:rPr>
          <w:rFonts w:ascii="Times New Roman" w:hAnsi="Times New Roman" w:cs="Times New Roman" w:eastAsia="Times New Roman" w:hint="default"/>
        </w:rPr>
        <w:t>1</w:t>
      </w:r>
      <w:r>
        <w:rPr/>
        <w:t>）市场经验丰富 </w:t>
      </w:r>
      <w:r>
        <w:rPr>
          <w:spacing w:val="-3"/>
        </w:rPr>
        <w:t>作为行业内老牌游戏上市公司，公司自成立以来，一直专注从事网络游戏的研发和运营，</w:t>
      </w:r>
    </w:p>
    <w:p>
      <w:pPr>
        <w:pStyle w:val="Heading3"/>
        <w:spacing w:line="357" w:lineRule="auto" w:before="55"/>
        <w:ind w:right="1138"/>
        <w:jc w:val="both"/>
      </w:pPr>
      <w:r>
        <w:rPr/>
        <w:t>经过多年发展，公司已经积累了丰富的经验及技术，能够较好的把握市场需求、玩家心理和</w:t>
      </w:r>
      <w:r>
        <w:rPr>
          <w:spacing w:val="-91"/>
        </w:rPr>
        <w:t> </w:t>
      </w:r>
      <w:r>
        <w:rPr>
          <w:spacing w:val="-91"/>
        </w:rPr>
      </w:r>
      <w:r>
        <w:rPr/>
        <w:t>游戏行业动向，持续推出精品游戏。此外，凭借多年来在资本市场的积累以及对行业和市场</w:t>
      </w:r>
      <w:r>
        <w:rPr>
          <w:spacing w:val="-91"/>
        </w:rPr>
        <w:t> </w:t>
      </w:r>
      <w:r>
        <w:rPr>
          <w:spacing w:val="-91"/>
        </w:rPr>
      </w:r>
      <w:r>
        <w:rPr/>
        <w:t>的深入挖掘，公司已投资布局多家有潜力的中早期公司，并持续加强公司在行业上下游的部</w:t>
      </w:r>
      <w:r>
        <w:rPr>
          <w:spacing w:val="-90"/>
        </w:rPr>
        <w:t> </w:t>
      </w:r>
      <w:r>
        <w:rPr>
          <w:spacing w:val="-90"/>
        </w:rPr>
      </w:r>
      <w:r>
        <w:rPr/>
        <w:t>署，以保证公司在整个市场中的战略优势。</w:t>
      </w:r>
    </w:p>
    <w:p>
      <w:pPr>
        <w:pStyle w:val="Heading3"/>
        <w:spacing w:line="338" w:lineRule="auto"/>
        <w:ind w:left="633" w:right="996"/>
        <w:jc w:val="left"/>
      </w:pPr>
      <w:r>
        <w:rPr/>
        <w:t>（</w:t>
      </w:r>
      <w:r>
        <w:rPr>
          <w:rFonts w:ascii="Times New Roman" w:hAnsi="Times New Roman" w:cs="Times New Roman" w:eastAsia="Times New Roman" w:hint="default"/>
        </w:rPr>
        <w:t>2</w:t>
      </w:r>
      <w:r>
        <w:rPr/>
        <w:t>）紧跟行业趋势，拥抱行业变更 随着游戏行业人口红利逐步消失，互联网游戏行业挑战加剧，游戏行业的产品价值正在</w:t>
      </w:r>
    </w:p>
    <w:p>
      <w:pPr>
        <w:pStyle w:val="Heading3"/>
        <w:spacing w:line="357" w:lineRule="auto" w:before="55"/>
        <w:ind w:right="996"/>
        <w:jc w:val="left"/>
      </w:pPr>
      <w:r>
        <w:rPr/>
        <w:t>被不断地放大，研发能力成为考量企业实力的重点。公司注重优秀产品的引进与开发，发行</w:t>
      </w:r>
      <w:r>
        <w:rPr>
          <w:spacing w:val="-91"/>
        </w:rPr>
        <w:t> </w:t>
      </w:r>
      <w:r>
        <w:rPr>
          <w:spacing w:val="-91"/>
        </w:rPr>
      </w:r>
      <w:r>
        <w:rPr/>
        <w:t>和代理了多款热门游戏，市场反应良好。</w:t>
      </w:r>
    </w:p>
    <w:p>
      <w:pPr>
        <w:pStyle w:val="Heading3"/>
        <w:spacing w:line="338" w:lineRule="auto"/>
        <w:ind w:left="633" w:right="996"/>
        <w:jc w:val="left"/>
      </w:pPr>
      <w:r>
        <w:rPr/>
        <w:t>（</w:t>
      </w:r>
      <w:r>
        <w:rPr>
          <w:rFonts w:ascii="Times New Roman" w:hAnsi="Times New Roman" w:cs="Times New Roman" w:eastAsia="Times New Roman" w:hint="default"/>
        </w:rPr>
        <w:t>3</w:t>
      </w:r>
      <w:r>
        <w:rPr/>
        <w:t>）实行股权激励，提高员工积极性 公司通过外部引进与内部培养相结合的方式组建了一支强大的管理团队，以适应公司业</w:t>
      </w:r>
    </w:p>
    <w:p>
      <w:pPr>
        <w:pStyle w:val="Heading3"/>
        <w:spacing w:line="352" w:lineRule="auto" w:before="56"/>
        <w:ind w:right="1000"/>
        <w:jc w:val="left"/>
      </w:pPr>
      <w:r>
        <w:rPr/>
        <w:t>务快速增长的需要。公司通过不断完善、优化用人机制，特别是强化激励机制来吸引优秀经</w:t>
      </w:r>
      <w:r>
        <w:rPr>
          <w:spacing w:val="-86"/>
        </w:rPr>
        <w:t> </w:t>
      </w:r>
      <w:r>
        <w:rPr>
          <w:spacing w:val="-86"/>
        </w:rPr>
      </w:r>
      <w:r>
        <w:rPr/>
        <w:t>营管理人才、营销人才和科技人才，建立科学的人力资源管理体系，进一步增强公司持续发</w:t>
      </w:r>
      <w:r>
        <w:rPr>
          <w:spacing w:val="-91"/>
        </w:rPr>
        <w:t> </w:t>
      </w:r>
      <w:r>
        <w:rPr>
          <w:spacing w:val="-91"/>
        </w:rPr>
      </w:r>
      <w:r>
        <w:rPr>
          <w:spacing w:val="-2"/>
        </w:rPr>
        <w:t>展能力。同时，公司于</w:t>
      </w:r>
      <w:r>
        <w:rPr>
          <w:rFonts w:ascii="Times New Roman" w:hAnsi="Times New Roman" w:cs="Times New Roman" w:eastAsia="Times New Roman" w:hint="default"/>
          <w:spacing w:val="-2"/>
        </w:rPr>
        <w:t>2018</w:t>
      </w:r>
      <w:r>
        <w:rPr>
          <w:spacing w:val="-2"/>
        </w:rPr>
        <w:t>年实施了股权激励计划，于报告期内授予了预留部分限制性股票，</w:t>
      </w:r>
      <w:r>
        <w:rPr>
          <w:spacing w:val="-117"/>
        </w:rPr>
        <w:t> </w:t>
      </w:r>
      <w:r>
        <w:rPr>
          <w:spacing w:val="-117"/>
        </w:rPr>
      </w:r>
      <w:r>
        <w:rPr/>
        <w:t>可有效调动公司高级管理人员、中层管理人员、核心员工与骨干员工的工作积极性，有机的</w:t>
      </w:r>
      <w:r>
        <w:rPr>
          <w:spacing w:val="-91"/>
        </w:rPr>
        <w:t> </w:t>
      </w:r>
      <w:r>
        <w:rPr>
          <w:spacing w:val="-91"/>
        </w:rPr>
      </w:r>
      <w:r>
        <w:rPr/>
        <w:t>将股东利益、公司利益和员工个人利益结合在一起，提高公司的经营管理水平，促进公司经</w:t>
      </w:r>
    </w:p>
    <w:p>
      <w:pPr>
        <w:spacing w:after="0" w:line="352" w:lineRule="auto"/>
        <w:jc w:val="left"/>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pStyle w:val="Heading3"/>
        <w:spacing w:line="240" w:lineRule="auto" w:before="26"/>
        <w:ind w:right="996"/>
        <w:jc w:val="left"/>
      </w:pPr>
      <w:r>
        <w:rPr/>
        <w:t>营业绩平稳快速提升。</w:t>
      </w:r>
    </w:p>
    <w:p>
      <w:pPr>
        <w:pStyle w:val="Heading3"/>
        <w:spacing w:line="240" w:lineRule="auto" w:before="154"/>
        <w:ind w:left="633" w:right="996"/>
        <w:jc w:val="left"/>
      </w:pPr>
      <w:r>
        <w:rPr>
          <w:rFonts w:ascii="Times New Roman" w:hAnsi="Times New Roman" w:cs="Times New Roman" w:eastAsia="Times New Roman" w:hint="default"/>
        </w:rPr>
        <w:t>2</w:t>
      </w:r>
      <w:r>
        <w:rPr/>
        <w:t>、云服务业务</w:t>
      </w:r>
    </w:p>
    <w:p>
      <w:pPr>
        <w:pStyle w:val="Heading3"/>
        <w:spacing w:line="338" w:lineRule="auto" w:before="135"/>
        <w:ind w:left="633" w:right="996"/>
        <w:jc w:val="left"/>
      </w:pPr>
      <w:r>
        <w:rPr/>
        <w:t>（</w:t>
      </w:r>
      <w:r>
        <w:rPr>
          <w:rFonts w:ascii="Times New Roman" w:hAnsi="Times New Roman" w:cs="Times New Roman" w:eastAsia="Times New Roman" w:hint="default"/>
        </w:rPr>
        <w:t>1</w:t>
      </w:r>
      <w:r>
        <w:rPr/>
        <w:t>）资源利用高效化，增强盈利能力 目前深圳宝腾互联在深圳观澜拥有自建高等级数据中心，同时在泸州代运维数据中心，</w:t>
      </w:r>
    </w:p>
    <w:p>
      <w:pPr>
        <w:pStyle w:val="Heading3"/>
        <w:spacing w:line="352" w:lineRule="auto" w:before="55"/>
        <w:ind w:right="996"/>
        <w:jc w:val="left"/>
      </w:pPr>
      <w:r>
        <w:rPr/>
        <w:t>在管理方面，深圳宝腾互联具有专业高效的数据中心运维团队，卓越的资源整合能力，可利</w:t>
      </w:r>
      <w:r>
        <w:rPr>
          <w:spacing w:val="-90"/>
        </w:rPr>
        <w:t> </w:t>
      </w:r>
      <w:r>
        <w:rPr>
          <w:spacing w:val="-90"/>
        </w:rPr>
      </w:r>
      <w:r>
        <w:rPr/>
        <w:t>用深圳宝腾互联闲置的存储资源、计算资源、承包电力和非峰值冗余带宽资源，为客户提供</w:t>
      </w:r>
      <w:r>
        <w:rPr>
          <w:spacing w:val="-91"/>
        </w:rPr>
        <w:t> </w:t>
      </w:r>
      <w:r>
        <w:rPr>
          <w:spacing w:val="-91"/>
        </w:rPr>
      </w:r>
      <w:r>
        <w:rPr>
          <w:spacing w:val="-3"/>
        </w:rPr>
        <w:t>安全、稳定、信息不可篡改的云服务。此外，深圳宝腾互联自主研发的易维通运维管理平台，</w:t>
      </w:r>
      <w:r>
        <w:rPr>
          <w:spacing w:val="-81"/>
        </w:rPr>
        <w:t> </w:t>
      </w:r>
      <w:r>
        <w:rPr>
          <w:spacing w:val="-81"/>
        </w:rPr>
      </w:r>
      <w:r>
        <w:rPr/>
        <w:t>采用数字化运维管理，基于二维码与</w:t>
      </w:r>
      <w:r>
        <w:rPr>
          <w:rFonts w:ascii="Times New Roman" w:hAnsi="Times New Roman" w:cs="Times New Roman" w:eastAsia="Times New Roman" w:hint="default"/>
        </w:rPr>
        <w:t>RFID</w:t>
      </w:r>
      <w:r>
        <w:rPr/>
        <w:t>射频识别技术，配合移动终端及后台管理系统对数 据进行高效分析，助力用户提升数据中心运维管理水平。</w:t>
      </w:r>
    </w:p>
    <w:p>
      <w:pPr>
        <w:pStyle w:val="Heading3"/>
        <w:spacing w:line="338" w:lineRule="auto" w:before="41"/>
        <w:ind w:left="633" w:right="996"/>
        <w:jc w:val="left"/>
      </w:pPr>
      <w:r>
        <w:rPr/>
        <w:t>（</w:t>
      </w:r>
      <w:r>
        <w:rPr>
          <w:rFonts w:ascii="Times New Roman" w:hAnsi="Times New Roman" w:cs="Times New Roman" w:eastAsia="Times New Roman" w:hint="default"/>
        </w:rPr>
        <w:t>2</w:t>
      </w:r>
      <w:r>
        <w:rPr/>
        <w:t>）具有自主研发能力 公司作为国家级高新技术企业，拥有独立的研发团队，并建立了较为完善的研发体系。</w:t>
      </w:r>
    </w:p>
    <w:p>
      <w:pPr>
        <w:pStyle w:val="Heading3"/>
        <w:spacing w:line="240" w:lineRule="auto" w:before="55"/>
        <w:ind w:right="996"/>
        <w:jc w:val="left"/>
      </w:pPr>
      <w:r>
        <w:rPr/>
        <w:t>此外，公司通过内部培养及与科研院所签订战略合作协议等多种渠道，不断扩充研发队伍。</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045" w:right="996"/>
        <w:jc w:val="left"/>
        <w:rPr>
          <w:b w:val="0"/>
          <w:bCs w:val="0"/>
        </w:rPr>
      </w:pPr>
      <w:bookmarkStart w:name="_bookmark3" w:id="4"/>
      <w:bookmarkEnd w:id="4"/>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996"/>
        <w:jc w:val="left"/>
        <w:rPr>
          <w:b w:val="0"/>
          <w:bCs w:val="0"/>
        </w:rPr>
      </w:pPr>
      <w:r>
        <w:rPr/>
        <w:t>一、概述</w:t>
      </w:r>
      <w:r>
        <w:rPr>
          <w:b w:val="0"/>
          <w:bCs w:val="0"/>
        </w:rPr>
      </w:r>
    </w:p>
    <w:p>
      <w:pPr>
        <w:spacing w:line="240" w:lineRule="auto" w:before="11"/>
        <w:rPr>
          <w:rFonts w:ascii="宋体" w:hAnsi="宋体" w:cs="宋体" w:eastAsia="宋体" w:hint="default"/>
          <w:b/>
          <w:bCs/>
          <w:sz w:val="28"/>
          <w:szCs w:val="28"/>
        </w:rPr>
      </w:pPr>
    </w:p>
    <w:p>
      <w:pPr>
        <w:pStyle w:val="Heading3"/>
        <w:spacing w:line="357" w:lineRule="auto" w:before="0"/>
        <w:ind w:left="633" w:right="5233" w:firstLine="120"/>
        <w:jc w:val="left"/>
      </w:pPr>
      <w:r>
        <w:rPr/>
        <w:t>（一）公司总体经营情况概述 报告期内，公司整体业务情况，分为三大板块：</w:t>
      </w:r>
    </w:p>
    <w:p>
      <w:pPr>
        <w:pStyle w:val="Heading3"/>
        <w:spacing w:line="348" w:lineRule="auto"/>
        <w:ind w:right="1130" w:firstLine="960"/>
        <w:jc w:val="both"/>
      </w:pPr>
      <w:r>
        <w:rPr>
          <w:rFonts w:ascii="Times New Roman" w:hAnsi="Times New Roman" w:cs="Times New Roman" w:eastAsia="Times New Roman" w:hint="default"/>
          <w:spacing w:val="-3"/>
        </w:rPr>
        <w:t>1</w:t>
      </w:r>
      <w:r>
        <w:rPr>
          <w:spacing w:val="-3"/>
        </w:rPr>
        <w:t>、公司继续在游戏产品的研发、发行与运营这一传统主营业务之基础上，不断加强</w:t>
      </w:r>
      <w:r>
        <w:rPr/>
        <w:t> 对新游戏的研究与开发，集中精力打造符合市场需求的精品游戏产品，稳定提升网络游戏市</w:t>
      </w:r>
      <w:r>
        <w:rPr>
          <w:spacing w:val="-91"/>
        </w:rPr>
        <w:t> </w:t>
      </w:r>
      <w:r>
        <w:rPr>
          <w:spacing w:val="-91"/>
        </w:rPr>
      </w:r>
      <w:r>
        <w:rPr/>
        <w:t>场份额和盈利水平；</w:t>
      </w:r>
    </w:p>
    <w:p>
      <w:pPr>
        <w:pStyle w:val="Heading3"/>
        <w:spacing w:line="345" w:lineRule="auto" w:before="46"/>
        <w:ind w:right="1129" w:firstLine="960"/>
        <w:jc w:val="right"/>
      </w:pPr>
      <w:r>
        <w:rPr>
          <w:rFonts w:ascii="Times New Roman" w:hAnsi="Times New Roman" w:cs="Times New Roman" w:eastAsia="Times New Roman" w:hint="default"/>
          <w:spacing w:val="-3"/>
        </w:rPr>
        <w:t>2</w:t>
      </w:r>
      <w:r>
        <w:rPr>
          <w:spacing w:val="-3"/>
        </w:rPr>
        <w:t>、公司紧跟互联网发展趋势，主动改变公司传统单一的主营业务现状，整合产业链</w:t>
      </w:r>
      <w:r>
        <w:rPr/>
        <w:t> 资源，将游戏产品与云计算技术有机结合，在互联网产业链上下游形成了较为完整的布局； </w:t>
      </w:r>
      <w:r>
        <w:rPr>
          <w:rFonts w:ascii="Times New Roman" w:hAnsi="Times New Roman" w:cs="Times New Roman" w:eastAsia="Times New Roman" w:hint="default"/>
          <w:spacing w:val="-3"/>
        </w:rPr>
        <w:t>3</w:t>
      </w:r>
      <w:r>
        <w:rPr>
          <w:spacing w:val="-3"/>
        </w:rPr>
        <w:t>、公司以现有游戏技术为支撑、将</w:t>
      </w:r>
      <w:r>
        <w:rPr>
          <w:rFonts w:ascii="Times New Roman" w:hAnsi="Times New Roman" w:cs="Times New Roman" w:eastAsia="Times New Roman" w:hint="default"/>
          <w:spacing w:val="-3"/>
        </w:rPr>
        <w:t>VR/AR</w:t>
      </w:r>
      <w:r>
        <w:rPr>
          <w:spacing w:val="-3"/>
        </w:rPr>
        <w:t>技术与旅游产业相融合，打造了互联网娱</w:t>
      </w:r>
      <w:r>
        <w:rPr/>
        <w:t> 乐与传统旅游产业有机结合的新型科技文化主题公园，走科技文旅发展之路。公司的网络游</w:t>
      </w:r>
    </w:p>
    <w:p>
      <w:pPr>
        <w:pStyle w:val="Heading3"/>
        <w:spacing w:line="357" w:lineRule="auto" w:before="48"/>
        <w:ind w:left="633" w:right="996" w:hanging="481"/>
        <w:jc w:val="left"/>
        <w:rPr>
          <w:rFonts w:ascii="Times New Roman" w:hAnsi="Times New Roman" w:cs="Times New Roman" w:eastAsia="Times New Roman" w:hint="default"/>
        </w:rPr>
      </w:pPr>
      <w:r>
        <w:rPr/>
        <w:t>戏、云服务、科技文旅三大主营业务已形成互为支撑、相互融合的态势。 </w:t>
      </w:r>
      <w:r>
        <w:rPr>
          <w:spacing w:val="2"/>
        </w:rPr>
        <w:t>报告期内，公司实现营业收入</w:t>
      </w:r>
      <w:r>
        <w:rPr>
          <w:rFonts w:ascii="Times New Roman" w:hAnsi="Times New Roman" w:cs="Times New Roman" w:eastAsia="Times New Roman" w:hint="default"/>
          <w:spacing w:val="2"/>
        </w:rPr>
        <w:t>46,882.63</w:t>
      </w:r>
      <w:r>
        <w:rPr>
          <w:spacing w:val="2"/>
        </w:rPr>
        <w:t>万元，同比增长</w:t>
      </w:r>
      <w:r>
        <w:rPr>
          <w:rFonts w:ascii="Times New Roman" w:hAnsi="Times New Roman" w:cs="Times New Roman" w:eastAsia="Times New Roman" w:hint="default"/>
          <w:spacing w:val="2"/>
        </w:rPr>
        <w:t>40.36%</w:t>
      </w:r>
      <w:r>
        <w:rPr>
          <w:spacing w:val="2"/>
        </w:rPr>
        <w:t>；实现营业利润</w:t>
      </w:r>
      <w:r>
        <w:rPr>
          <w:rFonts w:ascii="Times New Roman" w:hAnsi="Times New Roman" w:cs="Times New Roman" w:eastAsia="Times New Roman" w:hint="default"/>
          <w:spacing w:val="2"/>
        </w:rPr>
        <w:t>5,134.61</w:t>
      </w:r>
    </w:p>
    <w:p>
      <w:pPr>
        <w:pStyle w:val="Heading3"/>
        <w:spacing w:line="338" w:lineRule="auto" w:before="5"/>
        <w:ind w:right="996"/>
        <w:jc w:val="left"/>
      </w:pPr>
      <w:r>
        <w:rPr>
          <w:spacing w:val="2"/>
        </w:rPr>
        <w:t>万元，同比增长</w:t>
      </w:r>
      <w:r>
        <w:rPr>
          <w:rFonts w:ascii="Times New Roman" w:hAnsi="Times New Roman" w:cs="Times New Roman" w:eastAsia="Times New Roman" w:hint="default"/>
          <w:spacing w:val="2"/>
        </w:rPr>
        <w:t>23.09%</w:t>
      </w:r>
      <w:r>
        <w:rPr>
          <w:spacing w:val="2"/>
        </w:rPr>
        <w:t>；实现利润总额</w:t>
      </w:r>
      <w:r>
        <w:rPr>
          <w:rFonts w:ascii="Times New Roman" w:hAnsi="Times New Roman" w:cs="Times New Roman" w:eastAsia="Times New Roman" w:hint="default"/>
          <w:spacing w:val="2"/>
        </w:rPr>
        <w:t>5,569.40</w:t>
      </w:r>
      <w:r>
        <w:rPr>
          <w:spacing w:val="2"/>
        </w:rPr>
        <w:t>万元，同比增长</w:t>
      </w:r>
      <w:r>
        <w:rPr>
          <w:rFonts w:ascii="Times New Roman" w:hAnsi="Times New Roman" w:cs="Times New Roman" w:eastAsia="Times New Roman" w:hint="default"/>
          <w:spacing w:val="2"/>
        </w:rPr>
        <w:t>19.43%</w:t>
      </w:r>
      <w:r>
        <w:rPr>
          <w:spacing w:val="2"/>
        </w:rPr>
        <w:t>；实现归属于上市公</w:t>
      </w:r>
      <w:r>
        <w:rPr>
          <w:spacing w:val="-116"/>
        </w:rPr>
        <w:t> </w:t>
      </w:r>
      <w:r>
        <w:rPr>
          <w:spacing w:val="-116"/>
        </w:rPr>
      </w:r>
      <w:r>
        <w:rPr/>
        <w:t>司普通股股东的净利润</w:t>
      </w:r>
      <w:r>
        <w:rPr>
          <w:rFonts w:ascii="Times New Roman" w:hAnsi="Times New Roman" w:cs="Times New Roman" w:eastAsia="Times New Roman" w:hint="default"/>
        </w:rPr>
        <w:t>5,172.30</w:t>
      </w:r>
      <w:r>
        <w:rPr/>
        <w:t>万元，同比增长</w:t>
      </w:r>
      <w:r>
        <w:rPr>
          <w:rFonts w:ascii="Times New Roman" w:hAnsi="Times New Roman" w:cs="Times New Roman" w:eastAsia="Times New Roman" w:hint="default"/>
        </w:rPr>
        <w:t>42.25%</w:t>
      </w:r>
      <w:r>
        <w:rPr/>
        <w:t>。</w:t>
      </w:r>
    </w:p>
    <w:p>
      <w:pPr>
        <w:pStyle w:val="Heading3"/>
        <w:spacing w:line="240" w:lineRule="auto" w:before="27"/>
        <w:ind w:left="633" w:right="996"/>
        <w:jc w:val="left"/>
      </w:pPr>
      <w:r>
        <w:rPr>
          <w:spacing w:val="-3"/>
        </w:rPr>
        <w:t>报告期内，由于以下因素影响，导致归属于上市公司股东的净利润变动。具体说明如下：</w:t>
      </w:r>
    </w:p>
    <w:p>
      <w:pPr>
        <w:pStyle w:val="Heading3"/>
        <w:spacing w:line="348" w:lineRule="auto" w:before="154"/>
        <w:ind w:right="1132" w:firstLine="480"/>
        <w:jc w:val="both"/>
      </w:pPr>
      <w:r>
        <w:rPr>
          <w:rFonts w:ascii="Times New Roman" w:hAnsi="Times New Roman" w:cs="Times New Roman" w:eastAsia="Times New Roman" w:hint="default"/>
          <w:spacing w:val="-3"/>
        </w:rPr>
        <w:t>1</w:t>
      </w:r>
      <w:r>
        <w:rPr>
          <w:spacing w:val="-3"/>
        </w:rPr>
        <w:t>、报告期内，公司全资子公司深圳市宝腾互联科技有限公司加大市场推广力度，在云服</w:t>
      </w:r>
      <w:r>
        <w:rPr/>
        <w:t> 务基础上大力拓展设备销售、运维软件销售、电路带宽销售等增值业务，对公司业绩增长产</w:t>
      </w:r>
      <w:r>
        <w:rPr>
          <w:spacing w:val="-91"/>
        </w:rPr>
        <w:t> </w:t>
      </w:r>
      <w:r>
        <w:rPr>
          <w:spacing w:val="-91"/>
        </w:rPr>
      </w:r>
      <w:r>
        <w:rPr/>
        <w:t>生了较大的推动作用；</w:t>
      </w:r>
    </w:p>
    <w:p>
      <w:pPr>
        <w:pStyle w:val="Heading3"/>
        <w:spacing w:line="338" w:lineRule="auto" w:before="46"/>
        <w:ind w:right="1133" w:firstLine="480"/>
        <w:jc w:val="both"/>
      </w:pPr>
      <w:r>
        <w:rPr>
          <w:rFonts w:ascii="Times New Roman" w:hAnsi="Times New Roman" w:cs="Times New Roman" w:eastAsia="Times New Roman" w:hint="default"/>
          <w:spacing w:val="-3"/>
        </w:rPr>
        <w:t>2</w:t>
      </w:r>
      <w:r>
        <w:rPr>
          <w:spacing w:val="-3"/>
        </w:rPr>
        <w:t>、报告期内，公司游戏业务发展平稳，公司推出的新游戏市场反应较好，保持稳定的盈</w:t>
      </w:r>
      <w:r>
        <w:rPr/>
        <w:t> 利能力；</w:t>
      </w:r>
    </w:p>
    <w:p>
      <w:pPr>
        <w:pStyle w:val="Heading3"/>
        <w:spacing w:line="338" w:lineRule="auto" w:before="55"/>
        <w:ind w:right="1135" w:firstLine="480"/>
        <w:jc w:val="both"/>
      </w:pPr>
      <w:r>
        <w:rPr>
          <w:rFonts w:ascii="Times New Roman" w:hAnsi="Times New Roman" w:cs="Times New Roman" w:eastAsia="Times New Roman" w:hint="default"/>
          <w:spacing w:val="-3"/>
        </w:rPr>
        <w:t>3</w:t>
      </w:r>
      <w:r>
        <w:rPr>
          <w:spacing w:val="-3"/>
        </w:rPr>
        <w:t>、报告期内，公司更加注重经营管理，加强公司内部结构优化，进一步挖潜增效、节能</w:t>
      </w:r>
      <w:r>
        <w:rPr/>
        <w:t> 降耗，严格控制成本及各项经营性开支。</w:t>
      </w:r>
    </w:p>
    <w:p>
      <w:pPr>
        <w:pStyle w:val="Heading3"/>
        <w:spacing w:line="338" w:lineRule="auto" w:before="55"/>
        <w:ind w:left="633" w:right="996"/>
        <w:jc w:val="left"/>
      </w:pPr>
      <w:r>
        <w:rPr>
          <w:rFonts w:ascii="Times New Roman" w:hAnsi="Times New Roman" w:cs="Times New Roman" w:eastAsia="Times New Roman" w:hint="default"/>
        </w:rPr>
        <w:t>4</w:t>
      </w:r>
      <w:r>
        <w:rPr/>
        <w:t>、报告期内，非经常性损益对净利润的影响金额为</w:t>
      </w:r>
      <w:r>
        <w:rPr>
          <w:rFonts w:ascii="Times New Roman" w:hAnsi="Times New Roman" w:cs="Times New Roman" w:eastAsia="Times New Roman" w:hint="default"/>
        </w:rPr>
        <w:t>4,982.48 </w:t>
      </w:r>
      <w:r>
        <w:rPr/>
        <w:t>万元。 </w:t>
      </w:r>
      <w:r>
        <w:rPr>
          <w:spacing w:val="-3"/>
        </w:rPr>
        <w:t>公司需遵守《深圳证券交易所创业板行业信息披露指引第</w:t>
      </w:r>
      <w:r>
        <w:rPr>
          <w:rFonts w:ascii="Times New Roman" w:hAnsi="Times New Roman" w:cs="Times New Roman" w:eastAsia="Times New Roman" w:hint="default"/>
          <w:spacing w:val="-3"/>
        </w:rPr>
        <w:t>5</w:t>
      </w:r>
      <w:r>
        <w:rPr>
          <w:spacing w:val="-3"/>
        </w:rPr>
        <w:t>号——上市公司从事互联网游</w:t>
      </w:r>
    </w:p>
    <w:p>
      <w:pPr>
        <w:pStyle w:val="Heading3"/>
        <w:spacing w:line="357" w:lineRule="auto" w:before="27"/>
        <w:ind w:left="633" w:right="996" w:hanging="481"/>
        <w:jc w:val="left"/>
      </w:pPr>
      <w:r>
        <w:rPr/>
        <w:t>戏业务》的披露要求： 公司通过多年来对所处游戏行业的深度探索、研发、运营经验的不断积累及产业链上下</w:t>
      </w:r>
    </w:p>
    <w:p>
      <w:pPr>
        <w:spacing w:after="0" w:line="357" w:lineRule="auto"/>
        <w:jc w:val="left"/>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pStyle w:val="Heading3"/>
        <w:spacing w:line="357" w:lineRule="auto" w:before="26"/>
        <w:ind w:right="1139"/>
        <w:jc w:val="both"/>
      </w:pPr>
      <w:r>
        <w:rPr/>
        <w:t>游的广泛布局，自主创新和建立了一系列可持续发展生态业务模式。报告期内，公司在保持</w:t>
      </w:r>
      <w:r>
        <w:rPr>
          <w:spacing w:val="-91"/>
        </w:rPr>
        <w:t> </w:t>
      </w:r>
      <w:r>
        <w:rPr>
          <w:spacing w:val="-91"/>
        </w:rPr>
      </w:r>
      <w:r>
        <w:rPr/>
        <w:t>传统游戏业务稳步前进的前提下，大力发展云服务业务，实现了游戏业务和云服务业务两大</w:t>
      </w:r>
      <w:r>
        <w:rPr>
          <w:spacing w:val="-91"/>
        </w:rPr>
        <w:t> </w:t>
      </w:r>
      <w:r>
        <w:rPr>
          <w:spacing w:val="-91"/>
        </w:rPr>
      </w:r>
      <w:r>
        <w:rPr/>
        <w:t>板块的双轮驱动模式，此外，公司还兼顾科技文旅业务，以达到多板块相互协同发展、互为</w:t>
      </w:r>
      <w:r>
        <w:rPr>
          <w:spacing w:val="-91"/>
        </w:rPr>
        <w:t> </w:t>
      </w:r>
      <w:r>
        <w:rPr>
          <w:spacing w:val="-91"/>
        </w:rPr>
      </w:r>
      <w:r>
        <w:rPr/>
        <w:t>支撑的战略目标。具体业务情况如下：</w:t>
      </w:r>
    </w:p>
    <w:p>
      <w:pPr>
        <w:pStyle w:val="Heading3"/>
        <w:spacing w:line="338" w:lineRule="auto"/>
        <w:ind w:left="633" w:right="996"/>
        <w:jc w:val="left"/>
      </w:pPr>
      <w:r>
        <w:rPr>
          <w:rFonts w:ascii="Times New Roman" w:hAnsi="Times New Roman" w:cs="Times New Roman" w:eastAsia="Times New Roman" w:hint="default"/>
        </w:rPr>
        <w:t>1</w:t>
      </w:r>
      <w:r>
        <w:rPr/>
        <w:t>、游戏业务 </w:t>
      </w:r>
      <w:r>
        <w:rPr>
          <w:spacing w:val="-3"/>
        </w:rPr>
        <w:t>作为行业内老牌游戏上市公司，公司自成立以来，一直专注从事网络游戏的研发和运营，</w:t>
      </w:r>
    </w:p>
    <w:p>
      <w:pPr>
        <w:pStyle w:val="Heading3"/>
        <w:spacing w:line="357" w:lineRule="auto" w:before="55"/>
        <w:ind w:right="1139"/>
        <w:jc w:val="both"/>
      </w:pPr>
      <w:r>
        <w:rPr/>
        <w:t>经过多年发展，公司已经积累了丰富的经验及技术，能够较好的把握市场需求、玩家心理和</w:t>
      </w:r>
      <w:r>
        <w:rPr>
          <w:spacing w:val="-91"/>
        </w:rPr>
        <w:t> </w:t>
      </w:r>
      <w:r>
        <w:rPr>
          <w:spacing w:val="-91"/>
        </w:rPr>
      </w:r>
      <w:r>
        <w:rPr/>
        <w:t>游戏行业动向，持续推出精品游戏。</w:t>
      </w:r>
    </w:p>
    <w:p>
      <w:pPr>
        <w:pStyle w:val="Heading3"/>
        <w:spacing w:line="338" w:lineRule="auto"/>
        <w:ind w:right="996" w:firstLine="480"/>
        <w:jc w:val="left"/>
      </w:pPr>
      <w:r>
        <w:rPr>
          <w:spacing w:val="-6"/>
        </w:rPr>
        <w:t>报告期内，中青宝老牌红色网游系列产品《抗战》、《亮剑》、《兵王</w:t>
      </w:r>
      <w:r>
        <w:rPr>
          <w:rFonts w:ascii="Times New Roman" w:hAnsi="Times New Roman" w:cs="Times New Roman" w:eastAsia="Times New Roman" w:hint="default"/>
          <w:spacing w:val="-6"/>
        </w:rPr>
        <w:t>2</w:t>
      </w:r>
      <w:r>
        <w:rPr>
          <w:spacing w:val="-6"/>
        </w:rPr>
        <w:t>》、《最后一炮》</w:t>
      </w:r>
      <w:r>
        <w:rPr/>
        <w:t> 以及国战类网游产品《天道》、《新战国英雄》在线用户数、盈利能力都保持稳定。</w:t>
      </w:r>
    </w:p>
    <w:p>
      <w:pPr>
        <w:pStyle w:val="Heading3"/>
        <w:spacing w:line="352" w:lineRule="auto" w:before="55"/>
        <w:ind w:right="1135" w:firstLine="480"/>
        <w:jc w:val="both"/>
      </w:pPr>
      <w:r>
        <w:rPr/>
        <w:t>手游方面：</w:t>
      </w:r>
      <w:r>
        <w:rPr>
          <w:rFonts w:ascii="Times New Roman" w:hAnsi="Times New Roman" w:cs="Times New Roman" w:eastAsia="Times New Roman" w:hint="default"/>
        </w:rPr>
        <w:t>2019</w:t>
      </w:r>
      <w:r>
        <w:rPr/>
        <w:t>年手机游戏行业进入白热化竞争阶段，中青宝凭借麦迪代言的《街球艺 术》一举打入国内体育品类游戏市场，凭借公司多年累积的用户基础，为首发阶段的用户爆</w:t>
      </w:r>
      <w:r>
        <w:rPr>
          <w:spacing w:val="-88"/>
        </w:rPr>
        <w:t> </w:t>
      </w:r>
      <w:r>
        <w:rPr>
          <w:spacing w:val="-88"/>
        </w:rPr>
      </w:r>
      <w:r>
        <w:rPr/>
        <w:t>发提供了由量变到质变的动力；公司签下的《街头足球》在测试阶段就已受行业内及广大玩</w:t>
      </w:r>
      <w:r>
        <w:rPr>
          <w:spacing w:val="-91"/>
        </w:rPr>
        <w:t> </w:t>
      </w:r>
      <w:r>
        <w:rPr>
          <w:spacing w:val="-91"/>
        </w:rPr>
      </w:r>
      <w:r>
        <w:rPr/>
        <w:t>家的好评，进一步夯实公司布局”重竞技，高留存，高活跃“的基础，一举打入游戏体育品</w:t>
      </w:r>
      <w:r>
        <w:rPr>
          <w:spacing w:val="-88"/>
        </w:rPr>
        <w:t> </w:t>
      </w:r>
      <w:r>
        <w:rPr>
          <w:spacing w:val="-88"/>
        </w:rPr>
      </w:r>
      <w:r>
        <w:rPr/>
        <w:t>类的决赛圈。</w:t>
      </w:r>
    </w:p>
    <w:p>
      <w:pPr>
        <w:pStyle w:val="Heading3"/>
        <w:spacing w:line="338" w:lineRule="auto" w:before="41"/>
        <w:ind w:right="1134" w:firstLine="480"/>
        <w:jc w:val="both"/>
      </w:pPr>
      <w:r>
        <w:rPr>
          <w:spacing w:val="-3"/>
        </w:rPr>
        <w:t>页游方面：《大话女儿国》上线</w:t>
      </w:r>
      <w:r>
        <w:rPr>
          <w:rFonts w:ascii="Times New Roman" w:hAnsi="Times New Roman" w:cs="Times New Roman" w:eastAsia="Times New Roman" w:hint="default"/>
          <w:spacing w:val="-3"/>
        </w:rPr>
        <w:t>2</w:t>
      </w:r>
      <w:r>
        <w:rPr>
          <w:spacing w:val="-3"/>
        </w:rPr>
        <w:t>年仍然表现良好，在线用户和收入保持稳定水平。页游</w:t>
      </w:r>
      <w:r>
        <w:rPr/>
        <w:t> 老牌产品《裂天之刃》拥有一批忠实用户，持续维持着良好游戏生态和稳定的付费水平。</w:t>
      </w:r>
    </w:p>
    <w:p>
      <w:pPr>
        <w:pStyle w:val="Heading3"/>
        <w:spacing w:line="338" w:lineRule="auto" w:before="56"/>
        <w:ind w:left="633" w:right="996"/>
        <w:jc w:val="left"/>
      </w:pPr>
      <w:r>
        <w:rPr/>
        <w:t>报告期内，公司游戏平台新增运营的游戏有</w:t>
      </w:r>
      <w:r>
        <w:rPr>
          <w:rFonts w:ascii="Times New Roman" w:hAnsi="Times New Roman" w:cs="Times New Roman" w:eastAsia="Times New Roman" w:hint="default"/>
        </w:rPr>
        <w:t>15</w:t>
      </w:r>
      <w:r>
        <w:rPr/>
        <w:t>款，报告期末运营的游戏总计</w:t>
      </w:r>
      <w:r>
        <w:rPr>
          <w:rFonts w:ascii="Times New Roman" w:hAnsi="Times New Roman" w:cs="Times New Roman" w:eastAsia="Times New Roman" w:hint="default"/>
        </w:rPr>
        <w:t>92</w:t>
      </w:r>
      <w:r>
        <w:rPr/>
        <w:t>款。 </w:t>
      </w:r>
      <w:r>
        <w:rPr>
          <w:rFonts w:ascii="Times New Roman" w:hAnsi="Times New Roman" w:cs="Times New Roman" w:eastAsia="Times New Roman" w:hint="default"/>
        </w:rPr>
        <w:t>2</w:t>
      </w:r>
      <w:r>
        <w:rPr/>
        <w:t>、云服务业务 </w:t>
      </w:r>
      <w:r>
        <w:rPr>
          <w:spacing w:val="-3"/>
        </w:rPr>
        <w:t>报告期内，公司子公司宝腾互联专注于</w:t>
      </w:r>
      <w:r>
        <w:rPr>
          <w:rFonts w:ascii="Times New Roman" w:hAnsi="Times New Roman" w:cs="Times New Roman" w:eastAsia="Times New Roman" w:hint="default"/>
          <w:spacing w:val="-3"/>
        </w:rPr>
        <w:t>IDC</w:t>
      </w:r>
      <w:r>
        <w:rPr>
          <w:spacing w:val="-3"/>
        </w:rPr>
        <w:t>、云计算，同时以</w:t>
      </w:r>
      <w:r>
        <w:rPr>
          <w:rFonts w:ascii="Times New Roman" w:hAnsi="Times New Roman" w:cs="Times New Roman" w:eastAsia="Times New Roman" w:hint="default"/>
          <w:spacing w:val="-3"/>
        </w:rPr>
        <w:t>IaaS</w:t>
      </w:r>
      <w:r>
        <w:rPr>
          <w:spacing w:val="-3"/>
        </w:rPr>
        <w:t>层服务为基础，积极寻</w:t>
      </w:r>
    </w:p>
    <w:p>
      <w:pPr>
        <w:pStyle w:val="Heading3"/>
        <w:spacing w:line="357" w:lineRule="auto" w:before="27"/>
        <w:ind w:right="1139"/>
        <w:jc w:val="both"/>
      </w:pPr>
      <w:r>
        <w:rPr/>
        <w:t>求业务突破与创新，继续围绕各项云增值业务进行产品设计和平台整合，致力于为全行业客</w:t>
      </w:r>
      <w:r>
        <w:rPr>
          <w:spacing w:val="-91"/>
        </w:rPr>
        <w:t> </w:t>
      </w:r>
      <w:r>
        <w:rPr>
          <w:spacing w:val="-91"/>
        </w:rPr>
      </w:r>
      <w:r>
        <w:rPr/>
        <w:t>户提供全维度的数字化运维服务。</w:t>
      </w:r>
    </w:p>
    <w:p>
      <w:pPr>
        <w:pStyle w:val="Heading3"/>
        <w:spacing w:line="338" w:lineRule="auto"/>
        <w:ind w:right="1131" w:firstLine="480"/>
        <w:jc w:val="both"/>
      </w:pPr>
      <w:r>
        <w:rPr/>
        <w:t>（</w:t>
      </w:r>
      <w:r>
        <w:rPr>
          <w:rFonts w:ascii="Times New Roman" w:hAnsi="Times New Roman" w:cs="Times New Roman" w:eastAsia="Times New Roman" w:hint="default"/>
        </w:rPr>
        <w:t>1</w:t>
      </w:r>
      <w:r>
        <w:rPr/>
        <w:t>）数据中心业务：宝腾互联在深圳观澜拥有自建高等级数据中心（</w:t>
      </w:r>
      <w:r>
        <w:rPr>
          <w:rFonts w:ascii="Times New Roman" w:hAnsi="Times New Roman" w:cs="Times New Roman" w:eastAsia="Times New Roman" w:hint="default"/>
        </w:rPr>
        <w:t>T3+</w:t>
      </w:r>
      <w:r>
        <w:rPr/>
        <w:t>），拥有专业 高效的数据中心运维团队，协同三大运营商为多家客户提供安全、稳定、高效的</w:t>
      </w:r>
      <w:r>
        <w:rPr>
          <w:rFonts w:ascii="Times New Roman" w:hAnsi="Times New Roman" w:cs="Times New Roman" w:eastAsia="Times New Roman" w:hint="default"/>
        </w:rPr>
        <w:t>IaaS</w:t>
      </w:r>
      <w:r>
        <w:rPr/>
        <w:t>层云服</w:t>
      </w:r>
      <w:r>
        <w:rPr>
          <w:spacing w:val="-44"/>
        </w:rPr>
        <w:t> </w:t>
      </w:r>
      <w:r>
        <w:rPr/>
        <w:t>务。</w:t>
      </w:r>
    </w:p>
    <w:p>
      <w:pPr>
        <w:pStyle w:val="Heading3"/>
        <w:spacing w:line="338" w:lineRule="auto" w:before="56"/>
        <w:ind w:right="1128" w:firstLine="480"/>
        <w:jc w:val="both"/>
      </w:pPr>
      <w:r>
        <w:rPr>
          <w:spacing w:val="2"/>
        </w:rPr>
        <w:t>（</w:t>
      </w:r>
      <w:r>
        <w:rPr>
          <w:rFonts w:ascii="Times New Roman" w:hAnsi="Times New Roman" w:cs="Times New Roman" w:eastAsia="Times New Roman" w:hint="default"/>
          <w:spacing w:val="2"/>
        </w:rPr>
        <w:t>2</w:t>
      </w:r>
      <w:r>
        <w:rPr>
          <w:spacing w:val="2"/>
        </w:rPr>
        <w:t>）数据中心运维外包业务方面：宝腾互联承接了泸州城市政务云数据中心</w:t>
      </w:r>
      <w:r>
        <w:rPr>
          <w:rFonts w:ascii="Times New Roman" w:hAnsi="Times New Roman" w:cs="Times New Roman" w:eastAsia="Times New Roman" w:hint="default"/>
          <w:spacing w:val="2"/>
        </w:rPr>
        <w:t>/</w:t>
      </w:r>
      <w:r>
        <w:rPr>
          <w:spacing w:val="2"/>
        </w:rPr>
        <w:t>国家工程 </w:t>
      </w:r>
      <w:r>
        <w:rPr>
          <w:spacing w:val="-1"/>
        </w:rPr>
        <w:t>实验室</w:t>
      </w:r>
      <w:r>
        <w:rPr>
          <w:rFonts w:ascii="Times New Roman" w:hAnsi="Times New Roman" w:cs="Times New Roman" w:eastAsia="Times New Roman" w:hint="default"/>
          <w:spacing w:val="-1"/>
        </w:rPr>
        <w:t>/</w:t>
      </w:r>
      <w:r>
        <w:rPr>
          <w:spacing w:val="-1"/>
        </w:rPr>
        <w:t>盐田政务服务中心等多个数据中心的运维外包项目，</w:t>
      </w:r>
      <w:r>
        <w:rPr>
          <w:rFonts w:ascii="Times New Roman" w:hAnsi="Times New Roman" w:cs="Times New Roman" w:eastAsia="Times New Roman" w:hint="default"/>
          <w:spacing w:val="-1"/>
        </w:rPr>
        <w:t>2019</w:t>
      </w:r>
      <w:r>
        <w:rPr>
          <w:spacing w:val="-1"/>
        </w:rPr>
        <w:t>年公司派出的运维技术团队</w:t>
      </w:r>
      <w:r>
        <w:rPr>
          <w:spacing w:val="-105"/>
        </w:rPr>
        <w:t> </w:t>
      </w:r>
      <w:r>
        <w:rPr>
          <w:spacing w:val="2"/>
        </w:rPr>
        <w:t>在云计算发展与政策论坛委员会主办的，中国</w:t>
      </w:r>
      <w:r>
        <w:rPr>
          <w:rFonts w:ascii="Times New Roman" w:hAnsi="Times New Roman" w:cs="Times New Roman" w:eastAsia="Times New Roman" w:hint="default"/>
          <w:spacing w:val="2"/>
        </w:rPr>
        <w:t>IDC</w:t>
      </w:r>
      <w:r>
        <w:rPr>
          <w:spacing w:val="2"/>
        </w:rPr>
        <w:t>产业年度大典组委会承办的第四届“攻城</w:t>
      </w:r>
      <w:r>
        <w:rPr>
          <w:spacing w:val="-108"/>
        </w:rPr>
        <w:t> </w:t>
      </w:r>
      <w:r>
        <w:rPr>
          <w:spacing w:val="-108"/>
        </w:rPr>
      </w:r>
      <w:r>
        <w:rPr/>
        <w:t>狮”数据中心运维大赛中荣获亚军，极大提升了宝腾在行业内的知名度，为公司在此项业务</w:t>
      </w:r>
    </w:p>
    <w:p>
      <w:pPr>
        <w:spacing w:after="0" w:line="338" w:lineRule="auto"/>
        <w:jc w:val="both"/>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pStyle w:val="Heading3"/>
        <w:spacing w:line="240" w:lineRule="auto" w:before="26"/>
        <w:ind w:right="996"/>
        <w:jc w:val="left"/>
      </w:pPr>
      <w:r>
        <w:rPr/>
        <w:t>未来的推动发展奠定了良好的口碑。</w:t>
      </w:r>
    </w:p>
    <w:p>
      <w:pPr>
        <w:pStyle w:val="Heading3"/>
        <w:spacing w:line="348" w:lineRule="auto" w:before="154"/>
        <w:ind w:right="1130" w:firstLine="480"/>
        <w:jc w:val="both"/>
      </w:pPr>
      <w:r>
        <w:rPr>
          <w:spacing w:val="-3"/>
        </w:rPr>
        <w:t>（</w:t>
      </w:r>
      <w:r>
        <w:rPr>
          <w:rFonts w:ascii="Times New Roman" w:hAnsi="Times New Roman" w:cs="Times New Roman" w:eastAsia="Times New Roman" w:hint="default"/>
          <w:spacing w:val="-3"/>
        </w:rPr>
        <w:t>3</w:t>
      </w:r>
      <w:r>
        <w:rPr>
          <w:spacing w:val="-3"/>
        </w:rPr>
        <w:t>）云增值业务方面：以宝腾互联自建数据中心及公有云平台作为基础支撑，持续专注</w:t>
      </w:r>
      <w:r>
        <w:rPr/>
        <w:t> 于打造宝腾互联的优质集成品牌，已完成在中国移动集团层面的移动云云市场合作落地。其</w:t>
      </w:r>
      <w:r>
        <w:rPr>
          <w:spacing w:val="-91"/>
        </w:rPr>
        <w:t> </w:t>
      </w:r>
      <w:r>
        <w:rPr>
          <w:spacing w:val="-91"/>
        </w:rPr>
      </w:r>
      <w:r>
        <w:rPr/>
        <w:t>主要有以下四个方面：</w:t>
      </w:r>
    </w:p>
    <w:p>
      <w:pPr>
        <w:pStyle w:val="Heading3"/>
        <w:spacing w:line="348" w:lineRule="auto" w:before="46"/>
        <w:ind w:right="1132" w:firstLine="480"/>
        <w:jc w:val="both"/>
      </w:pPr>
      <w:r>
        <w:rPr/>
        <w:t>①云安全方面：已完成与第一梯队安全厂商的战略合作，丰富宝腾互联在安全方面的产 </w:t>
      </w:r>
      <w:r>
        <w:rPr>
          <w:spacing w:val="-1"/>
        </w:rPr>
        <w:t>品和技术能力，结合网络安全等级保护</w:t>
      </w:r>
      <w:r>
        <w:rPr>
          <w:rFonts w:ascii="Times New Roman" w:hAnsi="Times New Roman" w:cs="Times New Roman" w:eastAsia="Times New Roman" w:hint="default"/>
          <w:spacing w:val="-1"/>
        </w:rPr>
        <w:t>2.0</w:t>
      </w:r>
      <w:r>
        <w:rPr>
          <w:spacing w:val="-1"/>
        </w:rPr>
        <w:t>新的政策指导，在云安全资源池、云安全平台运维</w:t>
      </w:r>
      <w:r>
        <w:rPr>
          <w:spacing w:val="-101"/>
        </w:rPr>
        <w:t> </w:t>
      </w:r>
      <w:r>
        <w:rPr>
          <w:spacing w:val="-101"/>
        </w:rPr>
      </w:r>
      <w:r>
        <w:rPr/>
        <w:t>等业务方向发力；</w:t>
      </w:r>
    </w:p>
    <w:p>
      <w:pPr>
        <w:pStyle w:val="Heading3"/>
        <w:spacing w:line="357" w:lineRule="auto" w:before="46"/>
        <w:ind w:right="1140" w:firstLine="480"/>
        <w:jc w:val="both"/>
      </w:pPr>
      <w:r>
        <w:rPr/>
        <w:t>②云通信方面：已完成宝腾自有智能呼叫中心平台的研发，面向金融服务业，政府或各 部门热线，初期将围绕乐山智慧城市类项目进行落地达产；</w:t>
      </w:r>
    </w:p>
    <w:p>
      <w:pPr>
        <w:pStyle w:val="Heading3"/>
        <w:spacing w:line="357" w:lineRule="auto" w:before="37"/>
        <w:ind w:right="1140" w:firstLine="480"/>
        <w:jc w:val="both"/>
      </w:pPr>
      <w:r>
        <w:rPr/>
        <w:t>③云融合、云存储和云迁移等其他方面：产品设计和平台搭建已完成，通过运营商建立 生态，全国推广落地。</w:t>
      </w:r>
    </w:p>
    <w:p>
      <w:pPr>
        <w:pStyle w:val="Heading3"/>
        <w:spacing w:line="348" w:lineRule="auto"/>
        <w:ind w:right="1133" w:firstLine="480"/>
        <w:jc w:val="both"/>
      </w:pPr>
      <w:r>
        <w:rPr/>
        <w:t>④</w:t>
      </w:r>
      <w:r>
        <w:rPr>
          <w:rFonts w:ascii="Times New Roman" w:hAnsi="Times New Roman" w:cs="Times New Roman" w:eastAsia="Times New Roman" w:hint="default"/>
        </w:rPr>
        <w:t>SAAS</w:t>
      </w:r>
      <w:r>
        <w:rPr/>
        <w:t>增值服务：面向具体企业应用的方向，已完成与移动云</w:t>
      </w:r>
      <w:r>
        <w:rPr>
          <w:rFonts w:ascii="Times New Roman" w:hAnsi="Times New Roman" w:cs="Times New Roman" w:eastAsia="Times New Roman" w:hint="default"/>
        </w:rPr>
        <w:t>SAAS</w:t>
      </w:r>
      <w:r>
        <w:rPr/>
        <w:t>平台的对接，涉及 电子合同、智慧党建、区块链、云通信平台等多个产品的对接上架，初步构造出宝腾互联自</w:t>
      </w:r>
      <w:r>
        <w:rPr>
          <w:spacing w:val="-91"/>
        </w:rPr>
        <w:t> </w:t>
      </w:r>
      <w:r>
        <w:rPr>
          <w:spacing w:val="-91"/>
        </w:rPr>
      </w:r>
      <w:r>
        <w:rPr/>
        <w:t>有“云增值业务资源池”的产品生态。</w:t>
      </w:r>
    </w:p>
    <w:p>
      <w:pPr>
        <w:pStyle w:val="Heading3"/>
        <w:spacing w:line="338" w:lineRule="auto" w:before="46"/>
        <w:ind w:left="633" w:right="996"/>
        <w:jc w:val="left"/>
      </w:pPr>
      <w:r>
        <w:rPr>
          <w:rFonts w:ascii="Times New Roman" w:hAnsi="Times New Roman" w:cs="Times New Roman" w:eastAsia="Times New Roman" w:hint="default"/>
        </w:rPr>
        <w:t>3</w:t>
      </w:r>
      <w:r>
        <w:rPr/>
        <w:t>、科技文旅业务 报告期内，公司持续推进公司在文化创意、文化旅游、新技术应用等方面的探索，打造</w:t>
      </w:r>
    </w:p>
    <w:p>
      <w:pPr>
        <w:pStyle w:val="Heading3"/>
        <w:spacing w:line="528" w:lineRule="auto" w:before="55"/>
        <w:ind w:right="2834"/>
        <w:jc w:val="left"/>
        <w:rPr>
          <w:rFonts w:ascii="宋体" w:hAnsi="宋体" w:cs="宋体" w:eastAsia="宋体" w:hint="default"/>
        </w:rPr>
      </w:pPr>
      <w:r>
        <w:rPr/>
        <w:t>泛娱乐生态圈。目前公司的凤凰高科技文化科普体验园项目在继续推进中。 </w:t>
      </w:r>
      <w:r>
        <w:rPr>
          <w:rFonts w:ascii="宋体" w:hAnsi="宋体" w:cs="宋体" w:eastAsia="宋体" w:hint="default"/>
          <w:b/>
          <w:bCs/>
        </w:rPr>
        <w:t>二、主营业务分析</w:t>
      </w:r>
      <w:r>
        <w:rPr>
          <w:rFonts w:ascii="宋体" w:hAnsi="宋体" w:cs="宋体" w:eastAsia="宋体" w:hint="default"/>
        </w:rPr>
      </w:r>
    </w:p>
    <w:p>
      <w:pPr>
        <w:pStyle w:val="Heading2"/>
        <w:spacing w:line="240" w:lineRule="auto" w:before="86"/>
        <w:ind w:right="996"/>
        <w:jc w:val="left"/>
        <w:rPr>
          <w:b w:val="0"/>
          <w:bCs w:val="0"/>
        </w:rPr>
      </w:pPr>
      <w:r>
        <w:rPr>
          <w:rFonts w:ascii="Times New Roman" w:hAnsi="Times New Roman" w:cs="Times New Roman" w:eastAsia="Times New Roman" w:hint="default"/>
        </w:rPr>
        <w:t>1</w:t>
      </w:r>
      <w:r>
        <w:rPr/>
        <w:t>、概述</w:t>
      </w:r>
      <w:r>
        <w:rPr>
          <w:b w:val="0"/>
          <w:bCs w:val="0"/>
        </w:rPr>
      </w:r>
    </w:p>
    <w:p>
      <w:pPr>
        <w:pStyle w:val="Heading3"/>
        <w:spacing w:line="240" w:lineRule="auto" w:before="135"/>
        <w:ind w:left="633" w:right="996"/>
        <w:jc w:val="left"/>
      </w:pPr>
      <w:r>
        <w:rPr/>
        <w:t>参见“经营情况讨论与分析”中的“一、概述”相关内容。</w:t>
      </w:r>
    </w:p>
    <w:p>
      <w:pPr>
        <w:pStyle w:val="Heading2"/>
        <w:spacing w:line="240" w:lineRule="auto" w:before="154"/>
        <w:ind w:right="996"/>
        <w:jc w:val="left"/>
        <w:rPr>
          <w:b w:val="0"/>
          <w:bCs w:val="0"/>
        </w:rPr>
      </w:pPr>
      <w:r>
        <w:rPr>
          <w:rFonts w:ascii="Times New Roman" w:hAnsi="Times New Roman" w:cs="Times New Roman" w:eastAsia="Times New Roman" w:hint="default"/>
        </w:rPr>
        <w:t>2</w:t>
      </w:r>
      <w:r>
        <w:rPr/>
        <w:t>、收入与成本</w:t>
      </w:r>
      <w:r>
        <w:rPr>
          <w:b w:val="0"/>
          <w:bCs w:val="0"/>
        </w:rPr>
      </w:r>
    </w:p>
    <w:p>
      <w:pPr>
        <w:spacing w:line="338" w:lineRule="auto" w:before="135"/>
        <w:ind w:left="152" w:right="8706"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）营业收入构成</w:t>
      </w:r>
      <w:r>
        <w:rPr>
          <w:rFonts w:ascii="宋体" w:hAnsi="宋体" w:cs="宋体" w:eastAsia="宋体" w:hint="default"/>
          <w:b/>
          <w:bCs/>
          <w:w w:val="99"/>
          <w:sz w:val="24"/>
          <w:szCs w:val="24"/>
        </w:rPr>
        <w:t> </w:t>
      </w:r>
      <w:r>
        <w:rPr>
          <w:rFonts w:ascii="宋体" w:hAnsi="宋体" w:cs="宋体" w:eastAsia="宋体" w:hint="default"/>
          <w:sz w:val="24"/>
          <w:szCs w:val="24"/>
        </w:rPr>
        <w:t>营业收入整体情况</w:t>
      </w:r>
    </w:p>
    <w:p>
      <w:pPr>
        <w:spacing w:before="6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90"/>
        <w:gridCol w:w="1594"/>
        <w:gridCol w:w="1588"/>
        <w:gridCol w:w="1602"/>
        <w:gridCol w:w="1582"/>
        <w:gridCol w:w="1600"/>
      </w:tblGrid>
      <w:tr>
        <w:trPr>
          <w:trHeight w:val="206" w:hRule="exact"/>
        </w:trPr>
        <w:tc>
          <w:tcPr>
            <w:tcW w:w="15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590" w:type="dxa"/>
            <w:vMerge w:val="restart"/>
            <w:tcBorders>
              <w:top w:val="nil" w:sz="6" w:space="0" w:color="auto"/>
              <w:left w:val="single" w:sz="4" w:space="0" w:color="000000"/>
              <w:right w:val="single" w:sz="4" w:space="0" w:color="000000"/>
            </w:tcBorders>
            <w:shd w:val="clear" w:color="auto" w:fill="D2D2D2"/>
          </w:tcPr>
          <w:p>
            <w:pPr/>
          </w:p>
        </w:tc>
        <w:tc>
          <w:tcPr>
            <w:tcW w:w="3182" w:type="dxa"/>
            <w:gridSpan w:val="2"/>
            <w:vMerge/>
            <w:tcBorders>
              <w:left w:val="single" w:sz="4" w:space="0" w:color="000000"/>
              <w:bottom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16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90"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金额</w:t>
            </w:r>
          </w:p>
        </w:tc>
        <w:tc>
          <w:tcPr>
            <w:tcW w:w="15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602" w:type="dxa"/>
            <w:vMerge/>
            <w:tcBorders>
              <w:left w:val="single" w:sz="4" w:space="0" w:color="000000"/>
              <w:bottom w:val="single" w:sz="4" w:space="0" w:color="000000"/>
              <w:right w:val="single" w:sz="4" w:space="0" w:color="000000"/>
            </w:tcBorders>
            <w:shd w:val="clear" w:color="auto" w:fill="D2D2D2"/>
          </w:tcPr>
          <w:p>
            <w:pPr/>
          </w:p>
        </w:tc>
        <w:tc>
          <w:tcPr>
            <w:tcW w:w="1582" w:type="dxa"/>
            <w:vMerge/>
            <w:tcBorders>
              <w:left w:val="single" w:sz="4" w:space="0" w:color="000000"/>
              <w:bottom w:val="single" w:sz="4" w:space="0" w:color="000000"/>
              <w:right w:val="single" w:sz="4" w:space="0" w:color="000000"/>
            </w:tcBorders>
            <w:shd w:val="clear" w:color="auto" w:fill="D2D2D2"/>
          </w:tcPr>
          <w:p>
            <w:pPr/>
          </w:p>
        </w:tc>
        <w:tc>
          <w:tcPr>
            <w:tcW w:w="16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6" w:hRule="exact"/>
        </w:trPr>
        <w:tc>
          <w:tcPr>
            <w:tcW w:w="1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left="424" w:right="0"/>
              <w:jc w:val="left"/>
              <w:rPr>
                <w:rFonts w:ascii="Times New Roman" w:hAnsi="Times New Roman" w:cs="Times New Roman" w:eastAsia="Times New Roman" w:hint="default"/>
                <w:sz w:val="18"/>
                <w:szCs w:val="18"/>
              </w:rPr>
            </w:pPr>
            <w:r>
              <w:rPr>
                <w:rFonts w:ascii="Times New Roman"/>
                <w:sz w:val="18"/>
              </w:rPr>
              <w:t>468,826,313.50</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602"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left="429" w:right="0"/>
              <w:jc w:val="left"/>
              <w:rPr>
                <w:rFonts w:ascii="Times New Roman" w:hAnsi="Times New Roman" w:cs="Times New Roman" w:eastAsia="Times New Roman" w:hint="default"/>
                <w:sz w:val="18"/>
                <w:szCs w:val="18"/>
              </w:rPr>
            </w:pPr>
            <w:r>
              <w:rPr>
                <w:rFonts w:ascii="Times New Roman"/>
                <w:sz w:val="18"/>
              </w:rPr>
              <w:t>334,005,440.88</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100%</w:t>
            </w:r>
          </w:p>
        </w:tc>
        <w:tc>
          <w:tcPr>
            <w:tcW w:w="16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02" w:right="0"/>
              <w:jc w:val="left"/>
              <w:rPr>
                <w:rFonts w:ascii="Times New Roman" w:hAnsi="Times New Roman" w:cs="Times New Roman" w:eastAsia="Times New Roman" w:hint="default"/>
                <w:sz w:val="18"/>
                <w:szCs w:val="18"/>
              </w:rPr>
            </w:pPr>
            <w:r>
              <w:rPr>
                <w:rFonts w:ascii="Times New Roman"/>
                <w:sz w:val="18"/>
              </w:rPr>
              <w:t>40.36%</w:t>
            </w:r>
          </w:p>
        </w:tc>
      </w:tr>
      <w:tr>
        <w:trPr>
          <w:trHeight w:val="398" w:hRule="exact"/>
        </w:trPr>
        <w:tc>
          <w:tcPr>
            <w:tcW w:w="95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分行业（分运营模式）</w:t>
            </w:r>
          </w:p>
        </w:tc>
      </w:tr>
      <w:tr>
        <w:trPr>
          <w:trHeight w:val="401" w:hRule="exact"/>
        </w:trPr>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网络游戏业务</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0"/>
                <w:sz w:val="18"/>
                <w:szCs w:val="18"/>
              </w:rPr>
              <w:t>：</w:t>
            </w:r>
            <w:r>
              <w:rPr>
                <w:rFonts w:ascii="宋体" w:hAnsi="宋体" w:cs="宋体" w:eastAsia="宋体" w:hint="default"/>
                <w:sz w:val="18"/>
                <w:szCs w:val="18"/>
              </w:rPr>
              <w:t>公司自主运营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75,288,911.82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65,307,431.04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15.28%</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6" w:right="0"/>
              <w:jc w:val="left"/>
              <w:rPr>
                <w:rFonts w:ascii="宋体" w:hAnsi="宋体" w:cs="宋体" w:eastAsia="宋体" w:hint="default"/>
                <w:sz w:val="18"/>
                <w:szCs w:val="18"/>
              </w:rPr>
            </w:pPr>
            <w:r>
              <w:rPr>
                <w:rFonts w:ascii="宋体" w:hAnsi="宋体" w:cs="宋体" w:eastAsia="宋体" w:hint="default"/>
                <w:sz w:val="18"/>
                <w:szCs w:val="18"/>
              </w:rPr>
              <w:t>与平台</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联合运营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145,205,431.55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30.97%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112,421,986.73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33.66%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29.16%</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宋体" w:hAnsi="宋体" w:cs="宋体" w:eastAsia="宋体" w:hint="default"/>
                <w:sz w:val="18"/>
                <w:szCs w:val="18"/>
              </w:rPr>
            </w:pPr>
            <w:r>
              <w:rPr>
                <w:rFonts w:ascii="宋体" w:hAnsi="宋体" w:cs="宋体" w:eastAsia="宋体" w:hint="default"/>
                <w:sz w:val="18"/>
                <w:szCs w:val="18"/>
              </w:rPr>
              <w:t>分服运营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1,274,190.03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1,256,183.08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
              <w:jc w:val="right"/>
              <w:rPr>
                <w:rFonts w:ascii="宋体" w:hAnsi="宋体" w:cs="宋体" w:eastAsia="宋体" w:hint="default"/>
                <w:sz w:val="18"/>
                <w:szCs w:val="18"/>
              </w:rPr>
            </w:pPr>
            <w:r>
              <w:rPr>
                <w:rFonts w:ascii="宋体" w:hAnsi="宋体" w:cs="宋体" w:eastAsia="宋体" w:hint="default"/>
                <w:sz w:val="18"/>
                <w:szCs w:val="18"/>
              </w:rPr>
              <w:t>广告服务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35,116,692.06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7.49%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3,069,688.07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1,043.98%</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宋体" w:hAnsi="宋体" w:cs="宋体" w:eastAsia="宋体" w:hint="default"/>
                <w:sz w:val="18"/>
                <w:szCs w:val="18"/>
              </w:rPr>
            </w:pPr>
            <w:r>
              <w:rPr>
                <w:rFonts w:ascii="宋体" w:hAnsi="宋体" w:cs="宋体" w:eastAsia="宋体" w:hint="default"/>
                <w:sz w:val="18"/>
                <w:szCs w:val="18"/>
              </w:rPr>
              <w:t>权属转让</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7,547,169.81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5,279,765.91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42.95%</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
              <w:jc w:val="right"/>
              <w:rPr>
                <w:rFonts w:ascii="宋体" w:hAnsi="宋体" w:cs="宋体" w:eastAsia="宋体" w:hint="default"/>
                <w:sz w:val="18"/>
                <w:szCs w:val="18"/>
              </w:rPr>
            </w:pPr>
            <w:r>
              <w:rPr>
                <w:rFonts w:ascii="宋体" w:hAnsi="宋体" w:cs="宋体" w:eastAsia="宋体" w:hint="default"/>
                <w:sz w:val="18"/>
                <w:szCs w:val="18"/>
              </w:rPr>
              <w:t>其他服务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622,554.27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7,102,182.76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-91.23%</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云服务业务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186,680,775.36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39.82%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94,680,630.46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97.17%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科技文旅业务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2,643,289.32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0.56%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28,910,350.34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-90.86%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14,447,299.28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15,977,222.49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-9.58%</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分产品（分游戏类型）</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网络游戏业务</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MMO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游戏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43,372,626.18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9.25%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47,532,406.88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14.23%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-8.75%</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网页游戏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4,331,585.94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44,451,175.01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-90.26%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5" w:right="0"/>
              <w:jc w:val="left"/>
              <w:rPr>
                <w:rFonts w:ascii="宋体" w:hAnsi="宋体" w:cs="宋体" w:eastAsia="宋体" w:hint="default"/>
                <w:sz w:val="18"/>
                <w:szCs w:val="18"/>
              </w:rPr>
            </w:pPr>
            <w:r>
              <w:rPr>
                <w:rFonts w:ascii="宋体" w:hAnsi="宋体" w:cs="宋体" w:eastAsia="宋体" w:hint="default"/>
                <w:sz w:val="18"/>
                <w:szCs w:val="18"/>
              </w:rPr>
              <w:t>手机游戏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181,722,811.71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38.76%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92,681,784.77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27.75%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96.07%</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广告服务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35,116,692.06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3,069,688.07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1,043.98%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5" w:right="0"/>
              <w:jc w:val="left"/>
              <w:rPr>
                <w:rFonts w:ascii="宋体" w:hAnsi="宋体" w:cs="宋体" w:eastAsia="宋体" w:hint="default"/>
                <w:sz w:val="18"/>
                <w:szCs w:val="18"/>
              </w:rPr>
            </w:pPr>
            <w:r>
              <w:rPr>
                <w:rFonts w:ascii="宋体" w:hAnsi="宋体" w:cs="宋体" w:eastAsia="宋体" w:hint="default"/>
                <w:sz w:val="18"/>
                <w:szCs w:val="18"/>
              </w:rPr>
              <w:t>其他服务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511,233.65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0.11%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6,702,182.86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-92.37%</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云服务业务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186,680,775.36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39.82%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94,680,630.46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97.17%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科技文旅业务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2,643,289.32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0.56%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28,910,350.34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-90.86%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14,447,299.28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15,977,222.49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-9.58%</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分业务</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网络游戏业务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265,054,949.54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56.54%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194,437,237.59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36.32%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云服务业务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186,680,775.36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39.82%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94,680,630.46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28.35%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97.17%</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科技文旅业务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2,643,289.32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28,910,350.34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-90.86%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14,447,299.28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3.08%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15,977,222.49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-9.58%</w:t>
            </w:r>
          </w:p>
        </w:tc>
      </w:tr>
    </w:tbl>
    <w:p>
      <w:pPr>
        <w:pStyle w:val="Heading3"/>
        <w:spacing w:line="338" w:lineRule="auto" w:before="39"/>
        <w:ind w:right="1115"/>
        <w:jc w:val="left"/>
      </w:pPr>
      <w:r>
        <w:rPr/>
        <w:t>公司需遵守《深圳证券交易所创业板行业信息披露指引第 </w:t>
      </w:r>
      <w:r>
        <w:rPr>
          <w:rFonts w:ascii="Times New Roman" w:hAnsi="Times New Roman" w:cs="Times New Roman" w:eastAsia="Times New Roman" w:hint="default"/>
        </w:rPr>
        <w:t>5</w:t>
      </w:r>
      <w:r>
        <w:rPr>
          <w:rFonts w:ascii="Times New Roman" w:hAnsi="Times New Roman" w:cs="Times New Roman" w:eastAsia="Times New Roman" w:hint="default"/>
          <w:spacing w:val="-21"/>
        </w:rPr>
        <w:t> </w:t>
      </w:r>
      <w:r>
        <w:rPr/>
        <w:t>号</w:t>
      </w:r>
      <w:r>
        <w:rPr>
          <w:rFonts w:ascii="Times New Roman" w:hAnsi="Times New Roman" w:cs="Times New Roman" w:eastAsia="Times New Roman" w:hint="default"/>
        </w:rPr>
        <w:t>——</w:t>
      </w:r>
      <w:r>
        <w:rPr/>
        <w:t>上市公司从事互联网游戏 业务》的披露要求：</w:t>
      </w:r>
    </w:p>
    <w:p>
      <w:pPr>
        <w:pStyle w:val="Heading3"/>
        <w:spacing w:line="240" w:lineRule="auto" w:before="55"/>
        <w:ind w:right="996"/>
        <w:jc w:val="left"/>
      </w:pPr>
      <w:r>
        <w:rPr/>
        <w:t>主要游戏基本情况</w:t>
      </w:r>
    </w:p>
    <w:p>
      <w:pPr>
        <w:spacing w:before="16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9"/>
        <w:gridCol w:w="797"/>
        <w:gridCol w:w="800"/>
        <w:gridCol w:w="797"/>
        <w:gridCol w:w="799"/>
        <w:gridCol w:w="797"/>
        <w:gridCol w:w="797"/>
        <w:gridCol w:w="797"/>
        <w:gridCol w:w="797"/>
        <w:gridCol w:w="797"/>
        <w:gridCol w:w="797"/>
      </w:tblGrid>
      <w:tr>
        <w:trPr>
          <w:trHeight w:val="1650"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游戏名称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版号</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游戏类型</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124" w:right="31" w:hanging="92"/>
              <w:jc w:val="left"/>
              <w:rPr>
                <w:rFonts w:ascii="宋体" w:hAnsi="宋体" w:cs="宋体" w:eastAsia="宋体" w:hint="default"/>
                <w:sz w:val="18"/>
                <w:szCs w:val="18"/>
              </w:rPr>
            </w:pPr>
            <w:r>
              <w:rPr>
                <w:rFonts w:ascii="宋体" w:hAnsi="宋体" w:cs="宋体" w:eastAsia="宋体" w:hint="default"/>
                <w:sz w:val="18"/>
                <w:szCs w:val="18"/>
              </w:rPr>
              <w:t>对应运营 商名称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215" w:right="31" w:hanging="180"/>
              <w:jc w:val="left"/>
              <w:rPr>
                <w:rFonts w:ascii="宋体" w:hAnsi="宋体" w:cs="宋体" w:eastAsia="宋体" w:hint="default"/>
                <w:sz w:val="18"/>
                <w:szCs w:val="18"/>
              </w:rPr>
            </w:pPr>
            <w:r>
              <w:rPr>
                <w:rFonts w:ascii="宋体" w:hAnsi="宋体" w:cs="宋体" w:eastAsia="宋体" w:hint="default"/>
                <w:sz w:val="18"/>
                <w:szCs w:val="18"/>
              </w:rPr>
              <w:t>游戏分发 渠道</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收费方式</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3" w:right="31"/>
              <w:jc w:val="both"/>
              <w:rPr>
                <w:rFonts w:ascii="宋体" w:hAnsi="宋体" w:cs="宋体" w:eastAsia="宋体" w:hint="default"/>
                <w:sz w:val="18"/>
                <w:szCs w:val="18"/>
              </w:rPr>
            </w:pPr>
            <w:r>
              <w:rPr>
                <w:rFonts w:ascii="宋体" w:hAnsi="宋体" w:cs="宋体" w:eastAsia="宋体" w:hint="default"/>
                <w:sz w:val="18"/>
                <w:szCs w:val="18"/>
              </w:rPr>
              <w:t>收入占游 戏业务收 入的比例</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推广营销 费用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1"/>
              <w:jc w:val="both"/>
              <w:rPr>
                <w:rFonts w:ascii="宋体" w:hAnsi="宋体" w:cs="宋体" w:eastAsia="宋体" w:hint="default"/>
                <w:sz w:val="18"/>
                <w:szCs w:val="18"/>
              </w:rPr>
            </w:pPr>
            <w:r>
              <w:rPr>
                <w:rFonts w:ascii="宋体" w:hAnsi="宋体" w:cs="宋体" w:eastAsia="宋体" w:hint="default"/>
                <w:sz w:val="18"/>
                <w:szCs w:val="18"/>
              </w:rPr>
              <w:t>推广营销 费用占游 戏推广营 销费用总 额的比例</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1"/>
              <w:jc w:val="center"/>
              <w:rPr>
                <w:rFonts w:ascii="宋体" w:hAnsi="宋体" w:cs="宋体" w:eastAsia="宋体" w:hint="default"/>
                <w:sz w:val="18"/>
                <w:szCs w:val="18"/>
              </w:rPr>
            </w:pPr>
            <w:r>
              <w:rPr>
                <w:rFonts w:ascii="宋体" w:hAnsi="宋体" w:cs="宋体" w:eastAsia="宋体" w:hint="default"/>
                <w:sz w:val="18"/>
                <w:szCs w:val="18"/>
              </w:rPr>
              <w:t>推广营销 费用占主 要游戏收 入总额的 比例</w:t>
            </w:r>
          </w:p>
        </w:tc>
      </w:tr>
    </w:tbl>
    <w:p>
      <w:pPr>
        <w:spacing w:after="0" w:line="316"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00"/>
        <w:gridCol w:w="799"/>
        <w:gridCol w:w="797"/>
        <w:gridCol w:w="800"/>
        <w:gridCol w:w="797"/>
        <w:gridCol w:w="799"/>
        <w:gridCol w:w="797"/>
        <w:gridCol w:w="797"/>
        <w:gridCol w:w="797"/>
        <w:gridCol w:w="797"/>
        <w:gridCol w:w="797"/>
        <w:gridCol w:w="797"/>
      </w:tblGrid>
      <w:tr>
        <w:trPr>
          <w:trHeight w:val="133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101"/>
              <w:jc w:val="left"/>
              <w:rPr>
                <w:rFonts w:ascii="Times New Roman" w:hAnsi="Times New Roman" w:cs="Times New Roman" w:eastAsia="Times New Roman" w:hint="default"/>
                <w:sz w:val="18"/>
                <w:szCs w:val="18"/>
              </w:rPr>
            </w:pPr>
            <w:r>
              <w:rPr>
                <w:rFonts w:ascii="Times New Roman"/>
                <w:sz w:val="18"/>
              </w:rPr>
              <w:t>ISBN</w:t>
            </w:r>
            <w:r>
              <w:rPr>
                <w:rFonts w:ascii="Times New Roman"/>
                <w:w w:val="99"/>
                <w:sz w:val="18"/>
              </w:rPr>
              <w:t> </w:t>
            </w:r>
            <w:r>
              <w:rPr>
                <w:rFonts w:ascii="Times New Roman"/>
                <w:sz w:val="18"/>
              </w:rPr>
              <w:t>978-7-79</w:t>
            </w:r>
          </w:p>
          <w:p>
            <w:pPr>
              <w:pStyle w:val="TableParagraph"/>
              <w:spacing w:line="240" w:lineRule="auto" w:before="3"/>
              <w:ind w:left="23" w:right="0"/>
              <w:jc w:val="left"/>
              <w:rPr>
                <w:rFonts w:ascii="Times New Roman" w:hAnsi="Times New Roman" w:cs="Times New Roman" w:eastAsia="Times New Roman" w:hint="default"/>
                <w:sz w:val="18"/>
                <w:szCs w:val="18"/>
              </w:rPr>
            </w:pPr>
            <w:r>
              <w:rPr>
                <w:rFonts w:ascii="Times New Roman"/>
                <w:sz w:val="18"/>
              </w:rPr>
              <w:t>79-9973-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手游</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联合运营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41"/>
              <w:jc w:val="both"/>
              <w:rPr>
                <w:rFonts w:ascii="宋体" w:hAnsi="宋体" w:cs="宋体" w:eastAsia="宋体" w:hint="default"/>
                <w:sz w:val="18"/>
                <w:szCs w:val="18"/>
              </w:rPr>
            </w:pPr>
            <w:r>
              <w:rPr>
                <w:rFonts w:ascii="宋体" w:hAnsi="宋体" w:cs="宋体" w:eastAsia="宋体" w:hint="default"/>
                <w:sz w:val="18"/>
                <w:szCs w:val="18"/>
              </w:rPr>
              <w:t>杭州网易 雷火科技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腾讯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道具收费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41,892,88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15.81%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15,850.00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0.02%</w:t>
            </w:r>
          </w:p>
        </w:tc>
      </w:tr>
      <w:tr>
        <w:trPr>
          <w:trHeight w:val="1339"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3" w:right="101"/>
              <w:jc w:val="left"/>
              <w:rPr>
                <w:rFonts w:ascii="Times New Roman" w:hAnsi="Times New Roman" w:cs="Times New Roman" w:eastAsia="Times New Roman" w:hint="default"/>
                <w:sz w:val="18"/>
                <w:szCs w:val="18"/>
              </w:rPr>
            </w:pPr>
            <w:r>
              <w:rPr>
                <w:rFonts w:ascii="Times New Roman"/>
                <w:sz w:val="18"/>
              </w:rPr>
              <w:t>ISBN</w:t>
            </w:r>
            <w:r>
              <w:rPr>
                <w:rFonts w:ascii="Times New Roman"/>
                <w:w w:val="99"/>
                <w:sz w:val="18"/>
              </w:rPr>
              <w:t> </w:t>
            </w:r>
            <w:r>
              <w:rPr>
                <w:rFonts w:ascii="Times New Roman"/>
                <w:sz w:val="18"/>
              </w:rPr>
              <w:t>978-7-79</w:t>
            </w:r>
          </w:p>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sz w:val="18"/>
              </w:rPr>
              <w:t>79-4107-</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手游</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联合运营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深圳市掌 娱炫动信 息技术有 限公司</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道具收费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19,337,09</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12,512,77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2.94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15.78%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12.44%</w:t>
            </w:r>
          </w:p>
        </w:tc>
      </w:tr>
      <w:tr>
        <w:trPr>
          <w:trHeight w:val="133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101"/>
              <w:jc w:val="left"/>
              <w:rPr>
                <w:rFonts w:ascii="Times New Roman" w:hAnsi="Times New Roman" w:cs="Times New Roman" w:eastAsia="Times New Roman" w:hint="default"/>
                <w:sz w:val="18"/>
                <w:szCs w:val="18"/>
              </w:rPr>
            </w:pPr>
            <w:r>
              <w:rPr>
                <w:rFonts w:ascii="Times New Roman"/>
                <w:sz w:val="18"/>
              </w:rPr>
              <w:t>ISBN</w:t>
            </w:r>
            <w:r>
              <w:rPr>
                <w:rFonts w:ascii="Times New Roman"/>
                <w:w w:val="99"/>
                <w:sz w:val="18"/>
              </w:rPr>
              <w:t> </w:t>
            </w:r>
            <w:r>
              <w:rPr>
                <w:rFonts w:ascii="Times New Roman"/>
                <w:sz w:val="18"/>
              </w:rPr>
              <w:t>978-7-89</w:t>
            </w:r>
          </w:p>
          <w:p>
            <w:pPr>
              <w:pStyle w:val="TableParagraph"/>
              <w:spacing w:line="240" w:lineRule="auto" w:before="3"/>
              <w:ind w:left="23" w:right="0"/>
              <w:jc w:val="left"/>
              <w:rPr>
                <w:rFonts w:ascii="Times New Roman" w:hAnsi="Times New Roman" w:cs="Times New Roman" w:eastAsia="Times New Roman" w:hint="default"/>
                <w:sz w:val="18"/>
                <w:szCs w:val="18"/>
              </w:rPr>
            </w:pPr>
            <w:r>
              <w:rPr>
                <w:rFonts w:ascii="Times New Roman"/>
                <w:sz w:val="18"/>
              </w:rPr>
              <w:t>989-446-</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手游</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自主运营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深圳中青 宝互动网 络股份有 限公司</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道具收费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13,998,50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3,574,747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3.55%</w:t>
            </w:r>
          </w:p>
        </w:tc>
      </w:tr>
      <w:tr>
        <w:trPr>
          <w:trHeight w:val="134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4"/>
              <w:ind w:left="23" w:right="101"/>
              <w:jc w:val="left"/>
              <w:rPr>
                <w:rFonts w:ascii="Times New Roman" w:hAnsi="Times New Roman" w:cs="Times New Roman" w:eastAsia="Times New Roman" w:hint="default"/>
                <w:sz w:val="18"/>
                <w:szCs w:val="18"/>
              </w:rPr>
            </w:pPr>
            <w:r>
              <w:rPr>
                <w:rFonts w:ascii="Times New Roman"/>
                <w:sz w:val="18"/>
              </w:rPr>
              <w:t>ISBN</w:t>
            </w:r>
            <w:r>
              <w:rPr>
                <w:rFonts w:ascii="Times New Roman"/>
                <w:w w:val="99"/>
                <w:sz w:val="18"/>
              </w:rPr>
              <w:t> </w:t>
            </w:r>
            <w:r>
              <w:rPr>
                <w:rFonts w:ascii="Times New Roman"/>
                <w:sz w:val="18"/>
              </w:rPr>
              <w:t>978-7-89</w:t>
            </w:r>
          </w:p>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sz w:val="18"/>
              </w:rPr>
              <w:t>989-258-</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端游</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自主运营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41"/>
              <w:jc w:val="both"/>
              <w:rPr>
                <w:rFonts w:ascii="宋体" w:hAnsi="宋体" w:cs="宋体" w:eastAsia="宋体" w:hint="default"/>
                <w:sz w:val="18"/>
                <w:szCs w:val="18"/>
              </w:rPr>
            </w:pPr>
            <w:r>
              <w:rPr>
                <w:rFonts w:ascii="宋体" w:hAnsi="宋体" w:cs="宋体" w:eastAsia="宋体" w:hint="default"/>
                <w:sz w:val="18"/>
                <w:szCs w:val="18"/>
              </w:rPr>
              <w:t>深圳中青 宝互动网 络股份有 限公司</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道具收费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12,716,48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43,152.73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0.04%</w:t>
            </w:r>
          </w:p>
        </w:tc>
      </w:tr>
      <w:tr>
        <w:trPr>
          <w:trHeight w:val="1339"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101"/>
              <w:jc w:val="left"/>
              <w:rPr>
                <w:rFonts w:ascii="Times New Roman" w:hAnsi="Times New Roman" w:cs="Times New Roman" w:eastAsia="Times New Roman" w:hint="default"/>
                <w:sz w:val="18"/>
                <w:szCs w:val="18"/>
              </w:rPr>
            </w:pPr>
            <w:r>
              <w:rPr>
                <w:rFonts w:ascii="Times New Roman"/>
                <w:sz w:val="18"/>
              </w:rPr>
              <w:t>ISBN</w:t>
            </w:r>
            <w:r>
              <w:rPr>
                <w:rFonts w:ascii="Times New Roman"/>
                <w:w w:val="99"/>
                <w:sz w:val="18"/>
              </w:rPr>
              <w:t> </w:t>
            </w:r>
            <w:r>
              <w:rPr>
                <w:rFonts w:ascii="Times New Roman"/>
                <w:sz w:val="18"/>
              </w:rPr>
              <w:t>978-7-49</w:t>
            </w:r>
          </w:p>
          <w:p>
            <w:pPr>
              <w:pStyle w:val="TableParagraph"/>
              <w:spacing w:line="240" w:lineRule="auto" w:before="3"/>
              <w:ind w:left="23" w:right="0"/>
              <w:jc w:val="left"/>
              <w:rPr>
                <w:rFonts w:ascii="Times New Roman" w:hAnsi="Times New Roman" w:cs="Times New Roman" w:eastAsia="Times New Roman" w:hint="default"/>
                <w:sz w:val="18"/>
                <w:szCs w:val="18"/>
              </w:rPr>
            </w:pPr>
            <w:r>
              <w:rPr>
                <w:rFonts w:ascii="Times New Roman"/>
                <w:sz w:val="18"/>
              </w:rPr>
              <w:t>8-06027-</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手游</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联合运营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41"/>
              <w:jc w:val="both"/>
              <w:rPr>
                <w:rFonts w:ascii="宋体" w:hAnsi="宋体" w:cs="宋体" w:eastAsia="宋体" w:hint="default"/>
                <w:sz w:val="18"/>
                <w:szCs w:val="18"/>
              </w:rPr>
            </w:pPr>
            <w:r>
              <w:rPr>
                <w:rFonts w:ascii="宋体" w:hAnsi="宋体" w:cs="宋体" w:eastAsia="宋体" w:hint="default"/>
                <w:sz w:val="18"/>
                <w:szCs w:val="18"/>
              </w:rPr>
              <w:t>上海瑞酷 数码科技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华为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道具收费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12,639,02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13,698,47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2.15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13.62%</w:t>
            </w:r>
          </w:p>
        </w:tc>
      </w:tr>
    </w:tbl>
    <w:p>
      <w:pPr>
        <w:pStyle w:val="Heading3"/>
        <w:spacing w:line="240" w:lineRule="auto" w:before="39"/>
        <w:ind w:right="996"/>
        <w:jc w:val="left"/>
      </w:pPr>
      <w:r>
        <w:rPr/>
        <w:t>主要游戏分季度运营数据</w:t>
      </w:r>
    </w:p>
    <w:p>
      <w:pPr>
        <w:spacing w:line="240" w:lineRule="auto" w:before="2"/>
        <w:rPr>
          <w:rFonts w:ascii="宋体" w:hAnsi="宋体" w:cs="宋体" w:eastAsia="宋体" w:hint="default"/>
          <w:sz w:val="9"/>
          <w:szCs w:val="9"/>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游戏名称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季度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用户数量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活跃用户数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付费用户数量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ARPU</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充值流水</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324,585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199,819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373,299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26,182,810.00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366,385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217,181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376,391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24,614,764.00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283,271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213,265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359,441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26,436,958.00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213,284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187,114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391,108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25,306,512.00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152,018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7,207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65,922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14,343,421.00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91,252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11,278,237.00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602,135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649,606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15,538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475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7,387,863.00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319,898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372,592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5,796,573.00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25,113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54,947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2,911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893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2,599,469.00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11,908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376,902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14,948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3,347,473.00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413,746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4,015,433.00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409,457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3,746,567.00</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2"/>
                <w:sz w:val="18"/>
              </w:rPr>
              <w:t>12,116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405,761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14,772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251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3,710,139.00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5,296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502,485.00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1,198,682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1,198,441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12,320,181.00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427,774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511,479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26,304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7,268,690.00</w:t>
            </w:r>
          </w:p>
        </w:tc>
      </w:tr>
    </w:tbl>
    <w:p>
      <w:pPr>
        <w:pStyle w:val="Heading2"/>
        <w:spacing w:line="240" w:lineRule="auto" w:before="39"/>
        <w:ind w:right="996"/>
        <w:jc w:val="left"/>
        <w:rPr>
          <w:b w:val="0"/>
          <w:bCs w:val="0"/>
        </w:rPr>
      </w:pPr>
      <w:r>
        <w:rPr/>
        <w:t>（</w:t>
      </w:r>
      <w:r>
        <w:rPr>
          <w:rFonts w:ascii="Times New Roman" w:hAnsi="Times New Roman" w:cs="Times New Roman" w:eastAsia="Times New Roman" w:hint="default"/>
        </w:rPr>
        <w:t>2</w:t>
      </w:r>
      <w:r>
        <w:rPr/>
        <w:t>）占公司营业收入或营业利润</w:t>
      </w:r>
      <w:r>
        <w:rPr>
          <w:spacing w:val="-64"/>
        </w:rPr>
        <w:t> </w:t>
      </w:r>
      <w:r>
        <w:rPr>
          <w:rFonts w:ascii="Times New Roman" w:hAnsi="Times New Roman" w:cs="Times New Roman" w:eastAsia="Times New Roman" w:hint="default"/>
        </w:rPr>
        <w:t>10%</w:t>
      </w:r>
      <w:r>
        <w:rPr/>
        <w:t>以上的行业、产品或地区情况</w:t>
      </w:r>
      <w:r>
        <w:rPr>
          <w:b w:val="0"/>
          <w:bCs w:val="0"/>
        </w:rPr>
      </w:r>
    </w:p>
    <w:p>
      <w:pPr>
        <w:pStyle w:val="Heading3"/>
        <w:spacing w:line="240" w:lineRule="auto" w:before="135"/>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10"/>
        <w:rPr>
          <w:rFonts w:ascii="宋体" w:hAnsi="宋体" w:cs="宋体" w:eastAsia="宋体" w:hint="default"/>
          <w:sz w:val="7"/>
          <w:szCs w:val="7"/>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分行业（分运营模式）</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网络游戏业务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265,054,949.54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117,379,169.09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55.72%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36.32%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68.23%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-8.40%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云服务业务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186,680,775.36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111,997,333.43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97.17%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163.28%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-15.06%</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分产品（分游戏类型）</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MMO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游戏</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43,372,626.18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11,987,248.99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-12.91%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网页游戏</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4,331,585.94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4,739,290.54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-90.26%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-57.80%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-84.14%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手机游戏</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181,722,811.71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67,520,248.75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96.07%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63.37%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云服务业务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186,680,775.36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111,997,333.43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40.01%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97.17%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163.28%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-15.06%</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35,116,692.06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33,073,613.10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1,043.98%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937.08%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9.71%</w:t>
            </w:r>
          </w:p>
        </w:tc>
      </w:tr>
    </w:tbl>
    <w:p>
      <w:pPr>
        <w:pStyle w:val="Heading3"/>
        <w:spacing w:line="338" w:lineRule="auto" w:before="39"/>
        <w:ind w:right="1115"/>
        <w:jc w:val="left"/>
      </w:pPr>
      <w:r>
        <w:rPr/>
        <w:t>公司主营业务数据统计口径在报告期发生调整的情况下，公司最近 </w:t>
      </w:r>
      <w:r>
        <w:rPr>
          <w:rFonts w:ascii="Times New Roman" w:hAnsi="Times New Roman" w:cs="Times New Roman" w:eastAsia="Times New Roman" w:hint="default"/>
        </w:rPr>
        <w:t>1</w:t>
      </w:r>
      <w:r>
        <w:rPr>
          <w:rFonts w:ascii="Times New Roman" w:hAnsi="Times New Roman" w:cs="Times New Roman" w:eastAsia="Times New Roman" w:hint="default"/>
          <w:spacing w:val="-21"/>
        </w:rPr>
        <w:t> </w:t>
      </w:r>
      <w:r>
        <w:rPr/>
        <w:t>年按报告期末口径调整 后的主营业务数据</w:t>
      </w:r>
    </w:p>
    <w:p>
      <w:pPr>
        <w:pStyle w:val="Heading3"/>
        <w:spacing w:line="240" w:lineRule="auto" w:before="55"/>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pStyle w:val="Heading2"/>
        <w:spacing w:line="240" w:lineRule="auto" w:before="135"/>
        <w:ind w:right="996"/>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pStyle w:val="Heading3"/>
        <w:spacing w:line="240" w:lineRule="auto" w:before="135"/>
        <w:ind w:right="99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否</w:t>
      </w:r>
    </w:p>
    <w:p>
      <w:pPr>
        <w:pStyle w:val="Heading2"/>
        <w:spacing w:line="240" w:lineRule="auto" w:before="135"/>
        <w:ind w:right="996"/>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pStyle w:val="Heading3"/>
        <w:spacing w:line="240" w:lineRule="auto" w:before="135"/>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spacing w:line="338" w:lineRule="auto" w:before="136"/>
        <w:ind w:left="152" w:right="8706"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）营业成本构成</w:t>
      </w:r>
      <w:r>
        <w:rPr>
          <w:rFonts w:ascii="宋体" w:hAnsi="宋体" w:cs="宋体" w:eastAsia="宋体" w:hint="default"/>
          <w:b/>
          <w:bCs/>
          <w:w w:val="99"/>
          <w:sz w:val="24"/>
          <w:szCs w:val="24"/>
        </w:rPr>
        <w:t> </w:t>
      </w:r>
      <w:r>
        <w:rPr>
          <w:rFonts w:ascii="宋体" w:hAnsi="宋体" w:cs="宋体" w:eastAsia="宋体" w:hint="default"/>
          <w:sz w:val="24"/>
          <w:szCs w:val="24"/>
        </w:rPr>
        <w:t>行业和产品分类</w:t>
      </w:r>
    </w:p>
    <w:p>
      <w:pPr>
        <w:spacing w:before="6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2036"/>
        <w:gridCol w:w="1700"/>
        <w:gridCol w:w="1418"/>
        <w:gridCol w:w="1561"/>
        <w:gridCol w:w="141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3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5"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41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网络游戏业务</w:t>
            </w:r>
          </w:p>
        </w:tc>
        <w:tc>
          <w:tcPr>
            <w:tcW w:w="203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2036"/>
        <w:gridCol w:w="1700"/>
        <w:gridCol w:w="1418"/>
        <w:gridCol w:w="1561"/>
        <w:gridCol w:w="141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其中：公司自主 运营</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14,052,978.32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6,126,405.15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129.38%</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61" w:firstLine="451"/>
              <w:jc w:val="left"/>
              <w:rPr>
                <w:rFonts w:ascii="宋体" w:hAnsi="宋体" w:cs="宋体" w:eastAsia="宋体" w:hint="default"/>
                <w:sz w:val="18"/>
                <w:szCs w:val="18"/>
              </w:rPr>
            </w:pPr>
            <w:r>
              <w:rPr>
                <w:rFonts w:ascii="宋体" w:hAnsi="宋体" w:cs="宋体" w:eastAsia="宋体" w:hint="default"/>
                <w:sz w:val="18"/>
                <w:szCs w:val="18"/>
              </w:rPr>
              <w:t>与平台联 合运营</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70,193,809.96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28.25%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60,197,038.34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43.86%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16.61%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1"/>
              <w:jc w:val="right"/>
              <w:rPr>
                <w:rFonts w:ascii="宋体" w:hAnsi="宋体" w:cs="宋体" w:eastAsia="宋体" w:hint="default"/>
                <w:sz w:val="18"/>
                <w:szCs w:val="18"/>
              </w:rPr>
            </w:pPr>
            <w:r>
              <w:rPr>
                <w:rFonts w:ascii="宋体" w:hAnsi="宋体" w:cs="宋体" w:eastAsia="宋体" w:hint="default"/>
                <w:sz w:val="18"/>
                <w:szCs w:val="18"/>
              </w:rPr>
              <w:t>广告服务</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33,073,613.10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13.31%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3,189,099.43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937.08%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1"/>
              <w:jc w:val="right"/>
              <w:rPr>
                <w:rFonts w:ascii="宋体" w:hAnsi="宋体" w:cs="宋体" w:eastAsia="宋体" w:hint="default"/>
                <w:sz w:val="18"/>
                <w:szCs w:val="18"/>
              </w:rPr>
            </w:pPr>
            <w:r>
              <w:rPr>
                <w:rFonts w:ascii="宋体" w:hAnsi="宋体" w:cs="宋体" w:eastAsia="宋体" w:hint="default"/>
                <w:sz w:val="18"/>
                <w:szCs w:val="18"/>
              </w:rPr>
              <w:t>其他服务</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58,767.71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259,287.94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0.19%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-77.33%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云服务业务</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111,997,333.43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45.07%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42,539,745.89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163.28%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科技文旅业务</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7,306,500.60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2.94%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13,618,239.70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9.92%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-46.35%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11,820,112.51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11,308,148.42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4.53%</w:t>
            </w:r>
          </w:p>
        </w:tc>
      </w:tr>
    </w:tbl>
    <w:p>
      <w:pPr>
        <w:spacing w:before="4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2036"/>
        <w:gridCol w:w="1700"/>
        <w:gridCol w:w="1418"/>
        <w:gridCol w:w="1561"/>
        <w:gridCol w:w="141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3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5"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41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网络游戏业务</w:t>
            </w:r>
          </w:p>
        </w:tc>
        <w:tc>
          <w:tcPr>
            <w:tcW w:w="203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2"/>
                <w:sz w:val="18"/>
                <w:szCs w:val="18"/>
              </w:rPr>
              <w:t>：</w:t>
            </w:r>
            <w:r>
              <w:rPr>
                <w:rFonts w:ascii="Times New Roman" w:hAnsi="Times New Roman" w:cs="Times New Roman" w:eastAsia="Times New Roman" w:hint="default"/>
                <w:w w:val="99"/>
                <w:sz w:val="18"/>
                <w:szCs w:val="18"/>
              </w:rPr>
              <w:t>MMO</w:t>
            </w:r>
            <w:r>
              <w:rPr>
                <w:rFonts w:ascii="Times New Roman" w:hAnsi="Times New Roman" w:cs="Times New Roman" w:eastAsia="Times New Roman" w:hint="default"/>
                <w:sz w:val="18"/>
                <w:szCs w:val="18"/>
              </w:rPr>
              <w:t> </w:t>
            </w:r>
            <w:r>
              <w:rPr>
                <w:rFonts w:ascii="宋体" w:hAnsi="宋体" w:cs="宋体" w:eastAsia="宋体" w:hint="default"/>
                <w:sz w:val="18"/>
                <w:szCs w:val="18"/>
              </w:rPr>
              <w:t>游戏</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11,987,248.99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4.82%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13,763,937.01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10.03%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-12.91%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网页游戏</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4,739,290.54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11,230,637.55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-57.80%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5" w:right="0"/>
              <w:jc w:val="left"/>
              <w:rPr>
                <w:rFonts w:ascii="宋体" w:hAnsi="宋体" w:cs="宋体" w:eastAsia="宋体" w:hint="default"/>
                <w:sz w:val="18"/>
                <w:szCs w:val="18"/>
              </w:rPr>
            </w:pPr>
            <w:r>
              <w:rPr>
                <w:rFonts w:ascii="宋体" w:hAnsi="宋体" w:cs="宋体" w:eastAsia="宋体" w:hint="default"/>
                <w:sz w:val="18"/>
                <w:szCs w:val="18"/>
              </w:rPr>
              <w:t>手机游戏</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67,520,248.75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27.17%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41,328,868.93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30.12%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63.37%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广告服务</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33,073,613.10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13.31%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3,189,099.43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937.08%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5" w:right="0"/>
              <w:jc w:val="left"/>
              <w:rPr>
                <w:rFonts w:ascii="宋体" w:hAnsi="宋体" w:cs="宋体" w:eastAsia="宋体" w:hint="default"/>
                <w:sz w:val="18"/>
                <w:szCs w:val="18"/>
              </w:rPr>
            </w:pPr>
            <w:r>
              <w:rPr>
                <w:rFonts w:ascii="宋体" w:hAnsi="宋体" w:cs="宋体" w:eastAsia="宋体" w:hint="default"/>
                <w:sz w:val="18"/>
                <w:szCs w:val="18"/>
              </w:rPr>
              <w:t>其他服务</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58,767.71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259,287.94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0.19%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-77.33%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云服务业务</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111,997,333.43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45.07%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42,539,745.89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163.28%</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科技文旅业务</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7,306,500.60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2.94%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13,618,239.70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9.92%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-46.35%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11,820,112.51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11,308,148.42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4.53%</w:t>
            </w:r>
          </w:p>
        </w:tc>
      </w:tr>
    </w:tbl>
    <w:p>
      <w:pPr>
        <w:pStyle w:val="Heading2"/>
        <w:spacing w:line="240" w:lineRule="auto" w:before="39"/>
        <w:ind w:right="996"/>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pStyle w:val="Heading3"/>
        <w:spacing w:line="240" w:lineRule="auto" w:before="135"/>
        <w:ind w:right="99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w:t>
      </w:r>
    </w:p>
    <w:p>
      <w:pPr>
        <w:pStyle w:val="Heading3"/>
        <w:spacing w:line="240" w:lineRule="auto" w:before="135"/>
        <w:ind w:right="996"/>
        <w:jc w:val="left"/>
      </w:pPr>
      <w:r>
        <w:rPr/>
        <w:t>与上年相比，因非同一控制下企业合并增加深圳娱游 </w:t>
      </w:r>
      <w:r>
        <w:rPr>
          <w:rFonts w:ascii="Times New Roman" w:hAnsi="Times New Roman" w:cs="Times New Roman" w:eastAsia="Times New Roman" w:hint="default"/>
        </w:rPr>
        <w:t>1</w:t>
      </w:r>
      <w:r>
        <w:rPr>
          <w:rFonts w:ascii="Times New Roman" w:hAnsi="Times New Roman" w:cs="Times New Roman" w:eastAsia="Times New Roman" w:hint="default"/>
          <w:spacing w:val="-21"/>
        </w:rPr>
        <w:t> </w:t>
      </w:r>
      <w:r>
        <w:rPr/>
        <w:t>家子公司，新设增加乐山宝腾、山东</w:t>
      </w:r>
    </w:p>
    <w:p>
      <w:pPr>
        <w:pStyle w:val="Heading3"/>
        <w:spacing w:line="240" w:lineRule="auto" w:before="135"/>
        <w:ind w:right="996"/>
        <w:jc w:val="left"/>
        <w:rPr>
          <w:rFonts w:ascii="Times New Roman" w:hAnsi="Times New Roman" w:cs="Times New Roman" w:eastAsia="Times New Roman" w:hint="default"/>
        </w:rPr>
      </w:pPr>
      <w:r>
        <w:rPr/>
        <w:t>科讯达恒、合肥宝腾、深圳利得链 </w:t>
      </w:r>
      <w:r>
        <w:rPr>
          <w:rFonts w:ascii="Times New Roman" w:hAnsi="Times New Roman" w:cs="Times New Roman" w:eastAsia="Times New Roman" w:hint="default"/>
        </w:rPr>
        <w:t>4  </w:t>
      </w:r>
      <w:r>
        <w:rPr/>
        <w:t>家子公司，因注销减少杭州九锡、霍尔果斯中青聚宝</w:t>
      </w:r>
      <w:r>
        <w:rPr>
          <w:spacing w:val="-82"/>
        </w:rPr>
        <w:t> </w:t>
      </w:r>
      <w:r>
        <w:rPr>
          <w:rFonts w:ascii="Times New Roman" w:hAnsi="Times New Roman" w:cs="Times New Roman" w:eastAsia="Times New Roman" w:hint="default"/>
        </w:rPr>
        <w:t>2</w:t>
      </w:r>
    </w:p>
    <w:p>
      <w:pPr>
        <w:pStyle w:val="Heading3"/>
        <w:spacing w:line="240" w:lineRule="auto" w:before="135"/>
        <w:ind w:right="996"/>
        <w:jc w:val="left"/>
      </w:pPr>
      <w:r>
        <w:rPr/>
        <w:t>家子公司。</w:t>
      </w:r>
    </w:p>
    <w:p>
      <w:pPr>
        <w:pStyle w:val="Heading2"/>
        <w:spacing w:line="240" w:lineRule="auto" w:before="154"/>
        <w:ind w:right="996"/>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pStyle w:val="Heading3"/>
        <w:spacing w:line="240" w:lineRule="auto" w:before="135"/>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spacing w:line="338" w:lineRule="auto" w:before="136"/>
        <w:ind w:left="152" w:right="6779"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8</w:t>
      </w:r>
      <w:r>
        <w:rPr>
          <w:rFonts w:ascii="宋体" w:hAnsi="宋体" w:cs="宋体" w:eastAsia="宋体" w:hint="default"/>
          <w:b/>
          <w:bCs/>
          <w:sz w:val="24"/>
          <w:szCs w:val="24"/>
        </w:rPr>
        <w:t>）主要销售客户和主要供应商情况</w:t>
      </w:r>
      <w:r>
        <w:rPr>
          <w:rFonts w:ascii="宋体" w:hAnsi="宋体" w:cs="宋体" w:eastAsia="宋体" w:hint="default"/>
          <w:b/>
          <w:bCs/>
          <w:w w:val="99"/>
          <w:sz w:val="24"/>
          <w:szCs w:val="24"/>
        </w:rPr>
        <w:t> </w:t>
      </w:r>
      <w:r>
        <w:rPr>
          <w:rFonts w:ascii="宋体" w:hAnsi="宋体" w:cs="宋体" w:eastAsia="宋体" w:hint="default"/>
          <w:sz w:val="24"/>
          <w:szCs w:val="24"/>
        </w:rPr>
        <w:t>公司主要销售客户情况</w:t>
      </w: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190,947,403.41</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40.72%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716"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Heading3"/>
        <w:spacing w:line="240" w:lineRule="auto" w:before="39"/>
        <w:ind w:right="996"/>
        <w:jc w:val="left"/>
      </w:pPr>
      <w:r>
        <w:rPr/>
        <w:t>公司前</w:t>
      </w:r>
      <w:r>
        <w:rPr>
          <w:spacing w:val="-60"/>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5"/>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48,305,637.89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10.30%</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46,924,194.32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10.01%</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33,421,266.31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7.13%</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31,989,265.28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6.82%</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30,307,039.62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6.46%</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190,947,403.42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40.72%</w:t>
            </w:r>
          </w:p>
        </w:tc>
      </w:tr>
    </w:tbl>
    <w:p>
      <w:pPr>
        <w:pStyle w:val="Heading3"/>
        <w:spacing w:line="240" w:lineRule="auto" w:before="39"/>
        <w:ind w:right="996"/>
        <w:jc w:val="left"/>
      </w:pPr>
      <w:r>
        <w:rPr/>
        <w:t>主要客户其他情况说明</w:t>
      </w:r>
    </w:p>
    <w:p>
      <w:pPr>
        <w:pStyle w:val="Heading3"/>
        <w:spacing w:line="338" w:lineRule="auto" w:before="154"/>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公司主要供应商情况</w:t>
      </w: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168,188,482.43</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38.61%</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Heading3"/>
        <w:spacing w:line="240" w:lineRule="auto" w:before="55"/>
        <w:ind w:right="996"/>
        <w:jc w:val="left"/>
      </w:pPr>
      <w:r>
        <w:rPr/>
        <w:t>公司前</w:t>
      </w:r>
      <w:r>
        <w:rPr>
          <w:spacing w:val="-60"/>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5"/>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12" w:right="0"/>
              <w:jc w:val="left"/>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40,503,771.62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9.30%</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35,833,727.45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8.23%</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33,061,091.81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7.59%</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30,486,638.93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28,303,252.62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6.50%</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168,188,482.43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38.61%</w:t>
            </w:r>
          </w:p>
        </w:tc>
      </w:tr>
    </w:tbl>
    <w:p>
      <w:pPr>
        <w:pStyle w:val="Heading3"/>
        <w:spacing w:line="240" w:lineRule="auto" w:before="39"/>
        <w:ind w:right="996"/>
        <w:jc w:val="left"/>
      </w:pPr>
      <w:r>
        <w:rPr/>
        <w:t>主要供应商其他情况说明</w:t>
      </w:r>
    </w:p>
    <w:p>
      <w:pPr>
        <w:pStyle w:val="Heading3"/>
        <w:spacing w:line="240" w:lineRule="auto" w:before="154"/>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pStyle w:val="Heading2"/>
        <w:spacing w:line="240" w:lineRule="auto" w:before="135"/>
        <w:ind w:right="996"/>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0"/>
        <w:rPr>
          <w:rFonts w:ascii="宋体" w:hAnsi="宋体" w:cs="宋体" w:eastAsia="宋体" w:hint="default"/>
          <w:b/>
          <w:bCs/>
          <w:sz w:val="7"/>
          <w:szCs w:val="7"/>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9"/>
      </w:tblGrid>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3"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3" w:right="0"/>
              <w:jc w:val="left"/>
              <w:rPr>
                <w:rFonts w:ascii="Times New Roman" w:hAnsi="Times New Roman" w:cs="Times New Roman" w:eastAsia="Times New Roman" w:hint="default"/>
                <w:sz w:val="18"/>
                <w:szCs w:val="18"/>
              </w:rPr>
            </w:pPr>
            <w:r>
              <w:rPr>
                <w:rFonts w:ascii="Times New Roman"/>
                <w:sz w:val="18"/>
              </w:rPr>
              <w:t>101,373,805.62</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62,716,446.69</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61.64%</w:t>
            </w:r>
          </w:p>
        </w:tc>
        <w:tc>
          <w:tcPr>
            <w:tcW w:w="2919" w:type="dxa"/>
            <w:vMerge w:val="restart"/>
            <w:tcBorders>
              <w:top w:val="single" w:sz="4" w:space="0" w:color="000000"/>
              <w:left w:val="single" w:sz="4" w:space="0" w:color="000000"/>
              <w:right w:val="single" w:sz="4" w:space="0" w:color="000000"/>
            </w:tcBorders>
          </w:tcPr>
          <w:p>
            <w:pPr>
              <w:pStyle w:val="TableParagraph"/>
              <w:spacing w:line="314"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报告期对游戏产品投入的广告推广 费增加所致</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60" w:right="0"/>
              <w:jc w:val="left"/>
              <w:rPr>
                <w:rFonts w:ascii="Times New Roman" w:hAnsi="Times New Roman" w:cs="Times New Roman" w:eastAsia="Times New Roman" w:hint="default"/>
                <w:sz w:val="18"/>
                <w:szCs w:val="18"/>
              </w:rPr>
            </w:pPr>
            <w:r>
              <w:rPr>
                <w:rFonts w:ascii="Times New Roman"/>
                <w:sz w:val="18"/>
              </w:rPr>
              <w:t>39,664,241.26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38,093,198.01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2" w:right="0"/>
              <w:jc w:val="left"/>
              <w:rPr>
                <w:rFonts w:ascii="Times New Roman" w:hAnsi="Times New Roman" w:cs="Times New Roman" w:eastAsia="Times New Roman" w:hint="default"/>
                <w:sz w:val="18"/>
                <w:szCs w:val="18"/>
              </w:rPr>
            </w:pPr>
            <w:r>
              <w:rPr>
                <w:rFonts w:ascii="Times New Roman"/>
                <w:sz w:val="18"/>
              </w:rPr>
              <w:t>4.12%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637"/>
        <w:gridCol w:w="1637"/>
        <w:gridCol w:w="1462"/>
        <w:gridCol w:w="2919"/>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10,157,281.63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-1,039,935.91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1,076.72%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报告期增加流动资金贷款及汇率变 动所致</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42,488,546.37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44,814,450.52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-5.19%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Heading2"/>
        <w:spacing w:line="240" w:lineRule="auto" w:before="39"/>
        <w:ind w:right="996"/>
        <w:jc w:val="left"/>
        <w:rPr>
          <w:b w:val="0"/>
          <w:bCs w:val="0"/>
        </w:rPr>
      </w:pPr>
      <w:r>
        <w:rPr>
          <w:rFonts w:ascii="Times New Roman" w:hAnsi="Times New Roman" w:cs="Times New Roman" w:eastAsia="Times New Roman" w:hint="default"/>
        </w:rPr>
        <w:t>4</w:t>
      </w:r>
      <w:r>
        <w:rPr/>
        <w:t>、研发投入</w:t>
      </w:r>
      <w:r>
        <w:rPr>
          <w:b w:val="0"/>
          <w:bCs w:val="0"/>
        </w:rPr>
      </w:r>
    </w:p>
    <w:p>
      <w:pPr>
        <w:pStyle w:val="Heading3"/>
        <w:spacing w:line="348" w:lineRule="auto" w:before="135"/>
        <w:ind w:right="5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报告期内，公司在研项目主要以手机游戏为主。 近三年公司研发投入金额及占营业收入的比例</w:t>
      </w: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246</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48.24%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42,488,546.37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44,814,450.52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65,000,093.13</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20.75%</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pStyle w:val="Heading3"/>
        <w:spacing w:line="240" w:lineRule="auto" w:before="46"/>
        <w:ind w:right="996"/>
        <w:jc w:val="left"/>
      </w:pPr>
      <w:r>
        <w:rPr/>
        <w:t>研发投入总额占营业收入的比重较上年发生显著变化的原因</w:t>
      </w:r>
    </w:p>
    <w:p>
      <w:pPr>
        <w:pStyle w:val="Heading3"/>
        <w:spacing w:line="338" w:lineRule="auto" w:before="154"/>
        <w:ind w:right="54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研发投入资本化率大幅变动的原因及其合理性说明</w:t>
      </w:r>
    </w:p>
    <w:p>
      <w:pPr>
        <w:pStyle w:val="Heading3"/>
        <w:spacing w:line="348" w:lineRule="auto" w:before="55"/>
        <w:ind w:right="3794"/>
        <w:jc w:val="left"/>
        <w:rPr>
          <w:rFonts w:ascii="宋体" w:hAnsi="宋体" w:cs="宋体" w:eastAsia="宋体"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本期基于谨慎性原则将商业化程度低的研究开发支出计入费用化。 </w:t>
      </w:r>
      <w:r>
        <w:rPr>
          <w:rFonts w:ascii="Times New Roman" w:hAnsi="Times New Roman" w:cs="Times New Roman" w:eastAsia="Times New Roman" w:hint="default"/>
          <w:b/>
          <w:bCs/>
        </w:rPr>
        <w:t>5</w:t>
      </w:r>
      <w:r>
        <w:rPr>
          <w:rFonts w:ascii="宋体" w:hAnsi="宋体" w:cs="宋体" w:eastAsia="宋体" w:hint="default"/>
          <w:b/>
          <w:bCs/>
        </w:rPr>
        <w:t>、现金流</w:t>
      </w:r>
      <w:r>
        <w:rPr>
          <w:rFonts w:ascii="宋体" w:hAnsi="宋体" w:cs="宋体" w:eastAsia="宋体" w:hint="default"/>
        </w:rPr>
      </w:r>
    </w:p>
    <w:p>
      <w:pPr>
        <w:spacing w:before="26"/>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461,549,698.72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306,180,451.49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50.74%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458,476,786.53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311,648,428.52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47.11%</w:t>
            </w:r>
          </w:p>
        </w:tc>
      </w:tr>
      <w:tr>
        <w:trPr>
          <w:trHeight w:val="716"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3,072,912.19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-5,467,977.03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156.20%</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210,347,352.96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309,961,362.79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-32.14%</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321,897,338.16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281,481,214.96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14.36%</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-111,549,985.20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28,480,147.83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-491.68%</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336,167,906.00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102,754,000.00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227.16%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r>
        <w:rPr/>
        <w:pict>
          <v:group style="position:absolute;margin-left:432.670013pt;margin-top:681.339966pt;width:102.3pt;height:28pt;mso-position-horizontal-relative:page;mso-position-vertical-relative:page;z-index:-1245112" coordorigin="8653,13627" coordsize="2046,560">
            <v:group style="position:absolute;left:8653;top:13627;width:2046;height:156" coordorigin="8653,13627" coordsize="2046,156">
              <v:shape style="position:absolute;left:8653;top:13627;width:2046;height:156" coordorigin="8653,13627" coordsize="2046,156" path="m8653,13783l10699,13783,10699,13627,8653,13627,8653,13783xe" filled="true" fillcolor="#ffffff" stroked="false">
                <v:path arrowok="t"/>
                <v:fill type="solid"/>
              </v:shape>
            </v:group>
            <v:group style="position:absolute;left:8666;top:13783;width:2;height:392" coordorigin="8666,13783" coordsize="2,392">
              <v:shape style="position:absolute;left:8666;top:13783;width:2;height:392" coordorigin="8666,13783" coordsize="0,392" path="m8666,13783l8666,14174e" filled="false" stroked="true" strokeweight="1.224pt" strokecolor="#ffffff">
                <v:path arrowok="t"/>
              </v:shape>
            </v:group>
            <v:group style="position:absolute;left:8678;top:13783;width:1997;height:392" coordorigin="8678,13783" coordsize="1997,392">
              <v:shape style="position:absolute;left:8678;top:13783;width:1997;height:392" coordorigin="8678,13783" coordsize="1997,392" path="m8678,14174l10675,14174,10675,13783,8678,13783,8678,14174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288,510,965.64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74,071,163.60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289.51%</w:t>
            </w:r>
          </w:p>
        </w:tc>
      </w:tr>
      <w:tr>
        <w:trPr>
          <w:trHeight w:val="716"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47,656,940.36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28,682,836.40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66.15%</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-60,858,418.84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51,766,094.15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-217.56%</w:t>
            </w:r>
          </w:p>
        </w:tc>
      </w:tr>
    </w:tbl>
    <w:p>
      <w:pPr>
        <w:pStyle w:val="Heading3"/>
        <w:spacing w:line="240" w:lineRule="auto" w:before="39"/>
        <w:ind w:right="996"/>
        <w:jc w:val="left"/>
      </w:pPr>
      <w:r>
        <w:rPr/>
        <w:t>相关数据同比发生重大变动的主要影响因素说明</w:t>
      </w:r>
    </w:p>
    <w:p>
      <w:pPr>
        <w:pStyle w:val="Heading3"/>
        <w:spacing w:line="240" w:lineRule="auto" w:before="154"/>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pStyle w:val="Heading3"/>
        <w:spacing w:line="338" w:lineRule="auto" w:before="135"/>
        <w:ind w:right="1122" w:firstLine="480"/>
        <w:jc w:val="left"/>
      </w:pPr>
      <w:r>
        <w:rPr/>
        <w:t>经营活动产生的现金流量净额较上年同期增加</w:t>
      </w:r>
      <w:r>
        <w:rPr>
          <w:spacing w:val="12"/>
        </w:rPr>
        <w:t> </w:t>
      </w:r>
      <w:r>
        <w:rPr>
          <w:rFonts w:ascii="Times New Roman" w:hAnsi="Times New Roman" w:cs="Times New Roman" w:eastAsia="Times New Roman" w:hint="default"/>
        </w:rPr>
        <w:t>156.20%</w:t>
      </w:r>
      <w:r>
        <w:rPr/>
        <w:t>，主要系报告期销售回款增加同 时经营性支出增加所致；</w:t>
      </w:r>
    </w:p>
    <w:p>
      <w:pPr>
        <w:pStyle w:val="Heading3"/>
        <w:spacing w:line="338" w:lineRule="auto" w:before="55"/>
        <w:ind w:right="1122" w:firstLine="480"/>
        <w:jc w:val="left"/>
      </w:pPr>
      <w:r>
        <w:rPr/>
        <w:t>投资活动产生的现金流量净额较上年同期减少</w:t>
      </w:r>
      <w:r>
        <w:rPr>
          <w:spacing w:val="12"/>
        </w:rPr>
        <w:t> </w:t>
      </w:r>
      <w:r>
        <w:rPr>
          <w:rFonts w:ascii="Times New Roman" w:hAnsi="Times New Roman" w:cs="Times New Roman" w:eastAsia="Times New Roman" w:hint="default"/>
        </w:rPr>
        <w:t>491.68%</w:t>
      </w:r>
      <w:r>
        <w:rPr/>
        <w:t>，主要系报告期购买理财产品、 对外投资所致；</w:t>
      </w:r>
    </w:p>
    <w:p>
      <w:pPr>
        <w:pStyle w:val="Heading3"/>
        <w:spacing w:line="348" w:lineRule="auto" w:before="55"/>
        <w:ind w:right="1120" w:firstLine="480"/>
        <w:jc w:val="left"/>
      </w:pPr>
      <w:r>
        <w:rPr/>
        <w:t>筹资活动产生的现金流量净额较上年同期增加</w:t>
      </w:r>
      <w:r>
        <w:rPr>
          <w:spacing w:val="-43"/>
        </w:rPr>
        <w:t> </w:t>
      </w:r>
      <w:r>
        <w:rPr>
          <w:rFonts w:ascii="Times New Roman" w:hAnsi="Times New Roman" w:cs="Times New Roman" w:eastAsia="Times New Roman" w:hint="default"/>
          <w:spacing w:val="-3"/>
        </w:rPr>
        <w:t>66.15%</w:t>
      </w:r>
      <w:r>
        <w:rPr>
          <w:spacing w:val="-3"/>
        </w:rPr>
        <w:t>，主要系报告期增加银行借款、支</w:t>
      </w:r>
      <w:r>
        <w:rPr/>
        <w:t> 付分红、支付收购款所致。 报告期内公司经营活动产生的现金净流量与本年度净利润存在重大差异的原因说明</w:t>
      </w:r>
    </w:p>
    <w:p>
      <w:pPr>
        <w:spacing w:line="499" w:lineRule="auto" w:before="46"/>
        <w:ind w:left="152" w:right="8585"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三、非主营业务情况</w:t>
      </w:r>
      <w:r>
        <w:rPr>
          <w:rFonts w:ascii="宋体" w:hAnsi="宋体" w:cs="宋体" w:eastAsia="宋体" w:hint="default"/>
          <w:sz w:val="24"/>
          <w:szCs w:val="24"/>
        </w:rPr>
      </w:r>
    </w:p>
    <w:p>
      <w:pPr>
        <w:pStyle w:val="Heading3"/>
        <w:spacing w:line="240" w:lineRule="auto" w:before="115"/>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before="146"/>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12"/>
        <w:gridCol w:w="1916"/>
        <w:gridCol w:w="1623"/>
        <w:gridCol w:w="2451"/>
        <w:gridCol w:w="2057"/>
      </w:tblGrid>
      <w:tr>
        <w:trPr>
          <w:trHeight w:val="401"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1"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0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0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317"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44,233,044.96</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79.42%</w:t>
            </w:r>
          </w:p>
        </w:tc>
        <w:tc>
          <w:tcPr>
            <w:tcW w:w="2451"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本期处置股权取得的投资收益</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42,191,448.5</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元，银行理财产品</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投资收益</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3,137,511.85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c>
          <w:tcPr>
            <w:tcW w:w="20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10"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451" w:type="dxa"/>
            <w:vMerge/>
            <w:tcBorders>
              <w:left w:val="single" w:sz="4" w:space="0" w:color="000000"/>
              <w:right w:val="single" w:sz="4" w:space="0" w:color="000000"/>
            </w:tcBorders>
          </w:tcPr>
          <w:p>
            <w:pPr/>
          </w:p>
        </w:tc>
        <w:tc>
          <w:tcPr>
            <w:tcW w:w="2057" w:type="dxa"/>
            <w:vMerge/>
            <w:tcBorders>
              <w:left w:val="single" w:sz="4" w:space="0" w:color="000000"/>
              <w:right w:val="single" w:sz="4" w:space="0" w:color="000000"/>
            </w:tcBorders>
          </w:tcPr>
          <w:p>
            <w:pPr/>
          </w:p>
        </w:tc>
      </w:tr>
      <w:tr>
        <w:trPr>
          <w:trHeight w:val="317"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451" w:type="dxa"/>
            <w:vMerge/>
            <w:tcBorders>
              <w:left w:val="single" w:sz="4" w:space="0" w:color="000000"/>
              <w:bottom w:val="single" w:sz="4" w:space="0" w:color="000000"/>
              <w:right w:val="single" w:sz="4" w:space="0" w:color="000000"/>
            </w:tcBorders>
          </w:tcPr>
          <w:p>
            <w:pPr/>
          </w:p>
        </w:tc>
        <w:tc>
          <w:tcPr>
            <w:tcW w:w="2057" w:type="dxa"/>
            <w:vMerge/>
            <w:tcBorders>
              <w:left w:val="single" w:sz="4" w:space="0" w:color="000000"/>
              <w:bottom w:val="single" w:sz="4" w:space="0" w:color="000000"/>
              <w:right w:val="single" w:sz="4" w:space="0" w:color="000000"/>
            </w:tcBorders>
          </w:tcPr>
          <w:p>
            <w:pPr/>
          </w:p>
        </w:tc>
      </w:tr>
      <w:tr>
        <w:trPr>
          <w:trHeight w:val="319"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5,868,493.15</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10.54%</w:t>
            </w:r>
          </w:p>
        </w:tc>
        <w:tc>
          <w:tcPr>
            <w:tcW w:w="2451" w:type="dxa"/>
            <w:vMerge w:val="restart"/>
            <w:tcBorders>
              <w:top w:val="single" w:sz="4" w:space="0" w:color="000000"/>
              <w:left w:val="single" w:sz="4" w:space="0" w:color="000000"/>
              <w:right w:val="single" w:sz="4" w:space="0" w:color="000000"/>
            </w:tcBorders>
          </w:tcPr>
          <w:p>
            <w:pPr>
              <w:pStyle w:val="TableParagraph"/>
              <w:spacing w:line="314"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本期其他权益工具投资公允变 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银行理财收</w:t>
            </w:r>
          </w:p>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131,506.85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20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vMerge/>
            <w:tcBorders>
              <w:left w:val="single" w:sz="10"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451" w:type="dxa"/>
            <w:vMerge/>
            <w:tcBorders>
              <w:left w:val="single" w:sz="4" w:space="0" w:color="000000"/>
              <w:right w:val="single" w:sz="4" w:space="0" w:color="000000"/>
            </w:tcBorders>
          </w:tcPr>
          <w:p>
            <w:pPr/>
          </w:p>
        </w:tc>
        <w:tc>
          <w:tcPr>
            <w:tcW w:w="2057" w:type="dxa"/>
            <w:vMerge/>
            <w:tcBorders>
              <w:left w:val="single" w:sz="4" w:space="0" w:color="000000"/>
              <w:right w:val="single" w:sz="4" w:space="0" w:color="000000"/>
            </w:tcBorders>
          </w:tcPr>
          <w:p>
            <w:pPr/>
          </w:p>
        </w:tc>
      </w:tr>
      <w:tr>
        <w:trPr>
          <w:trHeight w:val="317"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451" w:type="dxa"/>
            <w:vMerge/>
            <w:tcBorders>
              <w:left w:val="single" w:sz="4" w:space="0" w:color="000000"/>
              <w:bottom w:val="single" w:sz="4" w:space="0" w:color="000000"/>
              <w:right w:val="single" w:sz="4" w:space="0" w:color="000000"/>
            </w:tcBorders>
          </w:tcPr>
          <w:p>
            <w:pPr/>
          </w:p>
        </w:tc>
        <w:tc>
          <w:tcPr>
            <w:tcW w:w="2057" w:type="dxa"/>
            <w:vMerge/>
            <w:tcBorders>
              <w:left w:val="single" w:sz="4" w:space="0" w:color="000000"/>
              <w:bottom w:val="single" w:sz="4" w:space="0" w:color="000000"/>
              <w:right w:val="single" w:sz="4" w:space="0" w:color="000000"/>
            </w:tcBorders>
          </w:tcPr>
          <w:p>
            <w:pPr/>
          </w:p>
        </w:tc>
      </w:tr>
      <w:tr>
        <w:trPr>
          <w:trHeight w:val="317"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6,802,855.53</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12.21%</w:t>
            </w:r>
          </w:p>
        </w:tc>
        <w:tc>
          <w:tcPr>
            <w:tcW w:w="2451"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本期计提长期股权投资减值损 失</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5,558,659.45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元、商誉减值</w:t>
            </w:r>
          </w:p>
          <w:p>
            <w:pPr>
              <w:pStyle w:val="TableParagraph"/>
              <w:spacing w:line="248"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1,244,196.08 </w:t>
            </w:r>
            <w:r>
              <w:rPr>
                <w:rFonts w:ascii="宋体" w:hAnsi="宋体" w:cs="宋体" w:eastAsia="宋体" w:hint="default"/>
                <w:sz w:val="18"/>
                <w:szCs w:val="18"/>
              </w:rPr>
              <w:t>元</w:t>
            </w:r>
          </w:p>
        </w:tc>
        <w:tc>
          <w:tcPr>
            <w:tcW w:w="20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10"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451" w:type="dxa"/>
            <w:vMerge/>
            <w:tcBorders>
              <w:left w:val="single" w:sz="4" w:space="0" w:color="000000"/>
              <w:right w:val="single" w:sz="4" w:space="0" w:color="000000"/>
            </w:tcBorders>
          </w:tcPr>
          <w:p>
            <w:pPr/>
          </w:p>
        </w:tc>
        <w:tc>
          <w:tcPr>
            <w:tcW w:w="2057" w:type="dxa"/>
            <w:vMerge/>
            <w:tcBorders>
              <w:left w:val="single" w:sz="4" w:space="0" w:color="000000"/>
              <w:right w:val="single" w:sz="4" w:space="0" w:color="000000"/>
            </w:tcBorders>
          </w:tcPr>
          <w:p>
            <w:pPr/>
          </w:p>
        </w:tc>
      </w:tr>
      <w:tr>
        <w:trPr>
          <w:trHeight w:val="317"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451" w:type="dxa"/>
            <w:vMerge/>
            <w:tcBorders>
              <w:left w:val="single" w:sz="4" w:space="0" w:color="000000"/>
              <w:bottom w:val="single" w:sz="4" w:space="0" w:color="000000"/>
              <w:right w:val="single" w:sz="4" w:space="0" w:color="000000"/>
            </w:tcBorders>
          </w:tcPr>
          <w:p>
            <w:pPr/>
          </w:p>
        </w:tc>
        <w:tc>
          <w:tcPr>
            <w:tcW w:w="2057" w:type="dxa"/>
            <w:vMerge/>
            <w:tcBorders>
              <w:left w:val="single" w:sz="4" w:space="0" w:color="000000"/>
              <w:bottom w:val="single" w:sz="4" w:space="0" w:color="000000"/>
              <w:right w:val="single" w:sz="4" w:space="0" w:color="000000"/>
            </w:tcBorders>
          </w:tcPr>
          <w:p>
            <w:pPr/>
          </w:p>
        </w:tc>
      </w:tr>
      <w:tr>
        <w:trPr>
          <w:trHeight w:val="164"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6,138,297.31</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43" w:right="0"/>
              <w:jc w:val="left"/>
              <w:rPr>
                <w:rFonts w:ascii="Times New Roman" w:hAnsi="Times New Roman" w:cs="Times New Roman" w:eastAsia="Times New Roman" w:hint="default"/>
                <w:sz w:val="18"/>
                <w:szCs w:val="18"/>
              </w:rPr>
            </w:pPr>
            <w:r>
              <w:rPr>
                <w:rFonts w:ascii="Times New Roman"/>
                <w:sz w:val="18"/>
              </w:rPr>
              <w:t>11.02%</w:t>
            </w:r>
          </w:p>
        </w:tc>
        <w:tc>
          <w:tcPr>
            <w:tcW w:w="2451" w:type="dxa"/>
            <w:vMerge w:val="restart"/>
            <w:tcBorders>
              <w:top w:val="single" w:sz="4" w:space="0" w:color="000000"/>
              <w:left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本期确认政府补贴</w:t>
            </w:r>
          </w:p>
          <w:p>
            <w:pPr>
              <w:pStyle w:val="TableParagraph"/>
              <w:spacing w:line="240" w:lineRule="auto" w:before="7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5,873,180.68 </w:t>
            </w:r>
            <w:r>
              <w:rPr>
                <w:rFonts w:ascii="宋体" w:hAnsi="宋体" w:cs="宋体" w:eastAsia="宋体" w:hint="default"/>
                <w:sz w:val="18"/>
                <w:szCs w:val="18"/>
              </w:rPr>
              <w:t>元</w:t>
            </w:r>
          </w:p>
        </w:tc>
        <w:tc>
          <w:tcPr>
            <w:tcW w:w="205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vMerge/>
            <w:tcBorders>
              <w:left w:val="single" w:sz="10"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451" w:type="dxa"/>
            <w:vMerge/>
            <w:tcBorders>
              <w:left w:val="single" w:sz="4" w:space="0" w:color="000000"/>
              <w:right w:val="single" w:sz="4" w:space="0" w:color="000000"/>
            </w:tcBorders>
          </w:tcPr>
          <w:p>
            <w:pPr/>
          </w:p>
        </w:tc>
        <w:tc>
          <w:tcPr>
            <w:tcW w:w="2057"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451" w:type="dxa"/>
            <w:vMerge/>
            <w:tcBorders>
              <w:left w:val="single" w:sz="4" w:space="0" w:color="000000"/>
              <w:bottom w:val="single" w:sz="4" w:space="0" w:color="000000"/>
              <w:right w:val="single" w:sz="4" w:space="0" w:color="000000"/>
            </w:tcBorders>
          </w:tcPr>
          <w:p>
            <w:pPr/>
          </w:p>
        </w:tc>
        <w:tc>
          <w:tcPr>
            <w:tcW w:w="2057" w:type="dxa"/>
            <w:vMerge/>
            <w:tcBorders>
              <w:left w:val="single" w:sz="4" w:space="0" w:color="000000"/>
              <w:bottom w:val="single" w:sz="4" w:space="0" w:color="000000"/>
              <w:right w:val="single" w:sz="4" w:space="0" w:color="000000"/>
            </w:tcBorders>
          </w:tcPr>
          <w:p>
            <w:pP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1,790,391.38</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3.21%</w:t>
            </w:r>
          </w:p>
        </w:tc>
        <w:tc>
          <w:tcPr>
            <w:tcW w:w="2451"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3"/>
                <w:sz w:val="18"/>
                <w:szCs w:val="18"/>
              </w:rPr>
              <w:t>本期确认罚款支出（及违约金</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1,692,841.04 </w:t>
            </w:r>
            <w:r>
              <w:rPr>
                <w:rFonts w:ascii="宋体" w:hAnsi="宋体" w:cs="宋体" w:eastAsia="宋体" w:hint="default"/>
                <w:sz w:val="18"/>
                <w:szCs w:val="18"/>
              </w:rPr>
              <w:t>元</w:t>
            </w:r>
          </w:p>
        </w:tc>
        <w:tc>
          <w:tcPr>
            <w:tcW w:w="2057" w:type="dxa"/>
            <w:vMerge w:val="restart"/>
            <w:tcBorders>
              <w:top w:val="single" w:sz="4" w:space="0" w:color="000000"/>
              <w:left w:val="single" w:sz="4" w:space="0" w:color="000000"/>
              <w:right w:val="single" w:sz="4" w:space="0" w:color="000000"/>
            </w:tcBorders>
          </w:tcPr>
          <w:p>
            <w:pPr>
              <w:pStyle w:val="TableParagraph"/>
              <w:spacing w:line="196" w:lineRule="exact"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vMerge/>
            <w:tcBorders>
              <w:left w:val="single" w:sz="10"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451" w:type="dxa"/>
            <w:vMerge/>
            <w:tcBorders>
              <w:left w:val="single" w:sz="4" w:space="0" w:color="000000"/>
              <w:right w:val="single" w:sz="4" w:space="0" w:color="000000"/>
            </w:tcBorders>
          </w:tcPr>
          <w:p>
            <w:pPr/>
          </w:p>
        </w:tc>
        <w:tc>
          <w:tcPr>
            <w:tcW w:w="2057" w:type="dxa"/>
            <w:vMerge/>
            <w:tcBorders>
              <w:left w:val="single" w:sz="4" w:space="0" w:color="000000"/>
              <w:right w:val="single" w:sz="4" w:space="0" w:color="000000"/>
            </w:tcBorders>
          </w:tcPr>
          <w:p>
            <w:pPr/>
          </w:p>
        </w:tc>
      </w:tr>
      <w:tr>
        <w:trPr>
          <w:trHeight w:val="163"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451" w:type="dxa"/>
            <w:vMerge/>
            <w:tcBorders>
              <w:left w:val="single" w:sz="4" w:space="0" w:color="000000"/>
              <w:bottom w:val="single" w:sz="4" w:space="0" w:color="000000"/>
              <w:right w:val="single" w:sz="4" w:space="0" w:color="000000"/>
            </w:tcBorders>
          </w:tcPr>
          <w:p>
            <w:pPr/>
          </w:p>
        </w:tc>
        <w:tc>
          <w:tcPr>
            <w:tcW w:w="2057"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996"/>
        <w:jc w:val="left"/>
        <w:rPr>
          <w:b w:val="0"/>
          <w:bCs w:val="0"/>
        </w:rPr>
      </w:pPr>
      <w:r>
        <w:rPr/>
        <w:t>四、资产及负债状况</w:t>
      </w:r>
      <w:r>
        <w:rPr>
          <w:b w:val="0"/>
          <w:bCs w:val="0"/>
        </w:rPr>
      </w:r>
    </w:p>
    <w:p>
      <w:pPr>
        <w:spacing w:line="240" w:lineRule="auto" w:before="11"/>
        <w:rPr>
          <w:rFonts w:ascii="宋体" w:hAnsi="宋体" w:cs="宋体" w:eastAsia="宋体" w:hint="default"/>
          <w:b/>
          <w:bCs/>
          <w:sz w:val="28"/>
          <w:szCs w:val="28"/>
        </w:rPr>
      </w:pPr>
    </w:p>
    <w:p>
      <w:pPr>
        <w:pStyle w:val="Heading2"/>
        <w:spacing w:line="240" w:lineRule="auto"/>
        <w:ind w:right="996"/>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0"/>
        <w:rPr>
          <w:rFonts w:ascii="宋体" w:hAnsi="宋体" w:cs="宋体" w:eastAsia="宋体" w:hint="default"/>
          <w:b/>
          <w:bCs/>
          <w:sz w:val="7"/>
          <w:szCs w:val="7"/>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164"/>
        <w:gridCol w:w="1297"/>
        <w:gridCol w:w="1135"/>
        <w:gridCol w:w="1416"/>
        <w:gridCol w:w="1277"/>
        <w:gridCol w:w="1913"/>
      </w:tblGrid>
      <w:tr>
        <w:trPr>
          <w:trHeight w:val="206"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246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5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2461" w:type="dxa"/>
            <w:gridSpan w:val="2"/>
            <w:vMerge/>
            <w:tcBorders>
              <w:left w:val="single" w:sz="4" w:space="0" w:color="000000"/>
              <w:bottom w:val="single" w:sz="4" w:space="0" w:color="000000"/>
              <w:right w:val="single" w:sz="4" w:space="0" w:color="000000"/>
            </w:tcBorders>
            <w:shd w:val="clear" w:color="auto" w:fill="D2D2D2"/>
          </w:tcPr>
          <w:p>
            <w:pPr/>
          </w:p>
        </w:tc>
        <w:tc>
          <w:tcPr>
            <w:tcW w:w="2552" w:type="dxa"/>
            <w:gridSpan w:val="2"/>
            <w:vMerge/>
            <w:tcBorders>
              <w:left w:val="single" w:sz="4" w:space="0" w:color="000000"/>
              <w:bottom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6"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1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277"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c>
          <w:tcPr>
            <w:tcW w:w="1297" w:type="dxa"/>
            <w:vMerge/>
            <w:tcBorders>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270,570,112.2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2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1" w:right="0"/>
              <w:jc w:val="left"/>
              <w:rPr>
                <w:rFonts w:ascii="Times New Roman" w:hAnsi="Times New Roman" w:cs="Times New Roman" w:eastAsia="Times New Roman" w:hint="default"/>
                <w:sz w:val="18"/>
                <w:szCs w:val="18"/>
              </w:rPr>
            </w:pPr>
            <w:r>
              <w:rPr>
                <w:rFonts w:ascii="Times New Roman"/>
                <w:sz w:val="18"/>
              </w:rPr>
              <w:t>18.81%</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229,974,588.3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0" w:right="0"/>
              <w:jc w:val="left"/>
              <w:rPr>
                <w:rFonts w:ascii="Times New Roman" w:hAnsi="Times New Roman" w:cs="Times New Roman" w:eastAsia="Times New Roman" w:hint="default"/>
                <w:sz w:val="18"/>
                <w:szCs w:val="18"/>
              </w:rPr>
            </w:pPr>
            <w:r>
              <w:rPr>
                <w:rFonts w:ascii="Times New Roman"/>
                <w:sz w:val="18"/>
              </w:rPr>
              <w:t>18.73%</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7" w:right="0"/>
              <w:jc w:val="left"/>
              <w:rPr>
                <w:rFonts w:ascii="Times New Roman" w:hAnsi="Times New Roman" w:cs="Times New Roman" w:eastAsia="Times New Roman" w:hint="default"/>
                <w:sz w:val="18"/>
                <w:szCs w:val="18"/>
              </w:rPr>
            </w:pPr>
            <w:r>
              <w:rPr>
                <w:rFonts w:ascii="Times New Roman"/>
                <w:sz w:val="18"/>
              </w:rPr>
              <w:t>0.08%</w:t>
            </w:r>
          </w:p>
        </w:tc>
        <w:tc>
          <w:tcPr>
            <w:tcW w:w="1913" w:type="dxa"/>
            <w:vMerge w:val="restart"/>
            <w:tcBorders>
              <w:top w:val="single" w:sz="4" w:space="0" w:color="000000"/>
              <w:left w:val="single" w:sz="4" w:space="0" w:color="000000"/>
              <w:right w:val="single" w:sz="4" w:space="0" w:color="000000"/>
            </w:tcBorders>
          </w:tcPr>
          <w:p>
            <w:pP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29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297"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r>
      <w:tr>
        <w:trPr>
          <w:trHeight w:val="163"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205,710,510.3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129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1" w:right="0"/>
              <w:jc w:val="left"/>
              <w:rPr>
                <w:rFonts w:ascii="Times New Roman" w:hAnsi="Times New Roman" w:cs="Times New Roman" w:eastAsia="Times New Roman" w:hint="default"/>
                <w:sz w:val="18"/>
                <w:szCs w:val="18"/>
              </w:rPr>
            </w:pPr>
            <w:r>
              <w:rPr>
                <w:rFonts w:ascii="Times New Roman"/>
                <w:sz w:val="18"/>
              </w:rPr>
              <w:t>14.30%</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154,246,153.7</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8</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0" w:right="0"/>
              <w:jc w:val="left"/>
              <w:rPr>
                <w:rFonts w:ascii="Times New Roman" w:hAnsi="Times New Roman" w:cs="Times New Roman" w:eastAsia="Times New Roman" w:hint="default"/>
                <w:sz w:val="18"/>
                <w:szCs w:val="18"/>
              </w:rPr>
            </w:pPr>
            <w:r>
              <w:rPr>
                <w:rFonts w:ascii="Times New Roman"/>
                <w:sz w:val="18"/>
              </w:rPr>
              <w:t>12.56%</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77" w:right="0"/>
              <w:jc w:val="left"/>
              <w:rPr>
                <w:rFonts w:ascii="Times New Roman" w:hAnsi="Times New Roman" w:cs="Times New Roman" w:eastAsia="Times New Roman" w:hint="default"/>
                <w:sz w:val="18"/>
                <w:szCs w:val="18"/>
              </w:rPr>
            </w:pPr>
            <w:r>
              <w:rPr>
                <w:rFonts w:ascii="Times New Roman"/>
                <w:sz w:val="18"/>
              </w:rPr>
              <w:t>1.74%</w:t>
            </w:r>
          </w:p>
        </w:tc>
        <w:tc>
          <w:tcPr>
            <w:tcW w:w="1913" w:type="dxa"/>
            <w:vMerge w:val="restart"/>
            <w:tcBorders>
              <w:top w:val="single" w:sz="4" w:space="0" w:color="000000"/>
              <w:left w:val="single" w:sz="4" w:space="0" w:color="000000"/>
              <w:right w:val="single" w:sz="4" w:space="0" w:color="000000"/>
            </w:tcBorders>
          </w:tcPr>
          <w:p>
            <w:pP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29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297"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12" w:space="0" w:color="D2D2D2"/>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12" w:space="0" w:color="D2D2D2"/>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87" w:right="0"/>
              <w:jc w:val="left"/>
              <w:rPr>
                <w:rFonts w:ascii="Times New Roman" w:hAnsi="Times New Roman" w:cs="Times New Roman" w:eastAsia="Times New Roman" w:hint="default"/>
                <w:sz w:val="18"/>
                <w:szCs w:val="18"/>
              </w:rPr>
            </w:pPr>
            <w:r>
              <w:rPr>
                <w:rFonts w:ascii="Times New Roman"/>
                <w:sz w:val="18"/>
              </w:rPr>
              <w:t>45,978,483.29</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9" w:right="0"/>
              <w:jc w:val="left"/>
              <w:rPr>
                <w:rFonts w:ascii="Times New Roman" w:hAnsi="Times New Roman" w:cs="Times New Roman" w:eastAsia="Times New Roman" w:hint="default"/>
                <w:sz w:val="18"/>
                <w:szCs w:val="18"/>
              </w:rPr>
            </w:pPr>
            <w:r>
              <w:rPr>
                <w:rFonts w:ascii="Times New Roman"/>
                <w:sz w:val="18"/>
              </w:rPr>
              <w:t>3.20%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52,633,058.13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9" w:right="0"/>
              <w:jc w:val="left"/>
              <w:rPr>
                <w:rFonts w:ascii="Times New Roman" w:hAnsi="Times New Roman" w:cs="Times New Roman" w:eastAsia="Times New Roman" w:hint="default"/>
                <w:sz w:val="18"/>
                <w:szCs w:val="18"/>
              </w:rPr>
            </w:pPr>
            <w:r>
              <w:rPr>
                <w:rFonts w:ascii="Times New Roman"/>
                <w:sz w:val="18"/>
              </w:rPr>
              <w:t>4.29%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sz w:val="18"/>
              </w:rPr>
              <w:t>-1.09%</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168,312,258.6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129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8" w:right="0"/>
              <w:jc w:val="left"/>
              <w:rPr>
                <w:rFonts w:ascii="Times New Roman" w:hAnsi="Times New Roman" w:cs="Times New Roman" w:eastAsia="Times New Roman" w:hint="default"/>
                <w:sz w:val="18"/>
                <w:szCs w:val="18"/>
              </w:rPr>
            </w:pPr>
            <w:r>
              <w:rPr>
                <w:rFonts w:ascii="Times New Roman"/>
                <w:sz w:val="18"/>
              </w:rPr>
              <w:t>11.70%</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109,404,655.9</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4</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9" w:right="0"/>
              <w:jc w:val="left"/>
              <w:rPr>
                <w:rFonts w:ascii="Times New Roman" w:hAnsi="Times New Roman" w:cs="Times New Roman" w:eastAsia="Times New Roman" w:hint="default"/>
                <w:sz w:val="18"/>
                <w:szCs w:val="18"/>
              </w:rPr>
            </w:pPr>
            <w:r>
              <w:rPr>
                <w:rFonts w:ascii="Times New Roman"/>
                <w:sz w:val="18"/>
              </w:rPr>
              <w:t>8.91%</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77" w:right="0"/>
              <w:jc w:val="left"/>
              <w:rPr>
                <w:rFonts w:ascii="Times New Roman" w:hAnsi="Times New Roman" w:cs="Times New Roman" w:eastAsia="Times New Roman" w:hint="default"/>
                <w:sz w:val="18"/>
                <w:szCs w:val="18"/>
              </w:rPr>
            </w:pPr>
            <w:r>
              <w:rPr>
                <w:rFonts w:ascii="Times New Roman"/>
                <w:sz w:val="18"/>
              </w:rPr>
              <w:t>2.79%</w:t>
            </w:r>
          </w:p>
        </w:tc>
        <w:tc>
          <w:tcPr>
            <w:tcW w:w="1913" w:type="dxa"/>
            <w:vMerge w:val="restart"/>
            <w:tcBorders>
              <w:top w:val="single" w:sz="4" w:space="0" w:color="000000"/>
              <w:left w:val="single" w:sz="4" w:space="0" w:color="000000"/>
              <w:right w:val="single" w:sz="4" w:space="0" w:color="000000"/>
            </w:tcBorders>
          </w:tcPr>
          <w:p>
            <w:pP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29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297"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110,697,164.6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2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9" w:right="0"/>
              <w:jc w:val="left"/>
              <w:rPr>
                <w:rFonts w:ascii="Times New Roman" w:hAnsi="Times New Roman" w:cs="Times New Roman" w:eastAsia="Times New Roman" w:hint="default"/>
                <w:sz w:val="18"/>
                <w:szCs w:val="18"/>
              </w:rPr>
            </w:pPr>
            <w:r>
              <w:rPr>
                <w:rFonts w:ascii="Times New Roman"/>
                <w:sz w:val="18"/>
              </w:rPr>
              <w:t>7.70%</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80,157,877.83</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9" w:right="0"/>
              <w:jc w:val="left"/>
              <w:rPr>
                <w:rFonts w:ascii="Times New Roman" w:hAnsi="Times New Roman" w:cs="Times New Roman" w:eastAsia="Times New Roman" w:hint="default"/>
                <w:sz w:val="18"/>
                <w:szCs w:val="18"/>
              </w:rPr>
            </w:pPr>
            <w:r>
              <w:rPr>
                <w:rFonts w:ascii="Times New Roman"/>
                <w:sz w:val="18"/>
              </w:rPr>
              <w:t>6.53%</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7" w:right="0"/>
              <w:jc w:val="left"/>
              <w:rPr>
                <w:rFonts w:ascii="Times New Roman" w:hAnsi="Times New Roman" w:cs="Times New Roman" w:eastAsia="Times New Roman" w:hint="default"/>
                <w:sz w:val="18"/>
                <w:szCs w:val="18"/>
              </w:rPr>
            </w:pPr>
            <w:r>
              <w:rPr>
                <w:rFonts w:ascii="Times New Roman"/>
                <w:sz w:val="18"/>
              </w:rPr>
              <w:t>1.17%</w:t>
            </w:r>
          </w:p>
        </w:tc>
        <w:tc>
          <w:tcPr>
            <w:tcW w:w="1913" w:type="dxa"/>
            <w:vMerge w:val="restart"/>
            <w:tcBorders>
              <w:top w:val="single" w:sz="4" w:space="0" w:color="000000"/>
              <w:left w:val="single" w:sz="4" w:space="0" w:color="000000"/>
              <w:right w:val="single" w:sz="4" w:space="0" w:color="000000"/>
            </w:tcBorders>
          </w:tcPr>
          <w:p>
            <w:pP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vMerge/>
            <w:tcBorders>
              <w:left w:val="single" w:sz="9" w:space="0" w:color="D2D2D2"/>
              <w:right w:val="single" w:sz="4" w:space="0" w:color="000000"/>
            </w:tcBorders>
          </w:tcPr>
          <w:p>
            <w:pPr/>
          </w:p>
        </w:tc>
        <w:tc>
          <w:tcPr>
            <w:tcW w:w="129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297"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r>
      <w:tr>
        <w:trPr>
          <w:trHeight w:val="163"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215,887,305.3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129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1" w:right="0"/>
              <w:jc w:val="left"/>
              <w:rPr>
                <w:rFonts w:ascii="Times New Roman" w:hAnsi="Times New Roman" w:cs="Times New Roman" w:eastAsia="Times New Roman" w:hint="default"/>
                <w:sz w:val="18"/>
                <w:szCs w:val="18"/>
              </w:rPr>
            </w:pPr>
            <w:r>
              <w:rPr>
                <w:rFonts w:ascii="Times New Roman"/>
                <w:sz w:val="18"/>
              </w:rPr>
              <w:t>15.01%</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60,119,599.99</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9" w:right="0"/>
              <w:jc w:val="left"/>
              <w:rPr>
                <w:rFonts w:ascii="Times New Roman" w:hAnsi="Times New Roman" w:cs="Times New Roman" w:eastAsia="Times New Roman" w:hint="default"/>
                <w:sz w:val="18"/>
                <w:szCs w:val="18"/>
              </w:rPr>
            </w:pPr>
            <w:r>
              <w:rPr>
                <w:rFonts w:ascii="Times New Roman"/>
                <w:sz w:val="18"/>
              </w:rPr>
              <w:t>4.90%</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5" w:right="0"/>
              <w:jc w:val="left"/>
              <w:rPr>
                <w:rFonts w:ascii="Times New Roman" w:hAnsi="Times New Roman" w:cs="Times New Roman" w:eastAsia="Times New Roman" w:hint="default"/>
                <w:sz w:val="18"/>
                <w:szCs w:val="18"/>
              </w:rPr>
            </w:pPr>
            <w:r>
              <w:rPr>
                <w:rFonts w:ascii="Times New Roman"/>
                <w:sz w:val="18"/>
              </w:rPr>
              <w:t>10.11%</w:t>
            </w:r>
          </w:p>
        </w:tc>
        <w:tc>
          <w:tcPr>
            <w:tcW w:w="1913" w:type="dxa"/>
            <w:vMerge w:val="restart"/>
            <w:tcBorders>
              <w:top w:val="single" w:sz="4" w:space="0" w:color="000000"/>
              <w:left w:val="single" w:sz="4" w:space="0" w:color="000000"/>
              <w:right w:val="single" w:sz="4" w:space="0" w:color="000000"/>
            </w:tcBorders>
          </w:tcPr>
          <w:p>
            <w:pP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vMerge/>
            <w:tcBorders>
              <w:left w:val="single" w:sz="9" w:space="0" w:color="D2D2D2"/>
              <w:right w:val="single" w:sz="4" w:space="0" w:color="000000"/>
            </w:tcBorders>
          </w:tcPr>
          <w:p>
            <w:pPr/>
          </w:p>
        </w:tc>
        <w:tc>
          <w:tcPr>
            <w:tcW w:w="129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297"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12" w:space="0" w:color="D2D2D2"/>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pStyle w:val="Heading2"/>
        <w:spacing w:line="240" w:lineRule="auto" w:before="39"/>
        <w:ind w:right="996"/>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pStyle w:val="Heading3"/>
        <w:spacing w:line="240" w:lineRule="auto" w:before="136"/>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10"/>
        <w:rPr>
          <w:rFonts w:ascii="宋体" w:hAnsi="宋体" w:cs="宋体" w:eastAsia="宋体" w:hint="default"/>
          <w:sz w:val="7"/>
          <w:szCs w:val="7"/>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6" w:type="dxa"/>
        <w:tblLayout w:type="fixed"/>
        <w:tblCellMar>
          <w:top w:w="0" w:type="dxa"/>
          <w:left w:w="0" w:type="dxa"/>
          <w:bottom w:w="0" w:type="dxa"/>
          <w:right w:w="0" w:type="dxa"/>
        </w:tblCellMar>
        <w:tblLook w:val="01E0"/>
      </w:tblPr>
      <w:tblGrid>
        <w:gridCol w:w="959"/>
        <w:gridCol w:w="1298"/>
        <w:gridCol w:w="1271"/>
        <w:gridCol w:w="992"/>
        <w:gridCol w:w="709"/>
        <w:gridCol w:w="1135"/>
        <w:gridCol w:w="1127"/>
        <w:gridCol w:w="1141"/>
        <w:gridCol w:w="922"/>
      </w:tblGrid>
      <w:tr>
        <w:trPr>
          <w:trHeight w:val="161" w:hRule="exact"/>
        </w:trPr>
        <w:tc>
          <w:tcPr>
            <w:tcW w:w="959" w:type="dxa"/>
            <w:vMerge w:val="restart"/>
            <w:tcBorders>
              <w:top w:val="single" w:sz="4" w:space="0" w:color="000000"/>
              <w:left w:val="single" w:sz="4" w:space="0" w:color="000000"/>
              <w:right w:val="single" w:sz="4" w:space="0" w:color="000000"/>
            </w:tcBorders>
            <w:shd w:val="clear" w:color="auto" w:fill="D2D2D2"/>
          </w:tcPr>
          <w:p>
            <w:pPr/>
          </w:p>
        </w:tc>
        <w:tc>
          <w:tcPr>
            <w:tcW w:w="1298" w:type="dxa"/>
            <w:vMerge w:val="restart"/>
            <w:tcBorders>
              <w:top w:val="single" w:sz="4" w:space="0" w:color="000000"/>
              <w:left w:val="single" w:sz="4" w:space="0" w:color="000000"/>
              <w:right w:val="single" w:sz="4" w:space="0" w:color="000000"/>
            </w:tcBorders>
            <w:shd w:val="clear" w:color="auto" w:fill="D2D2D2"/>
          </w:tcPr>
          <w:p>
            <w:pPr/>
          </w:p>
        </w:tc>
        <w:tc>
          <w:tcPr>
            <w:tcW w:w="1271"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0" w:right="39"/>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8" w:right="78"/>
              <w:jc w:val="center"/>
              <w:rPr>
                <w:rFonts w:ascii="宋体" w:hAnsi="宋体" w:cs="宋体" w:eastAsia="宋体" w:hint="default"/>
                <w:sz w:val="18"/>
                <w:szCs w:val="18"/>
              </w:rPr>
            </w:pPr>
            <w:r>
              <w:rPr>
                <w:rFonts w:ascii="宋体" w:hAnsi="宋体" w:cs="宋体" w:eastAsia="宋体" w:hint="default"/>
                <w:sz w:val="18"/>
                <w:szCs w:val="18"/>
              </w:rPr>
              <w:t>本期计 提的减 值</w:t>
            </w:r>
          </w:p>
        </w:tc>
        <w:tc>
          <w:tcPr>
            <w:tcW w:w="113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1" w:type="dxa"/>
            <w:vMerge w:val="restart"/>
            <w:tcBorders>
              <w:top w:val="single" w:sz="4" w:space="0" w:color="000000"/>
              <w:left w:val="single" w:sz="4" w:space="0" w:color="000000"/>
              <w:right w:val="single" w:sz="4" w:space="0" w:color="000000"/>
            </w:tcBorders>
            <w:shd w:val="clear" w:color="auto" w:fill="D2D2D2"/>
          </w:tcPr>
          <w:p>
            <w:pPr/>
          </w:p>
        </w:tc>
        <w:tc>
          <w:tcPr>
            <w:tcW w:w="922"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959" w:type="dxa"/>
            <w:vMerge/>
            <w:tcBorders>
              <w:left w:val="single" w:sz="4" w:space="0" w:color="000000"/>
              <w:bottom w:val="nil" w:sz="6" w:space="0" w:color="auto"/>
              <w:right w:val="single" w:sz="4" w:space="0" w:color="000000"/>
            </w:tcBorders>
            <w:shd w:val="clear" w:color="auto" w:fill="D2D2D2"/>
          </w:tcPr>
          <w:p>
            <w:pPr/>
          </w:p>
        </w:tc>
        <w:tc>
          <w:tcPr>
            <w:tcW w:w="1298" w:type="dxa"/>
            <w:vMerge/>
            <w:tcBorders>
              <w:left w:val="single" w:sz="4" w:space="0" w:color="000000"/>
              <w:bottom w:val="nil" w:sz="6" w:space="0" w:color="auto"/>
              <w:right w:val="single" w:sz="4" w:space="0" w:color="000000"/>
            </w:tcBorders>
            <w:shd w:val="clear" w:color="auto" w:fill="D2D2D2"/>
          </w:tcPr>
          <w:p>
            <w:pPr/>
          </w:p>
        </w:tc>
        <w:tc>
          <w:tcPr>
            <w:tcW w:w="127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67" w:right="92"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992"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11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73" w:right="110" w:hanging="360"/>
              <w:jc w:val="left"/>
              <w:rPr>
                <w:rFonts w:ascii="宋体" w:hAnsi="宋体" w:cs="宋体" w:eastAsia="宋体" w:hint="default"/>
                <w:sz w:val="18"/>
                <w:szCs w:val="18"/>
              </w:rPr>
            </w:pPr>
            <w:r>
              <w:rPr>
                <w:rFonts w:ascii="宋体" w:hAnsi="宋体" w:cs="宋体" w:eastAsia="宋体" w:hint="default"/>
                <w:sz w:val="18"/>
                <w:szCs w:val="18"/>
              </w:rPr>
              <w:t>本期购买金 额</w:t>
            </w:r>
          </w:p>
        </w:tc>
        <w:tc>
          <w:tcPr>
            <w:tcW w:w="112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72" w:right="104" w:hanging="360"/>
              <w:jc w:val="left"/>
              <w:rPr>
                <w:rFonts w:ascii="宋体" w:hAnsi="宋体" w:cs="宋体" w:eastAsia="宋体" w:hint="default"/>
                <w:sz w:val="18"/>
                <w:szCs w:val="18"/>
              </w:rPr>
            </w:pPr>
            <w:r>
              <w:rPr>
                <w:rFonts w:ascii="宋体" w:hAnsi="宋体" w:cs="宋体" w:eastAsia="宋体" w:hint="default"/>
                <w:sz w:val="18"/>
                <w:szCs w:val="18"/>
              </w:rPr>
              <w:t>本期出售金 额</w:t>
            </w:r>
          </w:p>
        </w:tc>
        <w:tc>
          <w:tcPr>
            <w:tcW w:w="1141" w:type="dxa"/>
            <w:vMerge/>
            <w:tcBorders>
              <w:left w:val="single" w:sz="4" w:space="0" w:color="000000"/>
              <w:bottom w:val="nil" w:sz="6" w:space="0" w:color="auto"/>
              <w:right w:val="single" w:sz="4" w:space="0" w:color="000000"/>
            </w:tcBorders>
            <w:shd w:val="clear" w:color="auto" w:fill="D2D2D2"/>
          </w:tcPr>
          <w:p>
            <w:pPr/>
          </w:p>
        </w:tc>
        <w:tc>
          <w:tcPr>
            <w:tcW w:w="922" w:type="dxa"/>
            <w:vMerge/>
            <w:tcBorders>
              <w:left w:val="single" w:sz="4" w:space="0" w:color="000000"/>
              <w:bottom w:val="nil" w:sz="6" w:space="0" w:color="auto"/>
              <w:right w:val="single" w:sz="4" w:space="0" w:color="000000"/>
            </w:tcBorders>
            <w:shd w:val="clear" w:color="auto" w:fill="D2D2D2"/>
          </w:tcPr>
          <w:p>
            <w:pPr/>
          </w:p>
        </w:tc>
      </w:tr>
      <w:tr>
        <w:trPr>
          <w:trHeight w:val="391" w:hRule="exact"/>
        </w:trPr>
        <w:tc>
          <w:tcPr>
            <w:tcW w:w="9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2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7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shd w:val="clear" w:color="auto" w:fill="D2D2D2"/>
          </w:tcPr>
          <w:p>
            <w:pPr/>
          </w:p>
        </w:tc>
        <w:tc>
          <w:tcPr>
            <w:tcW w:w="1127" w:type="dxa"/>
            <w:vMerge/>
            <w:tcBorders>
              <w:left w:val="single" w:sz="4" w:space="0" w:color="000000"/>
              <w:right w:val="single" w:sz="4" w:space="0" w:color="000000"/>
            </w:tcBorders>
            <w:shd w:val="clear" w:color="auto" w:fill="D2D2D2"/>
          </w:tcPr>
          <w:p>
            <w:pPr/>
          </w:p>
        </w:tc>
        <w:tc>
          <w:tcPr>
            <w:tcW w:w="11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0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9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959" w:type="dxa"/>
            <w:vMerge w:val="restart"/>
            <w:tcBorders>
              <w:top w:val="nil" w:sz="6" w:space="0" w:color="auto"/>
              <w:left w:val="single" w:sz="4" w:space="0" w:color="000000"/>
              <w:right w:val="single" w:sz="4" w:space="0" w:color="000000"/>
            </w:tcBorders>
            <w:shd w:val="clear" w:color="auto" w:fill="D2D2D2"/>
          </w:tcPr>
          <w:p>
            <w:pPr/>
          </w:p>
        </w:tc>
        <w:tc>
          <w:tcPr>
            <w:tcW w:w="1298" w:type="dxa"/>
            <w:vMerge w:val="restart"/>
            <w:tcBorders>
              <w:top w:val="nil" w:sz="6" w:space="0" w:color="auto"/>
              <w:left w:val="single" w:sz="4" w:space="0" w:color="000000"/>
              <w:right w:val="single" w:sz="4" w:space="0" w:color="000000"/>
            </w:tcBorders>
            <w:shd w:val="clear" w:color="auto" w:fill="D2D2D2"/>
          </w:tcPr>
          <w:p>
            <w:pPr/>
          </w:p>
        </w:tc>
        <w:tc>
          <w:tcPr>
            <w:tcW w:w="1271"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bottom w:val="nil" w:sz="6" w:space="0" w:color="auto"/>
              <w:right w:val="single" w:sz="4" w:space="0" w:color="000000"/>
            </w:tcBorders>
            <w:shd w:val="clear" w:color="auto" w:fill="D2D2D2"/>
          </w:tcPr>
          <w:p>
            <w:pPr/>
          </w:p>
        </w:tc>
        <w:tc>
          <w:tcPr>
            <w:tcW w:w="1127" w:type="dxa"/>
            <w:vMerge/>
            <w:tcBorders>
              <w:left w:val="single" w:sz="4" w:space="0" w:color="000000"/>
              <w:bottom w:val="nil" w:sz="6" w:space="0" w:color="auto"/>
              <w:right w:val="single" w:sz="4" w:space="0" w:color="000000"/>
            </w:tcBorders>
            <w:shd w:val="clear" w:color="auto" w:fill="D2D2D2"/>
          </w:tcPr>
          <w:p>
            <w:pPr/>
          </w:p>
        </w:tc>
        <w:tc>
          <w:tcPr>
            <w:tcW w:w="1141" w:type="dxa"/>
            <w:vMerge w:val="restart"/>
            <w:tcBorders>
              <w:top w:val="nil" w:sz="6" w:space="0" w:color="auto"/>
              <w:left w:val="single" w:sz="4" w:space="0" w:color="000000"/>
              <w:right w:val="single" w:sz="4" w:space="0" w:color="000000"/>
            </w:tcBorders>
            <w:shd w:val="clear" w:color="auto" w:fill="D2D2D2"/>
          </w:tcPr>
          <w:p>
            <w:pPr/>
          </w:p>
        </w:tc>
        <w:tc>
          <w:tcPr>
            <w:tcW w:w="922" w:type="dxa"/>
            <w:vMerge w:val="restart"/>
            <w:tcBorders>
              <w:top w:val="nil" w:sz="6" w:space="0" w:color="auto"/>
              <w:left w:val="single" w:sz="4" w:space="0" w:color="000000"/>
              <w:right w:val="single" w:sz="4" w:space="0" w:color="000000"/>
            </w:tcBorders>
            <w:shd w:val="clear" w:color="auto" w:fill="D2D2D2"/>
          </w:tcPr>
          <w:p>
            <w:pPr/>
          </w:p>
        </w:tc>
      </w:tr>
      <w:tr>
        <w:trPr>
          <w:trHeight w:val="168" w:hRule="exact"/>
        </w:trPr>
        <w:tc>
          <w:tcPr>
            <w:tcW w:w="959" w:type="dxa"/>
            <w:vMerge/>
            <w:tcBorders>
              <w:left w:val="single" w:sz="4" w:space="0" w:color="000000"/>
              <w:bottom w:val="single" w:sz="4" w:space="0" w:color="000000"/>
              <w:right w:val="single" w:sz="4" w:space="0" w:color="000000"/>
            </w:tcBorders>
            <w:shd w:val="clear" w:color="auto" w:fill="D2D2D2"/>
          </w:tcPr>
          <w:p>
            <w:pPr/>
          </w:p>
        </w:tc>
        <w:tc>
          <w:tcPr>
            <w:tcW w:w="1298" w:type="dxa"/>
            <w:vMerge/>
            <w:tcBorders>
              <w:left w:val="single" w:sz="4" w:space="0" w:color="000000"/>
              <w:bottom w:val="single" w:sz="4" w:space="0" w:color="000000"/>
              <w:right w:val="single" w:sz="4" w:space="0" w:color="000000"/>
            </w:tcBorders>
            <w:shd w:val="clear" w:color="auto" w:fill="D2D2D2"/>
          </w:tcPr>
          <w:p>
            <w:pPr/>
          </w:p>
        </w:tc>
        <w:tc>
          <w:tcPr>
            <w:tcW w:w="1271"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1" w:type="dxa"/>
            <w:vMerge/>
            <w:tcBorders>
              <w:left w:val="single" w:sz="4" w:space="0" w:color="000000"/>
              <w:bottom w:val="single" w:sz="4" w:space="0" w:color="000000"/>
              <w:right w:val="single" w:sz="4" w:space="0" w:color="000000"/>
            </w:tcBorders>
            <w:shd w:val="clear" w:color="auto" w:fill="D2D2D2"/>
          </w:tcPr>
          <w:p>
            <w:pPr/>
          </w:p>
        </w:tc>
        <w:tc>
          <w:tcPr>
            <w:tcW w:w="92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6"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337" w:hRule="exact"/>
        </w:trPr>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6" w:right="4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 融资产（不 含衍生金融 资产）</w:t>
            </w:r>
          </w:p>
        </w:tc>
        <w:tc>
          <w:tcPr>
            <w:tcW w:w="12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26,358,551.50</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19,808,551.50</w:t>
            </w:r>
          </w:p>
        </w:tc>
        <w:tc>
          <w:tcPr>
            <w:tcW w:w="114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12,550,000.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r>
        <w:trPr>
          <w:trHeight w:val="715" w:hRule="exact"/>
        </w:trPr>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6"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其他权益 工具投资</w:t>
            </w:r>
          </w:p>
        </w:tc>
        <w:tc>
          <w:tcPr>
            <w:tcW w:w="12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335,073,434.15</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-34,006,451.05</w:t>
            </w: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14,212,800.00</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9,349,627.45</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4" w:right="0"/>
              <w:jc w:val="left"/>
              <w:rPr>
                <w:rFonts w:ascii="Times New Roman" w:hAnsi="Times New Roman" w:cs="Times New Roman" w:eastAsia="Times New Roman" w:hint="default"/>
                <w:sz w:val="18"/>
                <w:szCs w:val="18"/>
              </w:rPr>
            </w:pPr>
            <w:r>
              <w:rPr>
                <w:rFonts w:ascii="Times New Roman"/>
                <w:sz w:val="18"/>
              </w:rPr>
              <w:t>1,500,000.00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304,430,15</w:t>
            </w:r>
          </w:p>
          <w:p>
            <w:pPr>
              <w:pStyle w:val="TableParagraph"/>
              <w:spacing w:line="240" w:lineRule="auto" w:before="105"/>
              <w:ind w:left="576" w:right="0"/>
              <w:jc w:val="left"/>
              <w:rPr>
                <w:rFonts w:ascii="Times New Roman" w:hAnsi="Times New Roman" w:cs="Times New Roman" w:eastAsia="Times New Roman" w:hint="default"/>
                <w:sz w:val="18"/>
                <w:szCs w:val="18"/>
              </w:rPr>
            </w:pPr>
            <w:r>
              <w:rPr>
                <w:rFonts w:ascii="Times New Roman"/>
                <w:sz w:val="18"/>
              </w:rPr>
              <w:t>5.65</w:t>
            </w:r>
          </w:p>
        </w:tc>
      </w:tr>
      <w:tr>
        <w:trPr>
          <w:trHeight w:val="713" w:hRule="exact"/>
        </w:trPr>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 w:right="42"/>
              <w:jc w:val="left"/>
              <w:rPr>
                <w:rFonts w:ascii="宋体" w:hAnsi="宋体" w:cs="宋体" w:eastAsia="宋体" w:hint="default"/>
                <w:sz w:val="18"/>
                <w:szCs w:val="18"/>
              </w:rPr>
            </w:pPr>
            <w:r>
              <w:rPr>
                <w:rFonts w:ascii="宋体" w:hAnsi="宋体" w:cs="宋体" w:eastAsia="宋体" w:hint="default"/>
                <w:sz w:val="18"/>
                <w:szCs w:val="18"/>
              </w:rPr>
              <w:t>金融资产小 计</w:t>
            </w:r>
          </w:p>
        </w:tc>
        <w:tc>
          <w:tcPr>
            <w:tcW w:w="12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361,431,985.65</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-28,006,451.05</w:t>
            </w: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14,212,800.00</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29,158,178.95</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4" w:right="0"/>
              <w:jc w:val="left"/>
              <w:rPr>
                <w:rFonts w:ascii="Times New Roman" w:hAnsi="Times New Roman" w:cs="Times New Roman" w:eastAsia="Times New Roman" w:hint="default"/>
                <w:sz w:val="18"/>
                <w:szCs w:val="18"/>
              </w:rPr>
            </w:pPr>
            <w:r>
              <w:rPr>
                <w:rFonts w:ascii="Times New Roman"/>
                <w:sz w:val="18"/>
              </w:rPr>
              <w:t>1,500,000.00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316,980,15</w:t>
            </w:r>
          </w:p>
          <w:p>
            <w:pPr>
              <w:pStyle w:val="TableParagraph"/>
              <w:spacing w:line="240" w:lineRule="auto" w:before="105"/>
              <w:ind w:left="576" w:right="0"/>
              <w:jc w:val="left"/>
              <w:rPr>
                <w:rFonts w:ascii="Times New Roman" w:hAnsi="Times New Roman" w:cs="Times New Roman" w:eastAsia="Times New Roman" w:hint="default"/>
                <w:sz w:val="18"/>
                <w:szCs w:val="18"/>
              </w:rPr>
            </w:pPr>
            <w:r>
              <w:rPr>
                <w:rFonts w:ascii="Times New Roman"/>
                <w:sz w:val="18"/>
              </w:rPr>
              <w:t>5.65</w:t>
            </w:r>
          </w:p>
        </w:tc>
      </w:tr>
      <w:tr>
        <w:trPr>
          <w:trHeight w:val="403" w:hRule="exact"/>
        </w:trPr>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20,131,506.85</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-131,506.85</w:t>
            </w: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20,000,000.00</w:t>
            </w:r>
          </w:p>
        </w:tc>
        <w:tc>
          <w:tcPr>
            <w:tcW w:w="114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81"/>
        <w:gridCol w:w="1286"/>
        <w:gridCol w:w="1277"/>
        <w:gridCol w:w="991"/>
        <w:gridCol w:w="708"/>
        <w:gridCol w:w="1135"/>
        <w:gridCol w:w="1133"/>
        <w:gridCol w:w="1136"/>
        <w:gridCol w:w="922"/>
      </w:tblGrid>
      <w:tr>
        <w:trPr>
          <w:trHeight w:val="713" w:hRule="exact"/>
        </w:trPr>
        <w:tc>
          <w:tcPr>
            <w:tcW w:w="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381,563,492.50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-28,137,957.90</w:t>
            </w:r>
          </w:p>
        </w:tc>
        <w:tc>
          <w:tcPr>
            <w:tcW w:w="9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14,212,800.00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49,158,178.95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316,980,15</w:t>
            </w:r>
          </w:p>
          <w:p>
            <w:pPr>
              <w:pStyle w:val="TableParagraph"/>
              <w:spacing w:line="240" w:lineRule="auto" w:before="105"/>
              <w:ind w:left="576" w:right="0"/>
              <w:jc w:val="left"/>
              <w:rPr>
                <w:rFonts w:ascii="Times New Roman" w:hAnsi="Times New Roman" w:cs="Times New Roman" w:eastAsia="Times New Roman" w:hint="default"/>
                <w:sz w:val="18"/>
                <w:szCs w:val="18"/>
              </w:rPr>
            </w:pPr>
            <w:r>
              <w:rPr>
                <w:rFonts w:ascii="Times New Roman"/>
                <w:sz w:val="18"/>
              </w:rPr>
              <w:t>5.65</w:t>
            </w:r>
          </w:p>
        </w:tc>
      </w:tr>
      <w:tr>
        <w:trPr>
          <w:trHeight w:val="403" w:hRule="exact"/>
        </w:trPr>
        <w:tc>
          <w:tcPr>
            <w:tcW w:w="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6" w:right="0"/>
              <w:jc w:val="left"/>
              <w:rPr>
                <w:rFonts w:ascii="Times New Roman" w:hAnsi="Times New Roman" w:cs="Times New Roman" w:eastAsia="Times New Roman" w:hint="default"/>
                <w:sz w:val="18"/>
                <w:szCs w:val="18"/>
              </w:rPr>
            </w:pPr>
            <w:r>
              <w:rPr>
                <w:rFonts w:ascii="Times New Roman"/>
                <w:sz w:val="18"/>
              </w:rPr>
              <w:t>0.00</w:t>
            </w:r>
          </w:p>
        </w:tc>
      </w:tr>
    </w:tbl>
    <w:p>
      <w:pPr>
        <w:pStyle w:val="Heading3"/>
        <w:spacing w:line="357" w:lineRule="auto" w:before="39"/>
        <w:ind w:right="5491"/>
        <w:jc w:val="left"/>
      </w:pPr>
      <w:r>
        <w:rPr/>
        <w:t>其他变动的内容 杭州龙焰网络科技有限公司注销。 报告期内公司主要资产计量属性是否发生重大变化</w:t>
      </w:r>
    </w:p>
    <w:p>
      <w:pPr>
        <w:pStyle w:val="Heading3"/>
        <w:spacing w:line="240" w:lineRule="auto"/>
        <w:ind w:right="99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否</w:t>
      </w:r>
    </w:p>
    <w:p>
      <w:pPr>
        <w:pStyle w:val="Heading2"/>
        <w:spacing w:line="240" w:lineRule="auto" w:before="135"/>
        <w:ind w:right="996"/>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5"/>
        <w:rPr>
          <w:rFonts w:ascii="宋体" w:hAnsi="宋体" w:cs="宋体" w:eastAsia="宋体"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3901"/>
        <w:gridCol w:w="2372"/>
        <w:gridCol w:w="2453"/>
      </w:tblGrid>
      <w:tr>
        <w:trPr>
          <w:trHeight w:val="343"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78" w:right="0"/>
              <w:jc w:val="left"/>
              <w:rPr>
                <w:rFonts w:ascii="宋体" w:hAnsi="宋体" w:cs="宋体" w:eastAsia="宋体" w:hint="default"/>
                <w:sz w:val="20"/>
                <w:szCs w:val="20"/>
              </w:rPr>
            </w:pPr>
            <w:r>
              <w:rPr>
                <w:rFonts w:ascii="宋体" w:hAnsi="宋体" w:cs="宋体" w:eastAsia="宋体" w:hint="default"/>
                <w:b/>
                <w:bCs/>
                <w:sz w:val="20"/>
                <w:szCs w:val="20"/>
              </w:rPr>
              <w:t>年末账面价值</w:t>
            </w:r>
            <w:r>
              <w:rPr>
                <w:rFonts w:ascii="宋体" w:hAnsi="宋体" w:cs="宋体" w:eastAsia="宋体" w:hint="default"/>
                <w:sz w:val="20"/>
                <w:szCs w:val="20"/>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b/>
                <w:bCs/>
                <w:sz w:val="20"/>
                <w:szCs w:val="20"/>
              </w:rPr>
              <w:t>受限原因</w:t>
            </w:r>
            <w:r>
              <w:rPr>
                <w:rFonts w:ascii="宋体" w:hAnsi="宋体" w:cs="宋体" w:eastAsia="宋体" w:hint="default"/>
                <w:sz w:val="20"/>
                <w:szCs w:val="20"/>
              </w:rPr>
            </w:r>
          </w:p>
        </w:tc>
      </w:tr>
      <w:tr>
        <w:trPr>
          <w:trHeight w:val="653"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9,462,966.20</w:t>
            </w:r>
            <w:r>
              <w:rPr>
                <w:rFonts w:ascii="Times New Roman"/>
                <w:sz w:val="20"/>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
              <w:ind w:left="4" w:right="40"/>
              <w:jc w:val="left"/>
              <w:rPr>
                <w:rFonts w:ascii="宋体" w:hAnsi="宋体" w:cs="宋体" w:eastAsia="宋体" w:hint="default"/>
                <w:sz w:val="20"/>
                <w:szCs w:val="20"/>
              </w:rPr>
            </w:pPr>
            <w:r>
              <w:rPr>
                <w:rFonts w:ascii="宋体" w:hAnsi="宋体" w:cs="宋体" w:eastAsia="宋体" w:hint="default"/>
                <w:sz w:val="20"/>
                <w:szCs w:val="20"/>
              </w:rPr>
              <w:t>深圳人才住房，只有使用权</w:t>
            </w:r>
            <w:r>
              <w:rPr>
                <w:rFonts w:ascii="宋体" w:hAnsi="宋体" w:cs="宋体" w:eastAsia="宋体" w:hint="default"/>
                <w:w w:val="99"/>
                <w:sz w:val="20"/>
                <w:szCs w:val="20"/>
              </w:rPr>
              <w:t> </w:t>
            </w:r>
            <w:r>
              <w:rPr>
                <w:rFonts w:ascii="宋体" w:hAnsi="宋体" w:cs="宋体" w:eastAsia="宋体" w:hint="default"/>
                <w:sz w:val="20"/>
                <w:szCs w:val="20"/>
              </w:rPr>
              <w:t>没有处置权</w:t>
            </w:r>
          </w:p>
        </w:tc>
      </w:tr>
      <w:tr>
        <w:trPr>
          <w:trHeight w:val="343"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20,531,957.20</w:t>
            </w:r>
            <w:r>
              <w:rPr>
                <w:rFonts w:ascii="Times New Roman"/>
                <w:sz w:val="20"/>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专用账户使用受限</w:t>
            </w:r>
          </w:p>
        </w:tc>
      </w:tr>
      <w:tr>
        <w:trPr>
          <w:trHeight w:val="341"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
              <w:jc w:val="right"/>
              <w:rPr>
                <w:rFonts w:ascii="Times New Roman" w:hAnsi="Times New Roman" w:cs="Times New Roman" w:eastAsia="Times New Roman" w:hint="default"/>
                <w:sz w:val="20"/>
                <w:szCs w:val="20"/>
              </w:rPr>
            </w:pPr>
            <w:r>
              <w:rPr>
                <w:rFonts w:ascii="Times New Roman"/>
                <w:w w:val="95"/>
                <w:sz w:val="20"/>
              </w:rPr>
              <w:t>100,000,000.00</w:t>
            </w:r>
            <w:r>
              <w:rPr>
                <w:rFonts w:ascii="Times New Roman"/>
                <w:sz w:val="20"/>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贷款质押</w:t>
            </w:r>
          </w:p>
        </w:tc>
      </w:tr>
      <w:tr>
        <w:trPr>
          <w:trHeight w:val="343"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b/>
                <w:w w:val="95"/>
                <w:sz w:val="20"/>
              </w:rPr>
              <w:t>129,994,923.40</w:t>
            </w:r>
            <w:r>
              <w:rPr>
                <w:rFonts w:ascii="Times New Roman"/>
                <w:sz w:val="20"/>
              </w:rPr>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b/>
          <w:bCs/>
          <w:sz w:val="18"/>
          <w:szCs w:val="18"/>
        </w:rPr>
      </w:pPr>
    </w:p>
    <w:p>
      <w:pPr>
        <w:pStyle w:val="Heading2"/>
        <w:spacing w:line="240" w:lineRule="auto" w:before="26"/>
        <w:ind w:right="996"/>
        <w:jc w:val="left"/>
        <w:rPr>
          <w:b w:val="0"/>
          <w:bCs w:val="0"/>
        </w:rPr>
      </w:pPr>
      <w:r>
        <w:rPr/>
        <w:t>五、投资状况分析</w:t>
      </w:r>
      <w:r>
        <w:rPr>
          <w:b w:val="0"/>
          <w:bCs w:val="0"/>
        </w:rPr>
      </w:r>
    </w:p>
    <w:p>
      <w:pPr>
        <w:spacing w:line="240" w:lineRule="auto" w:before="8"/>
        <w:rPr>
          <w:rFonts w:ascii="宋体" w:hAnsi="宋体" w:cs="宋体" w:eastAsia="宋体" w:hint="default"/>
          <w:b/>
          <w:bCs/>
          <w:sz w:val="28"/>
          <w:szCs w:val="28"/>
        </w:rPr>
      </w:pPr>
    </w:p>
    <w:p>
      <w:pPr>
        <w:pStyle w:val="Heading2"/>
        <w:spacing w:line="240" w:lineRule="auto"/>
        <w:ind w:right="996"/>
        <w:jc w:val="left"/>
        <w:rPr>
          <w:b w:val="0"/>
          <w:bCs w:val="0"/>
        </w:rPr>
      </w:pPr>
      <w:r>
        <w:rPr>
          <w:rFonts w:ascii="Times New Roman" w:hAnsi="Times New Roman" w:cs="Times New Roman" w:eastAsia="Times New Roman" w:hint="default"/>
        </w:rPr>
        <w:t>1</w:t>
      </w:r>
      <w:r>
        <w:rPr/>
        <w:t>、总体情况</w:t>
      </w:r>
      <w:r>
        <w:rPr>
          <w:b w:val="0"/>
          <w:bCs w:val="0"/>
        </w:rPr>
      </w:r>
    </w:p>
    <w:p>
      <w:pPr>
        <w:pStyle w:val="Heading3"/>
        <w:spacing w:line="240" w:lineRule="auto" w:before="135"/>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pStyle w:val="Heading2"/>
        <w:spacing w:line="240" w:lineRule="auto" w:before="135"/>
        <w:ind w:right="996"/>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pStyle w:val="Heading3"/>
        <w:spacing w:line="240" w:lineRule="auto" w:before="136"/>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pStyle w:val="Heading2"/>
        <w:spacing w:line="240" w:lineRule="auto" w:before="135"/>
        <w:ind w:right="996"/>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pStyle w:val="Heading3"/>
        <w:spacing w:line="240" w:lineRule="auto" w:before="135"/>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pStyle w:val="Heading2"/>
        <w:spacing w:line="240" w:lineRule="auto" w:before="135"/>
        <w:ind w:right="996"/>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pStyle w:val="Heading3"/>
        <w:spacing w:line="240" w:lineRule="auto" w:before="135"/>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10"/>
        <w:rPr>
          <w:rFonts w:ascii="宋体" w:hAnsi="宋体" w:cs="宋体" w:eastAsia="宋体" w:hint="default"/>
          <w:sz w:val="7"/>
          <w:szCs w:val="7"/>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88"/>
        <w:gridCol w:w="895"/>
        <w:gridCol w:w="1090"/>
        <w:gridCol w:w="1178"/>
        <w:gridCol w:w="1193"/>
        <w:gridCol w:w="958"/>
        <w:gridCol w:w="956"/>
        <w:gridCol w:w="955"/>
        <w:gridCol w:w="958"/>
      </w:tblGrid>
      <w:tr>
        <w:trPr>
          <w:trHeight w:val="1025"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29"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63" w:right="79" w:hanging="180"/>
              <w:jc w:val="left"/>
              <w:rPr>
                <w:rFonts w:ascii="宋体" w:hAnsi="宋体" w:cs="宋体" w:eastAsia="宋体" w:hint="default"/>
                <w:sz w:val="18"/>
                <w:szCs w:val="18"/>
              </w:rPr>
            </w:pPr>
            <w:r>
              <w:rPr>
                <w:rFonts w:ascii="宋体" w:hAnsi="宋体" w:cs="宋体" w:eastAsia="宋体" w:hint="default"/>
                <w:sz w:val="18"/>
                <w:szCs w:val="18"/>
              </w:rPr>
              <w:t>初始投资 成本</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88" w:right="89"/>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5" w:right="41"/>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12" w:right="48" w:hanging="360"/>
              <w:jc w:val="left"/>
              <w:rPr>
                <w:rFonts w:ascii="宋体" w:hAnsi="宋体" w:cs="宋体" w:eastAsia="宋体" w:hint="default"/>
                <w:sz w:val="18"/>
                <w:szCs w:val="18"/>
              </w:rPr>
            </w:pPr>
            <w:r>
              <w:rPr>
                <w:rFonts w:ascii="宋体" w:hAnsi="宋体" w:cs="宋体" w:eastAsia="宋体" w:hint="default"/>
                <w:sz w:val="18"/>
                <w:szCs w:val="18"/>
              </w:rPr>
              <w:t>报告期内购入 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03" w:right="23"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83" w:right="20" w:hanging="360"/>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715"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131,506.85</w:t>
            </w:r>
          </w:p>
        </w:tc>
        <w:tc>
          <w:tcPr>
            <w:tcW w:w="117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197,260.27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13"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131,506.85</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197,260.27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Heading2"/>
        <w:spacing w:line="240" w:lineRule="auto" w:before="39"/>
        <w:ind w:right="996"/>
        <w:jc w:val="left"/>
        <w:rPr>
          <w:b w:val="0"/>
          <w:bCs w:val="0"/>
        </w:rPr>
      </w:pPr>
      <w:r>
        <w:rPr>
          <w:rFonts w:ascii="Times New Roman" w:hAnsi="Times New Roman" w:cs="Times New Roman" w:eastAsia="Times New Roman" w:hint="default"/>
        </w:rPr>
        <w:t>5</w:t>
      </w:r>
      <w:r>
        <w:rPr/>
        <w:t>、募集资金使用情况</w:t>
      </w:r>
      <w:r>
        <w:rPr>
          <w:b w:val="0"/>
          <w:bCs w:val="0"/>
        </w:rPr>
      </w:r>
    </w:p>
    <w:p>
      <w:pPr>
        <w:pStyle w:val="Heading3"/>
        <w:spacing w:line="240" w:lineRule="auto" w:before="135"/>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after="0" w:line="240" w:lineRule="auto"/>
        <w:jc w:val="left"/>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pStyle w:val="Heading2"/>
        <w:spacing w:line="240" w:lineRule="auto" w:before="26"/>
        <w:ind w:right="996"/>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pStyle w:val="Heading3"/>
        <w:spacing w:line="240" w:lineRule="auto" w:before="136"/>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10"/>
        <w:rPr>
          <w:rFonts w:ascii="宋体" w:hAnsi="宋体" w:cs="宋体" w:eastAsia="宋体" w:hint="default"/>
          <w:sz w:val="7"/>
          <w:szCs w:val="7"/>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1"/>
        <w:gridCol w:w="869"/>
        <w:gridCol w:w="872"/>
        <w:gridCol w:w="869"/>
        <w:gridCol w:w="871"/>
        <w:gridCol w:w="869"/>
        <w:gridCol w:w="871"/>
        <w:gridCol w:w="869"/>
      </w:tblGrid>
      <w:tr>
        <w:trPr>
          <w:trHeight w:val="1339"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1"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6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1"/>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1"/>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5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6" w:right="113"/>
              <w:jc w:val="left"/>
              <w:rPr>
                <w:rFonts w:ascii="宋体" w:hAnsi="宋体" w:cs="宋体" w:eastAsia="宋体" w:hint="default"/>
                <w:sz w:val="18"/>
                <w:szCs w:val="18"/>
              </w:rPr>
            </w:pPr>
            <w:r>
              <w:rPr>
                <w:rFonts w:ascii="宋体" w:hAnsi="宋体" w:cs="宋体" w:eastAsia="宋体" w:hint="default"/>
                <w:sz w:val="18"/>
                <w:szCs w:val="18"/>
              </w:rPr>
              <w:t>公开发行 股票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71,075.5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1,443.97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74,505.92</w:t>
            </w:r>
          </w:p>
          <w:p>
            <w:pPr>
              <w:pStyle w:val="TableParagraph"/>
              <w:spacing w:line="240" w:lineRule="auto" w:before="101"/>
              <w:ind w:left="16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2,520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36,354.63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51.15%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1,358.71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1"/>
              <w:jc w:val="center"/>
              <w:rPr>
                <w:rFonts w:ascii="宋体" w:hAnsi="宋体" w:cs="宋体" w:eastAsia="宋体" w:hint="default"/>
                <w:sz w:val="18"/>
                <w:szCs w:val="18"/>
              </w:rPr>
            </w:pPr>
            <w:r>
              <w:rPr>
                <w:rFonts w:ascii="宋体" w:hAnsi="宋体" w:cs="宋体" w:eastAsia="宋体" w:hint="default"/>
                <w:sz w:val="18"/>
                <w:szCs w:val="18"/>
              </w:rPr>
              <w:t>专户存放</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71,075.5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1,443.97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74,505.92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2,520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36,354.63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51.15%</w:t>
            </w:r>
          </w:p>
        </w:tc>
        <w:tc>
          <w:tcPr>
            <w:tcW w:w="86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w w:val="95"/>
                <w:sz w:val="18"/>
              </w:rPr>
              <w:t>1,358.71</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836"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0"/>
              <w:jc w:val="both"/>
              <w:rPr>
                <w:rFonts w:ascii="Times New Roman" w:hAnsi="Times New Roman" w:cs="Times New Roman" w:eastAsia="Times New Roman"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[2010]94</w:t>
            </w:r>
            <w:r>
              <w:rPr>
                <w:rFonts w:ascii="Times New Roman" w:hAnsi="Times New Roman" w:cs="Times New Roman" w:eastAsia="Times New Roman" w:hint="default"/>
                <w:spacing w:val="4"/>
                <w:sz w:val="18"/>
                <w:szCs w:val="18"/>
              </w:rPr>
              <w:t> </w:t>
            </w:r>
            <w:r>
              <w:rPr>
                <w:rFonts w:ascii="宋体" w:hAnsi="宋体" w:cs="宋体" w:eastAsia="宋体" w:hint="default"/>
                <w:spacing w:val="-6"/>
                <w:sz w:val="18"/>
                <w:szCs w:val="18"/>
              </w:rPr>
              <w:t>号文核准，并经深圳证券交易所同意，深圳中青宝互动网络股份有限公司（以</w:t>
            </w:r>
            <w:r>
              <w:rPr>
                <w:rFonts w:ascii="宋体" w:hAnsi="宋体" w:cs="宋体" w:eastAsia="宋体" w:hint="default"/>
                <w:sz w:val="18"/>
                <w:szCs w:val="18"/>
              </w:rPr>
              <w:t> 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日向社会公众公开发行普通股（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股）股票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万股，每股面值人民币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w:t>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z w:val="18"/>
                <w:szCs w:val="18"/>
              </w:rPr>
              <w:t>元，每股发行价人民币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日止，本公司共募集资金人民币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750,000,000.00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元，扣除发行费用人</w:t>
            </w:r>
          </w:p>
          <w:p>
            <w:pPr>
              <w:pStyle w:val="TableParagraph"/>
              <w:spacing w:line="300" w:lineRule="auto" w:before="63"/>
              <w:ind w:left="24" w:right="17"/>
              <w:jc w:val="both"/>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45,754,350.28 </w:t>
            </w:r>
            <w:r>
              <w:rPr>
                <w:rFonts w:ascii="宋体" w:hAnsi="宋体" w:cs="宋体" w:eastAsia="宋体" w:hint="default"/>
                <w:sz w:val="18"/>
                <w:szCs w:val="18"/>
              </w:rPr>
              <w:t>元，募集资金净额人民币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704,245,649.72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日，本公司上述发行募集的资金已全 </w:t>
            </w:r>
            <w:r>
              <w:rPr>
                <w:rFonts w:ascii="宋体" w:hAnsi="宋体" w:cs="宋体" w:eastAsia="宋体" w:hint="default"/>
                <w:spacing w:val="-1"/>
                <w:sz w:val="18"/>
                <w:szCs w:val="18"/>
              </w:rPr>
              <w:t>部到位，业经深圳市鹏城会计师事务所有限公司审验并出具深鹏所验字【</w:t>
            </w:r>
            <w:r>
              <w:rPr>
                <w:rFonts w:ascii="Times New Roman" w:hAnsi="Times New Roman" w:cs="Times New Roman" w:eastAsia="Times New Roman" w:hint="default"/>
                <w:spacing w:val="-1"/>
                <w:sz w:val="18"/>
                <w:szCs w:val="18"/>
              </w:rPr>
              <w:t>2010</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049</w:t>
            </w:r>
            <w:r>
              <w:rPr>
                <w:rFonts w:ascii="Times New Roman" w:hAnsi="Times New Roman" w:cs="Times New Roman" w:eastAsia="Times New Roman" w:hint="default"/>
                <w:spacing w:val="13"/>
                <w:sz w:val="18"/>
                <w:szCs w:val="18"/>
              </w:rPr>
              <w:t> </w:t>
            </w:r>
            <w:r>
              <w:rPr>
                <w:rFonts w:ascii="宋体" w:hAnsi="宋体" w:cs="宋体" w:eastAsia="宋体" w:hint="default"/>
                <w:spacing w:val="-8"/>
                <w:sz w:val="18"/>
                <w:szCs w:val="18"/>
              </w:rPr>
              <w:t>号《验资报告》。本公司依据</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日财政部颁布的财会</w:t>
            </w:r>
            <w:r>
              <w:rPr>
                <w:rFonts w:ascii="Times New Roman" w:hAnsi="Times New Roman" w:cs="Times New Roman" w:eastAsia="Times New Roman" w:hint="default"/>
                <w:sz w:val="18"/>
                <w:szCs w:val="18"/>
              </w:rPr>
              <w:t>[2010]25</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号《财政部关于执行企业会计准则的上市公司和非上市企业做好</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年年报工作的</w:t>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z w:val="18"/>
                <w:szCs w:val="18"/>
              </w:rPr>
              <w:t>通知》的要求，将不符合发行费要求的费用合计人民币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6,509,350.28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元进行了调整，调整后募集资金净额为人民币</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710,755,000.00 </w:t>
            </w:r>
            <w:r>
              <w:rPr>
                <w:rFonts w:ascii="宋体" w:hAnsi="宋体" w:cs="宋体" w:eastAsia="宋体" w:hint="default"/>
                <w:sz w:val="18"/>
                <w:szCs w:val="18"/>
              </w:rPr>
              <w:t>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日，公司对募集资金项目累计投入人民币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745,059,210.50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元，其中：公司于募集</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资金到位之前利用自有资金先期投入募集资金项目人民币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16</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57</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宋体" w:hAnsi="宋体" w:cs="宋体" w:eastAsia="宋体" w:hint="default"/>
                <w:spacing w:val="-80"/>
                <w:sz w:val="18"/>
                <w:szCs w:val="18"/>
              </w:rPr>
              <w:t>；</w:t>
            </w: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日起至</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已使用募集资金人民币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717,897,653.00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年度使用募集资金人民币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14,439,729.26 </w:t>
            </w:r>
            <w:r>
              <w:rPr>
                <w:rFonts w:ascii="宋体" w:hAnsi="宋体" w:cs="宋体" w:eastAsia="宋体" w:hint="default"/>
                <w:sz w:val="18"/>
                <w:szCs w:val="18"/>
              </w:rPr>
              <w:t>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集资金存放期间产生专用账户利息收入净额为人民币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16</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元（已扣除相关手续</w:t>
            </w:r>
            <w:r>
              <w:rPr>
                <w:rFonts w:ascii="宋体" w:hAnsi="宋体" w:cs="宋体" w:eastAsia="宋体" w:hint="default"/>
                <w:spacing w:val="-3"/>
                <w:sz w:val="18"/>
                <w:szCs w:val="18"/>
              </w:rPr>
              <w:t>费</w:t>
            </w:r>
            <w:r>
              <w:rPr>
                <w:rFonts w:ascii="宋体" w:hAnsi="宋体" w:cs="宋体" w:eastAsia="宋体" w:hint="default"/>
                <w:sz w:val="18"/>
                <w:szCs w:val="18"/>
              </w:rPr>
              <w:t>和账户维护费</w:t>
            </w:r>
            <w:r>
              <w:rPr>
                <w:rFonts w:ascii="宋体" w:hAnsi="宋体" w:cs="宋体" w:eastAsia="宋体" w:hint="default"/>
                <w:spacing w:val="-92"/>
                <w:sz w:val="18"/>
                <w:szCs w:val="18"/>
              </w:rPr>
              <w:t>）</w:t>
            </w: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日，募集资金余额为人民币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13,587,059.07 </w:t>
            </w:r>
            <w:r>
              <w:rPr>
                <w:rFonts w:ascii="宋体" w:hAnsi="宋体" w:cs="宋体" w:eastAsia="宋体" w:hint="default"/>
                <w:sz w:val="18"/>
                <w:szCs w:val="18"/>
              </w:rPr>
              <w:t>元。</w:t>
            </w:r>
          </w:p>
        </w:tc>
      </w:tr>
    </w:tbl>
    <w:p>
      <w:pPr>
        <w:pStyle w:val="Heading2"/>
        <w:spacing w:line="240" w:lineRule="auto" w:before="39"/>
        <w:ind w:right="996"/>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pStyle w:val="Heading3"/>
        <w:spacing w:line="240" w:lineRule="auto" w:before="135"/>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10"/>
        <w:rPr>
          <w:rFonts w:ascii="宋体" w:hAnsi="宋体" w:cs="宋体" w:eastAsia="宋体" w:hint="default"/>
          <w:sz w:val="7"/>
          <w:szCs w:val="7"/>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23"/>
        <w:gridCol w:w="725"/>
        <w:gridCol w:w="898"/>
        <w:gridCol w:w="896"/>
        <w:gridCol w:w="727"/>
        <w:gridCol w:w="898"/>
        <w:gridCol w:w="898"/>
        <w:gridCol w:w="727"/>
        <w:gridCol w:w="727"/>
        <w:gridCol w:w="898"/>
        <w:gridCol w:w="727"/>
        <w:gridCol w:w="727"/>
      </w:tblGrid>
      <w:tr>
        <w:trPr>
          <w:trHeight w:val="1649" w:hRule="exact"/>
        </w:trPr>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4"/>
              <w:jc w:val="center"/>
              <w:rPr>
                <w:rFonts w:ascii="宋体" w:hAnsi="宋体" w:cs="宋体" w:eastAsia="宋体" w:hint="default"/>
                <w:sz w:val="18"/>
                <w:szCs w:val="18"/>
              </w:rPr>
            </w:pPr>
            <w:r>
              <w:rPr>
                <w:rFonts w:ascii="宋体" w:hAnsi="宋体" w:cs="宋体" w:eastAsia="宋体" w:hint="default"/>
                <w:sz w:val="18"/>
                <w:szCs w:val="18"/>
              </w:rPr>
              <w:t>承诺投 资项目 和超募 资金投 向</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57" w:right="55" w:firstLine="31"/>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3" w:right="8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9" w:right="63"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8" w:right="86"/>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3" w:right="8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26" w:lineRule="auto"/>
              <w:ind w:left="83" w:right="82"/>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8" w:right="86"/>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8" w:right="86"/>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4" w:right="82"/>
              <w:jc w:val="center"/>
              <w:rPr>
                <w:rFonts w:ascii="宋体" w:hAnsi="宋体" w:cs="宋体" w:eastAsia="宋体" w:hint="default"/>
                <w:sz w:val="18"/>
                <w:szCs w:val="18"/>
              </w:rPr>
            </w:pPr>
            <w:r>
              <w:rPr>
                <w:rFonts w:ascii="宋体" w:hAnsi="宋体" w:cs="宋体" w:eastAsia="宋体" w:hint="default"/>
                <w:sz w:val="18"/>
                <w:szCs w:val="18"/>
              </w:rPr>
              <w:t>截止报告 期末累计 实现的效 益</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8" w:right="86"/>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8" w:right="86"/>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3"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652"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游</w:t>
            </w:r>
          </w:p>
          <w:p>
            <w:pPr>
              <w:pStyle w:val="TableParagraph"/>
              <w:spacing w:line="316" w:lineRule="auto" w:before="63"/>
              <w:ind w:left="24" w:right="22"/>
              <w:jc w:val="left"/>
              <w:rPr>
                <w:rFonts w:ascii="宋体" w:hAnsi="宋体" w:cs="宋体" w:eastAsia="宋体" w:hint="default"/>
                <w:sz w:val="18"/>
                <w:szCs w:val="18"/>
              </w:rPr>
            </w:pPr>
            <w:r>
              <w:rPr>
                <w:rFonts w:ascii="宋体" w:hAnsi="宋体" w:cs="宋体" w:eastAsia="宋体" w:hint="default"/>
                <w:sz w:val="18"/>
                <w:szCs w:val="18"/>
              </w:rPr>
              <w:t>戏《盟 </w:t>
            </w:r>
            <w:r>
              <w:rPr>
                <w:rFonts w:ascii="宋体" w:hAnsi="宋体" w:cs="宋体" w:eastAsia="宋体" w:hint="default"/>
                <w:spacing w:val="-14"/>
                <w:sz w:val="18"/>
                <w:szCs w:val="18"/>
              </w:rPr>
              <w:t>军》开发</w:t>
            </w:r>
            <w:r>
              <w:rPr>
                <w:rFonts w:ascii="宋体" w:hAnsi="宋体" w:cs="宋体" w:eastAsia="宋体" w:hint="default"/>
                <w:sz w:val="18"/>
                <w:szCs w:val="18"/>
              </w:rPr>
              <w:t> </w:t>
            </w:r>
            <w:r>
              <w:rPr>
                <w:rFonts w:ascii="宋体" w:hAnsi="宋体" w:cs="宋体" w:eastAsia="宋体" w:hint="default"/>
                <w:spacing w:val="-14"/>
                <w:sz w:val="18"/>
                <w:szCs w:val="18"/>
              </w:rPr>
              <w:t>项目（暂</w:t>
            </w:r>
            <w:r>
              <w:rPr>
                <w:rFonts w:ascii="宋体" w:hAnsi="宋体" w:cs="宋体" w:eastAsia="宋体" w:hint="default"/>
                <w:sz w:val="18"/>
                <w:szCs w:val="18"/>
              </w:rPr>
              <w:t> 定名）</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58" w:right="0"/>
              <w:jc w:val="left"/>
              <w:rPr>
                <w:rFonts w:ascii="Times New Roman" w:hAnsi="Times New Roman" w:cs="Times New Roman" w:eastAsia="Times New Roman" w:hint="default"/>
                <w:sz w:val="18"/>
                <w:szCs w:val="18"/>
              </w:rPr>
            </w:pPr>
            <w:r>
              <w:rPr>
                <w:rFonts w:ascii="Times New Roman"/>
                <w:sz w:val="18"/>
              </w:rPr>
              <w:t>5,696</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59" w:right="0"/>
              <w:jc w:val="left"/>
              <w:rPr>
                <w:rFonts w:ascii="Times New Roman" w:hAnsi="Times New Roman" w:cs="Times New Roman" w:eastAsia="Times New Roman" w:hint="default"/>
                <w:sz w:val="18"/>
                <w:szCs w:val="18"/>
              </w:rPr>
            </w:pPr>
            <w:r>
              <w:rPr>
                <w:rFonts w:ascii="Times New Roman"/>
                <w:sz w:val="18"/>
              </w:rPr>
              <w:t>3,696</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4,144.28</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8" w:right="0"/>
              <w:jc w:val="left"/>
              <w:rPr>
                <w:rFonts w:ascii="Times New Roman" w:hAnsi="Times New Roman" w:cs="Times New Roman" w:eastAsia="Times New Roman" w:hint="default"/>
                <w:sz w:val="18"/>
                <w:szCs w:val="18"/>
              </w:rPr>
            </w:pPr>
            <w:r>
              <w:rPr>
                <w:rFonts w:ascii="Times New Roman"/>
                <w:sz w:val="18"/>
              </w:rPr>
              <w:t>112.13%</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92" w:right="0"/>
              <w:jc w:val="left"/>
              <w:rPr>
                <w:rFonts w:ascii="Times New Roman" w:hAnsi="Times New Roman" w:cs="Times New Roman" w:eastAsia="Times New Roman" w:hint="default"/>
                <w:sz w:val="18"/>
                <w:szCs w:val="18"/>
              </w:rPr>
            </w:pPr>
            <w:r>
              <w:rPr>
                <w:rFonts w:ascii="Times New Roman"/>
                <w:sz w:val="18"/>
              </w:rPr>
              <w:t>-8.92</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3"/>
        <w:rPr>
          <w:rFonts w:ascii="宋体" w:hAnsi="宋体" w:cs="宋体" w:eastAsia="宋体" w:hint="default"/>
          <w:sz w:val="29"/>
          <w:szCs w:val="29"/>
        </w:rPr>
      </w:pPr>
    </w:p>
    <w:p>
      <w:pPr>
        <w:spacing w:line="780" w:lineRule="exact"/>
        <w:ind w:left="880"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35.9pt;height:39.050pt;mso-position-horizontal-relative:char;mso-position-vertical-relative:line" coordorigin="0,0" coordsize="718,781">
            <v:group style="position:absolute;left:0;top:0;width:718;height:781" coordorigin="0,0" coordsize="718,781">
              <v:shape style="position:absolute;left:0;top:0;width:718;height:781" coordorigin="0,0" coordsize="718,781" path="m0,780l718,780,718,0,0,0,0,780xe" filled="true" fillcolor="#ffffff" stroked="false">
                <v:path arrowok="t"/>
                <v:fill type="solid"/>
              </v:shape>
            </v:group>
          </v:group>
        </w:pict>
      </w:r>
      <w:r>
        <w:rPr>
          <w:rFonts w:ascii="宋体" w:hAnsi="宋体" w:cs="宋体" w:eastAsia="宋体" w:hint="default"/>
          <w:position w:val="-1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p>
      <w:pPr>
        <w:spacing w:line="780" w:lineRule="exact"/>
        <w:ind w:left="880"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35.9pt;height:39pt;mso-position-horizontal-relative:char;mso-position-vertical-relative:line" coordorigin="0,0" coordsize="718,780">
            <v:group style="position:absolute;left:0;top:0;width:718;height:780" coordorigin="0,0" coordsize="718,780">
              <v:shape style="position:absolute;left:0;top:0;width:718;height:780" coordorigin="0,0" coordsize="718,780" path="m0,780l718,780,718,0,0,0,0,780xe" filled="true" fillcolor="#ffffff" stroked="false">
                <v:path arrowok="t"/>
                <v:fill type="solid"/>
              </v:shape>
            </v:group>
          </v:group>
        </w:pict>
      </w:r>
      <w:r>
        <w:rPr>
          <w:rFonts w:ascii="宋体" w:hAnsi="宋体" w:cs="宋体" w:eastAsia="宋体" w:hint="default"/>
          <w:position w:val="-1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before="44"/>
        <w:ind w:left="0" w:right="1138" w:firstLine="0"/>
        <w:jc w:val="right"/>
        <w:rPr>
          <w:rFonts w:ascii="宋体" w:hAnsi="宋体" w:cs="宋体" w:eastAsia="宋体" w:hint="default"/>
          <w:sz w:val="18"/>
          <w:szCs w:val="18"/>
        </w:rPr>
      </w:pPr>
      <w:r>
        <w:rPr/>
        <w:pict>
          <v:shape style="position:absolute;margin-left:56.400002pt;margin-top:-385.398285pt;width:479.3pt;height:656.1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23"/>
                    <w:gridCol w:w="725"/>
                    <w:gridCol w:w="898"/>
                    <w:gridCol w:w="896"/>
                    <w:gridCol w:w="727"/>
                    <w:gridCol w:w="898"/>
                    <w:gridCol w:w="898"/>
                    <w:gridCol w:w="727"/>
                    <w:gridCol w:w="727"/>
                    <w:gridCol w:w="898"/>
                    <w:gridCol w:w="727"/>
                    <w:gridCol w:w="727"/>
                  </w:tblGrid>
                  <w:tr>
                    <w:trPr>
                      <w:trHeight w:val="1961" w:hRule="exact"/>
                    </w:trPr>
                    <w:tc>
                      <w:tcPr>
                        <w:tcW w:w="723"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2.2.5D</w:t>
                        </w:r>
                      </w:p>
                      <w:p>
                        <w:pPr>
                          <w:pStyle w:val="TableParagraph"/>
                          <w:spacing w:line="316" w:lineRule="auto" w:before="63"/>
                          <w:ind w:left="24" w:right="-38"/>
                          <w:jc w:val="left"/>
                          <w:rPr>
                            <w:rFonts w:ascii="宋体" w:hAnsi="宋体" w:cs="宋体" w:eastAsia="宋体" w:hint="default"/>
                            <w:sz w:val="18"/>
                            <w:szCs w:val="18"/>
                          </w:rPr>
                        </w:pPr>
                        <w:r>
                          <w:rPr>
                            <w:rFonts w:ascii="宋体" w:hAnsi="宋体" w:cs="宋体" w:eastAsia="宋体" w:hint="default"/>
                            <w:spacing w:val="-14"/>
                            <w:sz w:val="18"/>
                            <w:szCs w:val="18"/>
                          </w:rPr>
                          <w:t>游戏《三</w:t>
                        </w:r>
                        <w:r>
                          <w:rPr>
                            <w:rFonts w:ascii="宋体" w:hAnsi="宋体" w:cs="宋体" w:eastAsia="宋体" w:hint="default"/>
                            <w:sz w:val="18"/>
                            <w:szCs w:val="18"/>
                          </w:rPr>
                          <w:t> 国游侠》 开发项 </w:t>
                        </w:r>
                        <w:r>
                          <w:rPr>
                            <w:rFonts w:ascii="宋体" w:hAnsi="宋体" w:cs="宋体" w:eastAsia="宋体" w:hint="default"/>
                            <w:spacing w:val="-14"/>
                            <w:sz w:val="18"/>
                            <w:szCs w:val="18"/>
                          </w:rPr>
                          <w:t>目（暂定</w:t>
                        </w:r>
                        <w:r>
                          <w:rPr>
                            <w:rFonts w:ascii="宋体" w:hAnsi="宋体" w:cs="宋体" w:eastAsia="宋体" w:hint="default"/>
                            <w:sz w:val="18"/>
                            <w:szCs w:val="18"/>
                          </w:rPr>
                          <w:t> 名）</w:t>
                        </w:r>
                      </w:p>
                    </w:tc>
                    <w:tc>
                      <w:tcPr>
                        <w:tcW w:w="725"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5,270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2,340.37</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2,655.73</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113.47%</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-229.42</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963" w:hRule="exact"/>
                    </w:trPr>
                    <w:tc>
                      <w:tcPr>
                        <w:tcW w:w="723"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3.2.5D</w:t>
                        </w:r>
                      </w:p>
                      <w:p>
                        <w:pPr>
                          <w:pStyle w:val="TableParagraph"/>
                          <w:spacing w:line="316" w:lineRule="auto" w:before="60"/>
                          <w:ind w:left="24" w:right="-38"/>
                          <w:jc w:val="left"/>
                          <w:rPr>
                            <w:rFonts w:ascii="宋体" w:hAnsi="宋体" w:cs="宋体" w:eastAsia="宋体" w:hint="default"/>
                            <w:sz w:val="18"/>
                            <w:szCs w:val="18"/>
                          </w:rPr>
                        </w:pPr>
                        <w:r>
                          <w:rPr>
                            <w:rFonts w:ascii="宋体" w:hAnsi="宋体" w:cs="宋体" w:eastAsia="宋体" w:hint="default"/>
                            <w:spacing w:val="-14"/>
                            <w:sz w:val="18"/>
                            <w:szCs w:val="18"/>
                          </w:rPr>
                          <w:t>游戏《新</w:t>
                        </w:r>
                        <w:r>
                          <w:rPr>
                            <w:rFonts w:ascii="宋体" w:hAnsi="宋体" w:cs="宋体" w:eastAsia="宋体" w:hint="default"/>
                            <w:sz w:val="18"/>
                            <w:szCs w:val="18"/>
                          </w:rPr>
                          <w:t> 宋演义》 开发项 </w:t>
                        </w:r>
                        <w:r>
                          <w:rPr>
                            <w:rFonts w:ascii="宋体" w:hAnsi="宋体" w:cs="宋体" w:eastAsia="宋体" w:hint="default"/>
                            <w:spacing w:val="-14"/>
                            <w:sz w:val="18"/>
                            <w:szCs w:val="18"/>
                          </w:rPr>
                          <w:t>目（暂定</w:t>
                        </w:r>
                        <w:r>
                          <w:rPr>
                            <w:rFonts w:ascii="宋体" w:hAnsi="宋体" w:cs="宋体" w:eastAsia="宋体" w:hint="default"/>
                            <w:sz w:val="18"/>
                            <w:szCs w:val="18"/>
                          </w:rPr>
                          <w:t> 名）</w:t>
                        </w:r>
                      </w:p>
                    </w:tc>
                    <w:tc>
                      <w:tcPr>
                        <w:tcW w:w="725"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5,246</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1,560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1,812.89</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116.21%</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254.76</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49"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4.3D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游</w:t>
                        </w:r>
                      </w:p>
                      <w:p>
                        <w:pPr>
                          <w:pStyle w:val="TableParagraph"/>
                          <w:spacing w:line="316" w:lineRule="auto" w:before="63"/>
                          <w:ind w:left="24" w:right="22"/>
                          <w:jc w:val="both"/>
                          <w:rPr>
                            <w:rFonts w:ascii="宋体" w:hAnsi="宋体" w:cs="宋体" w:eastAsia="宋体" w:hint="default"/>
                            <w:sz w:val="18"/>
                            <w:szCs w:val="18"/>
                          </w:rPr>
                        </w:pPr>
                        <w:r>
                          <w:rPr>
                            <w:rFonts w:ascii="宋体" w:hAnsi="宋体" w:cs="宋体" w:eastAsia="宋体" w:hint="default"/>
                            <w:spacing w:val="-14"/>
                            <w:sz w:val="18"/>
                            <w:szCs w:val="18"/>
                          </w:rPr>
                          <w:t>戏《寻梦</w:t>
                        </w:r>
                        <w:r>
                          <w:rPr>
                            <w:rFonts w:ascii="宋体" w:hAnsi="宋体" w:cs="宋体" w:eastAsia="宋体" w:hint="default"/>
                            <w:sz w:val="18"/>
                            <w:szCs w:val="18"/>
                          </w:rPr>
                          <w:t> </w:t>
                        </w:r>
                        <w:r>
                          <w:rPr>
                            <w:rFonts w:ascii="宋体" w:hAnsi="宋体" w:cs="宋体" w:eastAsia="宋体" w:hint="default"/>
                            <w:spacing w:val="-14"/>
                            <w:sz w:val="18"/>
                            <w:szCs w:val="18"/>
                          </w:rPr>
                          <w:t>园》开发</w:t>
                        </w:r>
                        <w:r>
                          <w:rPr>
                            <w:rFonts w:ascii="宋体" w:hAnsi="宋体" w:cs="宋体" w:eastAsia="宋体" w:hint="default"/>
                            <w:sz w:val="18"/>
                            <w:szCs w:val="18"/>
                          </w:rPr>
                          <w:t> </w:t>
                        </w:r>
                        <w:r>
                          <w:rPr>
                            <w:rFonts w:ascii="宋体" w:hAnsi="宋体" w:cs="宋体" w:eastAsia="宋体" w:hint="default"/>
                            <w:spacing w:val="-14"/>
                            <w:sz w:val="18"/>
                            <w:szCs w:val="18"/>
                          </w:rPr>
                          <w:t>项目（暂</w:t>
                        </w:r>
                        <w:r>
                          <w:rPr>
                            <w:rFonts w:ascii="宋体" w:hAnsi="宋体" w:cs="宋体" w:eastAsia="宋体" w:hint="default"/>
                            <w:sz w:val="18"/>
                            <w:szCs w:val="18"/>
                          </w:rPr>
                          <w:t> 定名）</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4,639</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1,608.5</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114.89%</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-428.55</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1"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147"/>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网络 游戏研 发技术 平台项 目</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1,778.9</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1,937.68</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108.93%</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7"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47"/>
                          <w:jc w:val="both"/>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苏州 研发中 心建设 项目</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11,500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709.42</w:t>
                        </w: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pacing w:val="-92"/>
                            <w:sz w:val="18"/>
                            <w:szCs w:val="18"/>
                          </w:rPr>
                          <w:t>是</w:t>
                        </w:r>
                        <w:r>
                          <w:rPr>
                            <w:rFonts w:ascii="宋体" w:hAnsi="宋体" w:cs="宋体" w:eastAsia="宋体" w:hint="default"/>
                            <w:sz w:val="18"/>
                            <w:szCs w:val="18"/>
                          </w:rPr>
                          <w:t>（注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p>
                    </w:tc>
                  </w:tr>
                  <w:tr>
                    <w:trPr>
                      <w:trHeight w:val="2275"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127"/>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上海 美峰数 码科技 有限公 司</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51%</w:t>
                        </w:r>
                      </w:p>
                      <w:p>
                        <w:pPr>
                          <w:pStyle w:val="TableParagraph"/>
                          <w:spacing w:line="316" w:lineRule="auto" w:before="3"/>
                          <w:ind w:left="24" w:right="147"/>
                          <w:jc w:val="both"/>
                          <w:rPr>
                            <w:rFonts w:ascii="宋体" w:hAnsi="宋体" w:cs="宋体" w:eastAsia="宋体" w:hint="default"/>
                            <w:sz w:val="18"/>
                            <w:szCs w:val="18"/>
                          </w:rPr>
                        </w:pPr>
                        <w:r>
                          <w:rPr>
                            <w:rFonts w:ascii="宋体" w:hAnsi="宋体" w:cs="宋体" w:eastAsia="宋体" w:hint="default"/>
                            <w:sz w:val="18"/>
                            <w:szCs w:val="18"/>
                          </w:rPr>
                          <w:t>股权收 购项目</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14,280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14,280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-2,099.78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276"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47"/>
                          <w:jc w:val="both"/>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深圳 市苏摩 科技有 限公司 </w:t>
                        </w:r>
                        <w:r>
                          <w:rPr>
                            <w:rFonts w:ascii="Times New Roman" w:hAnsi="Times New Roman" w:cs="Times New Roman" w:eastAsia="Times New Roman" w:hint="default"/>
                            <w:sz w:val="18"/>
                            <w:szCs w:val="18"/>
                          </w:rPr>
                          <w:t>51%</w:t>
                        </w:r>
                        <w:r>
                          <w:rPr>
                            <w:rFonts w:ascii="宋体" w:hAnsi="宋体" w:cs="宋体" w:eastAsia="宋体" w:hint="default"/>
                            <w:sz w:val="18"/>
                            <w:szCs w:val="18"/>
                          </w:rPr>
                          <w:t>股</w:t>
                        </w:r>
                      </w:p>
                      <w:p>
                        <w:pPr>
                          <w:pStyle w:val="TableParagraph"/>
                          <w:spacing w:line="316" w:lineRule="auto" w:before="1"/>
                          <w:ind w:left="24" w:right="147"/>
                          <w:jc w:val="both"/>
                          <w:rPr>
                            <w:rFonts w:ascii="宋体" w:hAnsi="宋体" w:cs="宋体" w:eastAsia="宋体" w:hint="default"/>
                            <w:sz w:val="18"/>
                            <w:szCs w:val="18"/>
                          </w:rPr>
                        </w:pPr>
                        <w:r>
                          <w:rPr>
                            <w:rFonts w:ascii="宋体" w:hAnsi="宋体" w:cs="宋体" w:eastAsia="宋体" w:hint="default"/>
                            <w:sz w:val="18"/>
                            <w:szCs w:val="18"/>
                          </w:rPr>
                          <w:t>权收购 项目</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2,186.63</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2,186.63</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211.59</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2,648.45</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23"/>
        <w:gridCol w:w="725"/>
        <w:gridCol w:w="898"/>
        <w:gridCol w:w="896"/>
        <w:gridCol w:w="727"/>
        <w:gridCol w:w="898"/>
        <w:gridCol w:w="898"/>
        <w:gridCol w:w="727"/>
        <w:gridCol w:w="727"/>
        <w:gridCol w:w="898"/>
        <w:gridCol w:w="727"/>
        <w:gridCol w:w="727"/>
      </w:tblGrid>
      <w:tr>
        <w:trPr>
          <w:trHeight w:val="1025"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47"/>
              <w:jc w:val="both"/>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永久 补充流 动资金</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821.1</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821.1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98"/>
              <w:jc w:val="both"/>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永久</w:t>
            </w:r>
            <w:r>
              <w:rPr>
                <w:rFonts w:ascii="宋体" w:hAnsi="宋体" w:cs="宋体" w:eastAsia="宋体" w:hint="default"/>
                <w:spacing w:val="-87"/>
                <w:sz w:val="18"/>
                <w:szCs w:val="18"/>
              </w:rPr>
              <w:t> </w:t>
            </w:r>
            <w:r>
              <w:rPr>
                <w:rFonts w:ascii="宋体" w:hAnsi="宋体" w:cs="宋体" w:eastAsia="宋体" w:hint="default"/>
                <w:sz w:val="18"/>
                <w:szCs w:val="18"/>
              </w:rPr>
              <w:t>补充流 动资金</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3,220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3,602.2</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2"/>
                <w:sz w:val="18"/>
              </w:rPr>
              <w:t>111.87%</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49"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07"/>
              <w:jc w:val="both"/>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凤凰 高科技 文化科 普体验 园项目</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1,148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457.18</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1,606.55</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139.94%</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-663.87</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-861.86</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98"/>
              <w:jc w:val="both"/>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球类</w:t>
            </w:r>
            <w:r>
              <w:rPr>
                <w:rFonts w:ascii="宋体" w:hAnsi="宋体" w:cs="宋体" w:eastAsia="宋体" w:hint="default"/>
                <w:spacing w:val="-87"/>
                <w:sz w:val="18"/>
                <w:szCs w:val="18"/>
              </w:rPr>
              <w:t> </w:t>
            </w:r>
            <w:r>
              <w:rPr>
                <w:rFonts w:ascii="宋体" w:hAnsi="宋体" w:cs="宋体" w:eastAsia="宋体" w:hint="default"/>
                <w:sz w:val="18"/>
                <w:szCs w:val="18"/>
              </w:rPr>
              <w:t>游戏推 广项目</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2,520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950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950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37.70%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-493.95</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-493.95</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7" w:hRule="exact"/>
        </w:trPr>
        <w:tc>
          <w:tcPr>
            <w:tcW w:w="72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4" w:right="147"/>
              <w:jc w:val="both"/>
              <w:rPr>
                <w:rFonts w:ascii="宋体" w:hAnsi="宋体" w:cs="宋体" w:eastAsia="宋体" w:hint="default"/>
                <w:sz w:val="18"/>
                <w:szCs w:val="18"/>
              </w:rPr>
            </w:pPr>
            <w:r>
              <w:rPr>
                <w:rFonts w:ascii="宋体" w:hAnsi="宋体" w:cs="宋体" w:eastAsia="宋体" w:hint="default"/>
                <w:sz w:val="18"/>
                <w:szCs w:val="18"/>
              </w:rPr>
              <w:t>承诺投 资项目 小计</w:t>
            </w:r>
          </w:p>
        </w:tc>
        <w:tc>
          <w:tcPr>
            <w:tcW w:w="725" w:type="dxa"/>
            <w:tcBorders>
              <w:top w:val="single" w:sz="4" w:space="0" w:color="000000"/>
              <w:left w:val="single" w:sz="4" w:space="0" w:color="000000"/>
              <w:bottom w:val="nil" w:sz="6" w:space="0" w:color="auto"/>
              <w:right w:val="single" w:sz="4" w:space="0" w:color="000000"/>
            </w:tcBorders>
            <w:shd w:val="clear" w:color="auto" w:fill="D2D2D2"/>
          </w:tcPr>
          <w:p>
            <w:pPr/>
          </w:p>
        </w:tc>
        <w:tc>
          <w:tcPr>
            <w:tcW w:w="898"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34,951</w:t>
            </w:r>
          </w:p>
        </w:tc>
        <w:tc>
          <w:tcPr>
            <w:tcW w:w="8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70" w:right="0"/>
              <w:jc w:val="left"/>
              <w:rPr>
                <w:rFonts w:ascii="Times New Roman" w:hAnsi="Times New Roman" w:cs="Times New Roman" w:eastAsia="Times New Roman" w:hint="default"/>
                <w:sz w:val="18"/>
                <w:szCs w:val="18"/>
              </w:rPr>
            </w:pPr>
            <w:r>
              <w:rPr>
                <w:rFonts w:ascii="Times New Roman"/>
                <w:sz w:val="18"/>
              </w:rPr>
              <w:t>34,951</w:t>
            </w: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1,407.18</w:t>
            </w:r>
          </w:p>
        </w:tc>
        <w:tc>
          <w:tcPr>
            <w:tcW w:w="898"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36,314.98</w:t>
            </w:r>
          </w:p>
        </w:tc>
        <w:tc>
          <w:tcPr>
            <w:tcW w:w="8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-946.23</w:t>
            </w:r>
          </w:p>
        </w:tc>
        <w:tc>
          <w:tcPr>
            <w:tcW w:w="898"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-1,219.27</w:t>
            </w: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723" w:type="dxa"/>
            <w:vMerge/>
            <w:tcBorders>
              <w:left w:val="single" w:sz="4" w:space="0" w:color="000000"/>
              <w:right w:val="single" w:sz="4" w:space="0" w:color="000000"/>
            </w:tcBorders>
            <w:shd w:val="clear" w:color="auto" w:fill="D2D2D2"/>
          </w:tcPr>
          <w:p>
            <w:pPr/>
          </w:p>
        </w:tc>
        <w:tc>
          <w:tcPr>
            <w:tcW w:w="7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98" w:type="dxa"/>
            <w:vMerge/>
            <w:tcBorders>
              <w:left w:val="single" w:sz="10" w:space="0" w:color="D2D2D2"/>
              <w:right w:val="single" w:sz="4" w:space="0" w:color="000000"/>
            </w:tcBorders>
          </w:tcPr>
          <w:p>
            <w:pPr/>
          </w:p>
        </w:tc>
        <w:tc>
          <w:tcPr>
            <w:tcW w:w="896"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898" w:type="dxa"/>
            <w:vMerge/>
            <w:tcBorders>
              <w:left w:val="single" w:sz="4" w:space="0" w:color="000000"/>
              <w:right w:val="single" w:sz="9" w:space="0" w:color="D2D2D2"/>
            </w:tcBorders>
          </w:tcPr>
          <w:p>
            <w:pPr/>
          </w:p>
        </w:tc>
        <w:tc>
          <w:tcPr>
            <w:tcW w:w="8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27" w:type="dxa"/>
            <w:vMerge/>
            <w:tcBorders>
              <w:left w:val="single" w:sz="10" w:space="0" w:color="D2D2D2"/>
              <w:right w:val="single" w:sz="4" w:space="0" w:color="000000"/>
            </w:tcBorders>
          </w:tcPr>
          <w:p>
            <w:pPr/>
          </w:p>
        </w:tc>
        <w:tc>
          <w:tcPr>
            <w:tcW w:w="898" w:type="dxa"/>
            <w:vMerge/>
            <w:tcBorders>
              <w:left w:val="single" w:sz="4" w:space="0" w:color="000000"/>
              <w:right w:val="single" w:sz="9" w:space="0" w:color="D2D2D2"/>
            </w:tcBorders>
          </w:tcPr>
          <w:p>
            <w:pPr/>
          </w:p>
        </w:tc>
        <w:tc>
          <w:tcPr>
            <w:tcW w:w="7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24" w:hRule="exact"/>
        </w:trPr>
        <w:tc>
          <w:tcPr>
            <w:tcW w:w="723" w:type="dxa"/>
            <w:vMerge/>
            <w:tcBorders>
              <w:left w:val="single" w:sz="4" w:space="0" w:color="000000"/>
              <w:bottom w:val="single" w:sz="4" w:space="0" w:color="000000"/>
              <w:right w:val="single" w:sz="4" w:space="0" w:color="000000"/>
            </w:tcBorders>
            <w:shd w:val="clear" w:color="auto" w:fill="D2D2D2"/>
          </w:tcPr>
          <w:p>
            <w:pPr/>
          </w:p>
        </w:tc>
        <w:tc>
          <w:tcPr>
            <w:tcW w:w="725" w:type="dxa"/>
            <w:tcBorders>
              <w:top w:val="nil" w:sz="6" w:space="0" w:color="auto"/>
              <w:left w:val="single" w:sz="4" w:space="0" w:color="000000"/>
              <w:bottom w:val="single" w:sz="4" w:space="0" w:color="000000"/>
              <w:right w:val="single" w:sz="4" w:space="0" w:color="000000"/>
            </w:tcBorders>
            <w:shd w:val="clear" w:color="auto" w:fill="D2D2D2"/>
          </w:tcPr>
          <w:p>
            <w:pPr/>
          </w:p>
        </w:tc>
        <w:tc>
          <w:tcPr>
            <w:tcW w:w="898" w:type="dxa"/>
            <w:vMerge/>
            <w:tcBorders>
              <w:left w:val="single" w:sz="10" w:space="0" w:color="D2D2D2"/>
              <w:bottom w:val="single" w:sz="4" w:space="0" w:color="000000"/>
              <w:right w:val="single" w:sz="4" w:space="0" w:color="000000"/>
            </w:tcBorders>
          </w:tcPr>
          <w:p>
            <w:pPr/>
          </w:p>
        </w:tc>
        <w:tc>
          <w:tcPr>
            <w:tcW w:w="896"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9" w:space="0" w:color="D2D2D2"/>
            </w:tcBorders>
          </w:tcPr>
          <w:p>
            <w:pPr/>
          </w:p>
        </w:tc>
        <w:tc>
          <w:tcPr>
            <w:tcW w:w="8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c>
          <w:tcPr>
            <w:tcW w:w="727" w:type="dxa"/>
            <w:vMerge/>
            <w:tcBorders>
              <w:left w:val="single" w:sz="10" w:space="0" w:color="D2D2D2"/>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9" w:space="0" w:color="D2D2D2"/>
            </w:tcBorders>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2585"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4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以游 戏产品</w:t>
            </w:r>
          </w:p>
          <w:p>
            <w:pPr>
              <w:pStyle w:val="TableParagraph"/>
              <w:spacing w:line="316" w:lineRule="auto" w:before="31"/>
              <w:ind w:left="24" w:right="22"/>
              <w:jc w:val="left"/>
              <w:rPr>
                <w:rFonts w:ascii="宋体" w:hAnsi="宋体" w:cs="宋体" w:eastAsia="宋体" w:hint="default"/>
                <w:sz w:val="18"/>
                <w:szCs w:val="18"/>
              </w:rPr>
            </w:pPr>
            <w:r>
              <w:rPr>
                <w:rFonts w:ascii="宋体" w:hAnsi="宋体" w:cs="宋体" w:eastAsia="宋体" w:hint="default"/>
                <w:sz w:val="18"/>
                <w:szCs w:val="18"/>
              </w:rPr>
              <w:t>（非募 投项目 </w:t>
            </w:r>
            <w:r>
              <w:rPr>
                <w:rFonts w:ascii="宋体" w:hAnsi="宋体" w:cs="宋体" w:eastAsia="宋体" w:hint="default"/>
                <w:spacing w:val="-14"/>
                <w:sz w:val="18"/>
                <w:szCs w:val="18"/>
              </w:rPr>
              <w:t>产品）推</w:t>
            </w:r>
            <w:r>
              <w:rPr>
                <w:rFonts w:ascii="宋体" w:hAnsi="宋体" w:cs="宋体" w:eastAsia="宋体" w:hint="default"/>
                <w:sz w:val="18"/>
                <w:szCs w:val="18"/>
              </w:rPr>
              <w:t> 广为目 的的营 运投入</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8,000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z w:val="18"/>
              </w:rPr>
              <w:t>8,000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w w:val="95"/>
                <w:sz w:val="18"/>
              </w:rPr>
              <w:t>8,774.52</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109.68%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z w:val="18"/>
              </w:rPr>
              <w:t>242.7</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w w:val="95"/>
                <w:sz w:val="18"/>
              </w:rPr>
              <w:t>5,707.93</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275"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7"/>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增资 卓页互 动用于 网页游 戏产品 业务发 展投入</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1,750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1,750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1,764.28</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100.82%</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-98.78</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-2,533.87</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47"/>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中青 聚宝项 目</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36.79</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7,394.34</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105.63%</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-230.45</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-1,295.92</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47"/>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第三 方支付 平台</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2,151.7</w:t>
            </w: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23"/>
        <w:gridCol w:w="725"/>
        <w:gridCol w:w="898"/>
        <w:gridCol w:w="896"/>
        <w:gridCol w:w="727"/>
        <w:gridCol w:w="898"/>
        <w:gridCol w:w="898"/>
        <w:gridCol w:w="727"/>
        <w:gridCol w:w="727"/>
        <w:gridCol w:w="898"/>
        <w:gridCol w:w="727"/>
        <w:gridCol w:w="727"/>
      </w:tblGrid>
      <w:tr>
        <w:trPr>
          <w:trHeight w:val="2273"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聚宝计 划</w:t>
            </w:r>
            <w:r>
              <w:rPr>
                <w:rFonts w:ascii="Times New Roman" w:hAnsi="Times New Roman" w:cs="Times New Roman" w:eastAsia="Times New Roman" w:hint="default"/>
                <w:sz w:val="18"/>
                <w:szCs w:val="18"/>
              </w:rPr>
              <w:t>"</w:t>
            </w:r>
            <w:r>
              <w:rPr>
                <w:rFonts w:ascii="宋体" w:hAnsi="宋体" w:cs="宋体" w:eastAsia="宋体" w:hint="default"/>
                <w:sz w:val="18"/>
                <w:szCs w:val="18"/>
              </w:rPr>
              <w:t>中的 网络游 戏研发 项目的 投入</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6,374.5</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6,374.5</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6,476.27</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101.60%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519.76</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10,937.85</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964"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7"/>
              <w:jc w:val="both"/>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增资 卓页网 页游戏 的运营 和研发 投资</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3,022.02</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100.73%</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47"/>
              <w:jc w:val="both"/>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永久 补充流 动资金</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9" w:hRule="exact"/>
        </w:trPr>
        <w:tc>
          <w:tcPr>
            <w:tcW w:w="72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4" w:right="147"/>
              <w:jc w:val="both"/>
              <w:rPr>
                <w:rFonts w:ascii="宋体" w:hAnsi="宋体" w:cs="宋体" w:eastAsia="宋体" w:hint="default"/>
                <w:sz w:val="18"/>
                <w:szCs w:val="18"/>
              </w:rPr>
            </w:pPr>
            <w:r>
              <w:rPr>
                <w:rFonts w:ascii="宋体" w:hAnsi="宋体" w:cs="宋体" w:eastAsia="宋体" w:hint="default"/>
                <w:sz w:val="18"/>
                <w:szCs w:val="18"/>
              </w:rPr>
              <w:t>超募资 金投向 小计</w:t>
            </w:r>
          </w:p>
        </w:tc>
        <w:tc>
          <w:tcPr>
            <w:tcW w:w="725" w:type="dxa"/>
            <w:tcBorders>
              <w:top w:val="single" w:sz="4" w:space="0" w:color="000000"/>
              <w:left w:val="single" w:sz="4" w:space="0" w:color="000000"/>
              <w:bottom w:val="nil" w:sz="6" w:space="0" w:color="auto"/>
              <w:right w:val="single" w:sz="4" w:space="0" w:color="000000"/>
            </w:tcBorders>
            <w:shd w:val="clear" w:color="auto" w:fill="D2D2D2"/>
          </w:tcPr>
          <w:p>
            <w:pPr/>
          </w:p>
        </w:tc>
        <w:tc>
          <w:tcPr>
            <w:tcW w:w="898"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36,124.5</w:t>
            </w:r>
          </w:p>
        </w:tc>
        <w:tc>
          <w:tcPr>
            <w:tcW w:w="8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36,124.5</w:t>
            </w: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36.79</w:t>
            </w:r>
          </w:p>
        </w:tc>
        <w:tc>
          <w:tcPr>
            <w:tcW w:w="898"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39,583.13</w:t>
            </w:r>
          </w:p>
        </w:tc>
        <w:tc>
          <w:tcPr>
            <w:tcW w:w="8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433.23</w:t>
            </w:r>
          </w:p>
        </w:tc>
        <w:tc>
          <w:tcPr>
            <w:tcW w:w="898"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12,815.99</w:t>
            </w: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723" w:type="dxa"/>
            <w:vMerge/>
            <w:tcBorders>
              <w:left w:val="single" w:sz="4" w:space="0" w:color="000000"/>
              <w:right w:val="single" w:sz="4" w:space="0" w:color="000000"/>
            </w:tcBorders>
            <w:shd w:val="clear" w:color="auto" w:fill="D2D2D2"/>
          </w:tcPr>
          <w:p>
            <w:pPr/>
          </w:p>
        </w:tc>
        <w:tc>
          <w:tcPr>
            <w:tcW w:w="7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c>
          <w:tcPr>
            <w:tcW w:w="898" w:type="dxa"/>
            <w:vMerge/>
            <w:tcBorders>
              <w:left w:val="single" w:sz="10" w:space="0" w:color="D2D2D2"/>
              <w:right w:val="single" w:sz="4" w:space="0" w:color="000000"/>
            </w:tcBorders>
          </w:tcPr>
          <w:p>
            <w:pPr/>
          </w:p>
        </w:tc>
        <w:tc>
          <w:tcPr>
            <w:tcW w:w="896"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898" w:type="dxa"/>
            <w:vMerge/>
            <w:tcBorders>
              <w:left w:val="single" w:sz="4" w:space="0" w:color="000000"/>
              <w:right w:val="single" w:sz="9" w:space="0" w:color="D2D2D2"/>
            </w:tcBorders>
          </w:tcPr>
          <w:p>
            <w:pPr/>
          </w:p>
        </w:tc>
        <w:tc>
          <w:tcPr>
            <w:tcW w:w="8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c>
          <w:tcPr>
            <w:tcW w:w="727" w:type="dxa"/>
            <w:vMerge/>
            <w:tcBorders>
              <w:left w:val="single" w:sz="10" w:space="0" w:color="D2D2D2"/>
              <w:right w:val="single" w:sz="4" w:space="0" w:color="000000"/>
            </w:tcBorders>
          </w:tcPr>
          <w:p>
            <w:pPr/>
          </w:p>
        </w:tc>
        <w:tc>
          <w:tcPr>
            <w:tcW w:w="898" w:type="dxa"/>
            <w:vMerge/>
            <w:tcBorders>
              <w:left w:val="single" w:sz="4" w:space="0" w:color="000000"/>
              <w:right w:val="single" w:sz="9" w:space="0" w:color="D2D2D2"/>
            </w:tcBorders>
          </w:tcPr>
          <w:p>
            <w:pPr/>
          </w:p>
        </w:tc>
        <w:tc>
          <w:tcPr>
            <w:tcW w:w="7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c>
          <w:tcPr>
            <w:tcW w:w="7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r>
      <w:tr>
        <w:trPr>
          <w:trHeight w:val="317" w:hRule="exact"/>
        </w:trPr>
        <w:tc>
          <w:tcPr>
            <w:tcW w:w="723" w:type="dxa"/>
            <w:vMerge/>
            <w:tcBorders>
              <w:left w:val="single" w:sz="4" w:space="0" w:color="000000"/>
              <w:bottom w:val="single" w:sz="4" w:space="0" w:color="000000"/>
              <w:right w:val="single" w:sz="4" w:space="0" w:color="000000"/>
            </w:tcBorders>
            <w:shd w:val="clear" w:color="auto" w:fill="D2D2D2"/>
          </w:tcPr>
          <w:p>
            <w:pPr/>
          </w:p>
        </w:tc>
        <w:tc>
          <w:tcPr>
            <w:tcW w:w="725" w:type="dxa"/>
            <w:tcBorders>
              <w:top w:val="nil" w:sz="6" w:space="0" w:color="auto"/>
              <w:left w:val="single" w:sz="4" w:space="0" w:color="000000"/>
              <w:bottom w:val="single" w:sz="4" w:space="0" w:color="000000"/>
              <w:right w:val="single" w:sz="4" w:space="0" w:color="000000"/>
            </w:tcBorders>
            <w:shd w:val="clear" w:color="auto" w:fill="D2D2D2"/>
          </w:tcPr>
          <w:p>
            <w:pPr/>
          </w:p>
        </w:tc>
        <w:tc>
          <w:tcPr>
            <w:tcW w:w="898" w:type="dxa"/>
            <w:vMerge/>
            <w:tcBorders>
              <w:left w:val="single" w:sz="10" w:space="0" w:color="D2D2D2"/>
              <w:bottom w:val="single" w:sz="4" w:space="0" w:color="000000"/>
              <w:right w:val="single" w:sz="4" w:space="0" w:color="000000"/>
            </w:tcBorders>
          </w:tcPr>
          <w:p>
            <w:pPr/>
          </w:p>
        </w:tc>
        <w:tc>
          <w:tcPr>
            <w:tcW w:w="896"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9" w:space="0" w:color="D2D2D2"/>
            </w:tcBorders>
          </w:tcPr>
          <w:p>
            <w:pPr/>
          </w:p>
        </w:tc>
        <w:tc>
          <w:tcPr>
            <w:tcW w:w="8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c>
          <w:tcPr>
            <w:tcW w:w="727" w:type="dxa"/>
            <w:vMerge/>
            <w:tcBorders>
              <w:left w:val="single" w:sz="10" w:space="0" w:color="D2D2D2"/>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9" w:space="0" w:color="D2D2D2"/>
            </w:tcBorders>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80" w:hRule="exact"/>
        </w:trPr>
        <w:tc>
          <w:tcPr>
            <w:tcW w:w="7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25" w:type="dxa"/>
            <w:tcBorders>
              <w:top w:val="single" w:sz="4" w:space="0" w:color="000000"/>
              <w:left w:val="single" w:sz="4" w:space="0" w:color="000000"/>
              <w:bottom w:val="nil" w:sz="6" w:space="0" w:color="auto"/>
              <w:right w:val="single" w:sz="4" w:space="0" w:color="000000"/>
            </w:tcBorders>
            <w:shd w:val="clear" w:color="auto" w:fill="D2D2D2"/>
          </w:tcPr>
          <w:p>
            <w:pPr/>
          </w:p>
        </w:tc>
        <w:tc>
          <w:tcPr>
            <w:tcW w:w="898" w:type="dxa"/>
            <w:vMerge w:val="restart"/>
            <w:tcBorders>
              <w:top w:val="single" w:sz="4" w:space="0" w:color="000000"/>
              <w:left w:val="single" w:sz="10" w:space="0" w:color="D2D2D2"/>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71,075.5</w:t>
            </w:r>
          </w:p>
        </w:tc>
        <w:tc>
          <w:tcPr>
            <w:tcW w:w="89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71,075.5</w:t>
            </w: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1,443.97</w:t>
            </w:r>
          </w:p>
        </w:tc>
        <w:tc>
          <w:tcPr>
            <w:tcW w:w="898" w:type="dxa"/>
            <w:vMerge w:val="restart"/>
            <w:tcBorders>
              <w:top w:val="single" w:sz="4" w:space="0" w:color="000000"/>
              <w:left w:val="single" w:sz="4" w:space="0" w:color="000000"/>
              <w:right w:val="single" w:sz="9" w:space="0" w:color="D2D2D2"/>
            </w:tcBorders>
          </w:tcPr>
          <w:p>
            <w:pPr>
              <w:pStyle w:val="TableParagraph"/>
              <w:spacing w:line="240" w:lineRule="auto" w:before="91"/>
              <w:ind w:left="153" w:right="0"/>
              <w:jc w:val="left"/>
              <w:rPr>
                <w:rFonts w:ascii="Times New Roman" w:hAnsi="Times New Roman" w:cs="Times New Roman" w:eastAsia="Times New Roman" w:hint="default"/>
                <w:sz w:val="18"/>
                <w:szCs w:val="18"/>
              </w:rPr>
            </w:pPr>
            <w:r>
              <w:rPr>
                <w:rFonts w:ascii="Times New Roman"/>
                <w:sz w:val="18"/>
              </w:rPr>
              <w:t>75,898.11</w:t>
            </w:r>
          </w:p>
          <w:p>
            <w:pPr>
              <w:pStyle w:val="TableParagraph"/>
              <w:spacing w:line="240" w:lineRule="auto" w:before="101"/>
              <w:ind w:left="19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8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vMerge w:val="restart"/>
            <w:tcBorders>
              <w:top w:val="single" w:sz="4" w:space="0" w:color="000000"/>
              <w:left w:val="single" w:sz="10" w:space="0" w:color="D2D2D2"/>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-513</w:t>
            </w:r>
          </w:p>
        </w:tc>
        <w:tc>
          <w:tcPr>
            <w:tcW w:w="898" w:type="dxa"/>
            <w:vMerge w:val="restart"/>
            <w:tcBorders>
              <w:top w:val="single" w:sz="4" w:space="0" w:color="000000"/>
              <w:left w:val="single" w:sz="4" w:space="0" w:color="000000"/>
              <w:right w:val="single" w:sz="9" w:space="0" w:color="D2D2D2"/>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11,596.72</w:t>
            </w: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7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c>
          <w:tcPr>
            <w:tcW w:w="898" w:type="dxa"/>
            <w:vMerge/>
            <w:tcBorders>
              <w:left w:val="single" w:sz="10" w:space="0" w:color="D2D2D2"/>
              <w:right w:val="single" w:sz="4" w:space="0" w:color="000000"/>
            </w:tcBorders>
          </w:tcPr>
          <w:p>
            <w:pPr/>
          </w:p>
        </w:tc>
        <w:tc>
          <w:tcPr>
            <w:tcW w:w="896"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898" w:type="dxa"/>
            <w:vMerge/>
            <w:tcBorders>
              <w:left w:val="single" w:sz="4" w:space="0" w:color="000000"/>
              <w:right w:val="single" w:sz="9" w:space="0" w:color="D2D2D2"/>
            </w:tcBorders>
          </w:tcPr>
          <w:p>
            <w:pPr/>
          </w:p>
        </w:tc>
        <w:tc>
          <w:tcPr>
            <w:tcW w:w="8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c>
          <w:tcPr>
            <w:tcW w:w="727" w:type="dxa"/>
            <w:vMerge/>
            <w:tcBorders>
              <w:left w:val="single" w:sz="10" w:space="0" w:color="D2D2D2"/>
              <w:right w:val="single" w:sz="4" w:space="0" w:color="000000"/>
            </w:tcBorders>
          </w:tcPr>
          <w:p>
            <w:pPr/>
          </w:p>
        </w:tc>
        <w:tc>
          <w:tcPr>
            <w:tcW w:w="898" w:type="dxa"/>
            <w:vMerge/>
            <w:tcBorders>
              <w:left w:val="single" w:sz="4" w:space="0" w:color="000000"/>
              <w:right w:val="single" w:sz="9" w:space="0" w:color="D2D2D2"/>
            </w:tcBorders>
          </w:tcPr>
          <w:p>
            <w:pPr/>
          </w:p>
        </w:tc>
        <w:tc>
          <w:tcPr>
            <w:tcW w:w="7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c>
          <w:tcPr>
            <w:tcW w:w="7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r>
      <w:tr>
        <w:trPr>
          <w:trHeight w:val="185" w:hRule="exact"/>
        </w:trPr>
        <w:tc>
          <w:tcPr>
            <w:tcW w:w="7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25" w:type="dxa"/>
            <w:tcBorders>
              <w:top w:val="nil" w:sz="6" w:space="0" w:color="auto"/>
              <w:left w:val="single" w:sz="4" w:space="0" w:color="000000"/>
              <w:bottom w:val="single" w:sz="4" w:space="0" w:color="000000"/>
              <w:right w:val="single" w:sz="4" w:space="0" w:color="000000"/>
            </w:tcBorders>
            <w:shd w:val="clear" w:color="auto" w:fill="D2D2D2"/>
          </w:tcPr>
          <w:p>
            <w:pPr/>
          </w:p>
        </w:tc>
        <w:tc>
          <w:tcPr>
            <w:tcW w:w="898" w:type="dxa"/>
            <w:vMerge/>
            <w:tcBorders>
              <w:left w:val="single" w:sz="10" w:space="0" w:color="D2D2D2"/>
              <w:bottom w:val="single" w:sz="4" w:space="0" w:color="000000"/>
              <w:right w:val="single" w:sz="4" w:space="0" w:color="000000"/>
            </w:tcBorders>
          </w:tcPr>
          <w:p>
            <w:pPr/>
          </w:p>
        </w:tc>
        <w:tc>
          <w:tcPr>
            <w:tcW w:w="896"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9" w:space="0" w:color="D2D2D2"/>
            </w:tcBorders>
          </w:tcPr>
          <w:p>
            <w:pPr/>
          </w:p>
        </w:tc>
        <w:tc>
          <w:tcPr>
            <w:tcW w:w="8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c>
          <w:tcPr>
            <w:tcW w:w="727" w:type="dxa"/>
            <w:vMerge/>
            <w:tcBorders>
              <w:left w:val="single" w:sz="10" w:space="0" w:color="D2D2D2"/>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9" w:space="0" w:color="D2D2D2"/>
            </w:tcBorders>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2621"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：已累计投入募集资金总额人民币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74,505.92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万元与下表合计数中的截至期末累计投入金额人民币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75,898.11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万元存在</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差异人民币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1,392.19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万元，原因系根据公司第二届董事会第二十八次会议决议和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年度股东大会决议，本公司将全资</w:t>
            </w:r>
          </w:p>
          <w:p>
            <w:pPr>
              <w:pStyle w:val="TableParagraph"/>
              <w:spacing w:line="309" w:lineRule="auto" w:before="63"/>
              <w:ind w:left="24" w:right="19"/>
              <w:jc w:val="both"/>
              <w:rPr>
                <w:rFonts w:ascii="宋体" w:hAnsi="宋体" w:cs="宋体" w:eastAsia="宋体" w:hint="default"/>
                <w:sz w:val="18"/>
                <w:szCs w:val="18"/>
              </w:rPr>
            </w:pPr>
            <w:r>
              <w:rPr>
                <w:rFonts w:ascii="宋体" w:hAnsi="宋体" w:cs="宋体" w:eastAsia="宋体" w:hint="default"/>
                <w:sz w:val="18"/>
                <w:szCs w:val="18"/>
              </w:rPr>
              <w:t>子公司深圳中付通电子商务有限公</w:t>
            </w:r>
            <w:r>
              <w:rPr>
                <w:rFonts w:ascii="宋体" w:hAnsi="宋体" w:cs="宋体" w:eastAsia="宋体" w:hint="default"/>
                <w:spacing w:val="-29"/>
                <w:sz w:val="18"/>
                <w:szCs w:val="18"/>
              </w:rPr>
              <w:t>司</w:t>
            </w:r>
            <w:r>
              <w:rPr>
                <w:rFonts w:ascii="宋体" w:hAnsi="宋体" w:cs="宋体" w:eastAsia="宋体" w:hint="default"/>
                <w:sz w:val="18"/>
                <w:szCs w:val="18"/>
              </w:rPr>
              <w:t>（以下简</w:t>
            </w:r>
            <w:r>
              <w:rPr>
                <w:rFonts w:ascii="宋体" w:hAnsi="宋体" w:cs="宋体" w:eastAsia="宋体" w:hint="default"/>
                <w:spacing w:val="-29"/>
                <w:sz w:val="18"/>
                <w:szCs w:val="18"/>
              </w:rPr>
              <w:t>称</w:t>
            </w:r>
            <w:r>
              <w:rPr>
                <w:rFonts w:ascii="宋体" w:hAnsi="宋体" w:cs="宋体" w:eastAsia="宋体" w:hint="default"/>
                <w:sz w:val="18"/>
                <w:szCs w:val="18"/>
              </w:rPr>
              <w:t>“深圳中付通</w:t>
            </w:r>
            <w:r>
              <w:rPr>
                <w:rFonts w:ascii="宋体" w:hAnsi="宋体" w:cs="宋体" w:eastAsia="宋体" w:hint="default"/>
                <w:spacing w:val="-92"/>
                <w:sz w:val="18"/>
                <w:szCs w:val="18"/>
              </w:rPr>
              <w:t>”</w:t>
            </w:r>
            <w:r>
              <w:rPr>
                <w:rFonts w:ascii="宋体" w:hAnsi="宋体" w:cs="宋体" w:eastAsia="宋体" w:hint="default"/>
                <w:spacing w:val="-28"/>
                <w:sz w:val="18"/>
                <w:szCs w:val="18"/>
              </w:rPr>
              <w:t>）</w:t>
            </w:r>
            <w:r>
              <w:rPr>
                <w:rFonts w:ascii="Times New Roman" w:hAnsi="Times New Roman" w:cs="Times New Roman" w:eastAsia="Times New Roman" w:hint="default"/>
                <w:spacing w:val="1"/>
                <w:sz w:val="18"/>
                <w:szCs w:val="18"/>
              </w:rPr>
              <w:t>100</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的股权以人民币</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万元的价格出售给控</w:t>
            </w:r>
            <w:r>
              <w:rPr>
                <w:rFonts w:ascii="宋体" w:hAnsi="宋体" w:cs="宋体" w:eastAsia="宋体" w:hint="default"/>
                <w:spacing w:val="-3"/>
                <w:sz w:val="18"/>
                <w:szCs w:val="18"/>
              </w:rPr>
              <w:t>股</w:t>
            </w:r>
            <w:r>
              <w:rPr>
                <w:rFonts w:ascii="宋体" w:hAnsi="宋体" w:cs="宋体" w:eastAsia="宋体" w:hint="default"/>
                <w:sz w:val="18"/>
                <w:szCs w:val="18"/>
              </w:rPr>
              <w:t>股</w:t>
            </w:r>
            <w:r>
              <w:rPr>
                <w:rFonts w:ascii="宋体" w:hAnsi="宋体" w:cs="宋体" w:eastAsia="宋体" w:hint="default"/>
                <w:sz w:val="18"/>
                <w:szCs w:val="18"/>
              </w:rPr>
              <w:t> 东深圳市宝德投资控股有限公</w:t>
            </w:r>
            <w:r>
              <w:rPr>
                <w:rFonts w:ascii="宋体" w:hAnsi="宋体" w:cs="宋体" w:eastAsia="宋体" w:hint="default"/>
                <w:spacing w:val="-8"/>
                <w:sz w:val="18"/>
                <w:szCs w:val="18"/>
              </w:rPr>
              <w:t>司</w:t>
            </w:r>
            <w:r>
              <w:rPr>
                <w:rFonts w:ascii="宋体" w:hAnsi="宋体" w:cs="宋体" w:eastAsia="宋体" w:hint="default"/>
                <w:sz w:val="18"/>
                <w:szCs w:val="18"/>
              </w:rPr>
              <w:t>（以下简</w:t>
            </w:r>
            <w:r>
              <w:rPr>
                <w:rFonts w:ascii="宋体" w:hAnsi="宋体" w:cs="宋体" w:eastAsia="宋体" w:hint="default"/>
                <w:spacing w:val="-8"/>
                <w:sz w:val="18"/>
                <w:szCs w:val="18"/>
              </w:rPr>
              <w:t>称</w:t>
            </w:r>
            <w:r>
              <w:rPr>
                <w:rFonts w:ascii="宋体" w:hAnsi="宋体" w:cs="宋体" w:eastAsia="宋体" w:hint="default"/>
                <w:sz w:val="18"/>
                <w:szCs w:val="18"/>
              </w:rPr>
              <w:t>“宝德控股</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pacing w:val="-5"/>
                <w:sz w:val="18"/>
                <w:szCs w:val="18"/>
              </w:rPr>
              <w:t>，</w:t>
            </w:r>
            <w:r>
              <w:rPr>
                <w:rFonts w:ascii="宋体" w:hAnsi="宋体" w:cs="宋体" w:eastAsia="宋体" w:hint="default"/>
                <w:sz w:val="18"/>
                <w:szCs w:val="18"/>
              </w:rPr>
              <w:t>同时将收回的股权转让款变更为永久补充</w:t>
            </w:r>
            <w:r>
              <w:rPr>
                <w:rFonts w:ascii="宋体" w:hAnsi="宋体" w:cs="宋体" w:eastAsia="宋体" w:hint="default"/>
                <w:spacing w:val="2"/>
                <w:sz w:val="18"/>
                <w:szCs w:val="18"/>
              </w:rPr>
              <w:t>流</w:t>
            </w:r>
            <w:r>
              <w:rPr>
                <w:rFonts w:ascii="宋体" w:hAnsi="宋体" w:cs="宋体" w:eastAsia="宋体" w:hint="default"/>
                <w:sz w:val="18"/>
                <w:szCs w:val="18"/>
              </w:rPr>
              <w:t>动资金</w:t>
            </w:r>
            <w:r>
              <w:rPr>
                <w:rFonts w:ascii="宋体" w:hAnsi="宋体" w:cs="宋体" w:eastAsia="宋体" w:hint="default"/>
                <w:spacing w:val="-8"/>
                <w:sz w:val="18"/>
                <w:szCs w:val="18"/>
              </w:rPr>
              <w:t>，</w:t>
            </w:r>
            <w:r>
              <w:rPr>
                <w:rFonts w:ascii="宋体" w:hAnsi="宋体" w:cs="宋体" w:eastAsia="宋体" w:hint="default"/>
                <w:sz w:val="18"/>
                <w:szCs w:val="18"/>
              </w:rPr>
              <w:t>转让日深</w:t>
            </w:r>
            <w:r>
              <w:rPr>
                <w:rFonts w:ascii="宋体" w:hAnsi="宋体" w:cs="宋体" w:eastAsia="宋体" w:hint="default"/>
                <w:sz w:val="18"/>
                <w:szCs w:val="18"/>
              </w:rPr>
              <w:t> 圳中付通募集资金账户余额为人民币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86</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元（含</w:t>
            </w:r>
            <w:r>
              <w:rPr>
                <w:rFonts w:ascii="宋体" w:hAnsi="宋体" w:cs="宋体" w:eastAsia="宋体" w:hint="default"/>
                <w:spacing w:val="-3"/>
                <w:sz w:val="18"/>
                <w:szCs w:val="18"/>
              </w:rPr>
              <w:t>利</w:t>
            </w:r>
            <w:r>
              <w:rPr>
                <w:rFonts w:ascii="宋体" w:hAnsi="宋体" w:cs="宋体" w:eastAsia="宋体" w:hint="default"/>
                <w:sz w:val="18"/>
                <w:szCs w:val="18"/>
              </w:rPr>
              <w:t>息收入</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309" w:lineRule="auto" w:before="46"/>
              <w:ind w:left="24" w:right="24"/>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日，公司召开第三届董事会第十五次会议，审议通过了《关于终止募投项目并将剩余募集资金永久 </w:t>
            </w:r>
            <w:r>
              <w:rPr>
                <w:rFonts w:ascii="宋体" w:hAnsi="宋体" w:cs="宋体" w:eastAsia="宋体" w:hint="default"/>
                <w:spacing w:val="-4"/>
                <w:sz w:val="18"/>
                <w:szCs w:val="18"/>
              </w:rPr>
              <w:t>补充流动资金的议案》，同意终止实施募投项目中“苏州华娱创新投资发展有限公司研发用房项目”，并将该项目剩余募集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资金永久补充流动资金，议案已经公司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年年度股东大会审议通过。</w:t>
            </w:r>
          </w:p>
        </w:tc>
      </w:tr>
    </w:tbl>
    <w:p>
      <w:pPr>
        <w:spacing w:after="0" w:line="309"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56.459999pt;margin-top:71.999985pt;width:479.2pt;height:671.75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22"/>
                    <w:gridCol w:w="8848"/>
                  </w:tblGrid>
                  <w:tr>
                    <w:trPr>
                      <w:trHeight w:val="5394" w:hRule="exact"/>
                    </w:trPr>
                    <w:tc>
                      <w:tcPr>
                        <w:tcW w:w="72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22" w:right="135"/>
                          <w:jc w:val="both"/>
                          <w:rPr>
                            <w:rFonts w:ascii="宋体" w:hAnsi="宋体" w:cs="宋体" w:eastAsia="宋体" w:hint="default"/>
                            <w:sz w:val="18"/>
                            <w:szCs w:val="18"/>
                          </w:rPr>
                        </w:pPr>
                        <w:r>
                          <w:rPr>
                            <w:rFonts w:ascii="宋体" w:hAnsi="宋体" w:cs="宋体" w:eastAsia="宋体" w:hint="default"/>
                            <w:sz w:val="18"/>
                            <w:szCs w:val="18"/>
                          </w:rPr>
                          <w:t>未达到 计划进 度或预 计收益 的情况 和原因</w:t>
                        </w:r>
                      </w:p>
                      <w:p>
                        <w:pPr>
                          <w:pStyle w:val="TableParagraph"/>
                          <w:spacing w:line="316" w:lineRule="auto" w:before="19"/>
                          <w:ind w:left="22" w:right="-43"/>
                          <w:jc w:val="left"/>
                          <w:rPr>
                            <w:rFonts w:ascii="宋体" w:hAnsi="宋体" w:cs="宋体" w:eastAsia="宋体" w:hint="default"/>
                            <w:sz w:val="18"/>
                            <w:szCs w:val="18"/>
                          </w:rPr>
                        </w:pPr>
                        <w:r>
                          <w:rPr>
                            <w:rFonts w:ascii="宋体" w:hAnsi="宋体" w:cs="宋体" w:eastAsia="宋体" w:hint="default"/>
                            <w:sz w:val="18"/>
                            <w:szCs w:val="18"/>
                          </w:rPr>
                          <w:t>（分具 体项目）</w:t>
                        </w:r>
                      </w:p>
                    </w:tc>
                    <w:tc>
                      <w:tcPr>
                        <w:tcW w:w="8848" w:type="dxa"/>
                        <w:tcBorders>
                          <w:top w:val="single" w:sz="4" w:space="0" w:color="000000"/>
                          <w:left w:val="single" w:sz="13" w:space="0" w:color="FFFFFF"/>
                          <w:bottom w:val="single" w:sz="4" w:space="0" w:color="000000"/>
                          <w:right w:val="single" w:sz="4" w:space="0" w:color="000000"/>
                        </w:tcBorders>
                      </w:tcPr>
                      <w:p>
                        <w:pPr>
                          <w:pStyle w:val="TableParagraph"/>
                          <w:spacing w:line="300" w:lineRule="auto" w:before="49"/>
                          <w:ind w:left="12" w:right="84"/>
                          <w:jc w:val="left"/>
                          <w:rPr>
                            <w:rFonts w:ascii="宋体" w:hAnsi="宋体" w:cs="宋体" w:eastAsia="宋体" w:hint="default"/>
                            <w:sz w:val="18"/>
                            <w:szCs w:val="18"/>
                          </w:rPr>
                        </w:pPr>
                        <w:r>
                          <w:rPr>
                            <w:rFonts w:ascii="宋体" w:hAnsi="宋体" w:cs="宋体" w:eastAsia="宋体" w:hint="default"/>
                            <w:w w:val="99"/>
                            <w:sz w:val="18"/>
                            <w:szCs w:val="18"/>
                          </w:rPr>
                          <w:t>承诺项目：</w:t>
                        </w:r>
                        <w:r>
                          <w:rPr>
                            <w:rFonts w:ascii="Times New Roman" w:hAnsi="Times New Roman" w:cs="Times New Roman" w:eastAsia="Times New Roman" w:hint="default"/>
                            <w:w w:val="99"/>
                            <w:sz w:val="18"/>
                            <w:szCs w:val="18"/>
                          </w:rPr>
                          <w:t>1</w:t>
                        </w:r>
                        <w:r>
                          <w:rPr>
                            <w:rFonts w:ascii="宋体" w:hAnsi="宋体" w:cs="宋体" w:eastAsia="宋体" w:hint="default"/>
                            <w:w w:val="99"/>
                            <w:sz w:val="18"/>
                            <w:szCs w:val="18"/>
                          </w:rPr>
                          <w:t>、</w:t>
                        </w:r>
                        <w:r>
                          <w:rPr>
                            <w:rFonts w:ascii="Times New Roman" w:hAnsi="Times New Roman" w:cs="Times New Roman" w:eastAsia="Times New Roman" w:hint="default"/>
                            <w:w w:val="99"/>
                            <w:sz w:val="18"/>
                            <w:szCs w:val="18"/>
                          </w:rPr>
                          <w:t>3D </w:t>
                        </w:r>
                        <w:r>
                          <w:rPr>
                            <w:rFonts w:ascii="宋体" w:hAnsi="宋体" w:cs="宋体" w:eastAsia="宋体" w:hint="default"/>
                            <w:spacing w:val="-3"/>
                            <w:sz w:val="18"/>
                            <w:szCs w:val="18"/>
                          </w:rPr>
                          <w:t>游戏《盟军》开发项目（暂定名），未按照计划时间达到项目预计使用状态的原因是公司为适</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应市场需求，提升用户游戏体验，延长了产品研发周期。原预计达到使用状态的时间为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日，后</w:t>
                        </w:r>
                      </w:p>
                      <w:p>
                        <w:pPr>
                          <w:pStyle w:val="TableParagraph"/>
                          <w:spacing w:line="302" w:lineRule="auto" w:before="13"/>
                          <w:ind w:left="12" w:right="-7"/>
                          <w:jc w:val="left"/>
                          <w:rPr>
                            <w:rFonts w:ascii="宋体" w:hAnsi="宋体" w:cs="宋体" w:eastAsia="宋体" w:hint="default"/>
                            <w:sz w:val="18"/>
                            <w:szCs w:val="18"/>
                          </w:rPr>
                        </w:pPr>
                        <w:r>
                          <w:rPr>
                            <w:rFonts w:ascii="宋体" w:hAnsi="宋体" w:cs="宋体" w:eastAsia="宋体" w:hint="default"/>
                            <w:sz w:val="18"/>
                            <w:szCs w:val="18"/>
                          </w:rPr>
                          <w:t>续经对该项目进行重新评估，并进行持续不断地优化和完善，已于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日正式进行大规模上线运营。 受玩家习惯、偏好以及市场等因素影响，暂未达到预计效益，目前该游戏已下线。</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2.5D </w:t>
                        </w:r>
                        <w:r>
                          <w:rPr>
                            <w:rFonts w:ascii="宋体" w:hAnsi="宋体" w:cs="宋体" w:eastAsia="宋体" w:hint="default"/>
                            <w:sz w:val="18"/>
                            <w:szCs w:val="18"/>
                          </w:rPr>
                          <w:t>游戏《三国游侠》开 </w:t>
                        </w:r>
                        <w:r>
                          <w:rPr>
                            <w:rFonts w:ascii="宋体" w:hAnsi="宋体" w:cs="宋体" w:eastAsia="宋体" w:hint="default"/>
                            <w:spacing w:val="-2"/>
                            <w:sz w:val="18"/>
                            <w:szCs w:val="18"/>
                          </w:rPr>
                          <w:t>发项目（暂定名）和</w:t>
                        </w:r>
                        <w:r>
                          <w:rPr>
                            <w:rFonts w:ascii="宋体" w:hAnsi="宋体" w:cs="宋体" w:eastAsia="宋体" w:hint="default"/>
                            <w:spacing w:val="-44"/>
                            <w:sz w:val="18"/>
                            <w:szCs w:val="18"/>
                          </w:rPr>
                          <w:t> </w:t>
                        </w:r>
                        <w:r>
                          <w:rPr>
                            <w:rFonts w:ascii="Times New Roman" w:hAnsi="Times New Roman" w:cs="Times New Roman" w:eastAsia="Times New Roman" w:hint="default"/>
                            <w:w w:val="99"/>
                            <w:sz w:val="18"/>
                            <w:szCs w:val="18"/>
                          </w:rPr>
                          <w:t>2.5D</w:t>
                        </w:r>
                        <w:r>
                          <w:rPr>
                            <w:rFonts w:ascii="Times New Roman" w:hAnsi="Times New Roman" w:cs="Times New Roman" w:eastAsia="Times New Roman" w:hint="default"/>
                            <w:spacing w:val="2"/>
                            <w:w w:val="99"/>
                            <w:sz w:val="18"/>
                            <w:szCs w:val="18"/>
                          </w:rPr>
                          <w:t> </w:t>
                        </w:r>
                        <w:r>
                          <w:rPr>
                            <w:rFonts w:ascii="宋体" w:hAnsi="宋体" w:cs="宋体" w:eastAsia="宋体" w:hint="default"/>
                            <w:spacing w:val="-5"/>
                            <w:sz w:val="18"/>
                            <w:szCs w:val="18"/>
                          </w:rPr>
                          <w:t>游戏《新宋演义》开发项目（暂定名），产品分别于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pacing w:val="-2"/>
                            <w:sz w:val="18"/>
                            <w:szCs w:val="18"/>
                          </w:rPr>
                          <w:t>月和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月进行上线测试 运营，因测试过程中发现存在一些问题，游戏的稳定性、可玩性一直在做进一步的完善与优化。</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年改版后 受玩家习惯、偏好以及市场等因素影响，暂未达到预计效益，目前该游戏已下线。</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游戏《寻梦园》开发项 </w:t>
                        </w:r>
                        <w:r>
                          <w:rPr>
                            <w:rFonts w:ascii="宋体" w:hAnsi="宋体" w:cs="宋体" w:eastAsia="宋体" w:hint="default"/>
                            <w:spacing w:val="-2"/>
                            <w:sz w:val="18"/>
                            <w:szCs w:val="18"/>
                          </w:rPr>
                          <w:t>目（暂定名），由于海外运营收入缩减及受国内网络游戏行业的转型影响，暂未达到预计效益，目前该游戏已下</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线。</w:t>
                        </w:r>
                        <w:r>
                          <w:rPr>
                            <w:rFonts w:ascii="Times New Roman" w:hAnsi="Times New Roman" w:cs="Times New Roman" w:eastAsia="Times New Roman" w:hint="default"/>
                            <w:sz w:val="18"/>
                            <w:szCs w:val="18"/>
                          </w:rPr>
                          <w:t>4</w:t>
                        </w:r>
                        <w:r>
                          <w:rPr>
                            <w:rFonts w:ascii="宋体" w:hAnsi="宋体" w:cs="宋体" w:eastAsia="宋体" w:hint="default"/>
                            <w:sz w:val="18"/>
                            <w:szCs w:val="18"/>
                          </w:rPr>
                          <w:t>、深圳苏摩股权收购项目，一方面，游戏市场竞争白热化，公司新游戏推广受到市场压力，数款新游戏尚 未开始产生效益，部分游戏经营情况未达预期；另一方面，公司内部人员结构及业务内容处于优化整合时期，影 响公司整体经营情况。</w:t>
                        </w:r>
                        <w:r>
                          <w:rPr>
                            <w:rFonts w:ascii="Times New Roman" w:hAnsi="Times New Roman" w:cs="Times New Roman" w:eastAsia="Times New Roman" w:hint="default"/>
                            <w:sz w:val="18"/>
                            <w:szCs w:val="18"/>
                          </w:rPr>
                          <w:t>5</w:t>
                        </w:r>
                        <w:r>
                          <w:rPr>
                            <w:rFonts w:ascii="宋体" w:hAnsi="宋体" w:cs="宋体" w:eastAsia="宋体" w:hint="default"/>
                            <w:sz w:val="18"/>
                            <w:szCs w:val="18"/>
                          </w:rPr>
                          <w:t>、凤凰高科技文化科普体验园项目，由于目前处于新业务领域布局建设和投资阶段，虽 取得阶段性成果，但尚未盈利。</w:t>
                        </w:r>
                        <w:r>
                          <w:rPr>
                            <w:rFonts w:ascii="Times New Roman" w:hAnsi="Times New Roman" w:cs="Times New Roman" w:eastAsia="Times New Roman" w:hint="default"/>
                            <w:sz w:val="18"/>
                            <w:szCs w:val="18"/>
                          </w:rPr>
                          <w:t>6</w:t>
                        </w:r>
                        <w:r>
                          <w:rPr>
                            <w:rFonts w:ascii="宋体" w:hAnsi="宋体" w:cs="宋体" w:eastAsia="宋体" w:hint="default"/>
                            <w:sz w:val="18"/>
                            <w:szCs w:val="18"/>
                          </w:rPr>
                          <w:t>、球类游戏推广项目，由于目前处于产品布局初期，加上同类竞品推新迭代， 获客成本不断提高，虽取得阶段性成果，但尚未盈利。超募项目：</w:t>
                        </w:r>
                        <w:r>
                          <w:rPr>
                            <w:rFonts w:ascii="Times New Roman" w:hAnsi="Times New Roman" w:cs="Times New Roman" w:eastAsia="Times New Roman" w:hint="default"/>
                            <w:sz w:val="18"/>
                            <w:szCs w:val="18"/>
                          </w:rPr>
                          <w:t>1</w:t>
                        </w:r>
                        <w:r>
                          <w:rPr>
                            <w:rFonts w:ascii="宋体" w:hAnsi="宋体" w:cs="宋体" w:eastAsia="宋体" w:hint="default"/>
                            <w:sz w:val="18"/>
                            <w:szCs w:val="18"/>
                          </w:rPr>
                          <w:t>、中青聚宝项目：公司投资的多项游戏项目 标的，暂未达到经济效应。</w:t>
                        </w:r>
                        <w:r>
                          <w:rPr>
                            <w:rFonts w:ascii="Times New Roman" w:hAnsi="Times New Roman" w:cs="Times New Roman" w:eastAsia="Times New Roman" w:hint="default"/>
                            <w:sz w:val="18"/>
                            <w:szCs w:val="18"/>
                          </w:rPr>
                          <w:t>2</w:t>
                        </w:r>
                        <w:r>
                          <w:rPr>
                            <w:rFonts w:ascii="宋体" w:hAnsi="宋体" w:cs="宋体" w:eastAsia="宋体" w:hint="default"/>
                            <w:sz w:val="18"/>
                            <w:szCs w:val="18"/>
                          </w:rPr>
                          <w:t>、增资卓页互动用于网页游戏产品业务发展投入项目与增资卓页网页游戏的运营和 研发投资项目：该两个项目公司实际使用和管理中视作一个项目，公司将效益金额统计填列在</w:t>
                        </w:r>
                        <w:r>
                          <w:rPr>
                            <w:rFonts w:ascii="Times New Roman" w:hAnsi="Times New Roman" w:cs="Times New Roman" w:eastAsia="Times New Roman" w:hint="default"/>
                            <w:sz w:val="18"/>
                            <w:szCs w:val="18"/>
                          </w:rPr>
                          <w:t>“</w:t>
                        </w:r>
                        <w:r>
                          <w:rPr>
                            <w:rFonts w:ascii="宋体" w:hAnsi="宋体" w:cs="宋体" w:eastAsia="宋体" w:hint="default"/>
                            <w:sz w:val="18"/>
                            <w:szCs w:val="18"/>
                          </w:rPr>
                          <w:t>增资卓页互动用 于网页游戏产品业务发展投入</w:t>
                        </w:r>
                        <w:r>
                          <w:rPr>
                            <w:rFonts w:ascii="Times New Roman" w:hAnsi="Times New Roman" w:cs="Times New Roman" w:eastAsia="Times New Roman" w:hint="default"/>
                            <w:sz w:val="18"/>
                            <w:szCs w:val="18"/>
                          </w:rPr>
                          <w:t>”</w:t>
                        </w:r>
                        <w:r>
                          <w:rPr>
                            <w:rFonts w:ascii="宋体" w:hAnsi="宋体" w:cs="宋体" w:eastAsia="宋体" w:hint="default"/>
                            <w:sz w:val="18"/>
                            <w:szCs w:val="18"/>
                          </w:rPr>
                          <w:t>项目中，故</w:t>
                        </w:r>
                        <w:r>
                          <w:rPr>
                            <w:rFonts w:ascii="Times New Roman" w:hAnsi="Times New Roman" w:cs="Times New Roman" w:eastAsia="Times New Roman" w:hint="default"/>
                            <w:sz w:val="18"/>
                            <w:szCs w:val="18"/>
                          </w:rPr>
                          <w:t>“</w:t>
                        </w:r>
                        <w:r>
                          <w:rPr>
                            <w:rFonts w:ascii="宋体" w:hAnsi="宋体" w:cs="宋体" w:eastAsia="宋体" w:hint="default"/>
                            <w:sz w:val="18"/>
                            <w:szCs w:val="18"/>
                          </w:rPr>
                          <w:t>增资卓页网页游戏的运营和研发投资</w:t>
                        </w:r>
                        <w:r>
                          <w:rPr>
                            <w:rFonts w:ascii="Times New Roman" w:hAnsi="Times New Roman" w:cs="Times New Roman" w:eastAsia="Times New Roman" w:hint="default"/>
                            <w:sz w:val="18"/>
                            <w:szCs w:val="18"/>
                          </w:rPr>
                          <w:t>”</w:t>
                        </w:r>
                        <w:r>
                          <w:rPr>
                            <w:rFonts w:ascii="宋体" w:hAnsi="宋体" w:cs="宋体" w:eastAsia="宋体" w:hint="default"/>
                            <w:sz w:val="18"/>
                            <w:szCs w:val="18"/>
                          </w:rPr>
                          <w:t>项目实现的效益填列金额为零 因受所投资子公司经营亏损拖累，加上自身前期积累的无形资产摊销成本较高，未能达到预计效益。</w:t>
                        </w:r>
                      </w:p>
                    </w:tc>
                  </w:tr>
                  <w:tr>
                    <w:trPr>
                      <w:trHeight w:val="2275"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47"/>
                          <w:jc w:val="both"/>
                          <w:rPr>
                            <w:rFonts w:ascii="宋体" w:hAnsi="宋体" w:cs="宋体" w:eastAsia="宋体" w:hint="default"/>
                            <w:sz w:val="18"/>
                            <w:szCs w:val="18"/>
                          </w:rPr>
                        </w:pPr>
                        <w:r>
                          <w:rPr>
                            <w:rFonts w:ascii="宋体" w:hAnsi="宋体" w:cs="宋体" w:eastAsia="宋体" w:hint="default"/>
                            <w:sz w:val="18"/>
                            <w:szCs w:val="18"/>
                          </w:rPr>
                          <w:t>项目可 行性发 生重大 变化的 情况说 明</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6"/>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、苏州研发中心建设项目：因市场发生较大的变化，公司一直未对取得的土地进行开发，取得的土地已经被苏 </w:t>
                        </w:r>
                        <w:r>
                          <w:rPr>
                            <w:rFonts w:ascii="宋体" w:hAnsi="宋体" w:cs="宋体" w:eastAsia="宋体" w:hint="default"/>
                            <w:spacing w:val="-3"/>
                            <w:sz w:val="18"/>
                            <w:szCs w:val="18"/>
                          </w:rPr>
                          <w:t>州工业园区国土房产局收回。</w:t>
                        </w:r>
                        <w:r>
                          <w:rPr>
                            <w:rFonts w:ascii="Times New Roman" w:hAnsi="Times New Roman" w:cs="Times New Roman" w:eastAsia="Times New Roman" w:hint="default"/>
                            <w:spacing w:val="-3"/>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日，公司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年第二次临时股东大会审议通过变更苏州研发中心建 设项目的募集资金</w:t>
                        </w:r>
                        <w:r>
                          <w:rPr>
                            <w:rFonts w:ascii="宋体" w:hAnsi="宋体" w:cs="宋体" w:eastAsia="宋体" w:hint="default"/>
                            <w:spacing w:val="-35"/>
                            <w:sz w:val="18"/>
                            <w:szCs w:val="18"/>
                          </w:rPr>
                          <w:t> </w:t>
                        </w:r>
                        <w:r>
                          <w:rPr>
                            <w:rFonts w:ascii="Times New Roman" w:hAnsi="Times New Roman" w:cs="Times New Roman" w:eastAsia="Times New Roman" w:hint="default"/>
                            <w:spacing w:val="-1"/>
                            <w:sz w:val="18"/>
                            <w:szCs w:val="18"/>
                          </w:rPr>
                          <w:t>8,280.00</w:t>
                        </w:r>
                        <w:r>
                          <w:rPr>
                            <w:rFonts w:ascii="Times New Roman" w:hAnsi="Times New Roman" w:cs="Times New Roman" w:eastAsia="Times New Roman" w:hint="default"/>
                            <w:spacing w:val="14"/>
                            <w:sz w:val="18"/>
                            <w:szCs w:val="18"/>
                          </w:rPr>
                          <w:t> </w:t>
                        </w:r>
                        <w:r>
                          <w:rPr>
                            <w:rFonts w:ascii="宋体" w:hAnsi="宋体" w:cs="宋体" w:eastAsia="宋体" w:hint="default"/>
                            <w:spacing w:val="-1"/>
                            <w:sz w:val="18"/>
                            <w:szCs w:val="18"/>
                          </w:rPr>
                          <w:t>万元用于收购上海美峰数码科技有限公司</w:t>
                        </w:r>
                        <w:r>
                          <w:rPr>
                            <w:rFonts w:ascii="宋体" w:hAnsi="宋体" w:cs="宋体" w:eastAsia="宋体" w:hint="default"/>
                            <w:spacing w:val="-35"/>
                            <w:sz w:val="18"/>
                            <w:szCs w:val="18"/>
                          </w:rPr>
                          <w:t> </w:t>
                        </w:r>
                        <w:r>
                          <w:rPr>
                            <w:rFonts w:ascii="Times New Roman" w:hAnsi="Times New Roman" w:cs="Times New Roman" w:eastAsia="Times New Roman" w:hint="default"/>
                            <w:spacing w:val="-5"/>
                            <w:sz w:val="18"/>
                            <w:szCs w:val="18"/>
                          </w:rPr>
                          <w:t>51.00%</w:t>
                        </w:r>
                        <w:r>
                          <w:rPr>
                            <w:rFonts w:ascii="宋体" w:hAnsi="宋体" w:cs="宋体" w:eastAsia="宋体" w:hint="default"/>
                            <w:spacing w:val="-5"/>
                            <w:sz w:val="18"/>
                            <w:szCs w:val="18"/>
                          </w:rPr>
                          <w:t>股权，变更后该项目剩余募集资金为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3,220.00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万元。</w:t>
                        </w:r>
                        <w:r>
                          <w:rPr>
                            <w:rFonts w:ascii="Times New Roman" w:hAnsi="Times New Roman" w:cs="Times New Roman" w:eastAsia="Times New Roman" w:hint="default"/>
                            <w:spacing w:val="-4"/>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日，经公司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年年度股东大会审议通过，公司终止实施该募投项目，并 将该项目剩余募集资金永久补充流动资金。</w:t>
                        </w:r>
                        <w:r>
                          <w:rPr>
                            <w:rFonts w:ascii="Times New Roman" w:hAnsi="Times New Roman" w:cs="Times New Roman" w:eastAsia="Times New Roman" w:hint="default"/>
                            <w:sz w:val="18"/>
                            <w:szCs w:val="18"/>
                          </w:rPr>
                          <w:t>2</w:t>
                        </w:r>
                        <w:r>
                          <w:rPr>
                            <w:rFonts w:ascii="宋体" w:hAnsi="宋体" w:cs="宋体" w:eastAsia="宋体" w:hint="default"/>
                            <w:sz w:val="18"/>
                            <w:szCs w:val="18"/>
                          </w:rPr>
                          <w:t>、第三方支付平台：因支付牌照未能申请下来，深圳中付通一直未 </w:t>
                        </w:r>
                        <w:r>
                          <w:rPr>
                            <w:rFonts w:ascii="宋体" w:hAnsi="宋体" w:cs="宋体" w:eastAsia="宋体" w:hint="default"/>
                            <w:spacing w:val="-4"/>
                            <w:sz w:val="18"/>
                            <w:szCs w:val="18"/>
                          </w:rPr>
                          <w:t>能开展相关业务，经公司第二届董事会第二十八次会议决议和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年度股东大会决议，本公司将深圳中付通</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w:t>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z w:val="18"/>
                            <w:szCs w:val="18"/>
                          </w:rPr>
                          <w:t>的股权以人民币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10,000.00 </w:t>
                        </w:r>
                        <w:r>
                          <w:rPr>
                            <w:rFonts w:ascii="宋体" w:hAnsi="宋体" w:cs="宋体" w:eastAsia="宋体" w:hint="default"/>
                            <w:sz w:val="18"/>
                            <w:szCs w:val="18"/>
                          </w:rPr>
                          <w:t>万元的价格出售给宝德控股，同时将收回股权转让款变更为永久补充流动资金。</w:t>
                        </w:r>
                      </w:p>
                    </w:tc>
                  </w:tr>
                  <w:tr>
                    <w:trPr>
                      <w:trHeight w:val="401" w:hRule="exact"/>
                    </w:trPr>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超募资 金的金 </w:t>
                        </w:r>
                        <w:r>
                          <w:rPr>
                            <w:rFonts w:ascii="宋体" w:hAnsi="宋体" w:cs="宋体" w:eastAsia="宋体" w:hint="default"/>
                            <w:spacing w:val="-14"/>
                            <w:sz w:val="18"/>
                            <w:szCs w:val="18"/>
                          </w:rPr>
                          <w:t>额、用途</w:t>
                        </w:r>
                        <w:r>
                          <w:rPr>
                            <w:rFonts w:ascii="宋体" w:hAnsi="宋体" w:cs="宋体" w:eastAsia="宋体" w:hint="default"/>
                            <w:sz w:val="18"/>
                            <w:szCs w:val="18"/>
                          </w:rPr>
                          <w:t> 及使用 进展情 况</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587" w:hRule="exact"/>
                    </w:trPr>
                    <w:tc>
                      <w:tcPr>
                        <w:tcW w:w="722" w:type="dxa"/>
                        <w:vMerge/>
                        <w:tcBorders>
                          <w:left w:val="single" w:sz="4" w:space="0" w:color="000000"/>
                          <w:bottom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公司募集资金净额为人民币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71,075.50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万元，承诺投资项目合计使用人民币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34,951.00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万元，超募资金人民币</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36,124.50 </w:t>
                        </w:r>
                        <w:r>
                          <w:rPr>
                            <w:rFonts w:ascii="宋体" w:hAnsi="宋体" w:cs="宋体" w:eastAsia="宋体" w:hint="default"/>
                            <w:sz w:val="18"/>
                            <w:szCs w:val="18"/>
                          </w:rPr>
                          <w:t>万元，公司将该部分超募资金作为与主营业务相关的营运资金，并根据需要进行投入使用。截止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日公司已将超募资金作如下安排：</w:t>
                        </w:r>
                        <w:r>
                          <w:rPr>
                            <w:rFonts w:ascii="Times New Roman" w:hAnsi="Times New Roman" w:cs="Times New Roman" w:eastAsia="Times New Roman" w:hint="default"/>
                            <w:sz w:val="18"/>
                            <w:szCs w:val="18"/>
                          </w:rPr>
                          <w:t>1</w:t>
                        </w:r>
                        <w:r>
                          <w:rPr>
                            <w:rFonts w:ascii="宋体" w:hAnsi="宋体" w:cs="宋体" w:eastAsia="宋体" w:hint="default"/>
                            <w:sz w:val="18"/>
                            <w:szCs w:val="18"/>
                          </w:rPr>
                          <w:t>、经公司第一届董事会第十七次会议和</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年度股东大会审议通</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过，同意将其中的人民币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19,750.00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万元分别用于三个项目，其中以游戏产品（非募投项目产品）推广为目的的</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营运投入人民币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万元、增资卓页互动用于网页游戏产品业务发展投入人民币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1,750.00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万元、中青聚宝项</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目人民币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w:t>
                        </w:r>
                        <w:r>
                          <w:rPr>
                            <w:rFonts w:ascii="宋体" w:hAnsi="宋体" w:cs="宋体" w:eastAsia="宋体" w:hint="default"/>
                            <w:sz w:val="18"/>
                            <w:szCs w:val="18"/>
                          </w:rPr>
                          <w:t>、经公司第一届董事会第二十三次会议和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年度股东大会审议通过，同意将剩余</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的超募资金人民币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16,374.50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万元分别用于两个项目，其中第三方支付平台人民币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万元、公司</w:t>
                        </w:r>
                        <w:r>
                          <w:rPr>
                            <w:rFonts w:ascii="Times New Roman" w:hAnsi="Times New Roman" w:cs="Times New Roman" w:eastAsia="Times New Roman" w:hint="default"/>
                            <w:sz w:val="18"/>
                            <w:szCs w:val="18"/>
                          </w:rPr>
                          <w:t>“</w:t>
                        </w:r>
                        <w:r>
                          <w:rPr>
                            <w:rFonts w:ascii="宋体" w:hAnsi="宋体" w:cs="宋体" w:eastAsia="宋体" w:hint="default"/>
                            <w:sz w:val="18"/>
                            <w:szCs w:val="18"/>
                          </w:rPr>
                          <w:t>聚宝计</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划</w:t>
                        </w:r>
                        <w:r>
                          <w:rPr>
                            <w:rFonts w:ascii="Times New Roman" w:hAnsi="Times New Roman" w:cs="Times New Roman" w:eastAsia="Times New Roman" w:hint="default"/>
                            <w:sz w:val="18"/>
                            <w:szCs w:val="18"/>
                          </w:rPr>
                          <w:t>”</w:t>
                        </w:r>
                        <w:r>
                          <w:rPr>
                            <w:rFonts w:ascii="宋体" w:hAnsi="宋体" w:cs="宋体" w:eastAsia="宋体" w:hint="default"/>
                            <w:sz w:val="18"/>
                            <w:szCs w:val="18"/>
                          </w:rPr>
                          <w:t>中的网络游戏研发项目的投入人民币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6,374.50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万元。资金使用情况见上表</w:t>
                        </w:r>
                        <w:r>
                          <w:rPr>
                            <w:rFonts w:ascii="Times New Roman" w:hAnsi="Times New Roman" w:cs="Times New Roman" w:eastAsia="Times New Roman" w:hint="default"/>
                            <w:sz w:val="18"/>
                            <w:szCs w:val="18"/>
                          </w:rPr>
                          <w:t>“</w:t>
                        </w:r>
                        <w:r>
                          <w:rPr>
                            <w:rFonts w:ascii="宋体" w:hAnsi="宋体" w:cs="宋体" w:eastAsia="宋体" w:hint="default"/>
                            <w:sz w:val="18"/>
                            <w:szCs w:val="18"/>
                          </w:rPr>
                          <w:t>超募资金投向</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2" w:right="147"/>
                          <w:jc w:val="both"/>
                          <w:rPr>
                            <w:rFonts w:ascii="宋体" w:hAnsi="宋体" w:cs="宋体" w:eastAsia="宋体" w:hint="default"/>
                            <w:sz w:val="18"/>
                            <w:szCs w:val="18"/>
                          </w:rPr>
                        </w:pPr>
                        <w:r>
                          <w:rPr>
                            <w:rFonts w:ascii="宋体" w:hAnsi="宋体" w:cs="宋体" w:eastAsia="宋体" w:hint="default"/>
                            <w:sz w:val="18"/>
                            <w:szCs w:val="18"/>
                          </w:rPr>
                          <w:t>募集资 金投资 项目实 施地点 变更情 况</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722" w:type="dxa"/>
                        <w:vMerge/>
                        <w:tcBorders>
                          <w:left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
                    </w:tc>
                  </w:tr>
                  <w:tr>
                    <w:trPr>
                      <w:trHeight w:val="1157" w:hRule="exact"/>
                    </w:trPr>
                    <w:tc>
                      <w:tcPr>
                        <w:tcW w:w="722" w:type="dxa"/>
                        <w:vMerge/>
                        <w:tcBorders>
                          <w:left w:val="single" w:sz="4" w:space="0" w:color="000000"/>
                          <w:bottom w:val="single" w:sz="4" w:space="0" w:color="FFFFFF"/>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FFFFFF"/>
                          <w:right w:val="single" w:sz="4" w:space="0" w:color="000000"/>
                        </w:tcBorders>
                      </w:tcPr>
                      <w:p>
                        <w:pPr/>
                      </w:p>
                    </w:tc>
                  </w:tr>
                  <w:tr>
                    <w:trPr>
                      <w:trHeight w:val="403" w:hRule="exact"/>
                    </w:trPr>
                    <w:tc>
                      <w:tcPr>
                        <w:tcW w:w="722" w:type="dxa"/>
                        <w:vMerge w:val="restart"/>
                        <w:tcBorders>
                          <w:top w:val="single" w:sz="4" w:space="0" w:color="FFFFFF"/>
                          <w:left w:val="single" w:sz="4" w:space="0" w:color="000000"/>
                          <w:right w:val="single" w:sz="4" w:space="0" w:color="000000"/>
                        </w:tcBorders>
                        <w:shd w:val="clear" w:color="auto" w:fill="D2D2D2"/>
                      </w:tcPr>
                      <w:p>
                        <w:pPr>
                          <w:pStyle w:val="TableParagraph"/>
                          <w:spacing w:line="314" w:lineRule="auto" w:before="116"/>
                          <w:ind w:left="22" w:right="147"/>
                          <w:jc w:val="left"/>
                          <w:rPr>
                            <w:rFonts w:ascii="宋体" w:hAnsi="宋体" w:cs="宋体" w:eastAsia="宋体" w:hint="default"/>
                            <w:sz w:val="18"/>
                            <w:szCs w:val="18"/>
                          </w:rPr>
                        </w:pPr>
                        <w:r>
                          <w:rPr>
                            <w:rFonts w:ascii="宋体" w:hAnsi="宋体" w:cs="宋体" w:eastAsia="宋体" w:hint="default"/>
                            <w:sz w:val="18"/>
                            <w:szCs w:val="18"/>
                          </w:rPr>
                          <w:t>募集资 金投资</w:t>
                        </w:r>
                      </w:p>
                    </w:tc>
                    <w:tc>
                      <w:tcPr>
                        <w:tcW w:w="884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722" w:type="dxa"/>
                        <w:vMerge/>
                        <w:tcBorders>
                          <w:left w:val="single" w:sz="4" w:space="0" w:color="000000"/>
                          <w:bottom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9"/>
          <w:szCs w:val="29"/>
        </w:rPr>
      </w:pPr>
    </w:p>
    <w:p>
      <w:pPr>
        <w:spacing w:before="44"/>
        <w:ind w:left="0" w:right="1150"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spacing w:before="44"/>
        <w:ind w:left="0" w:right="1141"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22"/>
        <w:gridCol w:w="8848"/>
      </w:tblGrid>
      <w:tr>
        <w:trPr>
          <w:trHeight w:val="7890"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2" w:right="147"/>
              <w:jc w:val="both"/>
              <w:rPr>
                <w:rFonts w:ascii="宋体" w:hAnsi="宋体" w:cs="宋体" w:eastAsia="宋体" w:hint="default"/>
                <w:sz w:val="18"/>
                <w:szCs w:val="18"/>
              </w:rPr>
            </w:pPr>
            <w:r>
              <w:rPr>
                <w:rFonts w:ascii="宋体" w:hAnsi="宋体" w:cs="宋体" w:eastAsia="宋体" w:hint="default"/>
                <w:sz w:val="18"/>
                <w:szCs w:val="18"/>
              </w:rPr>
              <w:t>项目实 施方式 调整情 况</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、经本公司第二届董事会第九次会议和</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年年度股东大会审议通过，为加快募集资金使用效率和提高资金投</w:t>
            </w:r>
          </w:p>
          <w:p>
            <w:pPr>
              <w:pStyle w:val="TableParagraph"/>
              <w:spacing w:line="302" w:lineRule="auto" w:before="63"/>
              <w:ind w:left="24" w:right="14"/>
              <w:jc w:val="left"/>
              <w:rPr>
                <w:rFonts w:ascii="宋体" w:hAnsi="宋体" w:cs="宋体" w:eastAsia="宋体" w:hint="default"/>
                <w:sz w:val="18"/>
                <w:szCs w:val="18"/>
              </w:rPr>
            </w:pPr>
            <w:r>
              <w:rPr>
                <w:rFonts w:ascii="宋体" w:hAnsi="宋体" w:cs="宋体" w:eastAsia="宋体" w:hint="default"/>
                <w:sz w:val="18"/>
                <w:szCs w:val="18"/>
              </w:rPr>
              <w:t>资回报，公司对中青聚宝项目的部分募集资金进行变更，将人民币</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万元用于增资卓页网页游戏的运营和 研发投资项目等方面，投资形式以深圳中青聚宝信息技术有限公司增资深圳市卓页互动网络科技有限公司。</w:t>
            </w:r>
            <w:r>
              <w:rPr>
                <w:rFonts w:ascii="Times New Roman" w:hAnsi="Times New Roman" w:cs="Times New Roman" w:eastAsia="Times New Roman" w:hint="default"/>
                <w:sz w:val="18"/>
                <w:szCs w:val="18"/>
              </w:rPr>
              <w:t>2</w:t>
            </w:r>
            <w:r>
              <w:rPr>
                <w:rFonts w:ascii="宋体" w:hAnsi="宋体" w:cs="宋体" w:eastAsia="宋体" w:hint="default"/>
                <w:sz w:val="18"/>
                <w:szCs w:val="18"/>
              </w:rPr>
              <w:t>、 经本公司第二届董事会第十七次会议审议通过，公司使用募集资金投资项目</w:t>
            </w:r>
            <w:r>
              <w:rPr>
                <w:rFonts w:ascii="Times New Roman" w:hAnsi="Times New Roman" w:cs="Times New Roman" w:eastAsia="Times New Roman" w:hint="default"/>
                <w:sz w:val="18"/>
                <w:szCs w:val="18"/>
              </w:rPr>
              <w:t>“</w:t>
            </w:r>
            <w:r>
              <w:rPr>
                <w:rFonts w:ascii="宋体" w:hAnsi="宋体" w:cs="宋体" w:eastAsia="宋体" w:hint="default"/>
                <w:sz w:val="18"/>
                <w:szCs w:val="18"/>
              </w:rPr>
              <w:t>网络游戏研发技术平台项目</w:t>
            </w:r>
            <w:r>
              <w:rPr>
                <w:rFonts w:ascii="Times New Roman" w:hAnsi="Times New Roman" w:cs="Times New Roman" w:eastAsia="Times New Roman" w:hint="default"/>
                <w:sz w:val="18"/>
                <w:szCs w:val="18"/>
              </w:rPr>
              <w:t>”</w:t>
            </w:r>
            <w:r>
              <w:rPr>
                <w:rFonts w:ascii="宋体" w:hAnsi="宋体" w:cs="宋体" w:eastAsia="宋体" w:hint="default"/>
                <w:sz w:val="18"/>
                <w:szCs w:val="18"/>
              </w:rPr>
              <w:t>结余资 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821.10</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万元（含利息收入）用于永久补充流动资金。</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、经本公司第二届董事会第二十三次（临时）会议和</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年度第二次临时股东大会审议通过，公司变更部分募集资金投资项目及用募集资金和自有资金收购上海美峰数码</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科技有限公司</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股权和深圳市苏摩科技有限公司</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股权：本公司将原计划募投项目</w:t>
            </w:r>
            <w:r>
              <w:rPr>
                <w:rFonts w:ascii="Times New Roman" w:hAnsi="Times New Roman" w:cs="Times New Roman" w:eastAsia="Times New Roman" w:hint="default"/>
                <w:sz w:val="18"/>
                <w:szCs w:val="18"/>
              </w:rPr>
              <w:t>“</w:t>
            </w:r>
            <w:r>
              <w:rPr>
                <w:rFonts w:ascii="宋体" w:hAnsi="宋体" w:cs="宋体" w:eastAsia="宋体" w:hint="default"/>
                <w:sz w:val="18"/>
                <w:szCs w:val="18"/>
              </w:rPr>
              <w:t>苏州研发中心建设项目</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中的</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8,280.00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“2.5D</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游戏《新宋演义》开发项目（暂定名）</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游戏《盟军》开发项 </w:t>
            </w:r>
            <w:r>
              <w:rPr>
                <w:rFonts w:ascii="宋体" w:hAnsi="宋体" w:cs="宋体" w:eastAsia="宋体" w:hint="default"/>
                <w:spacing w:val="-21"/>
                <w:w w:val="100"/>
                <w:sz w:val="18"/>
                <w:szCs w:val="18"/>
              </w:rPr>
              <w:t>目（暂定名）</w:t>
            </w:r>
            <w:r>
              <w:rPr>
                <w:rFonts w:ascii="Times New Roman" w:hAnsi="Times New Roman" w:cs="Times New Roman" w:eastAsia="Times New Roman" w:hint="default"/>
                <w:spacing w:val="-21"/>
                <w:w w:val="100"/>
                <w:sz w:val="18"/>
                <w:szCs w:val="18"/>
              </w:rPr>
              <w:t>”</w:t>
            </w:r>
            <w:r>
              <w:rPr>
                <w:rFonts w:ascii="宋体" w:hAnsi="宋体" w:cs="宋体" w:eastAsia="宋体" w:hint="default"/>
                <w:spacing w:val="-21"/>
                <w:w w:val="100"/>
                <w:sz w:val="18"/>
                <w:szCs w:val="18"/>
              </w:rPr>
              <w:t>中的</w:t>
            </w:r>
            <w:r>
              <w:rPr>
                <w:rFonts w:ascii="宋体" w:hAnsi="宋体" w:cs="宋体" w:eastAsia="宋体" w:hint="default"/>
                <w:spacing w:val="-46"/>
                <w:w w:val="100"/>
                <w:sz w:val="18"/>
                <w:szCs w:val="18"/>
              </w:rPr>
              <w:t> </w:t>
            </w: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2"/>
                <w:sz w:val="18"/>
                <w:szCs w:val="18"/>
              </w:rPr>
              <w:t> </w:t>
            </w:r>
            <w:r>
              <w:rPr>
                <w:rFonts w:ascii="宋体" w:hAnsi="宋体" w:cs="宋体" w:eastAsia="宋体" w:hint="default"/>
                <w:spacing w:val="-1"/>
                <w:w w:val="100"/>
                <w:sz w:val="18"/>
                <w:szCs w:val="18"/>
              </w:rPr>
              <w:t>万元和</w:t>
            </w:r>
            <w:r>
              <w:rPr>
                <w:rFonts w:ascii="Times New Roman" w:hAnsi="Times New Roman" w:cs="Times New Roman" w:eastAsia="Times New Roman" w:hint="default"/>
                <w:spacing w:val="-1"/>
                <w:w w:val="100"/>
                <w:sz w:val="18"/>
                <w:szCs w:val="18"/>
              </w:rPr>
              <w:t>“3D </w:t>
            </w:r>
            <w:r>
              <w:rPr>
                <w:rFonts w:ascii="宋体" w:hAnsi="宋体" w:cs="宋体" w:eastAsia="宋体" w:hint="default"/>
                <w:spacing w:val="-20"/>
                <w:w w:val="100"/>
                <w:sz w:val="18"/>
                <w:szCs w:val="18"/>
              </w:rPr>
              <w:t>游戏《寻梦园》开发项目（暂定名）</w:t>
            </w:r>
            <w:r>
              <w:rPr>
                <w:rFonts w:ascii="Times New Roman" w:hAnsi="Times New Roman" w:cs="Times New Roman" w:eastAsia="Times New Roman" w:hint="default"/>
                <w:spacing w:val="-20"/>
                <w:w w:val="100"/>
                <w:sz w:val="18"/>
                <w:szCs w:val="18"/>
              </w:rPr>
              <w:t>”</w:t>
            </w:r>
            <w:r>
              <w:rPr>
                <w:rFonts w:ascii="宋体" w:hAnsi="宋体" w:cs="宋体" w:eastAsia="宋体" w:hint="default"/>
                <w:spacing w:val="-20"/>
                <w:w w:val="100"/>
                <w:sz w:val="18"/>
                <w:szCs w:val="18"/>
              </w:rPr>
              <w:t>中的</w:t>
            </w:r>
            <w:r>
              <w:rPr>
                <w:rFonts w:ascii="宋体" w:hAnsi="宋体" w:cs="宋体" w:eastAsia="宋体" w:hint="default"/>
                <w:spacing w:val="-46"/>
                <w:w w:val="100"/>
                <w:sz w:val="18"/>
                <w:szCs w:val="18"/>
              </w:rPr>
              <w:t> </w:t>
            </w:r>
            <w:r>
              <w:rPr>
                <w:rFonts w:ascii="Times New Roman" w:hAnsi="Times New Roman" w:cs="Times New Roman" w:eastAsia="Times New Roman" w:hint="default"/>
                <w:spacing w:val="-1"/>
                <w:sz w:val="18"/>
                <w:szCs w:val="18"/>
              </w:rPr>
              <w:t>2,000.00</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万元共计募集资金</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14,280.00</w:t>
            </w:r>
            <w:r>
              <w:rPr>
                <w:rFonts w:ascii="Times New Roman" w:hAnsi="Times New Roman" w:cs="Times New Roman" w:eastAsia="Times New Roman" w:hint="default"/>
                <w:spacing w:val="-40"/>
                <w:sz w:val="18"/>
                <w:szCs w:val="18"/>
              </w:rPr>
              <w:t> </w:t>
            </w:r>
            <w:r>
              <w:rPr>
                <w:rFonts w:ascii="Times New Roman" w:hAnsi="Times New Roman" w:cs="Times New Roman" w:eastAsia="Times New Roman" w:hint="default"/>
                <w:spacing w:val="-40"/>
                <w:sz w:val="18"/>
                <w:szCs w:val="18"/>
              </w:rPr>
            </w:r>
            <w:r>
              <w:rPr>
                <w:rFonts w:ascii="宋体" w:hAnsi="宋体" w:cs="宋体" w:eastAsia="宋体" w:hint="default"/>
                <w:sz w:val="18"/>
                <w:szCs w:val="18"/>
              </w:rPr>
              <w:t>万元用于收购上海美峰数码科技有限公司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股权收购项目中；将原计划募投项目</w:t>
            </w:r>
            <w:r>
              <w:rPr>
                <w:rFonts w:ascii="Times New Roman" w:hAnsi="Times New Roman" w:cs="Times New Roman" w:eastAsia="Times New Roman" w:hint="default"/>
                <w:sz w:val="18"/>
                <w:szCs w:val="18"/>
              </w:rPr>
              <w:t>“2.5D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游戏《三国游侠》开发 项目（暂定名）</w:t>
            </w:r>
            <w:r>
              <w:rPr>
                <w:rFonts w:ascii="Times New Roman" w:hAnsi="Times New Roman" w:cs="Times New Roman" w:eastAsia="Times New Roman" w:hint="default"/>
                <w:sz w:val="18"/>
                <w:szCs w:val="18"/>
              </w:rPr>
              <w:t>”</w:t>
            </w:r>
            <w:r>
              <w:rPr>
                <w:rFonts w:ascii="宋体" w:hAnsi="宋体" w:cs="宋体" w:eastAsia="宋体" w:hint="default"/>
                <w:sz w:val="18"/>
                <w:szCs w:val="18"/>
              </w:rPr>
              <w:t>中募集资金</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2,186.63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万元用于收购深圳市苏摩科技有限公司</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股权收购项目中。</w:t>
            </w:r>
            <w:r>
              <w:rPr>
                <w:rFonts w:ascii="Times New Roman" w:hAnsi="Times New Roman" w:cs="Times New Roman" w:eastAsia="Times New Roman" w:hint="default"/>
                <w:sz w:val="18"/>
                <w:szCs w:val="18"/>
              </w:rPr>
              <w:t>4</w:t>
            </w:r>
            <w:r>
              <w:rPr>
                <w:rFonts w:ascii="宋体" w:hAnsi="宋体" w:cs="宋体" w:eastAsia="宋体" w:hint="default"/>
                <w:sz w:val="18"/>
                <w:szCs w:val="18"/>
              </w:rPr>
              <w:t>、根据公司 第一届董事会第二十三次会议和</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年度股东大会决议，本公司将超募资金人民币</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万元设立全资子公 </w:t>
            </w:r>
            <w:r>
              <w:rPr>
                <w:rFonts w:ascii="宋体" w:hAnsi="宋体" w:cs="宋体" w:eastAsia="宋体" w:hint="default"/>
                <w:spacing w:val="-1"/>
                <w:sz w:val="18"/>
                <w:szCs w:val="18"/>
              </w:rPr>
              <w:t>司深圳中付通用于建立第三方支付平台，后因支付牌照未能申请下来，深圳中付通一直未能开展相关业务，经公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司第二届董事会第二十八次会议决议和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年度股东大会决议，本公司将深圳中付通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的股权以人民币 </w:t>
            </w:r>
            <w:r>
              <w:rPr>
                <w:rFonts w:ascii="Times New Roman" w:hAnsi="Times New Roman" w:cs="Times New Roman" w:eastAsia="Times New Roman" w:hint="default"/>
                <w:spacing w:val="-1"/>
                <w:sz w:val="18"/>
                <w:szCs w:val="18"/>
              </w:rPr>
              <w:t>10,000.00</w:t>
            </w:r>
            <w:r>
              <w:rPr>
                <w:rFonts w:ascii="Times New Roman" w:hAnsi="Times New Roman" w:cs="Times New Roman" w:eastAsia="Times New Roman" w:hint="default"/>
                <w:spacing w:val="24"/>
                <w:sz w:val="18"/>
                <w:szCs w:val="18"/>
              </w:rPr>
              <w:t> </w:t>
            </w:r>
            <w:r>
              <w:rPr>
                <w:rFonts w:ascii="宋体" w:hAnsi="宋体" w:cs="宋体" w:eastAsia="宋体" w:hint="default"/>
                <w:spacing w:val="-2"/>
                <w:sz w:val="18"/>
                <w:szCs w:val="18"/>
              </w:rPr>
              <w:t>万元的价格出售给宝德控股，同时将收回的股权转让款变更为永久补充流动资金，转让日深圳中付通募</w:t>
            </w:r>
          </w:p>
          <w:p>
            <w:pPr>
              <w:pStyle w:val="TableParagraph"/>
              <w:spacing w:line="300" w:lineRule="auto" w:before="11"/>
              <w:ind w:left="24" w:right="17"/>
              <w:jc w:val="left"/>
              <w:rPr>
                <w:rFonts w:ascii="宋体" w:hAnsi="宋体" w:cs="宋体" w:eastAsia="宋体" w:hint="default"/>
                <w:sz w:val="18"/>
                <w:szCs w:val="18"/>
              </w:rPr>
            </w:pPr>
            <w:r>
              <w:rPr>
                <w:rFonts w:ascii="宋体" w:hAnsi="宋体" w:cs="宋体" w:eastAsia="宋体" w:hint="default"/>
                <w:sz w:val="18"/>
                <w:szCs w:val="18"/>
              </w:rPr>
              <w:t>集资金账户余额为人民币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86,078,055.37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日，经公司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年年度股东大会审议通过，公司 终止实施苏州研发中心建设项目，并将该项目剩余募集资金永久补充流动资金。</w:t>
            </w:r>
            <w:r>
              <w:rPr>
                <w:rFonts w:ascii="Times New Roman" w:hAnsi="Times New Roman" w:cs="Times New Roman" w:eastAsia="Times New Roman" w:hint="default"/>
                <w:sz w:val="18"/>
                <w:szCs w:val="18"/>
              </w:rPr>
              <w:t>6</w:t>
            </w:r>
            <w:r>
              <w:rPr>
                <w:rFonts w:ascii="宋体" w:hAnsi="宋体" w:cs="宋体" w:eastAsia="宋体" w:hint="default"/>
                <w:sz w:val="18"/>
                <w:szCs w:val="18"/>
              </w:rPr>
              <w:t>、经公司第四届董事会第十二 次（临时）会议和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年度第一次股东大会审议通过，公司变更部分募集资金投资项目：本公司将原计划募投 项目</w:t>
            </w:r>
            <w:r>
              <w:rPr>
                <w:rFonts w:ascii="Times New Roman" w:hAnsi="Times New Roman" w:cs="Times New Roman" w:eastAsia="Times New Roman" w:hint="default"/>
                <w:sz w:val="18"/>
                <w:szCs w:val="18"/>
              </w:rPr>
              <w:t>“2.5D</w:t>
            </w:r>
            <w:r>
              <w:rPr>
                <w:rFonts w:ascii="Times New Roman" w:hAnsi="Times New Roman" w:cs="Times New Roman" w:eastAsia="Times New Roman" w:hint="default"/>
                <w:spacing w:val="4"/>
                <w:sz w:val="18"/>
                <w:szCs w:val="18"/>
              </w:rPr>
              <w:t> </w:t>
            </w:r>
            <w:r>
              <w:rPr>
                <w:rFonts w:ascii="宋体" w:hAnsi="宋体" w:cs="宋体" w:eastAsia="宋体" w:hint="default"/>
                <w:spacing w:val="-7"/>
                <w:sz w:val="18"/>
                <w:szCs w:val="18"/>
              </w:rPr>
              <w:t>游戏《三国游侠》开发项目（暂定名）</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中的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743.00</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万元、</w:t>
            </w:r>
            <w:r>
              <w:rPr>
                <w:rFonts w:ascii="Times New Roman" w:hAnsi="Times New Roman" w:cs="Times New Roman" w:eastAsia="Times New Roman" w:hint="default"/>
                <w:spacing w:val="-5"/>
                <w:sz w:val="18"/>
                <w:szCs w:val="18"/>
              </w:rPr>
              <w:t>“2.5D</w:t>
            </w:r>
            <w:r>
              <w:rPr>
                <w:rFonts w:ascii="Times New Roman" w:hAnsi="Times New Roman" w:cs="Times New Roman" w:eastAsia="Times New Roman" w:hint="default"/>
                <w:spacing w:val="4"/>
                <w:sz w:val="18"/>
                <w:szCs w:val="18"/>
              </w:rPr>
              <w:t> </w:t>
            </w:r>
            <w:r>
              <w:rPr>
                <w:rFonts w:ascii="宋体" w:hAnsi="宋体" w:cs="宋体" w:eastAsia="宋体" w:hint="default"/>
                <w:spacing w:val="-8"/>
                <w:sz w:val="18"/>
                <w:szCs w:val="18"/>
              </w:rPr>
              <w:t>游戏《新宋演义》开发项目（暂定名）</w:t>
            </w:r>
            <w:r>
              <w:rPr>
                <w:rFonts w:ascii="Times New Roman" w:hAnsi="Times New Roman" w:cs="Times New Roman" w:eastAsia="Times New Roman" w:hint="default"/>
                <w:spacing w:val="-8"/>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中的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1,686.00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游戏《寻梦园》开发项目（暂定名）</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1,239.00 </w:t>
            </w:r>
            <w:r>
              <w:rPr>
                <w:rFonts w:ascii="宋体" w:hAnsi="宋体" w:cs="宋体" w:eastAsia="宋体" w:hint="default"/>
                <w:sz w:val="18"/>
                <w:szCs w:val="18"/>
              </w:rPr>
              <w:t>万元用于增资深圳中青宝文化科技 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中青宝文化科技</w:t>
            </w:r>
            <w:r>
              <w:rPr>
                <w:rFonts w:ascii="Times New Roman" w:hAnsi="Times New Roman" w:cs="Times New Roman" w:eastAsia="Times New Roman" w:hint="default"/>
                <w:sz w:val="18"/>
                <w:szCs w:val="18"/>
              </w:rPr>
              <w:t>”</w:t>
            </w:r>
            <w:r>
              <w:rPr>
                <w:rFonts w:ascii="宋体" w:hAnsi="宋体" w:cs="宋体" w:eastAsia="宋体" w:hint="default"/>
                <w:sz w:val="18"/>
                <w:szCs w:val="18"/>
              </w:rPr>
              <w:t>）用于增强中青宝文化自身研发及创新能力及凤凰中青宝文化科技创意产 </w:t>
            </w:r>
            <w:r>
              <w:rPr>
                <w:rFonts w:ascii="宋体" w:hAnsi="宋体" w:cs="宋体" w:eastAsia="宋体" w:hint="default"/>
                <w:spacing w:val="-3"/>
                <w:sz w:val="18"/>
                <w:szCs w:val="18"/>
              </w:rPr>
              <w:t>业园建设项目（又名</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凤凰高科技文化科普体验园项目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）的建设。</w:t>
            </w: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、经公司第四届董事会第二十九次会议和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年度第二次临时股东大会审议通过，公司变更部分募集资金投资项目及实施主体：本公司将</w:t>
            </w:r>
            <w:r>
              <w:rPr>
                <w:rFonts w:ascii="Times New Roman" w:hAnsi="Times New Roman" w:cs="Times New Roman" w:eastAsia="Times New Roman" w:hint="default"/>
                <w:sz w:val="18"/>
                <w:szCs w:val="18"/>
              </w:rPr>
              <w:t>“</w:t>
            </w:r>
            <w:r>
              <w:rPr>
                <w:rFonts w:ascii="宋体" w:hAnsi="宋体" w:cs="宋体" w:eastAsia="宋体" w:hint="default"/>
                <w:sz w:val="18"/>
                <w:szCs w:val="18"/>
              </w:rPr>
              <w:t>凤凰高科技文化科 普体验园项目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w:t>
            </w:r>
            <w:r>
              <w:rPr>
                <w:rFonts w:ascii="Times New Roman" w:hAnsi="Times New Roman" w:cs="Times New Roman" w:eastAsia="Times New Roman" w:hint="default"/>
                <w:sz w:val="18"/>
                <w:szCs w:val="18"/>
              </w:rPr>
              <w:t>“</w:t>
            </w:r>
            <w:r>
              <w:rPr>
                <w:rFonts w:ascii="宋体" w:hAnsi="宋体" w:cs="宋体" w:eastAsia="宋体" w:hint="default"/>
                <w:sz w:val="18"/>
                <w:szCs w:val="18"/>
              </w:rPr>
              <w:t>球类游戏推广项目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的建设，募投项目实施主体由</w:t>
            </w:r>
            <w:r>
              <w:rPr>
                <w:rFonts w:ascii="Times New Roman" w:hAnsi="Times New Roman" w:cs="Times New Roman" w:eastAsia="Times New Roman" w:hint="default"/>
                <w:sz w:val="18"/>
                <w:szCs w:val="18"/>
              </w:rPr>
              <w:t>“</w:t>
            </w:r>
            <w:r>
              <w:rPr>
                <w:rFonts w:ascii="宋体" w:hAnsi="宋体" w:cs="宋体" w:eastAsia="宋体" w:hint="default"/>
                <w:sz w:val="18"/>
                <w:szCs w:val="18"/>
              </w:rPr>
              <w:t>深圳中青宝文化科技有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深圳时代首游互动科技有限公司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6" w:lineRule="auto"/>
              <w:ind w:left="22" w:right="147"/>
              <w:jc w:val="both"/>
              <w:rPr>
                <w:rFonts w:ascii="宋体" w:hAnsi="宋体" w:cs="宋体" w:eastAsia="宋体" w:hint="default"/>
                <w:sz w:val="18"/>
                <w:szCs w:val="18"/>
              </w:rPr>
            </w:pPr>
            <w:r>
              <w:rPr>
                <w:rFonts w:ascii="宋体" w:hAnsi="宋体" w:cs="宋体" w:eastAsia="宋体" w:hint="default"/>
                <w:sz w:val="18"/>
                <w:szCs w:val="18"/>
              </w:rPr>
              <w:t>募集资 金投资 项目先 期投入 及置换 情况</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61" w:hRule="exact"/>
        </w:trPr>
        <w:tc>
          <w:tcPr>
            <w:tcW w:w="722" w:type="dxa"/>
            <w:vMerge/>
            <w:tcBorders>
              <w:left w:val="single" w:sz="4" w:space="0" w:color="000000"/>
              <w:bottom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日，公司预先已投入募集资金项目的自筹资金合计人民币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58,193,208.64</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元（含预先投入人民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币</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3,750.00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万元投资设立全资子公司苏州华娱创新投资发展有限公司，苏州华娱创新投资发展有限公司苏州研发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中心建设项目实际支出为人民币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48</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元，剩余人</w:t>
            </w:r>
            <w:r>
              <w:rPr>
                <w:rFonts w:ascii="宋体" w:hAnsi="宋体" w:cs="宋体" w:eastAsia="宋体" w:hint="default"/>
                <w:spacing w:val="-3"/>
                <w:sz w:val="18"/>
                <w:szCs w:val="18"/>
              </w:rPr>
              <w:t>民</w:t>
            </w:r>
            <w:r>
              <w:rPr>
                <w:rFonts w:ascii="宋体" w:hAnsi="宋体" w:cs="宋体" w:eastAsia="宋体" w:hint="default"/>
                <w:sz w:val="18"/>
                <w:szCs w:val="18"/>
              </w:rPr>
              <w:t>币</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元尚未使用</w:t>
            </w:r>
            <w:r>
              <w:rPr>
                <w:rFonts w:ascii="宋体" w:hAnsi="宋体" w:cs="宋体" w:eastAsia="宋体" w:hint="default"/>
                <w:spacing w:val="-94"/>
                <w:sz w:val="18"/>
                <w:szCs w:val="18"/>
              </w:rPr>
              <w:t>）</w:t>
            </w:r>
            <w:r>
              <w:rPr>
                <w:rFonts w:ascii="宋体" w:hAnsi="宋体" w:cs="宋体" w:eastAsia="宋体" w:hint="default"/>
                <w:sz w:val="18"/>
                <w:szCs w:val="18"/>
              </w:rPr>
              <w:t>，实际置换的预先已投</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入募集资金项目的自筹资金为人民币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宋体" w:hAnsi="宋体" w:cs="宋体" w:eastAsia="宋体" w:hint="default"/>
                <w:spacing w:val="-75"/>
                <w:sz w:val="18"/>
                <w:szCs w:val="18"/>
              </w:rPr>
              <w:t>。</w:t>
            </w:r>
            <w:r>
              <w:rPr>
                <w:rFonts w:ascii="宋体" w:hAnsi="宋体" w:cs="宋体" w:eastAsia="宋体" w:hint="default"/>
                <w:sz w:val="18"/>
                <w:szCs w:val="18"/>
              </w:rPr>
              <w:t>本</w:t>
            </w:r>
            <w:r>
              <w:rPr>
                <w:rFonts w:ascii="宋体" w:hAnsi="宋体" w:cs="宋体" w:eastAsia="宋体" w:hint="default"/>
                <w:spacing w:val="-3"/>
                <w:sz w:val="18"/>
                <w:szCs w:val="18"/>
              </w:rPr>
              <w:t>次</w:t>
            </w:r>
            <w:r>
              <w:rPr>
                <w:rFonts w:ascii="宋体" w:hAnsi="宋体" w:cs="宋体" w:eastAsia="宋体" w:hint="default"/>
                <w:sz w:val="18"/>
                <w:szCs w:val="18"/>
              </w:rPr>
              <w:t>置换事项已经公司第一届董事会第十八次会议审议通</w:t>
            </w:r>
          </w:p>
          <w:p>
            <w:pPr>
              <w:pStyle w:val="TableParagraph"/>
              <w:spacing w:line="300" w:lineRule="auto" w:before="63"/>
              <w:ind w:left="24" w:right="19"/>
              <w:jc w:val="left"/>
              <w:rPr>
                <w:rFonts w:ascii="宋体" w:hAnsi="宋体" w:cs="宋体" w:eastAsia="宋体" w:hint="default"/>
                <w:sz w:val="18"/>
                <w:szCs w:val="18"/>
              </w:rPr>
            </w:pPr>
            <w:r>
              <w:rPr>
                <w:rFonts w:ascii="宋体" w:hAnsi="宋体" w:cs="宋体" w:eastAsia="宋体" w:hint="default"/>
                <w:sz w:val="18"/>
                <w:szCs w:val="18"/>
              </w:rPr>
              <w:t>过，且与深圳市鹏城会计师事务所有限公司于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日出具的《关于深圳市中青宝网网络科技股份有限 </w:t>
            </w:r>
            <w:r>
              <w:rPr>
                <w:rFonts w:ascii="宋体" w:hAnsi="宋体" w:cs="宋体" w:eastAsia="宋体" w:hint="default"/>
                <w:spacing w:val="-3"/>
                <w:sz w:val="18"/>
                <w:szCs w:val="18"/>
              </w:rPr>
              <w:t>公司以自筹资金预先投入募投项目的鉴证报告》（深鹏所股专字</w:t>
            </w:r>
            <w:r>
              <w:rPr>
                <w:rFonts w:ascii="Times New Roman" w:hAnsi="Times New Roman" w:cs="Times New Roman" w:eastAsia="Times New Roman" w:hint="default"/>
                <w:spacing w:val="-3"/>
                <w:sz w:val="18"/>
                <w:szCs w:val="18"/>
              </w:rPr>
              <w:t>[2010]327</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号）相一致。</w:t>
            </w:r>
          </w:p>
        </w:tc>
      </w:tr>
      <w:tr>
        <w:trPr>
          <w:trHeight w:val="403"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用闲置</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2"/>
          <w:szCs w:val="22"/>
        </w:rPr>
      </w:pPr>
    </w:p>
    <w:p>
      <w:pPr>
        <w:spacing w:before="0"/>
        <w:ind w:left="0" w:right="1133" w:firstLine="0"/>
        <w:jc w:val="right"/>
        <w:rPr>
          <w:rFonts w:ascii="宋体" w:hAnsi="宋体" w:cs="宋体" w:eastAsia="宋体" w:hint="default"/>
          <w:sz w:val="18"/>
          <w:szCs w:val="18"/>
        </w:rPr>
      </w:pPr>
      <w:r>
        <w:rPr/>
        <w:pict>
          <v:shape style="position:absolute;margin-left:56.459999pt;margin-top:-557.998291pt;width:479.2pt;height:622.550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22"/>
                    <w:gridCol w:w="8848"/>
                  </w:tblGrid>
                  <w:tr>
                    <w:trPr>
                      <w:trHeight w:val="9138"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2" w:right="147"/>
                          <w:jc w:val="both"/>
                          <w:rPr>
                            <w:rFonts w:ascii="宋体" w:hAnsi="宋体" w:cs="宋体" w:eastAsia="宋体" w:hint="default"/>
                            <w:sz w:val="18"/>
                            <w:szCs w:val="18"/>
                          </w:rPr>
                        </w:pPr>
                        <w:r>
                          <w:rPr>
                            <w:rFonts w:ascii="宋体" w:hAnsi="宋体" w:cs="宋体" w:eastAsia="宋体" w:hint="default"/>
                            <w:sz w:val="18"/>
                            <w:szCs w:val="18"/>
                          </w:rPr>
                          <w:t>募集资 金暂时 补充流 动资金 情况</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日，根据公司第二届董事会第二十二次会议审议通过了公司《关于使用部分闲置募集资金暂时</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补充公司流动资金的议案</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同</w:t>
                        </w:r>
                        <w:r>
                          <w:rPr>
                            <w:rFonts w:ascii="宋体" w:hAnsi="宋体" w:cs="宋体" w:eastAsia="宋体" w:hint="default"/>
                            <w:sz w:val="18"/>
                            <w:szCs w:val="18"/>
                          </w:rPr>
                          <w:t>意使用部分闲置募集资金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万元补充公司流动资金，</w:t>
                        </w:r>
                        <w:r>
                          <w:rPr>
                            <w:rFonts w:ascii="宋体" w:hAnsi="宋体" w:cs="宋体" w:eastAsia="宋体" w:hint="default"/>
                            <w:spacing w:val="-3"/>
                            <w:sz w:val="18"/>
                            <w:szCs w:val="18"/>
                          </w:rPr>
                          <w:t>使</w:t>
                        </w:r>
                        <w:r>
                          <w:rPr>
                            <w:rFonts w:ascii="宋体" w:hAnsi="宋体" w:cs="宋体" w:eastAsia="宋体" w:hint="default"/>
                            <w:sz w:val="18"/>
                            <w:szCs w:val="18"/>
                          </w:rPr>
                          <w:t>用期限为自董事会</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审议通过之日起不超过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日，公司已将人民币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4,000.00 </w:t>
                        </w:r>
                        <w:r>
                          <w:rPr>
                            <w:rFonts w:ascii="宋体" w:hAnsi="宋体" w:cs="宋体" w:eastAsia="宋体" w:hint="default"/>
                            <w:sz w:val="18"/>
                            <w:szCs w:val="18"/>
                          </w:rPr>
                          <w:t>万元归还至公司募集资金专户，同</w:t>
                        </w:r>
                      </w:p>
                      <w:p>
                        <w:pPr>
                          <w:pStyle w:val="TableParagraph"/>
                          <w:spacing w:line="309" w:lineRule="auto" w:before="63"/>
                          <w:ind w:left="24" w:right="18"/>
                          <w:jc w:val="left"/>
                          <w:rPr>
                            <w:rFonts w:ascii="Times New Roman" w:hAnsi="Times New Roman" w:cs="Times New Roman" w:eastAsia="Times New Roman" w:hint="default"/>
                            <w:sz w:val="18"/>
                            <w:szCs w:val="18"/>
                          </w:rPr>
                        </w:pPr>
                        <w:r>
                          <w:rPr>
                            <w:rFonts w:ascii="宋体" w:hAnsi="宋体" w:cs="宋体" w:eastAsia="宋体" w:hint="default"/>
                            <w:sz w:val="18"/>
                            <w:szCs w:val="18"/>
                          </w:rPr>
                          <w:t>时将上述募集资金的归还情况通知了保荐机构及保荐代表人。</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日，根据公司第二届董事会第二 </w:t>
                        </w:r>
                        <w:r>
                          <w:rPr>
                            <w:rFonts w:ascii="宋体" w:hAnsi="宋体" w:cs="宋体" w:eastAsia="宋体" w:hint="default"/>
                            <w:spacing w:val="-2"/>
                            <w:sz w:val="18"/>
                            <w:szCs w:val="18"/>
                          </w:rPr>
                          <w:t>十七次（临时）会议审议通过了公司《关于使用部分闲置募集资金暂时补充公司流动资金的议案》，同意使用部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分闲置募集资金</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4,000.00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万元补充公司流动资金，使用期限为自董事会审议通过之日起不超过</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pacing w:val="-8"/>
                            <w:sz w:val="18"/>
                            <w:szCs w:val="18"/>
                          </w:rPr>
                          <w:t>个月。截至</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2014</w:t>
                        </w:r>
                      </w:p>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日止，公司已提前归还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 </w:t>
                        </w:r>
                        <w:r>
                          <w:rPr>
                            <w:rFonts w:ascii="宋体" w:hAnsi="宋体" w:cs="宋体" w:eastAsia="宋体" w:hint="default"/>
                            <w:sz w:val="18"/>
                            <w:szCs w:val="18"/>
                          </w:rPr>
                          <w:t>万元至募集资金专用账户，同时将上述募集资金的归还情况通知了保</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荐机构及保荐代表人。截至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日止，公司已提前归还</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3,000.00 </w:t>
                        </w:r>
                        <w:r>
                          <w:rPr>
                            <w:rFonts w:ascii="宋体" w:hAnsi="宋体" w:cs="宋体" w:eastAsia="宋体" w:hint="default"/>
                            <w:sz w:val="18"/>
                            <w:szCs w:val="18"/>
                          </w:rPr>
                          <w:t>万元至募集资金专用账户，同时将上</w:t>
                        </w:r>
                      </w:p>
                      <w:p>
                        <w:pPr>
                          <w:pStyle w:val="TableParagraph"/>
                          <w:spacing w:line="309" w:lineRule="auto" w:before="63"/>
                          <w:ind w:left="24" w:right="20"/>
                          <w:jc w:val="left"/>
                          <w:rPr>
                            <w:rFonts w:ascii="宋体" w:hAnsi="宋体" w:cs="宋体" w:eastAsia="宋体" w:hint="default"/>
                            <w:sz w:val="18"/>
                            <w:szCs w:val="18"/>
                          </w:rPr>
                        </w:pPr>
                        <w:r>
                          <w:rPr>
                            <w:rFonts w:ascii="宋体" w:hAnsi="宋体" w:cs="宋体" w:eastAsia="宋体" w:hint="default"/>
                            <w:sz w:val="18"/>
                            <w:szCs w:val="18"/>
                          </w:rPr>
                          <w:t>述募集资金的归还情况通知了保荐机构及保荐代表人。</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日，根据公司第三届董事会第二次（临</w:t>
                        </w:r>
                        <w:r>
                          <w:rPr>
                            <w:rFonts w:ascii="宋体" w:hAnsi="宋体" w:cs="宋体" w:eastAsia="宋体" w:hint="default"/>
                            <w:sz w:val="18"/>
                            <w:szCs w:val="18"/>
                          </w:rPr>
                          <w:t> </w:t>
                        </w:r>
                        <w:r>
                          <w:rPr>
                            <w:rFonts w:ascii="宋体" w:hAnsi="宋体" w:cs="宋体" w:eastAsia="宋体" w:hint="default"/>
                            <w:spacing w:val="-2"/>
                            <w:sz w:val="18"/>
                            <w:szCs w:val="18"/>
                          </w:rPr>
                          <w:t>时）会议审议通过了《关于公司使用部分闲置募集资金暂时补充流动资金的议案》，同意使用公司部分闲置募集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资金</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万元，及公司之全资子公司部分闲置募集资金</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万元补充流动资金，使用期限为自董事会审</w:t>
                        </w:r>
                      </w:p>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议通过之日起不超过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w:t>
                        </w:r>
                        <w:r>
                          <w:rPr>
                            <w:rFonts w:ascii="宋体" w:hAnsi="宋体" w:cs="宋体" w:eastAsia="宋体" w:hint="default"/>
                            <w:sz w:val="18"/>
                            <w:szCs w:val="18"/>
                          </w:rPr>
                          <w:t>以上情况均已知会保荐机构及保荐代表人。截至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日止，公司已归还此</w:t>
                        </w:r>
                      </w:p>
                      <w:p>
                        <w:pPr>
                          <w:pStyle w:val="TableParagraph"/>
                          <w:spacing w:line="309" w:lineRule="auto" w:before="63"/>
                          <w:ind w:left="24" w:right="20"/>
                          <w:jc w:val="both"/>
                          <w:rPr>
                            <w:rFonts w:ascii="宋体" w:hAnsi="宋体" w:cs="宋体" w:eastAsia="宋体" w:hint="default"/>
                            <w:sz w:val="18"/>
                            <w:szCs w:val="18"/>
                          </w:rPr>
                        </w:pPr>
                        <w:r>
                          <w:rPr>
                            <w:rFonts w:ascii="宋体" w:hAnsi="宋体" w:cs="宋体" w:eastAsia="宋体" w:hint="default"/>
                            <w:sz w:val="18"/>
                            <w:szCs w:val="18"/>
                          </w:rPr>
                          <w:t>款至募集资金专用账户，同时将上述募集资金的归还情况通知了保荐机构及保荐代表人。</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w:t>
                        </w:r>
                        <w:r>
                          <w:rPr>
                            <w:rFonts w:ascii="宋体" w:hAnsi="宋体" w:cs="宋体" w:eastAsia="宋体" w:hint="default"/>
                            <w:spacing w:val="-2"/>
                            <w:sz w:val="18"/>
                            <w:szCs w:val="18"/>
                          </w:rPr>
                          <w:t>公司第三届董事会第八次会议审议通过了《关于使用部分闲置募集资金暂时补充流动资金的议案》，同意使用公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司部分闲置募集资金</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万元，及公司之全资子公司部分闲置募集资金</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万元补充流动资金，使用期</w:t>
                        </w:r>
                      </w:p>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限为自董事会审议通过之日起不超过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日止，公司已归还此款至募集资金专用账户，</w:t>
                        </w:r>
                      </w:p>
                      <w:p>
                        <w:pPr>
                          <w:pStyle w:val="TableParagraph"/>
                          <w:spacing w:line="309" w:lineRule="auto" w:before="63"/>
                          <w:ind w:left="24" w:right="20"/>
                          <w:jc w:val="left"/>
                          <w:rPr>
                            <w:rFonts w:ascii="宋体" w:hAnsi="宋体" w:cs="宋体" w:eastAsia="宋体" w:hint="default"/>
                            <w:sz w:val="18"/>
                            <w:szCs w:val="18"/>
                          </w:rPr>
                        </w:pPr>
                        <w:r>
                          <w:rPr>
                            <w:rFonts w:ascii="宋体" w:hAnsi="宋体" w:cs="宋体" w:eastAsia="宋体" w:hint="default"/>
                            <w:sz w:val="18"/>
                            <w:szCs w:val="18"/>
                          </w:rPr>
                          <w:t>同时将上述募集资金的归还情况通知了保荐机构及保荐代表人。</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日，公司第三届董事会第十三</w:t>
                        </w:r>
                        <w:r>
                          <w:rPr>
                            <w:rFonts w:ascii="宋体" w:hAnsi="宋体" w:cs="宋体" w:eastAsia="宋体" w:hint="default"/>
                            <w:sz w:val="18"/>
                            <w:szCs w:val="18"/>
                          </w:rPr>
                          <w:t> </w:t>
                        </w:r>
                        <w:r>
                          <w:rPr>
                            <w:rFonts w:ascii="宋体" w:hAnsi="宋体" w:cs="宋体" w:eastAsia="宋体" w:hint="default"/>
                            <w:spacing w:val="-2"/>
                            <w:sz w:val="18"/>
                            <w:szCs w:val="18"/>
                          </w:rPr>
                          <w:t>次（临时）会议审议通过了《关于使用部分闲置募集资金暂时补充流动资金的议案》，同意使用公司部分闲置募</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集资金</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万元，及公司之全资子公司部分闲置募集资金</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万元补充流动资金，使用期限为自董事会</w:t>
                        </w:r>
                      </w:p>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审议通过之日起不超过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日止，公司已归还</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3,000.00 </w:t>
                        </w:r>
                        <w:r>
                          <w:rPr>
                            <w:rFonts w:ascii="宋体" w:hAnsi="宋体" w:cs="宋体" w:eastAsia="宋体" w:hint="default"/>
                            <w:sz w:val="18"/>
                            <w:szCs w:val="18"/>
                          </w:rPr>
                          <w:t>万元人民币至募集资金专户，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同时将上述募集资金的归还情况通知了保荐机构及保荐代表人。</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日，公司已归还</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万元至募</w:t>
                        </w:r>
                      </w:p>
                      <w:p>
                        <w:pPr>
                          <w:pStyle w:val="TableParagraph"/>
                          <w:spacing w:line="309" w:lineRule="auto" w:before="63"/>
                          <w:ind w:left="24" w:right="17"/>
                          <w:jc w:val="both"/>
                          <w:rPr>
                            <w:rFonts w:ascii="宋体" w:hAnsi="宋体" w:cs="宋体" w:eastAsia="宋体" w:hint="default"/>
                            <w:sz w:val="18"/>
                            <w:szCs w:val="18"/>
                          </w:rPr>
                        </w:pPr>
                        <w:r>
                          <w:rPr>
                            <w:rFonts w:ascii="宋体" w:hAnsi="宋体" w:cs="宋体" w:eastAsia="宋体" w:hint="default"/>
                            <w:sz w:val="18"/>
                            <w:szCs w:val="18"/>
                          </w:rPr>
                          <w:t>集资金专用账户，同时将上述募集资金的归还情况通知了保荐机构及保荐代表人。</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日，公司第 </w:t>
                        </w:r>
                        <w:r>
                          <w:rPr>
                            <w:rFonts w:ascii="宋体" w:hAnsi="宋体" w:cs="宋体" w:eastAsia="宋体" w:hint="default"/>
                            <w:spacing w:val="-2"/>
                            <w:sz w:val="18"/>
                            <w:szCs w:val="18"/>
                          </w:rPr>
                          <w:t>三届董事会第二十二次（临时）会议审议通过了《关于使用部分闲置募集资金暂时补充流动资金的议案》，同意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使用公司部分闲置募集资金</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万元补充流动资金，使用期限为自董事会审议通过之日起不超过</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pacing w:val="-8"/>
                            <w:sz w:val="18"/>
                            <w:szCs w:val="18"/>
                          </w:rPr>
                          <w:t>个月，截至</w:t>
                        </w:r>
                      </w:p>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日止，公司已提前归还此款至募集资金专用账户，同时将上述募集资金的归还情况通知了保荐机</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构及保荐代表人。</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日，公司第三届董事会第三十次（临时）会议审议通过了公司《关于使用</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部分闲置募集资金暂时补充流动资金的议案</w:t>
                        </w:r>
                        <w:r>
                          <w:rPr>
                            <w:rFonts w:ascii="宋体" w:hAnsi="宋体" w:cs="宋体" w:eastAsia="宋体" w:hint="default"/>
                            <w:spacing w:val="-92"/>
                            <w:sz w:val="18"/>
                            <w:szCs w:val="18"/>
                          </w:rPr>
                          <w:t>》</w:t>
                        </w:r>
                        <w:r>
                          <w:rPr>
                            <w:rFonts w:ascii="宋体" w:hAnsi="宋体" w:cs="宋体" w:eastAsia="宋体" w:hint="default"/>
                            <w:sz w:val="18"/>
                            <w:szCs w:val="18"/>
                          </w:rPr>
                          <w:t>，同意使用公</w:t>
                        </w:r>
                        <w:r>
                          <w:rPr>
                            <w:rFonts w:ascii="宋体" w:hAnsi="宋体" w:cs="宋体" w:eastAsia="宋体" w:hint="default"/>
                            <w:spacing w:val="2"/>
                            <w:sz w:val="18"/>
                            <w:szCs w:val="18"/>
                          </w:rPr>
                          <w:t>司</w:t>
                        </w:r>
                        <w:r>
                          <w:rPr>
                            <w:rFonts w:ascii="宋体" w:hAnsi="宋体" w:cs="宋体" w:eastAsia="宋体" w:hint="default"/>
                            <w:sz w:val="18"/>
                            <w:szCs w:val="18"/>
                          </w:rPr>
                          <w:t>部分闲置募集资金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r>
                          <w:rPr>
                            <w:rFonts w:ascii="宋体" w:hAnsi="宋体" w:cs="宋体" w:eastAsia="宋体" w:hint="default"/>
                            <w:spacing w:val="-3"/>
                            <w:sz w:val="18"/>
                            <w:szCs w:val="18"/>
                          </w:rPr>
                          <w:t>元</w:t>
                        </w:r>
                        <w:r>
                          <w:rPr>
                            <w:rFonts w:ascii="宋体" w:hAnsi="宋体" w:cs="宋体" w:eastAsia="宋体" w:hint="default"/>
                            <w:sz w:val="18"/>
                            <w:szCs w:val="18"/>
                          </w:rPr>
                          <w:t>补充公司流动资金</w:t>
                        </w:r>
                        <w:r>
                          <w:rPr>
                            <w:rFonts w:ascii="Times New Roman" w:hAnsi="Times New Roman" w:cs="Times New Roman" w:eastAsia="Times New Roman" w:hint="default"/>
                            <w:sz w:val="18"/>
                            <w:szCs w:val="18"/>
                          </w:rPr>
                          <w:t>,</w:t>
                        </w:r>
                        <w:r>
                          <w:rPr>
                            <w:rFonts w:ascii="宋体" w:hAnsi="宋体" w:cs="宋体" w:eastAsia="宋体" w:hint="default"/>
                            <w:sz w:val="18"/>
                            <w:szCs w:val="18"/>
                          </w:rPr>
                          <w:t>使</w:t>
                        </w:r>
                      </w:p>
                      <w:p>
                        <w:pPr>
                          <w:pStyle w:val="TableParagraph"/>
                          <w:spacing w:line="300" w:lineRule="auto" w:before="63"/>
                          <w:ind w:left="24" w:right="79"/>
                          <w:jc w:val="left"/>
                          <w:rPr>
                            <w:rFonts w:ascii="宋体" w:hAnsi="宋体" w:cs="宋体" w:eastAsia="宋体" w:hint="default"/>
                            <w:sz w:val="18"/>
                            <w:szCs w:val="18"/>
                          </w:rPr>
                        </w:pPr>
                        <w:r>
                          <w:rPr>
                            <w:rFonts w:ascii="宋体" w:hAnsi="宋体" w:cs="宋体" w:eastAsia="宋体" w:hint="default"/>
                            <w:sz w:val="18"/>
                            <w:szCs w:val="18"/>
                          </w:rPr>
                          <w:t>用期限为自董事会审议通过之日起不超过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日止，公司已提前归还此款至募集资金 专用账户，同时将上述募集资金的归还情况通知了保荐机构及保荐代表人。</w:t>
                        </w:r>
                      </w:p>
                    </w:tc>
                  </w:tr>
                  <w:tr>
                    <w:trPr>
                      <w:trHeight w:val="403" w:hRule="exact"/>
                    </w:trPr>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319" w:lineRule="auto"/>
                          <w:ind w:left="22" w:right="147"/>
                          <w:jc w:val="both"/>
                          <w:rPr>
                            <w:rFonts w:ascii="宋体" w:hAnsi="宋体" w:cs="宋体" w:eastAsia="宋体" w:hint="default"/>
                            <w:sz w:val="18"/>
                            <w:szCs w:val="18"/>
                          </w:rPr>
                        </w:pPr>
                        <w:r>
                          <w:rPr>
                            <w:rFonts w:ascii="宋体" w:hAnsi="宋体" w:cs="宋体" w:eastAsia="宋体" w:hint="default"/>
                            <w:sz w:val="18"/>
                            <w:szCs w:val="18"/>
                          </w:rPr>
                          <w:t>项目实 施出现 募集资 金结余 的金额 及原因</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900" w:hRule="exact"/>
                    </w:trPr>
                    <w:tc>
                      <w:tcPr>
                        <w:tcW w:w="722" w:type="dxa"/>
                        <w:vMerge/>
                        <w:tcBorders>
                          <w:left w:val="single" w:sz="4" w:space="0" w:color="000000"/>
                          <w:bottom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网络游戏研发技术平台项目已于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月底验收完成，该项目原由网络游戏通用引擎、</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游戏动作捕捉系 </w:t>
                        </w:r>
                        <w:r>
                          <w:rPr>
                            <w:rFonts w:ascii="宋体" w:hAnsi="宋体" w:cs="宋体" w:eastAsia="宋体" w:hint="default"/>
                            <w:spacing w:val="-1"/>
                            <w:sz w:val="18"/>
                            <w:szCs w:val="18"/>
                          </w:rPr>
                          <w:t>统及游戏测试系统组成，现验收的项目包括网络游戏通用引擎和游戏测试系统，该项目完成后，项目资金结余为</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人民币</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821.10</w:t>
                        </w:r>
                        <w:r>
                          <w:rPr>
                            <w:rFonts w:ascii="Times New Roman" w:hAnsi="Times New Roman" w:cs="Times New Roman" w:eastAsia="Times New Roman" w:hint="default"/>
                            <w:spacing w:val="7"/>
                            <w:sz w:val="18"/>
                            <w:szCs w:val="18"/>
                          </w:rPr>
                          <w:t> </w:t>
                        </w:r>
                        <w:r>
                          <w:rPr>
                            <w:rFonts w:ascii="宋体" w:hAnsi="宋体" w:cs="宋体" w:eastAsia="宋体" w:hint="default"/>
                            <w:spacing w:val="-1"/>
                            <w:sz w:val="18"/>
                            <w:szCs w:val="18"/>
                          </w:rPr>
                          <w:t>万元（含利息收入</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158.78</w:t>
                        </w:r>
                        <w:r>
                          <w:rPr>
                            <w:rFonts w:ascii="Times New Roman" w:hAnsi="Times New Roman" w:cs="Times New Roman" w:eastAsia="Times New Roman" w:hint="default"/>
                            <w:spacing w:val="7"/>
                            <w:sz w:val="18"/>
                            <w:szCs w:val="18"/>
                          </w:rPr>
                          <w:t> </w:t>
                        </w:r>
                        <w:r>
                          <w:rPr>
                            <w:rFonts w:ascii="宋体" w:hAnsi="宋体" w:cs="宋体" w:eastAsia="宋体" w:hint="default"/>
                            <w:spacing w:val="-7"/>
                            <w:sz w:val="18"/>
                            <w:szCs w:val="18"/>
                          </w:rPr>
                          <w:t>万元），结余的原因系原计划购买</w:t>
                        </w:r>
                        <w:r>
                          <w:rPr>
                            <w:rFonts w:ascii="宋体" w:hAnsi="宋体" w:cs="宋体" w:eastAsia="宋体" w:hint="default"/>
                            <w:spacing w:val="-39"/>
                            <w:sz w:val="18"/>
                            <w:szCs w:val="18"/>
                          </w:rPr>
                          <w:t> </w:t>
                        </w:r>
                        <w:r>
                          <w:rPr>
                            <w:rFonts w:ascii="Times New Roman" w:hAnsi="Times New Roman" w:cs="Times New Roman" w:eastAsia="Times New Roman" w:hint="default"/>
                            <w:w w:val="99"/>
                            <w:sz w:val="18"/>
                            <w:szCs w:val="18"/>
                          </w:rPr>
                          <w:t>3D</w:t>
                        </w:r>
                        <w:r>
                          <w:rPr>
                            <w:rFonts w:ascii="Times New Roman" w:hAnsi="Times New Roman" w:cs="Times New Roman" w:eastAsia="Times New Roman" w:hint="default"/>
                            <w:spacing w:val="5"/>
                            <w:w w:val="99"/>
                            <w:sz w:val="18"/>
                            <w:szCs w:val="18"/>
                          </w:rPr>
                          <w:t> </w:t>
                        </w:r>
                        <w:r>
                          <w:rPr>
                            <w:rFonts w:ascii="宋体" w:hAnsi="宋体" w:cs="宋体" w:eastAsia="宋体" w:hint="default"/>
                            <w:spacing w:val="-1"/>
                            <w:sz w:val="18"/>
                            <w:szCs w:val="18"/>
                          </w:rPr>
                          <w:t>游戏动作捕捉系统（原计划需人民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800.00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因行业情况变化等原因导致购置必要性降低，且公司已储备由美术中心内部培养的专业人才， </w:t>
                        </w:r>
                        <w:r>
                          <w:rPr>
                            <w:rFonts w:ascii="宋体" w:hAnsi="宋体" w:cs="宋体" w:eastAsia="宋体" w:hint="default"/>
                            <w:spacing w:val="-1"/>
                            <w:sz w:val="18"/>
                            <w:szCs w:val="18"/>
                          </w:rPr>
                          <w:t>其已经具备非常强的专业素养与效率，内部经验分享与沟通有效快捷，在效果与效率上都达到了动作捕捉系统的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成效，因此未实施购置该系统，造成项目资金结余，此结余资金计划转入永久补充流动资金。</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 </w:t>
                        </w:r>
                        <w:r>
                          <w:rPr>
                            <w:rFonts w:ascii="宋体" w:hAnsi="宋体" w:cs="宋体" w:eastAsia="宋体" w:hint="default"/>
                            <w:spacing w:val="-2"/>
                            <w:sz w:val="18"/>
                            <w:szCs w:val="18"/>
                          </w:rPr>
                          <w:t>公司第二届董事会第十七次会议审核通过《关于将募集资金投资项目结余资金永久补充流动资金的议案》，同意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公司使用募集资金投资项目结余资金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821.10 </w:t>
                        </w:r>
                        <w:r>
                          <w:rPr>
                            <w:rFonts w:ascii="宋体" w:hAnsi="宋体" w:cs="宋体" w:eastAsia="宋体" w:hint="default"/>
                            <w:sz w:val="18"/>
                            <w:szCs w:val="18"/>
                          </w:rPr>
                          <w:t>万（含利息收入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158.78 </w:t>
                        </w:r>
                        <w:r>
                          <w:rPr>
                            <w:rFonts w:ascii="宋体" w:hAnsi="宋体" w:cs="宋体" w:eastAsia="宋体" w:hint="default"/>
                            <w:sz w:val="18"/>
                            <w:szCs w:val="18"/>
                          </w:rPr>
                          <w:t>万元）永久补充流动资金，该事项已经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年年度股东大会审议通过。</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r>
        <w:rPr/>
        <w:pict>
          <v:shape style="position:absolute;margin-left:146.417007pt;margin-top:590.479980pt;width:53.7pt;height:101.45pt;mso-position-horizontal-relative:page;mso-position-vertical-relative:page;z-index:-124496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110.542999pt;margin-top:735.335999pt;width:89.55pt;height:23.4pt;mso-position-horizontal-relative:page;mso-position-vertical-relative:page;z-index:-1244944" type="#_x0000_t202" filled="false" stroked="false">
            <v:textbox inset="0,0,0,0">
              <w:txbxContent>
                <w:p>
                  <w:pPr>
                    <w:spacing w:before="125"/>
                    <w:ind w:left="0" w:right="0" w:firstLine="0"/>
                    <w:jc w:val="left"/>
                    <w:rPr>
                      <w:rFonts w:ascii="宋体" w:hAnsi="宋体" w:cs="宋体" w:eastAsia="宋体" w:hint="default"/>
                      <w:sz w:val="18"/>
                      <w:szCs w:val="18"/>
                    </w:rPr>
                  </w:pPr>
                  <w:r>
                    <w:rPr>
                      <w:rFonts w:ascii="宋体" w:hAnsi="宋体" w:cs="宋体" w:eastAsia="宋体" w:hint="default"/>
                      <w:sz w:val="18"/>
                      <w:szCs w:val="18"/>
                    </w:rPr>
                    <w:t>（暂定名）</w:t>
                  </w:r>
                </w:p>
              </w:txbxContent>
            </v:textbox>
            <w10:wrap type="none"/>
          </v:shape>
        </w:pict>
      </w:r>
      <w:r>
        <w:rPr/>
        <w:pict>
          <v:group style="position:absolute;margin-left:152.660004pt;margin-top:590.479980pt;width:47.45pt;height:101.45pt;mso-position-horizontal-relative:page;mso-position-vertical-relative:page;z-index:-1244920" coordorigin="3053,11810" coordsize="949,2029">
            <v:shape style="position:absolute;left:3053;top:11810;width:949;height:2029" coordorigin="3053,11810" coordsize="949,2029" path="m3053,13838l4002,13838,4002,11810,3053,11810,3053,13838xe" filled="true" fillcolor="#ffffff" stroked="false">
              <v:path arrowok="t"/>
              <v:fill type="solid"/>
            </v:shape>
            <w10:wrap type="none"/>
          </v:group>
        </w:pict>
      </w:r>
      <w:r>
        <w:rPr/>
        <w:pict>
          <v:group style="position:absolute;margin-left:152.660004pt;margin-top:735.335999pt;width:47.45pt;height:23.4pt;mso-position-horizontal-relative:page;mso-position-vertical-relative:page;z-index:-1244896" coordorigin="3053,14707" coordsize="949,468">
            <v:shape style="position:absolute;left:3053;top:14707;width:949;height:468" coordorigin="3053,14707" coordsize="949,468" path="m3053,15175l4002,15175,4002,14707,3053,14707,3053,15175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722"/>
        <w:gridCol w:w="8848"/>
      </w:tblGrid>
      <w:tr>
        <w:trPr>
          <w:trHeight w:val="1649"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47"/>
              <w:jc w:val="both"/>
              <w:rPr>
                <w:rFonts w:ascii="宋体" w:hAnsi="宋体" w:cs="宋体" w:eastAsia="宋体" w:hint="default"/>
                <w:sz w:val="18"/>
                <w:szCs w:val="18"/>
              </w:rPr>
            </w:pPr>
            <w:r>
              <w:rPr>
                <w:rFonts w:ascii="宋体" w:hAnsi="宋体" w:cs="宋体" w:eastAsia="宋体" w:hint="default"/>
                <w:sz w:val="18"/>
                <w:szCs w:val="18"/>
              </w:rPr>
              <w:t>尚未使 用的募 集资金 用途及 去向</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尚未使用的超募资金目前存放于募集资金专户中。</w:t>
            </w:r>
          </w:p>
        </w:tc>
      </w:tr>
      <w:tr>
        <w:trPr>
          <w:trHeight w:val="2275"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募集资 金使用 及披露 中存在 的问题 或其他 情况</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Heading2"/>
        <w:spacing w:line="240" w:lineRule="auto" w:before="39"/>
        <w:ind w:right="996"/>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pStyle w:val="Heading3"/>
        <w:spacing w:line="240" w:lineRule="auto" w:before="135"/>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10"/>
        <w:rPr>
          <w:rFonts w:ascii="宋体" w:hAnsi="宋体" w:cs="宋体" w:eastAsia="宋体" w:hint="default"/>
          <w:sz w:val="7"/>
          <w:szCs w:val="7"/>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180"/>
        <w:gridCol w:w="778"/>
        <w:gridCol w:w="958"/>
        <w:gridCol w:w="958"/>
        <w:gridCol w:w="956"/>
        <w:gridCol w:w="958"/>
        <w:gridCol w:w="956"/>
        <w:gridCol w:w="958"/>
        <w:gridCol w:w="958"/>
      </w:tblGrid>
      <w:tr>
        <w:trPr>
          <w:trHeight w:val="1338"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384" w:right="22" w:hanging="361"/>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22"/>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3"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38" w:lineRule="auto"/>
              <w:ind w:left="23"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112" w:right="20"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03"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33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增资卓页 网页游戏的 运营和研发 投资</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23"/>
              <w:jc w:val="left"/>
              <w:rPr>
                <w:rFonts w:ascii="宋体" w:hAnsi="宋体" w:cs="宋体" w:eastAsia="宋体" w:hint="default"/>
                <w:sz w:val="18"/>
                <w:szCs w:val="18"/>
              </w:rPr>
            </w:pPr>
            <w:r>
              <w:rPr>
                <w:rFonts w:ascii="宋体" w:hAnsi="宋体" w:cs="宋体" w:eastAsia="宋体" w:hint="default"/>
                <w:sz w:val="18"/>
                <w:szCs w:val="18"/>
              </w:rPr>
              <w:t>中青聚宝项 目</w:t>
            </w:r>
          </w:p>
        </w:tc>
        <w:tc>
          <w:tcPr>
            <w:tcW w:w="9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8" w:right="0"/>
              <w:jc w:val="left"/>
              <w:rPr>
                <w:rFonts w:ascii="Times New Roman" w:hAnsi="Times New Roman" w:cs="Times New Roman" w:eastAsia="Times New Roman" w:hint="default"/>
                <w:sz w:val="18"/>
                <w:szCs w:val="18"/>
              </w:rPr>
            </w:pPr>
            <w:r>
              <w:rPr>
                <w:rFonts w:ascii="Times New Roman"/>
                <w:sz w:val="18"/>
              </w:rPr>
              <w:t>3,000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3,022.02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100.73%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460"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09" w:lineRule="auto"/>
              <w:ind w:left="24"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上海美峰 数码科技有 限公司</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股权收购项 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
              <w:jc w:val="left"/>
              <w:rPr>
                <w:rFonts w:ascii="宋体" w:hAnsi="宋体" w:cs="宋体" w:eastAsia="宋体" w:hint="default"/>
                <w:sz w:val="18"/>
                <w:szCs w:val="18"/>
              </w:rPr>
            </w:pPr>
            <w:r>
              <w:rPr>
                <w:rFonts w:ascii="宋体" w:hAnsi="宋体" w:cs="宋体" w:eastAsia="宋体" w:hint="default"/>
                <w:sz w:val="18"/>
                <w:szCs w:val="18"/>
              </w:rPr>
              <w:t>苏州研发中 心建设项 </w:t>
            </w:r>
            <w:r>
              <w:rPr>
                <w:rFonts w:ascii="宋体" w:hAnsi="宋体" w:cs="宋体" w:eastAsia="宋体" w:hint="default"/>
                <w:spacing w:val="-7"/>
                <w:sz w:val="18"/>
                <w:szCs w:val="18"/>
              </w:rPr>
              <w:t>目、</w:t>
            </w:r>
            <w:r>
              <w:rPr>
                <w:rFonts w:ascii="Times New Roman" w:hAnsi="Times New Roman" w:cs="Times New Roman" w:eastAsia="Times New Roman" w:hint="default"/>
                <w:spacing w:val="-7"/>
                <w:sz w:val="18"/>
                <w:szCs w:val="18"/>
              </w:rPr>
              <w:t>2.5D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游 戏《新宋演 义》开发项 目（暂定 </w:t>
            </w:r>
            <w:r>
              <w:rPr>
                <w:rFonts w:ascii="宋体" w:hAnsi="宋体" w:cs="宋体" w:eastAsia="宋体" w:hint="default"/>
                <w:spacing w:val="-19"/>
                <w:w w:val="99"/>
                <w:sz w:val="18"/>
                <w:szCs w:val="18"/>
              </w:rPr>
              <w:t>名）、</w:t>
            </w:r>
            <w:r>
              <w:rPr>
                <w:rFonts w:ascii="Times New Roman" w:hAnsi="Times New Roman" w:cs="Times New Roman" w:eastAsia="Times New Roman" w:hint="default"/>
                <w:spacing w:val="-19"/>
                <w:w w:val="99"/>
                <w:sz w:val="18"/>
                <w:szCs w:val="18"/>
              </w:rPr>
              <w:t>3D</w:t>
            </w:r>
            <w:r>
              <w:rPr>
                <w:rFonts w:ascii="Times New Roman" w:hAnsi="Times New Roman" w:cs="Times New Roman" w:eastAsia="Times New Roman" w:hint="default"/>
                <w:spacing w:val="2"/>
                <w:w w:val="99"/>
                <w:sz w:val="18"/>
                <w:szCs w:val="18"/>
              </w:rPr>
              <w:t> </w:t>
            </w:r>
            <w:r>
              <w:rPr>
                <w:rFonts w:ascii="宋体" w:hAnsi="宋体" w:cs="宋体" w:eastAsia="宋体" w:hint="default"/>
                <w:sz w:val="18"/>
                <w:szCs w:val="18"/>
              </w:rPr>
              <w:t>游 戏《盟军》 开发项目</w:t>
            </w:r>
          </w:p>
          <w:p>
            <w:pPr>
              <w:pStyle w:val="TableParagraph"/>
              <w:spacing w:line="314" w:lineRule="auto" w:before="20"/>
              <w:ind w:left="24" w:right="19"/>
              <w:jc w:val="both"/>
              <w:rPr>
                <w:rFonts w:ascii="宋体" w:hAnsi="宋体" w:cs="宋体" w:eastAsia="宋体" w:hint="default"/>
                <w:sz w:val="18"/>
                <w:szCs w:val="18"/>
              </w:rPr>
            </w:pPr>
            <w:r>
              <w:rPr>
                <w:rFonts w:ascii="宋体" w:hAnsi="宋体" w:cs="宋体" w:eastAsia="宋体" w:hint="default"/>
                <w:sz w:val="18"/>
                <w:szCs w:val="18"/>
              </w:rPr>
              <w:t>（暂定名） </w:t>
            </w:r>
            <w:r>
              <w:rPr>
                <w:rFonts w:ascii="Times New Roman" w:hAnsi="Times New Roman" w:cs="Times New Roman" w:eastAsia="Times New Roman" w:hint="default"/>
                <w:w w:val="99"/>
                <w:sz w:val="18"/>
                <w:szCs w:val="18"/>
              </w:rPr>
              <w:t>3D</w:t>
            </w:r>
            <w:r>
              <w:rPr>
                <w:rFonts w:ascii="Times New Roman" w:hAnsi="Times New Roman" w:cs="Times New Roman" w:eastAsia="Times New Roman" w:hint="default"/>
                <w:spacing w:val="3"/>
                <w:w w:val="99"/>
                <w:sz w:val="18"/>
                <w:szCs w:val="18"/>
              </w:rPr>
              <w:t> </w:t>
            </w:r>
            <w:r>
              <w:rPr>
                <w:rFonts w:ascii="宋体" w:hAnsi="宋体" w:cs="宋体" w:eastAsia="宋体" w:hint="default"/>
                <w:spacing w:val="-22"/>
                <w:sz w:val="18"/>
                <w:szCs w:val="18"/>
              </w:rPr>
              <w:t>游戏《寻</w:t>
            </w:r>
            <w:r>
              <w:rPr>
                <w:rFonts w:ascii="宋体" w:hAnsi="宋体" w:cs="宋体" w:eastAsia="宋体" w:hint="default"/>
                <w:sz w:val="18"/>
                <w:szCs w:val="18"/>
              </w:rPr>
              <w:t> 梦园》开发 项目（暂定 名）</w:t>
            </w:r>
          </w:p>
        </w:tc>
        <w:tc>
          <w:tcPr>
            <w:tcW w:w="9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29" w:right="0"/>
              <w:jc w:val="left"/>
              <w:rPr>
                <w:rFonts w:ascii="Times New Roman" w:hAnsi="Times New Roman" w:cs="Times New Roman" w:eastAsia="Times New Roman" w:hint="default"/>
                <w:sz w:val="18"/>
                <w:szCs w:val="18"/>
              </w:rPr>
            </w:pPr>
            <w:r>
              <w:rPr>
                <w:rFonts w:ascii="Times New Roman"/>
                <w:sz w:val="18"/>
              </w:rPr>
              <w:t>14,280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14,280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9"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深圳市苏 摩科技有限 公司</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 权收购项目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游戏</w:t>
            </w:r>
          </w:p>
          <w:p>
            <w:pPr>
              <w:pStyle w:val="TableParagraph"/>
              <w:spacing w:line="316" w:lineRule="auto" w:before="63"/>
              <w:ind w:left="24" w:right="23"/>
              <w:jc w:val="left"/>
              <w:rPr>
                <w:rFonts w:ascii="宋体" w:hAnsi="宋体" w:cs="宋体" w:eastAsia="宋体" w:hint="default"/>
                <w:sz w:val="18"/>
                <w:szCs w:val="18"/>
              </w:rPr>
            </w:pPr>
            <w:r>
              <w:rPr>
                <w:rFonts w:ascii="宋体" w:hAnsi="宋体" w:cs="宋体" w:eastAsia="宋体" w:hint="default"/>
                <w:sz w:val="18"/>
                <w:szCs w:val="18"/>
              </w:rPr>
              <w:t>《三国游 侠》开发项 目</w:t>
            </w:r>
          </w:p>
        </w:tc>
        <w:tc>
          <w:tcPr>
            <w:tcW w:w="180" w:type="dxa"/>
            <w:tcBorders>
              <w:top w:val="single" w:sz="4" w:space="0" w:color="000000"/>
              <w:left w:val="single" w:sz="4" w:space="0" w:color="000000"/>
              <w:bottom w:val="single" w:sz="4" w:space="0" w:color="000000"/>
              <w:right w:val="nil" w:sz="6" w:space="0" w:color="auto"/>
            </w:tcBorders>
          </w:tcPr>
          <w:p>
            <w:pPr/>
          </w:p>
        </w:tc>
        <w:tc>
          <w:tcPr>
            <w:tcW w:w="77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2,186.63</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2,186.63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36" w:right="0"/>
              <w:jc w:val="left"/>
              <w:rPr>
                <w:rFonts w:ascii="Times New Roman" w:hAnsi="Times New Roman" w:cs="Times New Roman" w:eastAsia="Times New Roman" w:hint="default"/>
                <w:sz w:val="18"/>
                <w:szCs w:val="18"/>
              </w:rPr>
            </w:pPr>
            <w:r>
              <w:rPr>
                <w:rFonts w:ascii="Times New Roman"/>
                <w:sz w:val="18"/>
              </w:rPr>
              <w:t>211.59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10.542999pt;margin-top:280.489990pt;width:89.55pt;height:85.8pt;mso-position-horizontal-relative:page;mso-position-vertical-relative:page;z-index:-12448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29"/>
                    <w:ind w:left="0" w:right="0" w:firstLine="0"/>
                    <w:jc w:val="left"/>
                    <w:rPr>
                      <w:rFonts w:ascii="宋体" w:hAnsi="宋体" w:cs="宋体" w:eastAsia="宋体" w:hint="default"/>
                      <w:sz w:val="18"/>
                      <w:szCs w:val="18"/>
                    </w:rPr>
                  </w:pPr>
                  <w:r>
                    <w:rPr>
                      <w:rFonts w:ascii="宋体" w:hAnsi="宋体" w:cs="宋体" w:eastAsia="宋体" w:hint="default"/>
                      <w:sz w:val="18"/>
                      <w:szCs w:val="18"/>
                    </w:rPr>
                    <w:t>《寻梦园》</w:t>
                  </w:r>
                </w:p>
              </w:txbxContent>
            </v:textbox>
            <w10:wrap type="none"/>
          </v:shape>
        </w:pict>
      </w:r>
      <w:r>
        <w:rPr/>
        <w:pict>
          <v:group style="position:absolute;margin-left:152.660004pt;margin-top:280.489990pt;width:47.45pt;height:85.8pt;mso-position-horizontal-relative:page;mso-position-vertical-relative:page;z-index:-1244848" coordorigin="3053,5610" coordsize="949,1716">
            <v:shape style="position:absolute;left:3053;top:5610;width:949;height:1716" coordorigin="3053,5610" coordsize="949,1716" path="m3053,7326l4002,7326,4002,5610,3053,5610,3053,7326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293"/>
        <w:gridCol w:w="665"/>
        <w:gridCol w:w="958"/>
        <w:gridCol w:w="958"/>
        <w:gridCol w:w="956"/>
        <w:gridCol w:w="958"/>
        <w:gridCol w:w="956"/>
        <w:gridCol w:w="958"/>
        <w:gridCol w:w="958"/>
      </w:tblGrid>
      <w:tr>
        <w:trPr>
          <w:trHeight w:val="133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超募资金 项目：永久 补充流动资 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23"/>
              <w:jc w:val="left"/>
              <w:rPr>
                <w:rFonts w:ascii="宋体" w:hAnsi="宋体" w:cs="宋体" w:eastAsia="宋体" w:hint="default"/>
                <w:sz w:val="18"/>
                <w:szCs w:val="18"/>
              </w:rPr>
            </w:pPr>
            <w:r>
              <w:rPr>
                <w:rFonts w:ascii="宋体" w:hAnsi="宋体" w:cs="宋体" w:eastAsia="宋体" w:hint="default"/>
                <w:sz w:val="18"/>
                <w:szCs w:val="18"/>
              </w:rPr>
              <w:t>第三方支付 平台</w:t>
            </w:r>
          </w:p>
        </w:tc>
        <w:tc>
          <w:tcPr>
            <w:tcW w:w="9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29" w:right="0"/>
              <w:jc w:val="left"/>
              <w:rPr>
                <w:rFonts w:ascii="Times New Roman" w:hAnsi="Times New Roman" w:cs="Times New Roman" w:eastAsia="Times New Roman" w:hint="default"/>
                <w:sz w:val="18"/>
                <w:szCs w:val="18"/>
              </w:rPr>
            </w:pPr>
            <w:r>
              <w:rPr>
                <w:rFonts w:ascii="Times New Roman"/>
                <w:sz w:val="18"/>
              </w:rPr>
              <w:t>10,000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65"/>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永久补充 流动资金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苏州研发中 心建设项目</w:t>
            </w:r>
          </w:p>
        </w:tc>
        <w:tc>
          <w:tcPr>
            <w:tcW w:w="9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18" w:right="0"/>
              <w:jc w:val="left"/>
              <w:rPr>
                <w:rFonts w:ascii="Times New Roman" w:hAnsi="Times New Roman" w:cs="Times New Roman" w:eastAsia="Times New Roman" w:hint="default"/>
                <w:sz w:val="18"/>
                <w:szCs w:val="18"/>
              </w:rPr>
            </w:pPr>
            <w:r>
              <w:rPr>
                <w:rFonts w:ascii="Times New Roman"/>
                <w:sz w:val="18"/>
              </w:rPr>
              <w:t>3,220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3,602.2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2"/>
                <w:sz w:val="18"/>
              </w:rPr>
              <w:t>111.87%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83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09" w:lineRule="auto"/>
              <w:ind w:left="24"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凤凰高科 技文化科普 体验园项目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游戏</w:t>
            </w:r>
          </w:p>
          <w:p>
            <w:pPr>
              <w:pStyle w:val="TableParagraph"/>
              <w:spacing w:line="314" w:lineRule="auto" w:before="63"/>
              <w:ind w:left="24" w:right="23"/>
              <w:jc w:val="left"/>
              <w:rPr>
                <w:rFonts w:ascii="宋体" w:hAnsi="宋体" w:cs="宋体" w:eastAsia="宋体" w:hint="default"/>
                <w:sz w:val="18"/>
                <w:szCs w:val="18"/>
              </w:rPr>
            </w:pPr>
            <w:r>
              <w:rPr>
                <w:rFonts w:ascii="宋体" w:hAnsi="宋体" w:cs="宋体" w:eastAsia="宋体" w:hint="default"/>
                <w:sz w:val="18"/>
                <w:szCs w:val="18"/>
              </w:rPr>
              <w:t>《三国游 侠》开发项 目（暂定 </w:t>
            </w:r>
            <w:r>
              <w:rPr>
                <w:rFonts w:ascii="宋体" w:hAnsi="宋体" w:cs="宋体" w:eastAsia="宋体" w:hint="default"/>
                <w:spacing w:val="-13"/>
                <w:w w:val="99"/>
                <w:sz w:val="18"/>
                <w:szCs w:val="18"/>
              </w:rPr>
              <w:t>名）、</w:t>
            </w:r>
            <w:r>
              <w:rPr>
                <w:rFonts w:ascii="Times New Roman" w:hAnsi="Times New Roman" w:cs="Times New Roman" w:eastAsia="Times New Roman" w:hint="default"/>
                <w:spacing w:val="-13"/>
                <w:w w:val="99"/>
                <w:sz w:val="18"/>
                <w:szCs w:val="18"/>
              </w:rPr>
              <w:t>2.5D</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游戏《新宋 演义》开发 项目（暂定 </w:t>
            </w:r>
            <w:r>
              <w:rPr>
                <w:rFonts w:ascii="宋体" w:hAnsi="宋体" w:cs="宋体" w:eastAsia="宋体" w:hint="default"/>
                <w:spacing w:val="-19"/>
                <w:w w:val="99"/>
                <w:sz w:val="18"/>
                <w:szCs w:val="18"/>
              </w:rPr>
              <w:t>名）、</w:t>
            </w:r>
            <w:r>
              <w:rPr>
                <w:rFonts w:ascii="Times New Roman" w:hAnsi="Times New Roman" w:cs="Times New Roman" w:eastAsia="Times New Roman" w:hint="default"/>
                <w:spacing w:val="-19"/>
                <w:w w:val="99"/>
                <w:sz w:val="18"/>
                <w:szCs w:val="18"/>
              </w:rPr>
              <w:t>3D</w:t>
            </w:r>
            <w:r>
              <w:rPr>
                <w:rFonts w:ascii="Times New Roman" w:hAnsi="Times New Roman" w:cs="Times New Roman" w:eastAsia="Times New Roman" w:hint="default"/>
                <w:spacing w:val="2"/>
                <w:w w:val="99"/>
                <w:sz w:val="18"/>
                <w:szCs w:val="18"/>
              </w:rPr>
              <w:t> </w:t>
            </w:r>
            <w:r>
              <w:rPr>
                <w:rFonts w:ascii="宋体" w:hAnsi="宋体" w:cs="宋体" w:eastAsia="宋体" w:hint="default"/>
                <w:sz w:val="18"/>
                <w:szCs w:val="18"/>
              </w:rPr>
              <w:t>游 戏</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开发项目</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（暂定名）</w:t>
            </w:r>
          </w:p>
        </w:tc>
        <w:tc>
          <w:tcPr>
            <w:tcW w:w="293" w:type="dxa"/>
            <w:tcBorders>
              <w:top w:val="single" w:sz="4" w:space="0" w:color="000000"/>
              <w:left w:val="single" w:sz="4" w:space="0" w:color="000000"/>
              <w:bottom w:val="single" w:sz="4" w:space="0" w:color="000000"/>
              <w:right w:val="nil" w:sz="6" w:space="0" w:color="auto"/>
            </w:tcBorders>
          </w:tcPr>
          <w:p>
            <w:pPr/>
          </w:p>
        </w:tc>
        <w:tc>
          <w:tcPr>
            <w:tcW w:w="66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30" w:right="0"/>
              <w:jc w:val="left"/>
              <w:rPr>
                <w:rFonts w:ascii="Times New Roman" w:hAnsi="Times New Roman" w:cs="Times New Roman" w:eastAsia="Times New Roman" w:hint="default"/>
                <w:sz w:val="18"/>
                <w:szCs w:val="18"/>
              </w:rPr>
            </w:pPr>
            <w:r>
              <w:rPr>
                <w:rFonts w:ascii="Times New Roman"/>
                <w:sz w:val="18"/>
              </w:rPr>
              <w:t>1,148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pacing w:val="-1"/>
                <w:sz w:val="18"/>
              </w:rPr>
              <w:t>457.18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w w:val="95"/>
                <w:sz w:val="18"/>
              </w:rPr>
              <w:t>1,606.55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pacing w:val="-1"/>
                <w:sz w:val="18"/>
              </w:rPr>
              <w:t>139.94%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pacing w:val="-1"/>
                <w:sz w:val="18"/>
              </w:rPr>
              <w:t>-663.87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4" w:right="19"/>
              <w:jc w:val="left"/>
              <w:rPr>
                <w:rFonts w:ascii="宋体" w:hAnsi="宋体" w:cs="宋体" w:eastAsia="宋体" w:hint="default"/>
                <w:sz w:val="18"/>
                <w:szCs w:val="18"/>
              </w:rPr>
            </w:pPr>
            <w:r>
              <w:rPr>
                <w:rFonts w:ascii="Times New Roman" w:hAnsi="Times New Roman" w:cs="Times New Roman" w:eastAsia="Times New Roman" w:hint="default"/>
                <w:spacing w:val="-15"/>
                <w:sz w:val="18"/>
                <w:szCs w:val="18"/>
              </w:rPr>
              <w:t>7</w:t>
            </w:r>
            <w:r>
              <w:rPr>
                <w:rFonts w:ascii="宋体" w:hAnsi="宋体" w:cs="宋体" w:eastAsia="宋体" w:hint="default"/>
                <w:spacing w:val="-15"/>
                <w:sz w:val="18"/>
                <w:szCs w:val="18"/>
              </w:rPr>
              <w:t>、球类游戏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推广项目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3"/>
              <w:jc w:val="both"/>
              <w:rPr>
                <w:rFonts w:ascii="宋体" w:hAnsi="宋体" w:cs="宋体" w:eastAsia="宋体" w:hint="default"/>
                <w:sz w:val="18"/>
                <w:szCs w:val="18"/>
              </w:rPr>
            </w:pPr>
            <w:r>
              <w:rPr>
                <w:rFonts w:ascii="宋体" w:hAnsi="宋体" w:cs="宋体" w:eastAsia="宋体" w:hint="default"/>
                <w:sz w:val="18"/>
                <w:szCs w:val="18"/>
              </w:rPr>
              <w:t>凤凰高科技 文化科普体 验园项目</w:t>
            </w:r>
          </w:p>
        </w:tc>
        <w:tc>
          <w:tcPr>
            <w:tcW w:w="9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518" w:right="0"/>
              <w:jc w:val="left"/>
              <w:rPr>
                <w:rFonts w:ascii="Times New Roman" w:hAnsi="Times New Roman" w:cs="Times New Roman" w:eastAsia="Times New Roman" w:hint="default"/>
                <w:sz w:val="18"/>
                <w:szCs w:val="18"/>
              </w:rPr>
            </w:pPr>
            <w:r>
              <w:rPr>
                <w:rFonts w:ascii="Times New Roman"/>
                <w:sz w:val="18"/>
              </w:rPr>
              <w:t>2,520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950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37.70%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-493.95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 w:right="0"/>
              <w:jc w:val="left"/>
              <w:rPr>
                <w:rFonts w:ascii="Times New Roman" w:hAnsi="Times New Roman" w:cs="Times New Roman" w:eastAsia="Times New Roman" w:hint="default"/>
                <w:sz w:val="18"/>
                <w:szCs w:val="18"/>
              </w:rPr>
            </w:pPr>
            <w:r>
              <w:rPr>
                <w:rFonts w:ascii="Times New Roman"/>
                <w:sz w:val="18"/>
              </w:rPr>
              <w:t>36,354.63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1,407.18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35,647.4</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-946.23</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73"/>
        <w:gridCol w:w="6699"/>
      </w:tblGrid>
      <w:tr>
        <w:trPr>
          <w:trHeight w:val="10698"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316" w:lineRule="auto"/>
              <w:ind w:left="22" w:right="24"/>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3"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、经本公司第二届董事会第九次会议和</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年年度股东大会审议通过，为加快募集 资金使用效率和提高资金投资回报，公司对中青聚宝项目的部分募集资金进行变更， 将人民币</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万元用于增资卓页网页游戏的运营和研发投资项目等方面，投资形 式以深圳中青聚宝信息技术有限公司增资深圳市卓页互动网络科技有限公司。</w:t>
            </w:r>
            <w:r>
              <w:rPr>
                <w:rFonts w:ascii="Times New Roman" w:hAnsi="Times New Roman" w:cs="Times New Roman" w:eastAsia="Times New Roman" w:hint="default"/>
                <w:sz w:val="18"/>
                <w:szCs w:val="18"/>
              </w:rPr>
              <w:t>2</w:t>
            </w:r>
            <w:r>
              <w:rPr>
                <w:rFonts w:ascii="宋体" w:hAnsi="宋体" w:cs="宋体" w:eastAsia="宋体" w:hint="default"/>
                <w:sz w:val="18"/>
                <w:szCs w:val="18"/>
              </w:rPr>
              <w:t>、经 本公司第二届董事会第二十三次（临时）会议和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年度第二次临时股东大会审议 通过，公司变更部分募集资金投资项目及用募集资金和自有资金收购上海美峰数码科 技有限公司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股权和深圳市苏摩科技有限公司</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51%</w:t>
            </w:r>
            <w:r>
              <w:rPr>
                <w:rFonts w:ascii="宋体" w:hAnsi="宋体" w:cs="宋体" w:eastAsia="宋体" w:hint="default"/>
                <w:spacing w:val="-3"/>
                <w:sz w:val="18"/>
                <w:szCs w:val="18"/>
              </w:rPr>
              <w:t>股权：本公司将原计划募投项目</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苏州研发中心建设项目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8,280.00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“2.5D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游戏《新宋演义》开发项目（暂 定名）</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游戏《盟军》开发项目（暂定名）</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300" w:lineRule="auto" w:before="9"/>
              <w:ind w:left="23" w:right="17"/>
              <w:jc w:val="left"/>
              <w:rPr>
                <w:rFonts w:ascii="宋体" w:hAnsi="宋体" w:cs="宋体" w:eastAsia="宋体" w:hint="default"/>
                <w:sz w:val="18"/>
                <w:szCs w:val="18"/>
              </w:rPr>
            </w:pPr>
            <w:r>
              <w:rPr>
                <w:rFonts w:ascii="宋体" w:hAnsi="宋体" w:cs="宋体" w:eastAsia="宋体" w:hint="default"/>
                <w:w w:val="100"/>
                <w:sz w:val="18"/>
                <w:szCs w:val="18"/>
              </w:rPr>
              <w:t>元和</w:t>
            </w:r>
            <w:r>
              <w:rPr>
                <w:rFonts w:ascii="Times New Roman" w:hAnsi="Times New Roman" w:cs="Times New Roman" w:eastAsia="Times New Roman" w:hint="default"/>
                <w:w w:val="100"/>
                <w:sz w:val="18"/>
                <w:szCs w:val="18"/>
              </w:rPr>
              <w:t>“3D</w:t>
            </w:r>
            <w:r>
              <w:rPr>
                <w:rFonts w:ascii="Times New Roman" w:hAnsi="Times New Roman" w:cs="Times New Roman" w:eastAsia="Times New Roman" w:hint="default"/>
                <w:spacing w:val="6"/>
                <w:w w:val="100"/>
                <w:sz w:val="18"/>
                <w:szCs w:val="18"/>
              </w:rPr>
              <w:t> </w:t>
            </w:r>
            <w:r>
              <w:rPr>
                <w:rFonts w:ascii="宋体" w:hAnsi="宋体" w:cs="宋体" w:eastAsia="宋体" w:hint="default"/>
                <w:spacing w:val="-17"/>
                <w:w w:val="100"/>
                <w:sz w:val="18"/>
                <w:szCs w:val="18"/>
              </w:rPr>
              <w:t>游戏《寻梦园》开发项目（暂定名）</w:t>
            </w:r>
            <w:r>
              <w:rPr>
                <w:rFonts w:ascii="Times New Roman" w:hAnsi="Times New Roman" w:cs="Times New Roman" w:eastAsia="Times New Roman" w:hint="default"/>
                <w:spacing w:val="-17"/>
                <w:w w:val="100"/>
                <w:sz w:val="18"/>
                <w:szCs w:val="18"/>
              </w:rPr>
              <w:t>”</w:t>
            </w:r>
            <w:r>
              <w:rPr>
                <w:rFonts w:ascii="宋体" w:hAnsi="宋体" w:cs="宋体" w:eastAsia="宋体" w:hint="default"/>
                <w:spacing w:val="-17"/>
                <w:w w:val="100"/>
                <w:sz w:val="18"/>
                <w:szCs w:val="18"/>
              </w:rPr>
              <w:t>中的</w:t>
            </w:r>
            <w:r>
              <w:rPr>
                <w:rFonts w:ascii="宋体" w:hAnsi="宋体" w:cs="宋体" w:eastAsia="宋体" w:hint="default"/>
                <w:spacing w:val="-39"/>
                <w:w w:val="100"/>
                <w:sz w:val="18"/>
                <w:szCs w:val="18"/>
              </w:rPr>
              <w:t> </w:t>
            </w:r>
            <w:r>
              <w:rPr>
                <w:rFonts w:ascii="Times New Roman" w:hAnsi="Times New Roman" w:cs="Times New Roman" w:eastAsia="Times New Roman" w:hint="default"/>
                <w:spacing w:val="-1"/>
                <w:sz w:val="18"/>
                <w:szCs w:val="18"/>
              </w:rPr>
              <w:t>2,000.00</w:t>
            </w:r>
            <w:r>
              <w:rPr>
                <w:rFonts w:ascii="Times New Roman" w:hAnsi="Times New Roman" w:cs="Times New Roman" w:eastAsia="Times New Roman" w:hint="default"/>
                <w:spacing w:val="9"/>
                <w:sz w:val="18"/>
                <w:szCs w:val="18"/>
              </w:rPr>
              <w:t> </w:t>
            </w:r>
            <w:r>
              <w:rPr>
                <w:rFonts w:ascii="宋体" w:hAnsi="宋体" w:cs="宋体" w:eastAsia="宋体" w:hint="default"/>
                <w:spacing w:val="-1"/>
                <w:sz w:val="18"/>
                <w:szCs w:val="18"/>
              </w:rPr>
              <w:t>万元共计募集资金</w:t>
            </w:r>
            <w:r>
              <w:rPr>
                <w:rFonts w:ascii="宋体" w:hAnsi="宋体" w:cs="宋体" w:eastAsia="宋体" w:hint="default"/>
                <w:spacing w:val="-38"/>
                <w:sz w:val="18"/>
                <w:szCs w:val="18"/>
              </w:rPr>
              <w:t> </w:t>
            </w:r>
            <w:r>
              <w:rPr>
                <w:rFonts w:ascii="Times New Roman" w:hAnsi="Times New Roman" w:cs="Times New Roman" w:eastAsia="Times New Roman" w:hint="default"/>
                <w:spacing w:val="-1"/>
                <w:sz w:val="18"/>
                <w:szCs w:val="18"/>
              </w:rPr>
              <w:t>14,280.00</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z w:val="18"/>
                <w:szCs w:val="18"/>
              </w:rPr>
              <w:t>万元用于收购上海美峰数码科技有限公司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股权收购项目中；将原计划募投项目 </w:t>
            </w:r>
            <w:r>
              <w:rPr>
                <w:rFonts w:ascii="Times New Roman" w:hAnsi="Times New Roman" w:cs="Times New Roman" w:eastAsia="Times New Roman" w:hint="default"/>
                <w:sz w:val="18"/>
                <w:szCs w:val="18"/>
              </w:rPr>
              <w:t>“2.5D</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游戏《三国游侠》开发项目（暂定名）</w:t>
            </w:r>
            <w:r>
              <w:rPr>
                <w:rFonts w:ascii="Times New Roman" w:hAnsi="Times New Roman" w:cs="Times New Roman" w:eastAsia="Times New Roman" w:hint="default"/>
                <w:sz w:val="18"/>
                <w:szCs w:val="18"/>
              </w:rPr>
              <w:t>”</w:t>
            </w:r>
            <w:r>
              <w:rPr>
                <w:rFonts w:ascii="宋体" w:hAnsi="宋体" w:cs="宋体" w:eastAsia="宋体" w:hint="default"/>
                <w:sz w:val="18"/>
                <w:szCs w:val="18"/>
              </w:rPr>
              <w:t>中募集资金</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2,186.63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万元用于收购深圳 市苏摩科技有限公司</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股权收购项目中。为整合优势资源，聚焦主业发展，经公司 第四届董事会第二次（临时）会议和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年度第一次临时股东大会决议，本公司将 上海美峰数码科技有限公司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71.6334%</w:t>
            </w:r>
            <w:r>
              <w:rPr>
                <w:rFonts w:ascii="宋体" w:hAnsi="宋体" w:cs="宋体" w:eastAsia="宋体" w:hint="default"/>
                <w:sz w:val="18"/>
                <w:szCs w:val="18"/>
              </w:rPr>
              <w:t>的股权以人民币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万元的价格出售给深 圳前海宝德资产管理有限公司。</w:t>
            </w:r>
            <w:r>
              <w:rPr>
                <w:rFonts w:ascii="Times New Roman" w:hAnsi="Times New Roman" w:cs="Times New Roman" w:eastAsia="Times New Roman" w:hint="default"/>
                <w:sz w:val="18"/>
                <w:szCs w:val="18"/>
              </w:rPr>
              <w:t>3</w:t>
            </w:r>
            <w:r>
              <w:rPr>
                <w:rFonts w:ascii="宋体" w:hAnsi="宋体" w:cs="宋体" w:eastAsia="宋体" w:hint="default"/>
                <w:sz w:val="18"/>
                <w:szCs w:val="18"/>
              </w:rPr>
              <w:t>、根据公司第一届董事会第二十三次会议和</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spacing w:line="304" w:lineRule="auto" w:before="13"/>
              <w:ind w:left="23" w:right="17"/>
              <w:jc w:val="left"/>
              <w:rPr>
                <w:rFonts w:ascii="宋体" w:hAnsi="宋体" w:cs="宋体" w:eastAsia="宋体" w:hint="default"/>
                <w:sz w:val="18"/>
                <w:szCs w:val="18"/>
              </w:rPr>
            </w:pPr>
            <w:r>
              <w:rPr>
                <w:rFonts w:ascii="宋体" w:hAnsi="宋体" w:cs="宋体" w:eastAsia="宋体" w:hint="default"/>
                <w:sz w:val="18"/>
                <w:szCs w:val="18"/>
              </w:rPr>
              <w:t>度股东大会决议，本公司将超募资金人民币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万元设立全资子公司深圳中付 </w:t>
            </w:r>
            <w:r>
              <w:rPr>
                <w:rFonts w:ascii="宋体" w:hAnsi="宋体" w:cs="宋体" w:eastAsia="宋体" w:hint="default"/>
                <w:spacing w:val="-1"/>
                <w:sz w:val="18"/>
                <w:szCs w:val="18"/>
              </w:rPr>
              <w:t>通用于建立第三方支付平台，后因支付牌照未能申请下来，深圳中付通一直未能开展</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相关业务，经公司第二届董事会第二十八次会议决议和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年度股东大会决议，本 公司将深圳中付通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的股权以人民币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万元的价格出售给宝德控股，同时</w:t>
            </w:r>
            <w:r>
              <w:rPr>
                <w:rFonts w:ascii="宋体" w:hAnsi="宋体" w:cs="宋体" w:eastAsia="宋体" w:hint="default"/>
                <w:sz w:val="18"/>
                <w:szCs w:val="18"/>
              </w:rPr>
              <w:t> </w:t>
            </w:r>
            <w:r>
              <w:rPr>
                <w:rFonts w:ascii="宋体" w:hAnsi="宋体" w:cs="宋体" w:eastAsia="宋体" w:hint="default"/>
                <w:spacing w:val="-1"/>
                <w:sz w:val="18"/>
                <w:szCs w:val="18"/>
              </w:rPr>
              <w:t>将收回的股权转让款变更为永久补充流动资金，转让日深圳中付通募集资金账户余额</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86,078,055.37 </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2015</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年年度股东大会审议 </w:t>
            </w:r>
            <w:r>
              <w:rPr>
                <w:rFonts w:ascii="宋体" w:hAnsi="宋体" w:cs="宋体" w:eastAsia="宋体" w:hint="default"/>
                <w:spacing w:val="-1"/>
                <w:sz w:val="18"/>
                <w:szCs w:val="18"/>
              </w:rPr>
              <w:t>通过，公司终止实施苏州研发中心建设项目，并将该项目剩余募集资金永久补充流动</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资金。</w:t>
            </w:r>
            <w:r>
              <w:rPr>
                <w:rFonts w:ascii="Times New Roman" w:hAnsi="Times New Roman" w:cs="Times New Roman" w:eastAsia="Times New Roman" w:hint="default"/>
                <w:sz w:val="18"/>
                <w:szCs w:val="18"/>
              </w:rPr>
              <w:t>5</w:t>
            </w:r>
            <w:r>
              <w:rPr>
                <w:rFonts w:ascii="宋体" w:hAnsi="宋体" w:cs="宋体" w:eastAsia="宋体" w:hint="default"/>
                <w:sz w:val="18"/>
                <w:szCs w:val="18"/>
              </w:rPr>
              <w:t>、经公司第四届董事会第十二次（临时）会议和</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年度第一次股东大会审 议通过，公司变更部分募集资金投资项目：本公司将原计划募投项目</w:t>
            </w:r>
            <w:r>
              <w:rPr>
                <w:rFonts w:ascii="Times New Roman" w:hAnsi="Times New Roman" w:cs="Times New Roman" w:eastAsia="Times New Roman" w:hint="default"/>
                <w:sz w:val="18"/>
                <w:szCs w:val="18"/>
              </w:rPr>
              <w:t>“2.5D </w:t>
            </w:r>
            <w:r>
              <w:rPr>
                <w:rFonts w:ascii="宋体" w:hAnsi="宋体" w:cs="宋体" w:eastAsia="宋体" w:hint="default"/>
                <w:sz w:val="18"/>
                <w:szCs w:val="18"/>
              </w:rPr>
              <w:t>游戏《三 </w:t>
            </w:r>
            <w:r>
              <w:rPr>
                <w:rFonts w:ascii="宋体" w:hAnsi="宋体" w:cs="宋体" w:eastAsia="宋体" w:hint="default"/>
                <w:spacing w:val="-8"/>
                <w:sz w:val="18"/>
                <w:szCs w:val="18"/>
              </w:rPr>
              <w:t>国游侠》开发项目（暂定名）</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中的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743.00</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万元、</w:t>
            </w:r>
            <w:r>
              <w:rPr>
                <w:rFonts w:ascii="Times New Roman" w:hAnsi="Times New Roman" w:cs="Times New Roman" w:eastAsia="Times New Roman" w:hint="default"/>
                <w:spacing w:val="-5"/>
                <w:sz w:val="18"/>
                <w:szCs w:val="18"/>
              </w:rPr>
              <w:t>“2.5D</w:t>
            </w:r>
            <w:r>
              <w:rPr>
                <w:rFonts w:ascii="Times New Roman" w:hAnsi="Times New Roman" w:cs="Times New Roman" w:eastAsia="Times New Roman" w:hint="default"/>
                <w:spacing w:val="4"/>
                <w:sz w:val="18"/>
                <w:szCs w:val="18"/>
              </w:rPr>
              <w:t> </w:t>
            </w:r>
            <w:r>
              <w:rPr>
                <w:rFonts w:ascii="宋体" w:hAnsi="宋体" w:cs="宋体" w:eastAsia="宋体" w:hint="default"/>
                <w:spacing w:val="-9"/>
                <w:sz w:val="18"/>
                <w:szCs w:val="18"/>
              </w:rPr>
              <w:t>游戏《新宋演义》开发项目（暂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定名）</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1,686.00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游戏《寻梦园》开发项目（暂定名）</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1,239.00 </w:t>
            </w:r>
            <w:r>
              <w:rPr>
                <w:rFonts w:ascii="宋体" w:hAnsi="宋体" w:cs="宋体" w:eastAsia="宋体" w:hint="default"/>
                <w:sz w:val="18"/>
                <w:szCs w:val="18"/>
              </w:rPr>
              <w:t>万元用于增资深圳中青宝文化科技有限公司（以下简称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中青宝文化科技</w:t>
            </w:r>
            <w:r>
              <w:rPr>
                <w:rFonts w:ascii="Times New Roman" w:hAnsi="Times New Roman" w:cs="Times New Roman" w:eastAsia="Times New Roman" w:hint="default"/>
                <w:sz w:val="18"/>
                <w:szCs w:val="18"/>
              </w:rPr>
              <w:t>”</w:t>
            </w:r>
            <w:r>
              <w:rPr>
                <w:rFonts w:ascii="宋体" w:hAnsi="宋体" w:cs="宋体" w:eastAsia="宋体" w:hint="default"/>
                <w:sz w:val="18"/>
                <w:szCs w:val="18"/>
              </w:rPr>
              <w:t>）用于增强 中青宝文化自身研发及创新能力及凤凰中青宝文化科技创意产业园建设项目（又名 </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凤凰高科技文化科普体验园项目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）的建设。</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、经公司第四届董事会第二十九次会议</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年度第二次临时股东大会审议通过，公司变更部分募集资金投资项目及实施</w:t>
            </w:r>
          </w:p>
          <w:p>
            <w:pPr>
              <w:pStyle w:val="TableParagraph"/>
              <w:spacing w:line="300" w:lineRule="auto" w:before="9"/>
              <w:ind w:left="23" w:right="17"/>
              <w:jc w:val="both"/>
              <w:rPr>
                <w:rFonts w:ascii="宋体" w:hAnsi="宋体" w:cs="宋体" w:eastAsia="宋体" w:hint="default"/>
                <w:sz w:val="18"/>
                <w:szCs w:val="18"/>
              </w:rPr>
            </w:pPr>
            <w:r>
              <w:rPr>
                <w:rFonts w:ascii="宋体" w:hAnsi="宋体" w:cs="宋体" w:eastAsia="宋体" w:hint="default"/>
                <w:spacing w:val="-4"/>
                <w:w w:val="100"/>
                <w:sz w:val="18"/>
                <w:szCs w:val="18"/>
              </w:rPr>
              <w:t>主体：本公司将</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凤凰高科技文化科普体验园项目</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中的</w:t>
            </w:r>
            <w:r>
              <w:rPr>
                <w:rFonts w:ascii="宋体" w:hAnsi="宋体" w:cs="宋体" w:eastAsia="宋体" w:hint="default"/>
                <w:spacing w:val="-33"/>
                <w:w w:val="100"/>
                <w:sz w:val="18"/>
                <w:szCs w:val="18"/>
              </w:rPr>
              <w:t> </w:t>
            </w:r>
            <w:r>
              <w:rPr>
                <w:rFonts w:ascii="Times New Roman" w:hAnsi="Times New Roman" w:cs="Times New Roman" w:eastAsia="Times New Roman" w:hint="default"/>
                <w:sz w:val="18"/>
                <w:szCs w:val="18"/>
              </w:rPr>
              <w:t>2,520.00</w:t>
            </w:r>
            <w:r>
              <w:rPr>
                <w:rFonts w:ascii="Times New Roman" w:hAnsi="Times New Roman" w:cs="Times New Roman" w:eastAsia="Times New Roman" w:hint="default"/>
                <w:spacing w:val="16"/>
                <w:sz w:val="18"/>
                <w:szCs w:val="18"/>
              </w:rPr>
              <w:t> </w:t>
            </w:r>
            <w:r>
              <w:rPr>
                <w:rFonts w:ascii="宋体" w:hAnsi="宋体" w:cs="宋体" w:eastAsia="宋体" w:hint="default"/>
                <w:spacing w:val="-1"/>
                <w:w w:val="100"/>
                <w:sz w:val="18"/>
                <w:szCs w:val="18"/>
              </w:rPr>
              <w:t>万元用于</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球类游戏推</w:t>
            </w:r>
            <w:r>
              <w:rPr>
                <w:rFonts w:ascii="宋体" w:hAnsi="宋体" w:cs="宋体" w:eastAsia="宋体" w:hint="default"/>
                <w:spacing w:val="-86"/>
                <w:w w:val="100"/>
                <w:sz w:val="18"/>
                <w:szCs w:val="18"/>
              </w:rPr>
              <w:t> </w:t>
            </w:r>
            <w:r>
              <w:rPr>
                <w:rFonts w:ascii="宋体" w:hAnsi="宋体" w:cs="宋体" w:eastAsia="宋体" w:hint="default"/>
                <w:sz w:val="18"/>
                <w:szCs w:val="18"/>
              </w:rPr>
              <w:t>广项目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的建设，募投项目实施主体由</w:t>
            </w:r>
            <w:r>
              <w:rPr>
                <w:rFonts w:ascii="Times New Roman" w:hAnsi="Times New Roman" w:cs="Times New Roman" w:eastAsia="Times New Roman" w:hint="default"/>
                <w:sz w:val="18"/>
                <w:szCs w:val="18"/>
              </w:rPr>
              <w:t>“</w:t>
            </w:r>
            <w:r>
              <w:rPr>
                <w:rFonts w:ascii="宋体" w:hAnsi="宋体" w:cs="宋体" w:eastAsia="宋体" w:hint="default"/>
                <w:sz w:val="18"/>
                <w:szCs w:val="18"/>
              </w:rPr>
              <w:t>深圳中青宝文化科技有限公司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深圳时 代首游互动科技有限公司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276"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4" w:lineRule="auto"/>
              <w:ind w:left="22" w:right="138"/>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、深圳苏摩股权收购项目未达到预计收益的说明：一方面，游戏市场竞争白热化， 公司新游戏推广受到市场压力，数款新游戏尚未开始产生效益，部分游戏经营情况未 达预期；另一方面，公司内部人员结构及业务内容处于优化整合时期，影响公司整体 经营情况。</w:t>
            </w:r>
            <w:r>
              <w:rPr>
                <w:rFonts w:ascii="Times New Roman" w:hAnsi="Times New Roman" w:cs="Times New Roman" w:eastAsia="Times New Roman" w:hint="default"/>
                <w:sz w:val="18"/>
                <w:szCs w:val="18"/>
              </w:rPr>
              <w:t>2</w:t>
            </w:r>
            <w:r>
              <w:rPr>
                <w:rFonts w:ascii="宋体" w:hAnsi="宋体" w:cs="宋体" w:eastAsia="宋体" w:hint="default"/>
                <w:sz w:val="18"/>
                <w:szCs w:val="18"/>
              </w:rPr>
              <w:t>、凤凰高科技文化科普体验园项目，由于目前处于新业务领域布局建设 和投资阶段，虽取得阶段性成果，但尚未盈利。</w:t>
            </w:r>
            <w:r>
              <w:rPr>
                <w:rFonts w:ascii="Times New Roman" w:hAnsi="Times New Roman" w:cs="Times New Roman" w:eastAsia="Times New Roman" w:hint="default"/>
                <w:sz w:val="18"/>
                <w:szCs w:val="18"/>
              </w:rPr>
              <w:t>3</w:t>
            </w:r>
            <w:r>
              <w:rPr>
                <w:rFonts w:ascii="宋体" w:hAnsi="宋体" w:cs="宋体" w:eastAsia="宋体" w:hint="default"/>
                <w:sz w:val="18"/>
                <w:szCs w:val="18"/>
              </w:rPr>
              <w:t>、球类游戏推广项目，由于目前处 于产品布局初期，加上同类竞品推新迭代，获客成本不断提高，虽取得阶段性成果， 但尚未盈利。</w:t>
            </w:r>
          </w:p>
        </w:tc>
      </w:tr>
      <w:tr>
        <w:trPr>
          <w:trHeight w:val="715"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8"/>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Times New Roman" w:hAnsi="Times New Roman" w:cs="Times New Roman" w:eastAsia="Times New Roman" w:hint="default"/>
          <w:sz w:val="26"/>
          <w:szCs w:val="26"/>
        </w:rPr>
      </w:pPr>
    </w:p>
    <w:p>
      <w:pPr>
        <w:pStyle w:val="Heading2"/>
        <w:spacing w:line="240" w:lineRule="auto" w:before="26"/>
        <w:ind w:right="996"/>
        <w:jc w:val="left"/>
        <w:rPr>
          <w:b w:val="0"/>
          <w:bCs w:val="0"/>
        </w:rPr>
      </w:pPr>
      <w:r>
        <w:rPr/>
        <w:t>六、重大资产和股权出售</w:t>
      </w:r>
      <w:r>
        <w:rPr>
          <w:b w:val="0"/>
          <w:bCs w:val="0"/>
        </w:rPr>
      </w:r>
    </w:p>
    <w:p>
      <w:pPr>
        <w:spacing w:line="240" w:lineRule="auto" w:before="11"/>
        <w:rPr>
          <w:rFonts w:ascii="宋体" w:hAnsi="宋体" w:cs="宋体" w:eastAsia="宋体" w:hint="default"/>
          <w:b/>
          <w:bCs/>
          <w:sz w:val="28"/>
          <w:szCs w:val="28"/>
        </w:rPr>
      </w:pPr>
    </w:p>
    <w:p>
      <w:pPr>
        <w:pStyle w:val="Heading2"/>
        <w:spacing w:line="240" w:lineRule="auto"/>
        <w:ind w:right="996"/>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348" w:lineRule="auto" w:before="135"/>
        <w:ind w:left="152" w:right="7634"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不适用 公司报告期未出售重大资产。 </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、出售重大股权情况</w:t>
      </w:r>
      <w:r>
        <w:rPr>
          <w:rFonts w:ascii="宋体" w:hAnsi="宋体" w:cs="宋体" w:eastAsia="宋体" w:hint="default"/>
          <w:sz w:val="24"/>
          <w:szCs w:val="24"/>
        </w:rPr>
      </w:r>
    </w:p>
    <w:p>
      <w:pPr>
        <w:spacing w:line="499" w:lineRule="auto" w:before="16"/>
        <w:ind w:left="152" w:right="7863"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七、主要控股参股公司分析</w:t>
      </w:r>
      <w:r>
        <w:rPr>
          <w:rFonts w:ascii="宋体" w:hAnsi="宋体" w:cs="宋体" w:eastAsia="宋体" w:hint="default"/>
          <w:sz w:val="24"/>
          <w:szCs w:val="24"/>
        </w:rPr>
      </w:r>
    </w:p>
    <w:p>
      <w:pPr>
        <w:pStyle w:val="Heading3"/>
        <w:spacing w:line="240" w:lineRule="auto" w:before="116"/>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pStyle w:val="Heading3"/>
        <w:spacing w:line="240" w:lineRule="auto" w:before="135"/>
        <w:ind w:right="996"/>
        <w:jc w:val="left"/>
      </w:pPr>
      <w:r>
        <w:rPr/>
        <w:t>主要子公司及对公司净利润影响达</w:t>
      </w:r>
      <w:r>
        <w:rPr>
          <w:spacing w:val="-60"/>
        </w:rPr>
        <w:t> </w:t>
      </w:r>
      <w:r>
        <w:rPr>
          <w:rFonts w:ascii="Times New Roman" w:hAnsi="Times New Roman" w:cs="Times New Roman" w:eastAsia="Times New Roman" w:hint="default"/>
        </w:rPr>
        <w:t>10%</w:t>
      </w:r>
      <w:r>
        <w:rPr/>
        <w:t>以上的参股公司情况</w:t>
      </w:r>
    </w:p>
    <w:p>
      <w:pPr>
        <w:spacing w:line="240" w:lineRule="auto" w:before="10"/>
        <w:rPr>
          <w:rFonts w:ascii="宋体" w:hAnsi="宋体" w:cs="宋体" w:eastAsia="宋体" w:hint="default"/>
          <w:sz w:val="7"/>
          <w:szCs w:val="7"/>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7"/>
        <w:gridCol w:w="1046"/>
        <w:gridCol w:w="1044"/>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55"/>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1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深圳宝腾互 联</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left"/>
              <w:rPr>
                <w:rFonts w:ascii="宋体" w:hAnsi="宋体" w:cs="宋体" w:eastAsia="宋体" w:hint="default"/>
                <w:sz w:val="18"/>
                <w:szCs w:val="18"/>
              </w:rPr>
            </w:pPr>
            <w:r>
              <w:rPr>
                <w:rFonts w:ascii="宋体" w:hAnsi="宋体" w:cs="宋体" w:eastAsia="宋体" w:hint="default"/>
                <w:sz w:val="18"/>
                <w:szCs w:val="18"/>
              </w:rPr>
              <w:t>机房托管及 其增值业务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6"/>
              <w:jc w:val="right"/>
              <w:rPr>
                <w:rFonts w:ascii="Times New Roman" w:hAnsi="Times New Roman" w:cs="Times New Roman" w:eastAsia="Times New Roman" w:hint="default"/>
                <w:sz w:val="18"/>
                <w:szCs w:val="18"/>
              </w:rPr>
            </w:pPr>
            <w:r>
              <w:rPr>
                <w:rFonts w:ascii="Times New Roman"/>
                <w:spacing w:val="-1"/>
                <w:sz w:val="18"/>
              </w:rPr>
              <w:t>10,000,000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417,833,204.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285,339,815.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187,362,609.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54,806,769.3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48,348,431.0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w:t>
            </w:r>
          </w:p>
        </w:tc>
      </w:tr>
    </w:tbl>
    <w:p>
      <w:pPr>
        <w:spacing w:before="49"/>
        <w:ind w:left="152" w:right="996"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5"/>
        <w:ind w:left="152" w:right="9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杭州九锡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霍尔果斯中青聚宝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乐山宝腾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-46,918.66 </w:t>
            </w:r>
            <w:r>
              <w:rPr>
                <w:rFonts w:ascii="宋体" w:hAnsi="宋体" w:cs="宋体" w:eastAsia="宋体" w:hint="default"/>
                <w:sz w:val="18"/>
                <w:szCs w:val="18"/>
              </w:rPr>
              <w:t>元</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山东科讯达恒</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合肥宝腾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深圳利得链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-118,447.23</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元</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深圳娱游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-88,950.30</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元</w:t>
            </w:r>
          </w:p>
        </w:tc>
      </w:tr>
    </w:tbl>
    <w:p>
      <w:pPr>
        <w:spacing w:line="240" w:lineRule="auto" w:before="1"/>
        <w:rPr>
          <w:rFonts w:ascii="宋体" w:hAnsi="宋体" w:cs="宋体" w:eastAsia="宋体" w:hint="default"/>
          <w:sz w:val="18"/>
          <w:szCs w:val="18"/>
        </w:rPr>
      </w:pPr>
    </w:p>
    <w:p>
      <w:pPr>
        <w:pStyle w:val="Heading2"/>
        <w:spacing w:line="240" w:lineRule="auto" w:before="26"/>
        <w:ind w:right="996"/>
        <w:jc w:val="left"/>
        <w:rPr>
          <w:b w:val="0"/>
          <w:bCs w:val="0"/>
        </w:rPr>
      </w:pPr>
      <w:r>
        <w:rPr/>
        <w:t>八、公司控制的结构化主体情况</w:t>
      </w:r>
      <w:r>
        <w:rPr>
          <w:b w:val="0"/>
          <w:bCs w:val="0"/>
        </w:rPr>
      </w:r>
    </w:p>
    <w:p>
      <w:pPr>
        <w:spacing w:line="240" w:lineRule="auto" w:before="8"/>
        <w:rPr>
          <w:rFonts w:ascii="宋体" w:hAnsi="宋体" w:cs="宋体" w:eastAsia="宋体" w:hint="default"/>
          <w:b/>
          <w:bCs/>
          <w:sz w:val="28"/>
          <w:szCs w:val="28"/>
        </w:rPr>
      </w:pPr>
    </w:p>
    <w:p>
      <w:pPr>
        <w:spacing w:line="499" w:lineRule="auto" w:before="0"/>
        <w:ind w:left="152" w:right="8104"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九、公司未来发展的展望</w:t>
      </w:r>
      <w:r>
        <w:rPr>
          <w:rFonts w:ascii="宋体" w:hAnsi="宋体" w:cs="宋体" w:eastAsia="宋体" w:hint="default"/>
          <w:sz w:val="24"/>
          <w:szCs w:val="24"/>
        </w:rPr>
      </w:r>
    </w:p>
    <w:p>
      <w:pPr>
        <w:pStyle w:val="Heading3"/>
        <w:spacing w:line="357" w:lineRule="auto" w:before="118"/>
        <w:ind w:left="633" w:right="1126"/>
        <w:jc w:val="left"/>
      </w:pPr>
      <w:r>
        <w:rPr/>
        <w:t>（一）行业趋势 根据中国互联网络信息中心（</w:t>
      </w:r>
      <w:r>
        <w:rPr>
          <w:rFonts w:ascii="Times New Roman" w:hAnsi="Times New Roman" w:cs="Times New Roman" w:eastAsia="Times New Roman" w:hint="default"/>
        </w:rPr>
        <w:t>CNNIC</w:t>
      </w:r>
      <w:r>
        <w:rPr/>
        <w:t>）发布的《第四十四次中国互联网络发展状况统计</w:t>
      </w:r>
    </w:p>
    <w:p>
      <w:pPr>
        <w:pStyle w:val="Heading3"/>
        <w:spacing w:line="240" w:lineRule="auto" w:before="5"/>
        <w:ind w:right="996"/>
        <w:jc w:val="left"/>
      </w:pPr>
      <w:r>
        <w:rPr/>
        <w:t>报告》，截止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月，我国网民总规模达</w:t>
      </w:r>
      <w:r>
        <w:rPr>
          <w:rFonts w:ascii="Times New Roman" w:hAnsi="Times New Roman" w:cs="Times New Roman" w:eastAsia="Times New Roman" w:hint="default"/>
        </w:rPr>
        <w:t>8.54</w:t>
      </w:r>
      <w:r>
        <w:rPr/>
        <w:t>亿人，互联网普及率达</w:t>
      </w:r>
      <w:r>
        <w:rPr>
          <w:rFonts w:ascii="Times New Roman" w:hAnsi="Times New Roman" w:cs="Times New Roman" w:eastAsia="Times New Roman" w:hint="default"/>
        </w:rPr>
        <w:t>61.2%</w:t>
      </w:r>
      <w:r>
        <w:rPr/>
        <w:t>。但环比增速</w:t>
      </w:r>
    </w:p>
    <w:p>
      <w:pPr>
        <w:spacing w:after="0" w:line="240" w:lineRule="auto"/>
        <w:jc w:val="left"/>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pStyle w:val="Heading3"/>
        <w:spacing w:line="345" w:lineRule="auto" w:before="26"/>
        <w:ind w:right="1131"/>
        <w:jc w:val="both"/>
      </w:pPr>
      <w:r>
        <w:rPr/>
        <w:t>已从</w:t>
      </w:r>
      <w:r>
        <w:rPr>
          <w:rFonts w:ascii="Times New Roman" w:hAnsi="Times New Roman" w:cs="Times New Roman" w:eastAsia="Times New Roman" w:hint="default"/>
        </w:rPr>
        <w:t>2001</w:t>
      </w:r>
      <w:r>
        <w:rPr/>
        <w:t>年的</w:t>
      </w:r>
      <w:r>
        <w:rPr>
          <w:rFonts w:ascii="Times New Roman" w:hAnsi="Times New Roman" w:cs="Times New Roman" w:eastAsia="Times New Roman" w:hint="default"/>
        </w:rPr>
        <w:t>30%</w:t>
      </w:r>
      <w:r>
        <w:rPr/>
        <w:t>下降至</w:t>
      </w:r>
      <w:r>
        <w:rPr>
          <w:rFonts w:ascii="Times New Roman" w:hAnsi="Times New Roman" w:cs="Times New Roman" w:eastAsia="Times New Roman" w:hint="default"/>
        </w:rPr>
        <w:t>1.6%</w:t>
      </w:r>
      <w:r>
        <w:rPr/>
        <w:t>，国内网民增速减缓。此外，根据《第四十四次中国互联网络</w:t>
      </w:r>
      <w:r>
        <w:rPr>
          <w:spacing w:val="-70"/>
        </w:rPr>
        <w:t> </w:t>
      </w:r>
      <w:r>
        <w:rPr>
          <w:spacing w:val="-70"/>
        </w:rPr>
      </w:r>
      <w:r>
        <w:rPr>
          <w:spacing w:val="-1"/>
        </w:rPr>
        <w:t>发展状况统计报告》，非网民不上网的原因排名前两名的为不懂电脑</w:t>
      </w:r>
      <w:r>
        <w:rPr>
          <w:rFonts w:ascii="Times New Roman" w:hAnsi="Times New Roman" w:cs="Times New Roman" w:eastAsia="Times New Roman" w:hint="default"/>
          <w:spacing w:val="-1"/>
        </w:rPr>
        <w:t>/</w:t>
      </w:r>
      <w:r>
        <w:rPr>
          <w:spacing w:val="-1"/>
        </w:rPr>
        <w:t>网络及不懂拼音，基础</w:t>
      </w:r>
      <w:r>
        <w:rPr>
          <w:spacing w:val="-108"/>
        </w:rPr>
        <w:t> </w:t>
      </w:r>
      <w:r>
        <w:rPr>
          <w:spacing w:val="-108"/>
        </w:rPr>
      </w:r>
      <w:r>
        <w:rPr/>
        <w:t>文化水平是网民数量增速减缓的最大原因。综上，互联网存量市场已经形成，且寻求增量市</w:t>
      </w:r>
      <w:r>
        <w:rPr>
          <w:spacing w:val="-91"/>
        </w:rPr>
        <w:t> </w:t>
      </w:r>
      <w:r>
        <w:rPr>
          <w:spacing w:val="-91"/>
        </w:rPr>
      </w:r>
      <w:r>
        <w:rPr/>
        <w:t>场越来越困难。</w:t>
      </w:r>
    </w:p>
    <w:p>
      <w:pPr>
        <w:pStyle w:val="Heading2"/>
        <w:spacing w:line="240" w:lineRule="auto" w:before="48"/>
        <w:ind w:left="607" w:right="1103"/>
        <w:jc w:val="center"/>
        <w:rPr>
          <w:b w:val="0"/>
          <w:bCs w:val="0"/>
        </w:rPr>
      </w:pP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月中国网民规模与环比增速</w:t>
      </w:r>
      <w:r>
        <w:rPr>
          <w:b w:val="0"/>
          <w:bCs w:val="0"/>
        </w:rPr>
      </w:r>
    </w:p>
    <w:p>
      <w:pPr>
        <w:spacing w:line="240" w:lineRule="auto" w:before="1"/>
        <w:rPr>
          <w:rFonts w:ascii="宋体" w:hAnsi="宋体" w:cs="宋体" w:eastAsia="宋体" w:hint="default"/>
          <w:b/>
          <w:bCs/>
          <w:sz w:val="9"/>
          <w:szCs w:val="9"/>
        </w:rPr>
      </w:pPr>
    </w:p>
    <w:p>
      <w:pPr>
        <w:spacing w:line="4636" w:lineRule="exact"/>
        <w:ind w:left="609" w:right="0" w:firstLine="0"/>
        <w:rPr>
          <w:rFonts w:ascii="宋体" w:hAnsi="宋体" w:cs="宋体" w:eastAsia="宋体" w:hint="default"/>
          <w:sz w:val="20"/>
          <w:szCs w:val="20"/>
        </w:rPr>
      </w:pPr>
      <w:r>
        <w:rPr>
          <w:rFonts w:ascii="宋体" w:hAnsi="宋体" w:cs="宋体" w:eastAsia="宋体" w:hint="default"/>
          <w:position w:val="-92"/>
          <w:sz w:val="20"/>
          <w:szCs w:val="20"/>
        </w:rPr>
        <w:drawing>
          <wp:inline distT="0" distB="0" distL="0" distR="0">
            <wp:extent cx="5541966" cy="2944368"/>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11" cstate="print"/>
                    <a:stretch>
                      <a:fillRect/>
                    </a:stretch>
                  </pic:blipFill>
                  <pic:spPr>
                    <a:xfrm>
                      <a:off x="0" y="0"/>
                      <a:ext cx="5541966" cy="2944368"/>
                    </a:xfrm>
                    <a:prstGeom prst="rect">
                      <a:avLst/>
                    </a:prstGeom>
                  </pic:spPr>
                </pic:pic>
              </a:graphicData>
            </a:graphic>
          </wp:inline>
        </w:drawing>
      </w:r>
      <w:r>
        <w:rPr>
          <w:rFonts w:ascii="宋体" w:hAnsi="宋体" w:cs="宋体" w:eastAsia="宋体" w:hint="default"/>
          <w:position w:val="-92"/>
          <w:sz w:val="20"/>
          <w:szCs w:val="20"/>
        </w:rPr>
      </w:r>
    </w:p>
    <w:p>
      <w:pPr>
        <w:spacing w:before="87"/>
        <w:ind w:left="127" w:right="1105" w:firstLine="0"/>
        <w:jc w:val="center"/>
        <w:rPr>
          <w:rFonts w:ascii="宋体" w:hAnsi="宋体" w:cs="宋体" w:eastAsia="宋体" w:hint="default"/>
          <w:sz w:val="21"/>
          <w:szCs w:val="21"/>
        </w:rPr>
      </w:pPr>
      <w:r>
        <w:rPr>
          <w:rFonts w:ascii="宋体" w:hAnsi="宋体" w:cs="宋体" w:eastAsia="宋体" w:hint="default"/>
          <w:sz w:val="21"/>
          <w:szCs w:val="21"/>
        </w:rPr>
        <w:t>（数据来源：</w:t>
      </w:r>
      <w:r>
        <w:rPr>
          <w:rFonts w:ascii="Times New Roman" w:hAnsi="Times New Roman" w:cs="Times New Roman" w:eastAsia="Times New Roman" w:hint="default"/>
          <w:sz w:val="21"/>
          <w:szCs w:val="21"/>
        </w:rPr>
        <w:t>Wind</w:t>
      </w:r>
      <w:r>
        <w:rPr>
          <w:rFonts w:ascii="宋体" w:hAnsi="宋体" w:cs="宋体" w:eastAsia="宋体" w:hint="default"/>
          <w:sz w:val="21"/>
          <w:szCs w:val="21"/>
        </w:rPr>
        <w:t>）</w:t>
      </w:r>
    </w:p>
    <w:p>
      <w:pPr>
        <w:pStyle w:val="Heading2"/>
        <w:spacing w:line="240" w:lineRule="auto" w:before="152"/>
        <w:ind w:left="607" w:right="1102"/>
        <w:jc w:val="center"/>
        <w:rPr>
          <w:b w:val="0"/>
          <w:bCs w:val="0"/>
        </w:rPr>
      </w:pPr>
      <w:r>
        <w:rPr/>
        <w:t>非网民不上网原因（</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b w:val="0"/>
          <w:bCs w:val="0"/>
        </w:rPr>
      </w:r>
    </w:p>
    <w:p>
      <w:pPr>
        <w:spacing w:line="240" w:lineRule="auto" w:before="6"/>
        <w:rPr>
          <w:rFonts w:ascii="宋体" w:hAnsi="宋体" w:cs="宋体" w:eastAsia="宋体" w:hint="default"/>
          <w:b/>
          <w:bCs/>
          <w:sz w:val="12"/>
          <w:szCs w:val="12"/>
        </w:rPr>
      </w:pPr>
    </w:p>
    <w:p>
      <w:pPr>
        <w:spacing w:line="4826" w:lineRule="exact"/>
        <w:ind w:left="923" w:right="0" w:firstLine="0"/>
        <w:rPr>
          <w:rFonts w:ascii="宋体" w:hAnsi="宋体" w:cs="宋体" w:eastAsia="宋体" w:hint="default"/>
          <w:sz w:val="20"/>
          <w:szCs w:val="20"/>
        </w:rPr>
      </w:pPr>
      <w:r>
        <w:rPr>
          <w:rFonts w:ascii="宋体" w:hAnsi="宋体" w:cs="宋体" w:eastAsia="宋体" w:hint="default"/>
          <w:position w:val="-96"/>
          <w:sz w:val="20"/>
          <w:szCs w:val="20"/>
        </w:rPr>
        <w:drawing>
          <wp:inline distT="0" distB="0" distL="0" distR="0">
            <wp:extent cx="5106729" cy="3064668"/>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2" cstate="print"/>
                    <a:stretch>
                      <a:fillRect/>
                    </a:stretch>
                  </pic:blipFill>
                  <pic:spPr>
                    <a:xfrm>
                      <a:off x="0" y="0"/>
                      <a:ext cx="5106729" cy="3064668"/>
                    </a:xfrm>
                    <a:prstGeom prst="rect">
                      <a:avLst/>
                    </a:prstGeom>
                  </pic:spPr>
                </pic:pic>
              </a:graphicData>
            </a:graphic>
          </wp:inline>
        </w:drawing>
      </w:r>
      <w:r>
        <w:rPr>
          <w:rFonts w:ascii="宋体" w:hAnsi="宋体" w:cs="宋体" w:eastAsia="宋体" w:hint="default"/>
          <w:position w:val="-96"/>
          <w:sz w:val="20"/>
          <w:szCs w:val="20"/>
        </w:rPr>
      </w:r>
    </w:p>
    <w:p>
      <w:pPr>
        <w:spacing w:before="165"/>
        <w:ind w:left="127" w:right="1105" w:firstLine="0"/>
        <w:jc w:val="center"/>
        <w:rPr>
          <w:rFonts w:ascii="宋体" w:hAnsi="宋体" w:cs="宋体" w:eastAsia="宋体" w:hint="default"/>
          <w:sz w:val="21"/>
          <w:szCs w:val="21"/>
        </w:rPr>
      </w:pPr>
      <w:r>
        <w:rPr>
          <w:rFonts w:ascii="宋体" w:hAnsi="宋体" w:cs="宋体" w:eastAsia="宋体" w:hint="default"/>
          <w:sz w:val="21"/>
          <w:szCs w:val="21"/>
        </w:rPr>
        <w:t>（数据来源：《第四十四次中国互联网络发展状况统计报告》）</w:t>
      </w:r>
    </w:p>
    <w:p>
      <w:pPr>
        <w:pStyle w:val="Heading3"/>
        <w:spacing w:line="240" w:lineRule="auto" w:before="167"/>
        <w:ind w:left="607" w:right="1105"/>
        <w:jc w:val="center"/>
      </w:pPr>
      <w:r>
        <w:rPr/>
        <w:t>游戏行业：而随着</w:t>
      </w:r>
      <w:r>
        <w:rPr>
          <w:rFonts w:ascii="Times New Roman" w:hAnsi="Times New Roman" w:cs="Times New Roman" w:eastAsia="Times New Roman" w:hint="default"/>
        </w:rPr>
        <w:t>5G</w:t>
      </w:r>
      <w:r>
        <w:rPr/>
        <w:t>的建设加速，将带来互联网各个领域从云端到边缘连接与计算的加</w:t>
      </w:r>
    </w:p>
    <w:p>
      <w:pPr>
        <w:spacing w:after="0" w:line="240" w:lineRule="auto"/>
        <w:jc w:val="center"/>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pStyle w:val="Heading3"/>
        <w:spacing w:line="357" w:lineRule="auto" w:before="26"/>
        <w:ind w:left="633" w:right="996" w:hanging="481"/>
        <w:jc w:val="left"/>
      </w:pPr>
      <w:r>
        <w:rPr/>
        <w:t>速，云游戏的探索明显升温，原生云游戏也将会成为市场爆发的关键点。 云服务行业：目前国内增值电信领域已经形成日趋多元化的投融资市场，民营资本已经</w:t>
      </w:r>
    </w:p>
    <w:p>
      <w:pPr>
        <w:pStyle w:val="Heading3"/>
        <w:spacing w:line="345" w:lineRule="auto"/>
        <w:ind w:right="1128"/>
        <w:jc w:val="both"/>
      </w:pPr>
      <w:r>
        <w:rPr/>
        <w:pict>
          <v:shape style="position:absolute;margin-left:116.400002pt;margin-top:93.435638pt;width:362.3pt;height:218.3pt;mso-position-horizontal-relative:page;mso-position-vertical-relative:paragraph;z-index:-1244824" type="#_x0000_t75" stroked="false">
            <v:imagedata r:id="rId13" o:title=""/>
          </v:shape>
        </w:pict>
      </w:r>
      <w:r>
        <w:rPr/>
        <w:t>发展成为增值电信业务领域的主力军。根据中国信息通信研究院发布《国内增值电信业务许</w:t>
      </w:r>
      <w:r>
        <w:rPr>
          <w:spacing w:val="-91"/>
        </w:rPr>
        <w:t> </w:t>
      </w:r>
      <w:r>
        <w:rPr>
          <w:spacing w:val="-91"/>
        </w:rPr>
      </w:r>
      <w:r>
        <w:rPr>
          <w:spacing w:val="-4"/>
        </w:rPr>
        <w:t>可情况分析报告》表明，截至 </w:t>
      </w:r>
      <w:r>
        <w:rPr>
          <w:rFonts w:ascii="Times New Roman" w:hAnsi="Times New Roman" w:cs="Times New Roman" w:eastAsia="Times New Roman" w:hint="default"/>
        </w:rPr>
        <w:t>2020 </w:t>
      </w:r>
      <w:r>
        <w:rPr/>
        <w:t>年 </w:t>
      </w:r>
      <w:r>
        <w:rPr>
          <w:rFonts w:ascii="Times New Roman" w:hAnsi="Times New Roman" w:cs="Times New Roman" w:eastAsia="Times New Roman" w:hint="default"/>
        </w:rPr>
        <w:t>1</w:t>
      </w:r>
      <w:r>
        <w:rPr>
          <w:rFonts w:ascii="Times New Roman" w:hAnsi="Times New Roman" w:cs="Times New Roman" w:eastAsia="Times New Roman" w:hint="default"/>
          <w:spacing w:val="36"/>
        </w:rPr>
        <w:t> </w:t>
      </w:r>
      <w:r>
        <w:rPr/>
        <w:t>月底，部颁增值电信业务经营者中，国有控股企业 </w:t>
      </w:r>
      <w:r>
        <w:rPr>
          <w:rFonts w:ascii="Times New Roman" w:hAnsi="Times New Roman" w:cs="Times New Roman" w:eastAsia="Times New Roman" w:hint="default"/>
        </w:rPr>
        <w:t>753 </w:t>
      </w:r>
      <w:r>
        <w:rPr/>
        <w:t>家，占经营者总数的 </w:t>
      </w:r>
      <w:r>
        <w:rPr>
          <w:rFonts w:ascii="Times New Roman" w:hAnsi="Times New Roman" w:cs="Times New Roman" w:eastAsia="Times New Roman" w:hint="default"/>
        </w:rPr>
        <w:t>3.9%</w:t>
      </w:r>
      <w:r>
        <w:rPr/>
        <w:t>；民营控股企业</w:t>
      </w:r>
      <w:r>
        <w:rPr>
          <w:spacing w:val="-2"/>
        </w:rPr>
        <w:t> </w:t>
      </w:r>
      <w:r>
        <w:rPr>
          <w:rFonts w:ascii="Times New Roman" w:hAnsi="Times New Roman" w:cs="Times New Roman" w:eastAsia="Times New Roman" w:hint="default"/>
        </w:rPr>
        <w:t>18452</w:t>
      </w:r>
      <w:r>
        <w:rPr/>
        <w:t>家，占经营者总数的</w:t>
      </w:r>
      <w:r>
        <w:rPr>
          <w:rFonts w:ascii="Times New Roman" w:hAnsi="Times New Roman" w:cs="Times New Roman" w:eastAsia="Times New Roman" w:hint="default"/>
        </w:rPr>
        <w:t>95.3%</w:t>
      </w:r>
      <w:r>
        <w:rPr/>
        <w:t>；外商投资 企业 </w:t>
      </w:r>
      <w:r>
        <w:rPr>
          <w:rFonts w:ascii="Times New Roman" w:hAnsi="Times New Roman" w:cs="Times New Roman" w:eastAsia="Times New Roman" w:hint="default"/>
        </w:rPr>
        <w:t>153  </w:t>
      </w:r>
      <w:r>
        <w:rPr/>
        <w:t>家，占经营者总数的</w:t>
      </w:r>
      <w:r>
        <w:rPr>
          <w:spacing w:val="-2"/>
        </w:rPr>
        <w:t> </w:t>
      </w:r>
      <w:r>
        <w:rPr>
          <w:rFonts w:ascii="Times New Roman" w:hAnsi="Times New Roman" w:cs="Times New Roman" w:eastAsia="Times New Roman" w:hint="default"/>
        </w:rPr>
        <w:t>0.8%</w:t>
      </w:r>
      <w:r>
        <w:rPr/>
        <w:t>。</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3"/>
          <w:szCs w:val="23"/>
        </w:rPr>
      </w:pPr>
    </w:p>
    <w:p>
      <w:pPr>
        <w:pStyle w:val="Heading3"/>
        <w:spacing w:line="338" w:lineRule="auto" w:before="0"/>
        <w:ind w:right="1100" w:firstLine="480"/>
        <w:jc w:val="both"/>
      </w:pPr>
      <w:r>
        <w:rPr>
          <w:spacing w:val="-2"/>
        </w:rPr>
        <w:t>从外，截至</w:t>
      </w:r>
      <w:r>
        <w:rPr>
          <w:rFonts w:ascii="Times New Roman" w:hAnsi="Times New Roman" w:cs="Times New Roman" w:eastAsia="Times New Roman" w:hint="default"/>
          <w:spacing w:val="-2"/>
        </w:rPr>
        <w:t>2020</w:t>
      </w:r>
      <w:r>
        <w:rPr>
          <w:spacing w:val="-2"/>
        </w:rPr>
        <w:t>年初，全国增值电信业务经营许可企业共</w:t>
      </w:r>
      <w:r>
        <w:rPr>
          <w:rFonts w:ascii="Times New Roman" w:hAnsi="Times New Roman" w:cs="Times New Roman" w:eastAsia="Times New Roman" w:hint="default"/>
          <w:spacing w:val="-2"/>
        </w:rPr>
        <w:t>79148</w:t>
      </w:r>
      <w:r>
        <w:rPr>
          <w:spacing w:val="-2"/>
        </w:rPr>
        <w:t>家，其中工业和信息化部</w:t>
      </w:r>
      <w:r>
        <w:rPr/>
        <w:t> 许可的跨地区企业</w:t>
      </w:r>
      <w:r>
        <w:rPr>
          <w:rFonts w:ascii="Times New Roman" w:hAnsi="Times New Roman" w:cs="Times New Roman" w:eastAsia="Times New Roman" w:hint="default"/>
        </w:rPr>
        <w:t>19358</w:t>
      </w:r>
      <w:r>
        <w:rPr/>
        <w:t>家，各省（区、市）通信管理局许可的本地企业合计</w:t>
      </w:r>
      <w:r>
        <w:rPr>
          <w:spacing w:val="-62"/>
        </w:rPr>
        <w:t> </w:t>
      </w:r>
      <w:r>
        <w:rPr>
          <w:rFonts w:ascii="Times New Roman" w:hAnsi="Times New Roman" w:cs="Times New Roman" w:eastAsia="Times New Roman" w:hint="default"/>
        </w:rPr>
        <w:t>59790</w:t>
      </w:r>
      <w:r>
        <w:rPr/>
        <w:t>家。而按 照</w:t>
      </w:r>
      <w:r>
        <w:rPr>
          <w:rFonts w:ascii="Times New Roman" w:hAnsi="Times New Roman" w:cs="Times New Roman" w:eastAsia="Times New Roman" w:hint="default"/>
        </w:rPr>
        <w:t>2015</w:t>
      </w:r>
      <w:r>
        <w:rPr/>
        <w:t>版《电信业务分类目录》中增值电信业务分类，</w:t>
      </w:r>
      <w:r>
        <w:rPr>
          <w:rFonts w:ascii="Times New Roman" w:hAnsi="Times New Roman" w:cs="Times New Roman" w:eastAsia="Times New Roman" w:hint="default"/>
        </w:rPr>
        <w:t>79148</w:t>
      </w:r>
      <w:r>
        <w:rPr/>
        <w:t>家增值电信企业合计拥有</w:t>
      </w:r>
      <w:r>
        <w:rPr>
          <w:rFonts w:ascii="Times New Roman" w:hAnsi="Times New Roman" w:cs="Times New Roman" w:eastAsia="Times New Roman" w:hint="default"/>
        </w:rPr>
        <w:t>99461</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23"/>
        </w:rPr>
      </w:r>
      <w:r>
        <w:rPr>
          <w:spacing w:val="-14"/>
        </w:rPr>
        <w:t>个许可项目。其中，</w:t>
      </w:r>
      <w:r>
        <w:rPr>
          <w:rFonts w:ascii="Times New Roman" w:hAnsi="Times New Roman" w:cs="Times New Roman" w:eastAsia="Times New Roman" w:hint="default"/>
          <w:spacing w:val="-14"/>
        </w:rPr>
        <w:t>5827</w:t>
      </w:r>
      <w:r>
        <w:rPr>
          <w:spacing w:val="-14"/>
        </w:rPr>
        <w:t>个互联网接入服务业务（</w:t>
      </w:r>
      <w:r>
        <w:rPr>
          <w:rFonts w:ascii="Times New Roman" w:hAnsi="Times New Roman" w:cs="Times New Roman" w:eastAsia="Times New Roman" w:hint="default"/>
          <w:spacing w:val="-14"/>
        </w:rPr>
        <w:t>ISP</w:t>
      </w:r>
      <w:r>
        <w:rPr>
          <w:spacing w:val="-14"/>
        </w:rPr>
        <w:t>），</w:t>
      </w:r>
      <w:r>
        <w:rPr>
          <w:rFonts w:ascii="Times New Roman" w:hAnsi="Times New Roman" w:cs="Times New Roman" w:eastAsia="Times New Roman" w:hint="default"/>
          <w:spacing w:val="-14"/>
        </w:rPr>
        <w:t>3251 </w:t>
      </w:r>
      <w:r>
        <w:rPr>
          <w:spacing w:val="-8"/>
        </w:rPr>
        <w:t>个互联网数据中心业务（</w:t>
      </w:r>
      <w:r>
        <w:rPr>
          <w:spacing w:val="14"/>
        </w:rPr>
        <w:t> </w:t>
      </w:r>
      <w:r>
        <w:rPr>
          <w:rFonts w:ascii="Times New Roman" w:hAnsi="Times New Roman" w:cs="Times New Roman" w:eastAsia="Times New Roman" w:hint="default"/>
          <w:spacing w:val="-36"/>
        </w:rPr>
        <w:t>IDC</w:t>
      </w:r>
      <w:r>
        <w:rPr>
          <w:spacing w:val="-36"/>
        </w:rPr>
        <w:t>）。</w:t>
      </w:r>
      <w:r>
        <w:rPr>
          <w:spacing w:val="-87"/>
        </w:rPr>
        <w:t> </w:t>
      </w:r>
      <w:r>
        <w:rPr/>
        <w:t>云服务市场竞争愈加激烈。</w:t>
      </w:r>
    </w:p>
    <w:p>
      <w:pPr>
        <w:pStyle w:val="Heading3"/>
        <w:spacing w:line="240" w:lineRule="auto" w:before="55"/>
        <w:ind w:left="633" w:right="996"/>
        <w:jc w:val="left"/>
      </w:pPr>
      <w:r>
        <w:rPr/>
        <w:t>（二）公司发展战略</w:t>
      </w:r>
    </w:p>
    <w:p>
      <w:pPr>
        <w:pStyle w:val="Heading3"/>
        <w:spacing w:line="338" w:lineRule="auto" w:before="154"/>
        <w:ind w:left="633" w:right="996"/>
        <w:jc w:val="left"/>
      </w:pPr>
      <w:r>
        <w:rPr>
          <w:rFonts w:ascii="Times New Roman" w:hAnsi="Times New Roman" w:cs="Times New Roman" w:eastAsia="Times New Roman" w:hint="default"/>
        </w:rPr>
        <w:t>1</w:t>
      </w:r>
      <w:r>
        <w:rPr/>
        <w:t>、游戏业务： 随着互联网行业的发展，单一的网游业务已不能满足不断变化的市场竞争，面对快速发</w:t>
      </w:r>
    </w:p>
    <w:p>
      <w:pPr>
        <w:pStyle w:val="Heading3"/>
        <w:spacing w:line="357" w:lineRule="auto" w:before="55"/>
        <w:ind w:right="1136"/>
        <w:jc w:val="both"/>
      </w:pPr>
      <w:r>
        <w:rPr/>
        <w:t>展的行业大环境以及游戏行业的加剧竞争，公司的近年来对所处的游戏行业的不断进行深度</w:t>
      </w:r>
      <w:r>
        <w:rPr>
          <w:spacing w:val="-91"/>
        </w:rPr>
        <w:t> </w:t>
      </w:r>
      <w:r>
        <w:rPr>
          <w:spacing w:val="-91"/>
        </w:rPr>
      </w:r>
      <w:r>
        <w:rPr/>
        <w:t>探索；对游戏的自主研发、运营、代理能力不断积累；同时，公司在对产业链上下游广泛布</w:t>
      </w:r>
      <w:r>
        <w:rPr>
          <w:spacing w:val="-91"/>
        </w:rPr>
        <w:t> </w:t>
      </w:r>
      <w:r>
        <w:rPr>
          <w:spacing w:val="-91"/>
        </w:rPr>
      </w:r>
      <w:r>
        <w:rPr/>
        <w:t>局，不断加强对新业务、新领域的拓展和投入。公司对新业务的开发与加强，是公司全面提</w:t>
      </w:r>
      <w:r>
        <w:rPr>
          <w:spacing w:val="-91"/>
        </w:rPr>
        <w:t> </w:t>
      </w:r>
      <w:r>
        <w:rPr>
          <w:spacing w:val="-91"/>
        </w:rPr>
      </w:r>
      <w:r>
        <w:rPr/>
        <w:t>升各项业务盈利能力、满足快速发展的市场需求、挖掘新的盈利增长点的重要手段。公司注</w:t>
      </w:r>
      <w:r>
        <w:rPr>
          <w:spacing w:val="-91"/>
        </w:rPr>
        <w:t> </w:t>
      </w:r>
      <w:r>
        <w:rPr>
          <w:spacing w:val="-91"/>
        </w:rPr>
      </w:r>
      <w:r>
        <w:rPr/>
        <w:t>重优秀产品的引进与开发，发行和代理了多款热门游戏。公司手游业务团队深耕游戏市场，</w:t>
      </w:r>
      <w:r>
        <w:rPr>
          <w:spacing w:val="-91"/>
        </w:rPr>
        <w:t> </w:t>
      </w:r>
      <w:r>
        <w:rPr>
          <w:spacing w:val="-91"/>
        </w:rPr>
      </w:r>
      <w:r>
        <w:rPr/>
        <w:t>基于对市场整体大方向的把握，在良好的自研基础上，深度挖掘体育竞技类、策略类手游的</w:t>
      </w:r>
    </w:p>
    <w:p>
      <w:pPr>
        <w:spacing w:after="0" w:line="357" w:lineRule="auto"/>
        <w:jc w:val="both"/>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pStyle w:val="Heading3"/>
        <w:spacing w:line="338" w:lineRule="auto" w:before="26"/>
        <w:ind w:left="633" w:right="1116" w:hanging="481"/>
        <w:jc w:val="left"/>
      </w:pPr>
      <w:r>
        <w:rPr/>
        <w:t>行业机会，新研手游《天命龙图》、《街头足球》将于</w:t>
      </w:r>
      <w:r>
        <w:rPr>
          <w:rFonts w:ascii="Times New Roman" w:hAnsi="Times New Roman" w:cs="Times New Roman" w:eastAsia="Times New Roman" w:hint="default"/>
        </w:rPr>
        <w:t>2020</w:t>
      </w:r>
      <w:r>
        <w:rPr/>
        <w:t>年上半年上线。 </w:t>
      </w:r>
      <w:r>
        <w:rPr>
          <w:rFonts w:ascii="Times New Roman" w:hAnsi="Times New Roman" w:cs="Times New Roman" w:eastAsia="Times New Roman" w:hint="default"/>
        </w:rPr>
        <w:t>2</w:t>
      </w:r>
      <w:r>
        <w:rPr/>
        <w:t>、云服务业务： 报告期内，自完成对云服务公司深圳宝腾互联收购以来，公司业务整合情况良好，深圳</w:t>
      </w:r>
    </w:p>
    <w:p>
      <w:pPr>
        <w:pStyle w:val="Heading3"/>
        <w:spacing w:line="357" w:lineRule="auto" w:before="55"/>
        <w:ind w:right="1139"/>
        <w:jc w:val="both"/>
      </w:pPr>
      <w:r>
        <w:rPr/>
        <w:t>宝腾互联目前在全国运营多个数据中心，积累了丰富的数据中心建设经验。除了常规的数据</w:t>
      </w:r>
      <w:r>
        <w:rPr>
          <w:spacing w:val="-91"/>
        </w:rPr>
        <w:t> </w:t>
      </w:r>
      <w:r>
        <w:rPr>
          <w:spacing w:val="-91"/>
        </w:rPr>
      </w:r>
      <w:r>
        <w:rPr/>
        <w:t>中心基础设施定制，公司还将积极寻求云增值业务的拓展，主要发展战略如下：</w:t>
      </w:r>
    </w:p>
    <w:p>
      <w:pPr>
        <w:pStyle w:val="Heading3"/>
        <w:spacing w:line="348" w:lineRule="auto"/>
        <w:ind w:right="1132" w:firstLine="480"/>
        <w:jc w:val="both"/>
      </w:pPr>
      <w:r>
        <w:rPr>
          <w:spacing w:val="-1"/>
        </w:rPr>
        <w:t>（</w:t>
      </w:r>
      <w:r>
        <w:rPr>
          <w:rFonts w:ascii="Times New Roman" w:hAnsi="Times New Roman" w:cs="Times New Roman" w:eastAsia="Times New Roman" w:hint="default"/>
          <w:spacing w:val="-1"/>
        </w:rPr>
        <w:t>1</w:t>
      </w:r>
      <w:r>
        <w:rPr>
          <w:spacing w:val="-1"/>
        </w:rPr>
        <w:t>）持续发挥公司在</w:t>
      </w:r>
      <w:r>
        <w:rPr>
          <w:rFonts w:ascii="Times New Roman" w:hAnsi="Times New Roman" w:cs="Times New Roman" w:eastAsia="Times New Roman" w:hint="default"/>
          <w:spacing w:val="-1"/>
        </w:rPr>
        <w:t>IDC</w:t>
      </w:r>
      <w:r>
        <w:rPr>
          <w:spacing w:val="-1"/>
        </w:rPr>
        <w:t>业务丰富经验的优势，实现观澜数据中心的全面达产，完成乐</w:t>
      </w:r>
      <w:r>
        <w:rPr/>
        <w:t> 山数据中心主体建设工作，与当地运营商达成深度紧密的合作关系，共同推动完成乐山政府</w:t>
      </w:r>
      <w:r>
        <w:rPr>
          <w:spacing w:val="-86"/>
        </w:rPr>
        <w:t> </w:t>
      </w:r>
      <w:r>
        <w:rPr>
          <w:spacing w:val="-86"/>
        </w:rPr>
      </w:r>
      <w:r>
        <w:rPr/>
        <w:t>政务云及政府信息化合作项目的落地。</w:t>
      </w:r>
    </w:p>
    <w:p>
      <w:pPr>
        <w:pStyle w:val="Heading3"/>
        <w:spacing w:line="348" w:lineRule="auto" w:before="46"/>
        <w:ind w:right="1130" w:firstLine="480"/>
        <w:jc w:val="both"/>
      </w:pPr>
      <w:r>
        <w:rPr>
          <w:spacing w:val="-3"/>
        </w:rPr>
        <w:t>（</w:t>
      </w:r>
      <w:r>
        <w:rPr>
          <w:rFonts w:ascii="Times New Roman" w:hAnsi="Times New Roman" w:cs="Times New Roman" w:eastAsia="Times New Roman" w:hint="default"/>
          <w:spacing w:val="-3"/>
        </w:rPr>
        <w:t>2</w:t>
      </w:r>
      <w:r>
        <w:rPr>
          <w:spacing w:val="-3"/>
        </w:rPr>
        <w:t>）延续云增值业务的拓展方向，针对移动云市场的产品积极开展产品推广工作，并在</w:t>
      </w:r>
      <w:r>
        <w:rPr/>
        <w:t> 合同收入的落地地市保持良好的运营支撑，结合移动云产品推广的经验，下一阶段将安排与</w:t>
      </w:r>
      <w:r>
        <w:rPr>
          <w:spacing w:val="-91"/>
        </w:rPr>
        <w:t> </w:t>
      </w:r>
      <w:r>
        <w:rPr>
          <w:spacing w:val="-91"/>
        </w:rPr>
      </w:r>
      <w:r>
        <w:rPr/>
        <w:t>其他运营商的合作对接，逐步完成自有云增值市场的生态搭建。</w:t>
      </w:r>
    </w:p>
    <w:p>
      <w:pPr>
        <w:pStyle w:val="Heading3"/>
        <w:spacing w:line="357" w:lineRule="auto" w:before="46"/>
        <w:ind w:left="633" w:right="996"/>
        <w:jc w:val="left"/>
      </w:pPr>
      <w:r>
        <w:rPr/>
        <w:t>（三）经营计划 公司继续自身业务的突破创新，主动调整业务结构。在具体项目方面，公司选择“高精</w:t>
      </w:r>
    </w:p>
    <w:p>
      <w:pPr>
        <w:pStyle w:val="Heading3"/>
        <w:spacing w:line="357" w:lineRule="auto"/>
        <w:ind w:right="1138"/>
        <w:jc w:val="both"/>
      </w:pPr>
      <w:r>
        <w:rPr/>
        <w:t>尖”的道路，在公司治理层面进行人员调控、资源调配，淘汰公司盈利能力弱的项目，继续</w:t>
      </w:r>
      <w:r>
        <w:rPr>
          <w:spacing w:val="-91"/>
        </w:rPr>
        <w:t> </w:t>
      </w:r>
      <w:r>
        <w:rPr>
          <w:spacing w:val="-91"/>
        </w:rPr>
      </w:r>
      <w:r>
        <w:rPr/>
        <w:t>集中精力投入精品项目，以期取得显著效果。公司将继续筛选并打造高品质游戏，坚持精细</w:t>
      </w:r>
      <w:r>
        <w:rPr>
          <w:spacing w:val="-91"/>
        </w:rPr>
        <w:t> </w:t>
      </w:r>
      <w:r>
        <w:rPr>
          <w:spacing w:val="-91"/>
        </w:rPr>
      </w:r>
      <w:r>
        <w:rPr/>
        <w:t>化运营品质，避免受资本市场浮躁氛围的影响。未来，公司将进一步优化主营业务，强化核</w:t>
      </w:r>
      <w:r>
        <w:rPr>
          <w:spacing w:val="-91"/>
        </w:rPr>
        <w:t> </w:t>
      </w:r>
      <w:r>
        <w:rPr>
          <w:spacing w:val="-91"/>
        </w:rPr>
      </w:r>
      <w:r>
        <w:rPr/>
        <w:t>心竞争力。同时，公司注重员工激励制度，为提升中高层员工的工作积极性，于报告期内向</w:t>
      </w:r>
      <w:r>
        <w:rPr>
          <w:spacing w:val="-91"/>
        </w:rPr>
        <w:t> </w:t>
      </w:r>
      <w:r>
        <w:rPr>
          <w:spacing w:val="-91"/>
        </w:rPr>
      </w:r>
      <w:r>
        <w:rPr>
          <w:rFonts w:ascii="Times New Roman" w:hAnsi="Times New Roman" w:cs="Times New Roman" w:eastAsia="Times New Roman" w:hint="default"/>
        </w:rPr>
        <w:t>12</w:t>
      </w:r>
      <w:r>
        <w:rPr/>
        <w:t>名员工授予了</w:t>
      </w:r>
      <w:r>
        <w:rPr>
          <w:rFonts w:ascii="Times New Roman" w:hAnsi="Times New Roman" w:cs="Times New Roman" w:eastAsia="Times New Roman" w:hint="default"/>
        </w:rPr>
        <w:t>43.17</w:t>
      </w:r>
      <w:r>
        <w:rPr/>
        <w:t>万股限制性股票。</w:t>
      </w:r>
    </w:p>
    <w:p>
      <w:pPr>
        <w:pStyle w:val="Heading3"/>
        <w:spacing w:line="240" w:lineRule="auto" w:before="5"/>
        <w:ind w:left="633" w:right="996"/>
        <w:jc w:val="left"/>
      </w:pPr>
      <w:r>
        <w:rPr/>
        <w:t>（四）可能面对的风险</w:t>
      </w:r>
    </w:p>
    <w:p>
      <w:pPr>
        <w:pStyle w:val="Heading3"/>
        <w:spacing w:line="338" w:lineRule="auto" w:before="154"/>
        <w:ind w:left="633" w:right="996"/>
        <w:jc w:val="left"/>
      </w:pPr>
      <w:r>
        <w:rPr>
          <w:rFonts w:ascii="Times New Roman" w:hAnsi="Times New Roman" w:cs="Times New Roman" w:eastAsia="Times New Roman" w:hint="default"/>
        </w:rPr>
        <w:t>1</w:t>
      </w:r>
      <w:r>
        <w:rPr/>
        <w:t>、市场风险 随着游戏行业的迅速发展以及游戏对玩家体验的提升，游戏玩家对游戏质量的要求越来</w:t>
      </w:r>
    </w:p>
    <w:p>
      <w:pPr>
        <w:pStyle w:val="Heading3"/>
        <w:spacing w:line="357" w:lineRule="auto" w:before="55"/>
        <w:ind w:right="1136"/>
        <w:jc w:val="both"/>
      </w:pPr>
      <w:r>
        <w:rPr/>
        <w:t>越高，玩家爱好的转变以及对于热点游戏的切换速度也越来越快，而新游戏开发和测试需要</w:t>
      </w:r>
      <w:r>
        <w:rPr>
          <w:spacing w:val="-91"/>
        </w:rPr>
        <w:t> </w:t>
      </w:r>
      <w:r>
        <w:rPr>
          <w:spacing w:val="-91"/>
        </w:rPr>
      </w:r>
      <w:r>
        <w:rPr/>
        <w:t>大量前期投入，试错成本高，若未能准确把握玩家喜好，顺应市场需求，则会影响公司的经</w:t>
      </w:r>
      <w:r>
        <w:rPr>
          <w:spacing w:val="-91"/>
        </w:rPr>
        <w:t> </w:t>
      </w:r>
      <w:r>
        <w:rPr>
          <w:spacing w:val="-91"/>
        </w:rPr>
      </w:r>
      <w:r>
        <w:rPr/>
        <w:t>营业绩。此外游戏行业的迅速发展，也带来了日趋激烈的行业内部竞争环境，而网络游戏以</w:t>
      </w:r>
      <w:r>
        <w:rPr>
          <w:spacing w:val="-89"/>
        </w:rPr>
        <w:t> </w:t>
      </w:r>
      <w:r>
        <w:rPr>
          <w:spacing w:val="-89"/>
        </w:rPr>
      </w:r>
      <w:r>
        <w:rPr/>
        <w:t>外的互联网娱乐行业也在加剧外部竞争，给公司带来了一定的市场竞争风险。</w:t>
      </w:r>
    </w:p>
    <w:p>
      <w:pPr>
        <w:pStyle w:val="Heading3"/>
        <w:spacing w:line="357" w:lineRule="auto" w:before="37"/>
        <w:ind w:right="996" w:firstLine="480"/>
        <w:jc w:val="left"/>
      </w:pPr>
      <w:r>
        <w:rPr>
          <w:spacing w:val="-3"/>
        </w:rPr>
        <w:t>针对该风险，一方面公司将不断致力于提升管理水平和创新能力，加强用户的游戏体验，</w:t>
      </w:r>
      <w:r>
        <w:rPr/>
        <w:t> 增加用户的粘性，保持竞争优势；另一方面：公司将通过加大投入，持续开发出新的精品游</w:t>
      </w:r>
      <w:r>
        <w:rPr>
          <w:spacing w:val="-91"/>
        </w:rPr>
        <w:t> </w:t>
      </w:r>
      <w:r>
        <w:rPr>
          <w:spacing w:val="-91"/>
        </w:rPr>
      </w:r>
      <w:r>
        <w:rPr/>
        <w:t>戏，不断强化自身核心优势，扩大市场份额。</w:t>
      </w:r>
    </w:p>
    <w:p>
      <w:pPr>
        <w:pStyle w:val="Heading3"/>
        <w:spacing w:line="240" w:lineRule="auto"/>
        <w:ind w:left="633" w:right="996"/>
        <w:jc w:val="left"/>
      </w:pPr>
      <w:r>
        <w:rPr>
          <w:rFonts w:ascii="Times New Roman" w:hAnsi="Times New Roman" w:cs="Times New Roman" w:eastAsia="Times New Roman" w:hint="default"/>
        </w:rPr>
        <w:t>2</w:t>
      </w:r>
      <w:r>
        <w:rPr/>
        <w:t>、行业和政策风险</w:t>
      </w:r>
    </w:p>
    <w:p>
      <w:pPr>
        <w:spacing w:after="0" w:line="240" w:lineRule="auto"/>
        <w:jc w:val="left"/>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pStyle w:val="Heading3"/>
        <w:spacing w:line="357" w:lineRule="auto" w:before="26"/>
        <w:ind w:right="1137" w:firstLine="480"/>
        <w:jc w:val="both"/>
      </w:pPr>
      <w:r>
        <w:rPr/>
        <w:t>网络游戏行业受文化和新闻出版、工业信息等部门监管，在中国境内从事移动网络游戏 运营的，需要取得许可，存在不通过的风险。新开发的游戏需要在相关部门备案并通过出版</w:t>
      </w:r>
      <w:r>
        <w:rPr>
          <w:spacing w:val="-91"/>
        </w:rPr>
        <w:t> </w:t>
      </w:r>
      <w:r>
        <w:rPr>
          <w:spacing w:val="-91"/>
        </w:rPr>
      </w:r>
      <w:r>
        <w:rPr/>
        <w:t>行政部门审批，存在无法上线的风险。游戏内虚拟货币经营业务需取得额外批准或许可，我</w:t>
      </w:r>
      <w:r>
        <w:rPr>
          <w:spacing w:val="-90"/>
        </w:rPr>
        <w:t> </w:t>
      </w:r>
      <w:r>
        <w:rPr>
          <w:spacing w:val="-90"/>
        </w:rPr>
      </w:r>
      <w:r>
        <w:rPr/>
        <w:t>国尚未出台虚拟资产产权监管的法律法规，因此政策上存在不确定性。</w:t>
      </w:r>
    </w:p>
    <w:p>
      <w:pPr>
        <w:pStyle w:val="Heading3"/>
        <w:spacing w:line="357" w:lineRule="auto"/>
        <w:ind w:right="1140" w:firstLine="480"/>
        <w:jc w:val="both"/>
      </w:pPr>
      <w:r>
        <w:rPr/>
        <w:t>针对该风险，公司全力配合政府和管理机构的工作，确保业务和经营的合法合规，尽可 能降低潜在的政策风险。同时对行业最新的法律法规保持关注，及时更新避免违规风险。</w:t>
      </w:r>
    </w:p>
    <w:p>
      <w:pPr>
        <w:pStyle w:val="Heading3"/>
        <w:spacing w:line="338" w:lineRule="auto"/>
        <w:ind w:left="633" w:right="996"/>
        <w:jc w:val="left"/>
      </w:pPr>
      <w:r>
        <w:rPr>
          <w:rFonts w:ascii="Times New Roman" w:hAnsi="Times New Roman" w:cs="Times New Roman" w:eastAsia="Times New Roman" w:hint="default"/>
        </w:rPr>
        <w:t>3</w:t>
      </w:r>
      <w:r>
        <w:rPr/>
        <w:t>、核心人员流失风险 稳定、高素质的游戏研发、运营和管理人才队伍是公司保持核心竞争优势的重要保障。</w:t>
      </w:r>
    </w:p>
    <w:p>
      <w:pPr>
        <w:pStyle w:val="Heading3"/>
        <w:spacing w:line="357" w:lineRule="auto" w:before="55"/>
        <w:ind w:right="1139"/>
        <w:jc w:val="both"/>
      </w:pPr>
      <w:r>
        <w:rPr/>
        <w:t>如果公司不能有效建设核心人才队伍，对核心人员进行合理的激励和管理，保持人才队伍的</w:t>
      </w:r>
      <w:r>
        <w:rPr>
          <w:spacing w:val="-91"/>
        </w:rPr>
        <w:t> </w:t>
      </w:r>
      <w:r>
        <w:rPr>
          <w:spacing w:val="-91"/>
        </w:rPr>
      </w:r>
      <w:r>
        <w:rPr/>
        <w:t>创造力与活力，则会对公司的核心竞争力带来不利影响。</w:t>
      </w:r>
    </w:p>
    <w:p>
      <w:pPr>
        <w:pStyle w:val="Heading3"/>
        <w:spacing w:line="357" w:lineRule="auto"/>
        <w:ind w:right="996" w:firstLine="480"/>
        <w:jc w:val="left"/>
      </w:pPr>
      <w:r>
        <w:rPr>
          <w:spacing w:val="-3"/>
        </w:rPr>
        <w:t>针对该风险，公司不断完善管理体系建设，注重人才引进和人才培养，建立了吸引人才、</w:t>
      </w:r>
      <w:r>
        <w:rPr/>
        <w:t> 保留人才和激励员工的薪酬管理体系，此外，公司还实施股权激励计划，充分调动员工积极</w:t>
      </w:r>
      <w:r>
        <w:rPr>
          <w:spacing w:val="-91"/>
        </w:rPr>
        <w:t> </w:t>
      </w:r>
      <w:r>
        <w:rPr>
          <w:spacing w:val="-91"/>
        </w:rPr>
      </w:r>
      <w:r>
        <w:rPr/>
        <w:t>性，增强公司凝聚力。</w:t>
      </w:r>
    </w:p>
    <w:p>
      <w:pPr>
        <w:pStyle w:val="Heading3"/>
        <w:spacing w:line="338" w:lineRule="auto"/>
        <w:ind w:left="633" w:right="996"/>
        <w:jc w:val="left"/>
      </w:pPr>
      <w:r>
        <w:rPr>
          <w:rFonts w:ascii="Times New Roman" w:hAnsi="Times New Roman" w:cs="Times New Roman" w:eastAsia="Times New Roman" w:hint="default"/>
        </w:rPr>
        <w:t>4</w:t>
      </w:r>
      <w:r>
        <w:rPr/>
        <w:t>、投资风险 由于互联网行业和智能手机技术的飞速发展，手机游戏市场面临多方面的挑战。在这个</w:t>
      </w:r>
    </w:p>
    <w:p>
      <w:pPr>
        <w:pStyle w:val="Heading3"/>
        <w:spacing w:line="357" w:lineRule="auto" w:before="55"/>
        <w:ind w:right="1139"/>
        <w:jc w:val="both"/>
      </w:pPr>
      <w:r>
        <w:rPr/>
        <w:t>快速发展灵活多变的市场中生存，除了加强自身研发能力之外，收购整合及资产重组同行业</w:t>
      </w:r>
      <w:r>
        <w:rPr>
          <w:spacing w:val="-91"/>
        </w:rPr>
        <w:t> </w:t>
      </w:r>
      <w:r>
        <w:rPr>
          <w:spacing w:val="-91"/>
        </w:rPr>
      </w:r>
      <w:r>
        <w:rPr/>
        <w:t>或上下游企业是公司的重要战略规划之一，但资产重组或兼并将带来不确定性风险或者投资</w:t>
      </w:r>
      <w:r>
        <w:rPr>
          <w:spacing w:val="-91"/>
        </w:rPr>
        <w:t> </w:t>
      </w:r>
      <w:r>
        <w:rPr>
          <w:spacing w:val="-91"/>
        </w:rPr>
      </w:r>
      <w:r>
        <w:rPr/>
        <w:t>失败的风险。</w:t>
      </w:r>
    </w:p>
    <w:p>
      <w:pPr>
        <w:pStyle w:val="Heading3"/>
        <w:spacing w:line="357" w:lineRule="auto"/>
        <w:ind w:right="1136" w:firstLine="480"/>
        <w:jc w:val="both"/>
      </w:pPr>
      <w:r>
        <w:rPr/>
        <w:t>针对该风险，首先，收购前对自身实力进行充分评估，避免高估自身资金实力；其次， 明确收购标的是否符合公司属性，收购完成后对公司的发展是否有推进作用，做好充分的可</w:t>
      </w:r>
      <w:r>
        <w:rPr>
          <w:spacing w:val="-91"/>
        </w:rPr>
        <w:t> </w:t>
      </w:r>
      <w:r>
        <w:rPr>
          <w:spacing w:val="-91"/>
        </w:rPr>
      </w:r>
      <w:r>
        <w:rPr/>
        <w:t>行性分析及经济效益分析；最后，公司对收购标的进行详细的资产评估并通过审计、券商等</w:t>
      </w:r>
      <w:r>
        <w:rPr>
          <w:spacing w:val="-91"/>
        </w:rPr>
        <w:t> </w:t>
      </w:r>
      <w:r>
        <w:rPr>
          <w:spacing w:val="-91"/>
        </w:rPr>
      </w:r>
      <w:r>
        <w:rPr/>
        <w:t>中介机构对收购项目进行尽职调查，制定适宜且可行的收购方案，增加收购兼并成功的可能</w:t>
      </w:r>
      <w:r>
        <w:rPr>
          <w:spacing w:val="-91"/>
        </w:rPr>
        <w:t> </w:t>
      </w:r>
      <w:r>
        <w:rPr>
          <w:spacing w:val="-91"/>
        </w:rPr>
      </w:r>
      <w:r>
        <w:rPr/>
        <w:t>性。</w:t>
      </w:r>
    </w:p>
    <w:p>
      <w:pPr>
        <w:pStyle w:val="Heading3"/>
        <w:spacing w:line="338" w:lineRule="auto"/>
        <w:ind w:left="633" w:right="996"/>
        <w:jc w:val="left"/>
      </w:pPr>
      <w:r>
        <w:rPr>
          <w:rFonts w:ascii="Times New Roman" w:hAnsi="Times New Roman" w:cs="Times New Roman" w:eastAsia="Times New Roman" w:hint="default"/>
        </w:rPr>
        <w:t>5</w:t>
      </w:r>
      <w:r>
        <w:rPr/>
        <w:t>、新业务开拓风险 互联网行业发展迅速，创新是增强企业核心竞争力的重要手段，为了有效保持公司的竞</w:t>
      </w:r>
    </w:p>
    <w:p>
      <w:pPr>
        <w:pStyle w:val="Heading3"/>
        <w:spacing w:line="357" w:lineRule="auto" w:before="56"/>
        <w:ind w:right="1138"/>
        <w:jc w:val="both"/>
      </w:pPr>
      <w:r>
        <w:rPr/>
        <w:t>争优势并发展新的利润来源，公司有必要根据市场需求以及公司战略规划开拓新业务、新领</w:t>
      </w:r>
      <w:r>
        <w:rPr>
          <w:spacing w:val="-91"/>
        </w:rPr>
        <w:t> </w:t>
      </w:r>
      <w:r>
        <w:rPr>
          <w:spacing w:val="-91"/>
        </w:rPr>
      </w:r>
      <w:r>
        <w:rPr/>
        <w:t>域。但新业务、新领域受市场接受需要一定周期，且新业务、新领域与公司原有体系的有机</w:t>
      </w:r>
      <w:r>
        <w:rPr>
          <w:spacing w:val="-91"/>
        </w:rPr>
        <w:t> </w:t>
      </w:r>
      <w:r>
        <w:rPr>
          <w:spacing w:val="-91"/>
        </w:rPr>
      </w:r>
      <w:r>
        <w:rPr/>
        <w:t>结合也存在不确定性，如果公司的新业务不能快速被市场接受，将带来新业务、新领域市场</w:t>
      </w:r>
      <w:r>
        <w:rPr>
          <w:spacing w:val="-91"/>
        </w:rPr>
        <w:t> </w:t>
      </w:r>
      <w:r>
        <w:rPr>
          <w:spacing w:val="-91"/>
        </w:rPr>
      </w:r>
      <w:r>
        <w:rPr/>
        <w:t>拓展的风险。</w:t>
      </w:r>
    </w:p>
    <w:p>
      <w:pPr>
        <w:spacing w:after="0" w:line="357" w:lineRule="auto"/>
        <w:jc w:val="both"/>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pStyle w:val="Heading3"/>
        <w:spacing w:line="357" w:lineRule="auto" w:before="26"/>
        <w:ind w:right="1139" w:firstLine="480"/>
        <w:jc w:val="both"/>
      </w:pPr>
      <w:r>
        <w:rPr/>
        <w:t>针对该风险，公司将在新业务制定之前进行全面的市场调研，全方位考察和把握新业务 开发的可行性和市场适应性，对新业务的成本，投资回报率，风险程度等方面严格把关，最</w:t>
      </w:r>
      <w:r>
        <w:rPr>
          <w:spacing w:val="-91"/>
        </w:rPr>
        <w:t> </w:t>
      </w:r>
      <w:r>
        <w:rPr>
          <w:spacing w:val="-91"/>
        </w:rPr>
      </w:r>
      <w:r>
        <w:rPr/>
        <w:t>大限度降低新业务开拓的风险。</w:t>
      </w:r>
    </w:p>
    <w:p>
      <w:pPr>
        <w:spacing w:line="240" w:lineRule="auto" w:before="11"/>
        <w:rPr>
          <w:rFonts w:ascii="宋体" w:hAnsi="宋体" w:cs="宋体" w:eastAsia="宋体" w:hint="default"/>
          <w:sz w:val="19"/>
          <w:szCs w:val="19"/>
        </w:rPr>
      </w:pPr>
    </w:p>
    <w:p>
      <w:pPr>
        <w:pStyle w:val="Heading2"/>
        <w:spacing w:line="240" w:lineRule="auto"/>
        <w:ind w:right="996"/>
        <w:jc w:val="left"/>
        <w:rPr>
          <w:b w:val="0"/>
          <w:bCs w:val="0"/>
        </w:rPr>
      </w:pPr>
      <w:r>
        <w:rPr/>
        <w:t>十、接待调研、沟通、采访等活动登记表</w:t>
      </w:r>
      <w:r>
        <w:rPr>
          <w:b w:val="0"/>
          <w:bCs w:val="0"/>
        </w:rPr>
      </w:r>
    </w:p>
    <w:p>
      <w:pPr>
        <w:spacing w:line="240" w:lineRule="auto" w:before="11"/>
        <w:rPr>
          <w:rFonts w:ascii="宋体" w:hAnsi="宋体" w:cs="宋体" w:eastAsia="宋体" w:hint="default"/>
          <w:b/>
          <w:bCs/>
          <w:sz w:val="28"/>
          <w:szCs w:val="28"/>
        </w:rPr>
      </w:pPr>
    </w:p>
    <w:p>
      <w:pPr>
        <w:pStyle w:val="Heading2"/>
        <w:spacing w:line="240" w:lineRule="auto"/>
        <w:ind w:right="996"/>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pStyle w:val="Heading3"/>
        <w:spacing w:line="240" w:lineRule="auto" w:before="135"/>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5"/>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r>
        <w:rPr/>
        <w:pict>
          <v:group style="position:absolute;margin-left:244.610001pt;margin-top:436.069977pt;width:290.95pt;height:20.65pt;mso-position-horizontal-relative:page;mso-position-vertical-relative:page;z-index:-1244800" coordorigin="4892,8721" coordsize="5819,413">
            <v:group style="position:absolute;left:4903;top:8732;width:2;height:392" coordorigin="4903,8732" coordsize="2,392">
              <v:shape style="position:absolute;left:4903;top:8732;width:2;height:392" coordorigin="4903,8732" coordsize="0,392" path="m4903,8732l4903,9123e" filled="false" stroked="true" strokeweight="1.08pt" strokecolor="#ffffff">
                <v:path arrowok="t"/>
              </v:shape>
            </v:group>
            <v:group style="position:absolute;left:4914;top:8732;width:5797;height:392" coordorigin="4914,8732" coordsize="5797,392">
              <v:shape style="position:absolute;left:4914;top:8732;width:5797;height:392" coordorigin="4914,8732" coordsize="5797,392" path="m4914,9123l10711,9123,10711,8732,4914,8732,4914,9123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105"/>
        <w:jc w:val="center"/>
        <w:rPr>
          <w:b w:val="0"/>
          <w:bCs w:val="0"/>
        </w:rPr>
      </w:pPr>
      <w:bookmarkStart w:name="_bookmark4" w:id="5"/>
      <w:bookmarkEnd w:id="5"/>
      <w:r>
        <w:rPr>
          <w:b w:val="0"/>
          <w:bCs w:val="0"/>
        </w:rPr>
      </w:r>
      <w:r>
        <w:rPr/>
        <w:t>第五节重要事项</w:t>
      </w:r>
      <w:r>
        <w:rPr>
          <w:b w:val="0"/>
          <w:bCs w:val="0"/>
        </w:rPr>
      </w:r>
    </w:p>
    <w:p>
      <w:pPr>
        <w:spacing w:line="690" w:lineRule="atLeast" w:before="136"/>
        <w:ind w:left="152" w:right="2594" w:firstLine="0"/>
        <w:jc w:val="left"/>
        <w:rPr>
          <w:rFonts w:ascii="宋体" w:hAnsi="宋体" w:cs="宋体" w:eastAsia="宋体" w:hint="default"/>
          <w:sz w:val="24"/>
          <w:szCs w:val="24"/>
        </w:rPr>
      </w:pPr>
      <w:r>
        <w:rPr>
          <w:rFonts w:ascii="宋体" w:hAnsi="宋体" w:cs="宋体" w:eastAsia="宋体" w:hint="default"/>
          <w:b/>
          <w:bCs/>
          <w:sz w:val="24"/>
          <w:szCs w:val="24"/>
        </w:rPr>
        <w:t>一、公司普通股利润分配及资本公积金转增股本情况</w:t>
      </w:r>
      <w:r>
        <w:rPr>
          <w:rFonts w:ascii="宋体" w:hAnsi="宋体" w:cs="宋体" w:eastAsia="宋体" w:hint="default"/>
          <w:b/>
          <w:bCs/>
          <w:w w:val="99"/>
          <w:sz w:val="24"/>
          <w:szCs w:val="24"/>
        </w:rPr>
        <w:t> </w:t>
      </w:r>
      <w:r>
        <w:rPr>
          <w:rFonts w:ascii="宋体" w:hAnsi="宋体" w:cs="宋体" w:eastAsia="宋体" w:hint="default"/>
          <w:sz w:val="24"/>
          <w:szCs w:val="24"/>
        </w:rPr>
        <w:t>报告期内普通股利润分配政策，特别是现金分红政策的制定、执行或调整情况</w:t>
      </w:r>
    </w:p>
    <w:p>
      <w:pPr>
        <w:pStyle w:val="Heading3"/>
        <w:spacing w:line="348" w:lineRule="auto" w:before="154"/>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公司报告期利润分配预案及资本公积金转增股本预案与公司章程和分红管理办法等的相关规</w:t>
      </w:r>
      <w:r>
        <w:rPr>
          <w:spacing w:val="-91"/>
        </w:rPr>
        <w:t> </w:t>
      </w:r>
      <w:r>
        <w:rPr>
          <w:spacing w:val="-91"/>
        </w:rPr>
      </w:r>
      <w:r>
        <w:rPr/>
        <w:t>定一致</w:t>
      </w:r>
    </w:p>
    <w:p>
      <w:pPr>
        <w:pStyle w:val="Heading3"/>
        <w:spacing w:line="348" w:lineRule="auto" w:before="46"/>
        <w:ind w:right="21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 公司报告期利润分配预案及资本公积金转增股本预案符合公司章程等的相关规定。 本年度利润分配及资本公积金转增股本情况</w:t>
      </w:r>
    </w:p>
    <w:tbl>
      <w:tblPr>
        <w:tblW w:w="0" w:type="auto"/>
        <w:jc w:val="left"/>
        <w:tblInd w:w="183" w:type="dxa"/>
        <w:tblLayout w:type="fixed"/>
        <w:tblCellMar>
          <w:top w:w="0" w:type="dxa"/>
          <w:left w:w="0" w:type="dxa"/>
          <w:bottom w:w="0" w:type="dxa"/>
          <w:right w:w="0" w:type="dxa"/>
        </w:tblCellMar>
        <w:tblLook w:val="01E0"/>
      </w:tblPr>
      <w:tblGrid>
        <w:gridCol w:w="3705"/>
        <w:gridCol w:w="2798"/>
        <w:gridCol w:w="3065"/>
      </w:tblGrid>
      <w:tr>
        <w:trPr>
          <w:trHeight w:val="403"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0.2</w:t>
            </w:r>
          </w:p>
        </w:tc>
      </w:tr>
      <w:tr>
        <w:trPr>
          <w:trHeight w:val="403"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263,269,300</w:t>
            </w:r>
          </w:p>
        </w:tc>
      </w:tr>
      <w:tr>
        <w:trPr>
          <w:trHeight w:val="403"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5,265,386.00</w:t>
            </w:r>
          </w:p>
        </w:tc>
      </w:tr>
      <w:tr>
        <w:trPr>
          <w:trHeight w:val="401"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2798"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8" w:right="0"/>
              <w:jc w:val="left"/>
              <w:rPr>
                <w:rFonts w:ascii="宋体" w:hAnsi="宋体" w:cs="宋体" w:eastAsia="宋体" w:hint="default"/>
                <w:sz w:val="18"/>
                <w:szCs w:val="18"/>
              </w:rPr>
            </w:pPr>
            <w:r>
              <w:rPr>
                <w:rFonts w:ascii="宋体" w:hAnsi="宋体" w:cs="宋体" w:eastAsia="宋体" w:hint="default"/>
                <w:sz w:val="18"/>
                <w:szCs w:val="18"/>
              </w:rPr>
              <w:t>）</w:t>
            </w:r>
          </w:p>
        </w:tc>
        <w:tc>
          <w:tcPr>
            <w:tcW w:w="30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61" w:hRule="exact"/>
        </w:trPr>
        <w:tc>
          <w:tcPr>
            <w:tcW w:w="3705" w:type="dxa"/>
            <w:tcBorders>
              <w:top w:val="single" w:sz="4" w:space="0" w:color="000000"/>
              <w:left w:val="single" w:sz="4" w:space="0" w:color="000000"/>
              <w:bottom w:val="nil" w:sz="6" w:space="0" w:color="auto"/>
              <w:right w:val="single" w:sz="4" w:space="0" w:color="000000"/>
            </w:tcBorders>
            <w:shd w:val="clear" w:color="auto" w:fill="D2D2D2"/>
          </w:tcPr>
          <w:p>
            <w:pPr/>
          </w:p>
        </w:tc>
        <w:tc>
          <w:tcPr>
            <w:tcW w:w="5863" w:type="dxa"/>
            <w:gridSpan w:val="2"/>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5,265,386.00</w:t>
            </w:r>
          </w:p>
        </w:tc>
      </w:tr>
      <w:tr>
        <w:trPr>
          <w:trHeight w:val="394" w:hRule="exact"/>
        </w:trPr>
        <w:tc>
          <w:tcPr>
            <w:tcW w:w="37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863" w:type="dxa"/>
            <w:gridSpan w:val="2"/>
            <w:vMerge/>
            <w:tcBorders>
              <w:left w:val="single" w:sz="10" w:space="0" w:color="D2D2D2"/>
              <w:right w:val="single" w:sz="4" w:space="0" w:color="000000"/>
            </w:tcBorders>
          </w:tcPr>
          <w:p>
            <w:pPr/>
          </w:p>
        </w:tc>
      </w:tr>
      <w:tr>
        <w:trPr>
          <w:trHeight w:val="161" w:hRule="exact"/>
        </w:trPr>
        <w:tc>
          <w:tcPr>
            <w:tcW w:w="3705" w:type="dxa"/>
            <w:tcBorders>
              <w:top w:val="nil" w:sz="6" w:space="0" w:color="auto"/>
              <w:left w:val="single" w:sz="4" w:space="0" w:color="000000"/>
              <w:bottom w:val="single" w:sz="4" w:space="0" w:color="000000"/>
              <w:right w:val="single" w:sz="4" w:space="0" w:color="000000"/>
            </w:tcBorders>
            <w:shd w:val="clear" w:color="auto" w:fill="D2D2D2"/>
          </w:tcPr>
          <w:p>
            <w:pPr/>
          </w:p>
        </w:tc>
        <w:tc>
          <w:tcPr>
            <w:tcW w:w="5863" w:type="dxa"/>
            <w:gridSpan w:val="2"/>
            <w:vMerge/>
            <w:tcBorders>
              <w:left w:val="single" w:sz="10" w:space="0" w:color="D2D2D2"/>
              <w:bottom w:val="single" w:sz="4" w:space="0" w:color="000000"/>
              <w:right w:val="single" w:sz="4" w:space="0" w:color="000000"/>
            </w:tcBorders>
          </w:tcPr>
          <w:p>
            <w:pPr/>
          </w:p>
        </w:tc>
      </w:tr>
      <w:tr>
        <w:trPr>
          <w:trHeight w:val="401"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178,939,268.17</w:t>
            </w:r>
          </w:p>
        </w:tc>
      </w:tr>
      <w:tr>
        <w:trPr>
          <w:trHeight w:val="715"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63"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1"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964" w:hRule="exact"/>
        </w:trPr>
        <w:tc>
          <w:tcPr>
            <w:tcW w:w="95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日本公司召</w:t>
            </w:r>
            <w:r>
              <w:rPr>
                <w:rFonts w:ascii="宋体" w:hAnsi="宋体" w:cs="宋体" w:eastAsia="宋体" w:hint="default"/>
                <w:spacing w:val="-3"/>
                <w:sz w:val="18"/>
                <w:szCs w:val="18"/>
              </w:rPr>
              <w:t>开</w:t>
            </w:r>
            <w:r>
              <w:rPr>
                <w:rFonts w:ascii="宋体" w:hAnsi="宋体" w:cs="宋体" w:eastAsia="宋体" w:hint="default"/>
                <w:sz w:val="18"/>
                <w:szCs w:val="18"/>
              </w:rPr>
              <w:t>第四届董事会第三十五次会议，会议审议通过《</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r>
              <w:rPr>
                <w:rFonts w:ascii="宋体" w:hAnsi="宋体" w:cs="宋体" w:eastAsia="宋体" w:hint="default"/>
                <w:spacing w:val="-3"/>
                <w:sz w:val="18"/>
                <w:szCs w:val="18"/>
              </w:rPr>
              <w:t>利</w:t>
            </w:r>
            <w:r>
              <w:rPr>
                <w:rFonts w:ascii="宋体" w:hAnsi="宋体" w:cs="宋体" w:eastAsia="宋体" w:hint="default"/>
                <w:sz w:val="18"/>
                <w:szCs w:val="18"/>
              </w:rPr>
              <w:t>润分配预案</w:t>
            </w:r>
            <w:r>
              <w:rPr>
                <w:rFonts w:ascii="宋体" w:hAnsi="宋体" w:cs="宋体" w:eastAsia="宋体" w:hint="default"/>
                <w:spacing w:val="-92"/>
                <w:sz w:val="18"/>
                <w:szCs w:val="18"/>
              </w:rPr>
              <w:t>》</w:t>
            </w:r>
            <w:r>
              <w:rPr>
                <w:rFonts w:ascii="宋体" w:hAnsi="宋体" w:cs="宋体" w:eastAsia="宋体" w:hint="default"/>
                <w:sz w:val="18"/>
                <w:szCs w:val="18"/>
              </w:rPr>
              <w:t>，公司利润分配预</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4"/>
                <w:sz w:val="18"/>
                <w:szCs w:val="18"/>
              </w:rPr>
              <w:t>案如下：公司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年度归属于母公司股东的净利润为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7,662,733.70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元，综合考虑公司目前经营状况以及未来发展需要，公</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司决定以</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年末总</w:t>
            </w:r>
            <w:r>
              <w:rPr>
                <w:rFonts w:ascii="宋体" w:hAnsi="宋体" w:cs="宋体" w:eastAsia="宋体" w:hint="default"/>
                <w:spacing w:val="-3"/>
                <w:sz w:val="18"/>
                <w:szCs w:val="18"/>
              </w:rPr>
              <w:t>股</w:t>
            </w:r>
            <w:r>
              <w:rPr>
                <w:rFonts w:ascii="宋体" w:hAnsi="宋体" w:cs="宋体" w:eastAsia="宋体" w:hint="default"/>
                <w:sz w:val="18"/>
                <w:szCs w:val="18"/>
              </w:rPr>
              <w:t>本</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63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26</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万股为基数</w:t>
            </w:r>
            <w:r>
              <w:rPr>
                <w:rFonts w:ascii="宋体" w:hAnsi="宋体" w:cs="宋体" w:eastAsia="宋体" w:hint="default"/>
                <w:spacing w:val="-56"/>
                <w:sz w:val="18"/>
                <w:szCs w:val="18"/>
              </w:rPr>
              <w:t>，</w:t>
            </w:r>
            <w:r>
              <w:rPr>
                <w:rFonts w:ascii="宋体" w:hAnsi="宋体" w:cs="宋体" w:eastAsia="宋体" w:hint="default"/>
                <w:sz w:val="18"/>
                <w:szCs w:val="18"/>
              </w:rPr>
              <w:t>向全体</w:t>
            </w:r>
            <w:r>
              <w:rPr>
                <w:rFonts w:ascii="宋体" w:hAnsi="宋体" w:cs="宋体" w:eastAsia="宋体" w:hint="default"/>
                <w:spacing w:val="-3"/>
                <w:sz w:val="18"/>
                <w:szCs w:val="18"/>
              </w:rPr>
              <w:t>股</w:t>
            </w:r>
            <w:r>
              <w:rPr>
                <w:rFonts w:ascii="宋体" w:hAnsi="宋体" w:cs="宋体" w:eastAsia="宋体" w:hint="default"/>
                <w:sz w:val="18"/>
                <w:szCs w:val="18"/>
              </w:rPr>
              <w:t>东每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股派发人</w:t>
            </w:r>
            <w:r>
              <w:rPr>
                <w:rFonts w:ascii="宋体" w:hAnsi="宋体" w:cs="宋体" w:eastAsia="宋体" w:hint="default"/>
                <w:spacing w:val="-3"/>
                <w:sz w:val="18"/>
                <w:szCs w:val="18"/>
              </w:rPr>
              <w:t>民</w:t>
            </w:r>
            <w:r>
              <w:rPr>
                <w:rFonts w:ascii="宋体" w:hAnsi="宋体" w:cs="宋体" w:eastAsia="宋体" w:hint="default"/>
                <w:sz w:val="18"/>
                <w:szCs w:val="18"/>
              </w:rPr>
              <w:t>币</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3"/>
                <w:sz w:val="18"/>
                <w:szCs w:val="18"/>
              </w:rPr>
              <w:t>现</w:t>
            </w:r>
            <w:r>
              <w:rPr>
                <w:rFonts w:ascii="宋体" w:hAnsi="宋体" w:cs="宋体" w:eastAsia="宋体" w:hint="default"/>
                <w:spacing w:val="-56"/>
                <w:sz w:val="18"/>
                <w:szCs w:val="18"/>
              </w:rPr>
              <w:t>金</w:t>
            </w: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pacing w:val="-56"/>
                <w:sz w:val="18"/>
                <w:szCs w:val="18"/>
              </w:rPr>
              <w:t>，</w:t>
            </w:r>
            <w:r>
              <w:rPr>
                <w:rFonts w:ascii="宋体" w:hAnsi="宋体" w:cs="宋体" w:eastAsia="宋体" w:hint="default"/>
                <w:sz w:val="18"/>
                <w:szCs w:val="18"/>
              </w:rPr>
              <w:t>共计派发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526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万元，剩余未分配利润结转下一年度。该利润分配预案尚需公司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年度股东大会审议。本次利润分配预案符合《上市</w:t>
            </w:r>
          </w:p>
          <w:p>
            <w:pPr>
              <w:pStyle w:val="TableParagraph"/>
              <w:spacing w:line="300" w:lineRule="auto" w:before="63"/>
              <w:ind w:left="24" w:right="52"/>
              <w:jc w:val="left"/>
              <w:rPr>
                <w:rFonts w:ascii="宋体" w:hAnsi="宋体" w:cs="宋体" w:eastAsia="宋体" w:hint="default"/>
                <w:sz w:val="18"/>
                <w:szCs w:val="18"/>
              </w:rPr>
            </w:pPr>
            <w:r>
              <w:rPr>
                <w:rFonts w:ascii="宋体" w:hAnsi="宋体" w:cs="宋体" w:eastAsia="宋体" w:hint="default"/>
                <w:sz w:val="18"/>
                <w:szCs w:val="18"/>
              </w:rPr>
              <w:t>公司监管指引第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上市公司现金分红》的规定，符合《公司章程》中的利润分配政策，独立董事、监事会已发表同意 的意见。</w:t>
            </w:r>
          </w:p>
        </w:tc>
      </w:tr>
    </w:tbl>
    <w:p>
      <w:pPr>
        <w:pStyle w:val="Heading3"/>
        <w:spacing w:line="338" w:lineRule="auto" w:before="46"/>
        <w:ind w:right="1122"/>
        <w:jc w:val="left"/>
      </w:pPr>
      <w:r>
        <w:rPr/>
        <w:t>公司近</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spacing w:val="-6"/>
        </w:rPr>
        <w:t>年（包括本报告期）的普通股股利分配方案（预案）、资本公积金转增股本方案（预</w:t>
      </w:r>
      <w:r>
        <w:rPr/>
        <w:t> 案）情况</w:t>
      </w:r>
    </w:p>
    <w:p>
      <w:pPr>
        <w:spacing w:after="0" w:line="338" w:lineRule="auto"/>
        <w:jc w:val="left"/>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pStyle w:val="Heading3"/>
        <w:spacing w:line="240" w:lineRule="auto" w:before="26"/>
        <w:ind w:left="633" w:right="996"/>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年度权益分配方案</w:t>
      </w:r>
    </w:p>
    <w:p>
      <w:pPr>
        <w:pStyle w:val="Heading3"/>
        <w:spacing w:line="240" w:lineRule="auto" w:before="136"/>
        <w:ind w:left="633" w:right="996"/>
        <w:jc w:val="left"/>
      </w:pPr>
      <w:r>
        <w:rPr/>
        <w:t>公司以</w:t>
      </w:r>
      <w:r>
        <w:rPr>
          <w:spacing w:val="-6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年末总股本</w:t>
      </w:r>
      <w:r>
        <w:rPr>
          <w:spacing w:val="-63"/>
        </w:rPr>
        <w:t> </w:t>
      </w:r>
      <w:r>
        <w:rPr>
          <w:rFonts w:ascii="Times New Roman" w:hAnsi="Times New Roman" w:cs="Times New Roman" w:eastAsia="Times New Roman" w:hint="default"/>
        </w:rPr>
        <w:t>26,103.86</w:t>
      </w:r>
      <w:r>
        <w:rPr>
          <w:rFonts w:ascii="Times New Roman" w:hAnsi="Times New Roman" w:cs="Times New Roman" w:eastAsia="Times New Roman" w:hint="default"/>
          <w:spacing w:val="-3"/>
        </w:rPr>
        <w:t> </w:t>
      </w:r>
      <w:r>
        <w:rPr/>
        <w:t>万股为基数，向全体股东每</w:t>
      </w:r>
      <w:r>
        <w:rPr>
          <w:spacing w:val="-63"/>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股派发人民币</w:t>
      </w:r>
      <w:r>
        <w:rPr>
          <w:spacing w:val="-63"/>
        </w:rPr>
        <w:t> </w:t>
      </w:r>
      <w:r>
        <w:rPr>
          <w:rFonts w:ascii="Times New Roman" w:hAnsi="Times New Roman" w:cs="Times New Roman" w:eastAsia="Times New Roman" w:hint="default"/>
        </w:rPr>
        <w:t>0.2</w:t>
      </w:r>
      <w:r>
        <w:rPr>
          <w:rFonts w:ascii="Times New Roman" w:hAnsi="Times New Roman" w:cs="Times New Roman" w:eastAsia="Times New Roman" w:hint="default"/>
          <w:spacing w:val="-3"/>
        </w:rPr>
        <w:t> </w:t>
      </w:r>
      <w:r>
        <w:rPr/>
        <w:t>元现</w:t>
      </w:r>
    </w:p>
    <w:p>
      <w:pPr>
        <w:pStyle w:val="Heading3"/>
        <w:spacing w:line="240" w:lineRule="auto" w:before="135"/>
        <w:ind w:right="996"/>
        <w:jc w:val="left"/>
      </w:pPr>
      <w:r>
        <w:rPr/>
        <w:t>金</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，共计派发</w:t>
      </w:r>
      <w:r>
        <w:rPr>
          <w:spacing w:val="-60"/>
        </w:rPr>
        <w:t> </w:t>
      </w:r>
      <w:r>
        <w:rPr>
          <w:rFonts w:ascii="Times New Roman" w:hAnsi="Times New Roman" w:cs="Times New Roman" w:eastAsia="Times New Roman" w:hint="default"/>
        </w:rPr>
        <w:t>522.0772 </w:t>
      </w:r>
      <w:r>
        <w:rPr/>
        <w:t>万元。</w:t>
      </w:r>
    </w:p>
    <w:p>
      <w:pPr>
        <w:pStyle w:val="Heading3"/>
        <w:spacing w:line="240" w:lineRule="auto" w:before="135"/>
        <w:ind w:left="633" w:right="996"/>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年度权益分配方案</w:t>
      </w:r>
    </w:p>
    <w:p>
      <w:pPr>
        <w:pStyle w:val="Heading3"/>
        <w:spacing w:line="240" w:lineRule="auto" w:before="135"/>
        <w:ind w:left="633" w:right="996"/>
        <w:jc w:val="left"/>
        <w:rPr>
          <w:rFonts w:ascii="Times New Roman" w:hAnsi="Times New Roman" w:cs="Times New Roman" w:eastAsia="Times New Roman" w:hint="default"/>
        </w:rPr>
      </w:pPr>
      <w:r>
        <w:rPr/>
        <w:t>公司拟定以</w:t>
      </w:r>
      <w:r>
        <w:rPr>
          <w:spacing w:val="-5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年末总股本</w:t>
      </w:r>
      <w:r>
        <w:rPr>
          <w:spacing w:val="-55"/>
        </w:rPr>
        <w:t> </w:t>
      </w:r>
      <w:r>
        <w:rPr>
          <w:rFonts w:ascii="Times New Roman" w:hAnsi="Times New Roman" w:cs="Times New Roman" w:eastAsia="Times New Roman" w:hint="default"/>
        </w:rPr>
        <w:t>26,470.86</w:t>
      </w:r>
      <w:r>
        <w:rPr>
          <w:rFonts w:ascii="Times New Roman" w:hAnsi="Times New Roman" w:cs="Times New Roman" w:eastAsia="Times New Roman" w:hint="default"/>
          <w:spacing w:val="4"/>
        </w:rPr>
        <w:t> </w:t>
      </w:r>
      <w:r>
        <w:rPr/>
        <w:t>万股为基数，向全体股东每</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股派发人民币</w:t>
      </w:r>
      <w:r>
        <w:rPr>
          <w:spacing w:val="-56"/>
        </w:rPr>
        <w:t> </w:t>
      </w:r>
      <w:r>
        <w:rPr>
          <w:rFonts w:ascii="Times New Roman" w:hAnsi="Times New Roman" w:cs="Times New Roman" w:eastAsia="Times New Roman" w:hint="default"/>
        </w:rPr>
        <w:t>0.2</w:t>
      </w:r>
    </w:p>
    <w:p>
      <w:pPr>
        <w:pStyle w:val="Heading3"/>
        <w:spacing w:line="240" w:lineRule="auto" w:before="135"/>
        <w:ind w:right="996"/>
        <w:jc w:val="left"/>
      </w:pPr>
      <w:r>
        <w:rPr/>
        <w:t>元现金</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，共计派发</w:t>
      </w:r>
      <w:r>
        <w:rPr>
          <w:spacing w:val="-61"/>
        </w:rPr>
        <w:t> </w:t>
      </w:r>
      <w:r>
        <w:rPr>
          <w:rFonts w:ascii="Times New Roman" w:hAnsi="Times New Roman" w:cs="Times New Roman" w:eastAsia="Times New Roman" w:hint="default"/>
        </w:rPr>
        <w:t>529.4172</w:t>
      </w:r>
      <w:r>
        <w:rPr>
          <w:rFonts w:ascii="Times New Roman" w:hAnsi="Times New Roman" w:cs="Times New Roman" w:eastAsia="Times New Roman" w:hint="default"/>
          <w:spacing w:val="-1"/>
        </w:rPr>
        <w:t> </w:t>
      </w:r>
      <w:r>
        <w:rPr/>
        <w:t>万元。</w:t>
      </w:r>
    </w:p>
    <w:p>
      <w:pPr>
        <w:pStyle w:val="Heading3"/>
        <w:spacing w:line="240" w:lineRule="auto" w:before="135"/>
        <w:ind w:left="633" w:right="996"/>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年度权益分配方案</w:t>
      </w:r>
    </w:p>
    <w:p>
      <w:pPr>
        <w:pStyle w:val="Heading3"/>
        <w:spacing w:line="240" w:lineRule="auto" w:before="135"/>
        <w:ind w:left="633" w:right="996"/>
        <w:jc w:val="left"/>
      </w:pPr>
      <w:r>
        <w:rPr/>
        <w:t>公司拟定以 </w:t>
      </w:r>
      <w:r>
        <w:rPr>
          <w:rFonts w:ascii="Times New Roman" w:hAnsi="Times New Roman" w:cs="Times New Roman" w:eastAsia="Times New Roman" w:hint="default"/>
        </w:rPr>
        <w:t>2019 </w:t>
      </w:r>
      <w:r>
        <w:rPr/>
        <w:t>年末总股本 </w:t>
      </w:r>
      <w:r>
        <w:rPr>
          <w:rFonts w:ascii="Times New Roman" w:hAnsi="Times New Roman" w:cs="Times New Roman" w:eastAsia="Times New Roman" w:hint="default"/>
        </w:rPr>
        <w:t>26,326.9300 </w:t>
      </w:r>
      <w:r>
        <w:rPr/>
        <w:t>万股为基数，向全体股东每 </w:t>
      </w:r>
      <w:r>
        <w:rPr>
          <w:rFonts w:ascii="Times New Roman" w:hAnsi="Times New Roman" w:cs="Times New Roman" w:eastAsia="Times New Roman" w:hint="default"/>
        </w:rPr>
        <w:t>10</w:t>
      </w:r>
      <w:r>
        <w:rPr>
          <w:rFonts w:ascii="Times New Roman" w:hAnsi="Times New Roman" w:cs="Times New Roman" w:eastAsia="Times New Roman" w:hint="default"/>
          <w:spacing w:val="-22"/>
        </w:rPr>
        <w:t> </w:t>
      </w:r>
      <w:r>
        <w:rPr/>
        <w:t>股派发人民币</w:t>
      </w:r>
    </w:p>
    <w:p>
      <w:pPr>
        <w:pStyle w:val="Heading3"/>
        <w:spacing w:line="240" w:lineRule="auto" w:before="135"/>
        <w:ind w:right="996"/>
        <w:jc w:val="left"/>
      </w:pPr>
      <w:r>
        <w:rPr>
          <w:rFonts w:ascii="Times New Roman" w:hAnsi="Times New Roman" w:cs="Times New Roman" w:eastAsia="Times New Roman" w:hint="default"/>
        </w:rPr>
        <w:t>0.2</w:t>
      </w:r>
      <w:r>
        <w:rPr>
          <w:rFonts w:ascii="Times New Roman" w:hAnsi="Times New Roman" w:cs="Times New Roman" w:eastAsia="Times New Roman" w:hint="default"/>
          <w:spacing w:val="-1"/>
        </w:rPr>
        <w:t> </w:t>
      </w:r>
      <w:r>
        <w:rPr/>
        <w:t>元现金</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，共计派发</w:t>
      </w:r>
      <w:r>
        <w:rPr>
          <w:spacing w:val="-61"/>
        </w:rPr>
        <w:t> </w:t>
      </w:r>
      <w:r>
        <w:rPr>
          <w:rFonts w:ascii="Times New Roman" w:hAnsi="Times New Roman" w:cs="Times New Roman" w:eastAsia="Times New Roman" w:hint="default"/>
        </w:rPr>
        <w:t>526.5386</w:t>
      </w:r>
      <w:r>
        <w:rPr>
          <w:rFonts w:ascii="Times New Roman" w:hAnsi="Times New Roman" w:cs="Times New Roman" w:eastAsia="Times New Roman" w:hint="default"/>
          <w:spacing w:val="-1"/>
        </w:rPr>
        <w:t> </w:t>
      </w:r>
      <w:r>
        <w:rPr/>
        <w:t>万元。</w:t>
      </w:r>
    </w:p>
    <w:p>
      <w:pPr>
        <w:pStyle w:val="Heading3"/>
        <w:spacing w:line="240" w:lineRule="auto" w:before="136"/>
        <w:ind w:left="633" w:right="996"/>
        <w:jc w:val="left"/>
      </w:pPr>
      <w:r>
        <w:rPr/>
        <w:t>该利润分配预案尚需公司</w:t>
      </w:r>
      <w:r>
        <w:rPr>
          <w:spacing w:val="-60"/>
        </w:rPr>
        <w:t> </w:t>
      </w:r>
      <w:r>
        <w:rPr>
          <w:rFonts w:ascii="Times New Roman" w:hAnsi="Times New Roman" w:cs="Times New Roman" w:eastAsia="Times New Roman" w:hint="default"/>
        </w:rPr>
        <w:t>2019 </w:t>
      </w:r>
      <w:r>
        <w:rPr/>
        <w:t>年度股东大会审议。</w:t>
      </w:r>
    </w:p>
    <w:p>
      <w:pPr>
        <w:spacing w:line="240" w:lineRule="auto" w:before="3"/>
        <w:rPr>
          <w:rFonts w:ascii="宋体" w:hAnsi="宋体" w:cs="宋体" w:eastAsia="宋体" w:hint="default"/>
          <w:sz w:val="34"/>
          <w:szCs w:val="34"/>
        </w:rPr>
      </w:pPr>
    </w:p>
    <w:p>
      <w:pPr>
        <w:pStyle w:val="Heading3"/>
        <w:spacing w:line="240" w:lineRule="auto" w:before="0"/>
        <w:ind w:right="996"/>
        <w:jc w:val="left"/>
      </w:pPr>
      <w:r>
        <w:rPr/>
        <w:t>公司近三年（包括本报告期）普通股现金分红情况表</w:t>
      </w:r>
    </w:p>
    <w:p>
      <w:pPr>
        <w:spacing w:before="16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6"/>
        <w:gridCol w:w="1197"/>
        <w:gridCol w:w="1184"/>
        <w:gridCol w:w="1208"/>
        <w:gridCol w:w="1184"/>
      </w:tblGrid>
      <w:tr>
        <w:trPr>
          <w:trHeight w:val="161" w:hRule="exact"/>
        </w:trPr>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
        </w:tc>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51" w:right="41"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3"/>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7" w:type="dxa"/>
            <w:vMerge/>
            <w:tcBorders>
              <w:left w:val="single" w:sz="4" w:space="0" w:color="000000"/>
              <w:right w:val="single" w:sz="4" w:space="0" w:color="000000"/>
            </w:tcBorders>
            <w:shd w:val="clear" w:color="auto" w:fill="D2D2D2"/>
          </w:tcPr>
          <w:p>
            <w:pPr/>
          </w:p>
        </w:tc>
        <w:tc>
          <w:tcPr>
            <w:tcW w:w="11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41"/>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1"/>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51"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24" w:right="141"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4"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5,265,386.00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51,723,043.25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10.18%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5,265,386.00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10.18%</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5,294,172.00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36,361,863.23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14.56%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5,294,172.00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14.56%</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5,220,772.00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50,296,660.75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10.38%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5,220,772.00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10.38%</w:t>
            </w:r>
          </w:p>
        </w:tc>
      </w:tr>
    </w:tbl>
    <w:p>
      <w:pPr>
        <w:pStyle w:val="Heading3"/>
        <w:spacing w:line="240" w:lineRule="auto" w:before="39"/>
        <w:ind w:right="996"/>
        <w:jc w:val="left"/>
      </w:pPr>
      <w:r>
        <w:rPr/>
        <w:t>公司报告期内盈利且母公司可供普通股股东分配利润为正但未提出普通股现金红利分配预案</w:t>
      </w:r>
    </w:p>
    <w:p>
      <w:pPr>
        <w:spacing w:line="499" w:lineRule="auto" w:before="154"/>
        <w:ind w:left="152" w:right="8345"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二、承诺事项履行情况</w:t>
      </w:r>
      <w:r>
        <w:rPr>
          <w:rFonts w:ascii="宋体" w:hAnsi="宋体" w:cs="宋体" w:eastAsia="宋体" w:hint="default"/>
          <w:sz w:val="24"/>
          <w:szCs w:val="24"/>
        </w:rPr>
      </w:r>
    </w:p>
    <w:p>
      <w:pPr>
        <w:pStyle w:val="Heading2"/>
        <w:spacing w:line="338" w:lineRule="auto" w:before="118"/>
        <w:ind w:right="1119"/>
        <w:jc w:val="left"/>
        <w:rPr>
          <w:b w:val="0"/>
          <w:bCs w:val="0"/>
        </w:rPr>
      </w:pPr>
      <w:r>
        <w:rPr>
          <w:rFonts w:ascii="Times New Roman" w:hAnsi="Times New Roman" w:cs="Times New Roman" w:eastAsia="Times New Roman" w:hint="default"/>
          <w:spacing w:val="-3"/>
        </w:rPr>
        <w:t>1</w:t>
      </w:r>
      <w:r>
        <w:rPr>
          <w:spacing w:val="-3"/>
        </w:rPr>
        <w:t>、公司实际控制人、股东、关联方、收购人以及公司等承诺相关方在报告期内履行完毕及截</w:t>
      </w:r>
      <w:r>
        <w:rPr>
          <w:w w:val="99"/>
        </w:rPr>
        <w:t> </w:t>
      </w:r>
      <w:r>
        <w:rPr/>
        <w:t>至报告期末尚未履行完毕的承诺事项</w:t>
      </w:r>
      <w:r>
        <w:rPr>
          <w:b w:val="0"/>
          <w:bCs w:val="0"/>
        </w:rPr>
      </w:r>
    </w:p>
    <w:p>
      <w:pPr>
        <w:pStyle w:val="Heading3"/>
        <w:spacing w:line="240" w:lineRule="auto" w:before="55"/>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5"/>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814"/>
        <w:gridCol w:w="1135"/>
        <w:gridCol w:w="1128"/>
        <w:gridCol w:w="1126"/>
        <w:gridCol w:w="1126"/>
        <w:gridCol w:w="1121"/>
        <w:gridCol w:w="1106"/>
      </w:tblGrid>
      <w:tr>
        <w:trPr>
          <w:trHeight w:val="401" w:hRule="exact"/>
        </w:trPr>
        <w:tc>
          <w:tcPr>
            <w:tcW w:w="2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5" w:hRule="exact"/>
        </w:trPr>
        <w:tc>
          <w:tcPr>
            <w:tcW w:w="2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0"/>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35"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25"/>
        <w:gridCol w:w="1135"/>
        <w:gridCol w:w="1128"/>
        <w:gridCol w:w="1126"/>
        <w:gridCol w:w="1126"/>
        <w:gridCol w:w="1121"/>
        <w:gridCol w:w="1106"/>
      </w:tblGrid>
      <w:tr>
        <w:trPr>
          <w:trHeight w:val="403"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35"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10"/>
        <w:rPr>
          <w:rFonts w:ascii="Times New Roman" w:hAnsi="Times New Roman" w:cs="Times New Roman" w:eastAsia="Times New Roman" w:hint="default"/>
          <w:sz w:val="3"/>
          <w:szCs w:val="3"/>
        </w:rPr>
      </w:pPr>
      <w:r>
        <w:rPr/>
        <w:pict>
          <v:shape style="position:absolute;margin-left:480.100006pt;margin-top:528.909973pt;width:54.85pt;height:313.05pt;mso-position-horizontal-relative:page;mso-position-vertical-relative:page;z-index:-12447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5"/>
                      <w:szCs w:val="25"/>
                    </w:rPr>
                  </w:pPr>
                </w:p>
                <w:p>
                  <w:pPr>
                    <w:spacing w:before="0"/>
                    <w:ind w:left="0" w:right="12" w:firstLine="0"/>
                    <w:jc w:val="right"/>
                    <w:rPr>
                      <w:rFonts w:ascii="Times New Roman" w:hAnsi="Times New Roman" w:cs="Times New Roman" w:eastAsia="Times New Roman" w:hint="default"/>
                      <w:sz w:val="18"/>
                      <w:szCs w:val="18"/>
                    </w:rPr>
                  </w:pPr>
                  <w:r>
                    <w:rPr>
                      <w:rFonts w:ascii="Times New Roman"/>
                      <w:spacing w:val="1"/>
                      <w:sz w:val="18"/>
                    </w:rPr>
                    <w:t>4</w:t>
                  </w:r>
                  <w:r>
                    <w:rPr>
                      <w:rFonts w:ascii="Times New Roman"/>
                      <w:sz w:val="18"/>
                    </w:rPr>
                  </w:r>
                </w:p>
              </w:txbxContent>
            </v:textbox>
            <w10:wrap type="none"/>
          </v:shape>
        </w:pict>
      </w:r>
      <w:r>
        <w:rPr/>
        <w:pict>
          <v:group style="position:absolute;margin-left:55.200001pt;margin-top:55.559982pt;width:484.9pt;height:.1pt;mso-position-horizontal-relative:page;mso-position-vertical-relative:page;z-index:-124475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group style="position:absolute;margin-left:480.100006pt;margin-top:528.909973pt;width:115.05pt;height:313.05pt;mso-position-horizontal-relative:page;mso-position-vertical-relative:page;z-index:-1244728" coordorigin="9602,10578" coordsize="2301,6261">
            <v:group style="position:absolute;left:9602;top:10578;width:1097;height:6261" coordorigin="9602,10578" coordsize="1097,6261">
              <v:shape style="position:absolute;left:9602;top:10578;width:1097;height:6261" coordorigin="9602,10578" coordsize="1097,6261" path="m10699,16838l10699,10578,9602,10578,9602,16838,10699,16838xe" filled="true" fillcolor="#ffffff" stroked="false">
                <v:path arrowok="t"/>
                <v:fill type="solid"/>
              </v:shape>
              <v:shape style="position:absolute;left:10713;top:16134;width:1190;height:536" type="#_x0000_t75" stroked="false">
                <v:imagedata r:id="rId15" o:title=""/>
              </v:shape>
            </v:group>
            <w10:wrap type="none"/>
          </v:group>
        </w:pict>
      </w:r>
    </w:p>
    <w:tbl>
      <w:tblPr>
        <w:tblW w:w="0" w:type="auto"/>
        <w:jc w:val="left"/>
        <w:tblInd w:w="152" w:type="dxa"/>
        <w:tblLayout w:type="fixed"/>
        <w:tblCellMar>
          <w:top w:w="0" w:type="dxa"/>
          <w:left w:w="0" w:type="dxa"/>
          <w:bottom w:w="0" w:type="dxa"/>
          <w:right w:w="0" w:type="dxa"/>
        </w:tblCellMar>
        <w:tblLook w:val="01E0"/>
      </w:tblPr>
      <w:tblGrid>
        <w:gridCol w:w="2838"/>
        <w:gridCol w:w="1123"/>
        <w:gridCol w:w="1128"/>
        <w:gridCol w:w="1140"/>
        <w:gridCol w:w="1111"/>
        <w:gridCol w:w="1121"/>
        <w:gridCol w:w="1106"/>
      </w:tblGrid>
      <w:tr>
        <w:trPr>
          <w:trHeight w:val="338" w:hRule="exact"/>
        </w:trPr>
        <w:tc>
          <w:tcPr>
            <w:tcW w:w="2838"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single" w:sz="4" w:space="0" w:color="000000"/>
              <w:right w:val="nil" w:sz="6" w:space="0" w:color="auto"/>
            </w:tcBorders>
          </w:tcPr>
          <w:p>
            <w:pPr/>
          </w:p>
        </w:tc>
        <w:tc>
          <w:tcPr>
            <w:tcW w:w="1128" w:type="dxa"/>
            <w:tcBorders>
              <w:top w:val="nil" w:sz="6" w:space="0" w:color="auto"/>
              <w:left w:val="nil" w:sz="6" w:space="0" w:color="auto"/>
              <w:bottom w:val="single" w:sz="4" w:space="0" w:color="000000"/>
              <w:right w:val="nil" w:sz="6" w:space="0" w:color="auto"/>
            </w:tcBorders>
          </w:tcPr>
          <w:p>
            <w:pPr/>
          </w:p>
        </w:tc>
        <w:tc>
          <w:tcPr>
            <w:tcW w:w="1140" w:type="dxa"/>
            <w:tcBorders>
              <w:top w:val="nil" w:sz="6" w:space="0" w:color="auto"/>
              <w:left w:val="nil" w:sz="6" w:space="0" w:color="auto"/>
              <w:bottom w:val="single" w:sz="4" w:space="0" w:color="000000"/>
              <w:right w:val="nil" w:sz="6" w:space="0" w:color="auto"/>
            </w:tcBorders>
          </w:tcPr>
          <w:p>
            <w:pPr/>
          </w:p>
        </w:tc>
        <w:tc>
          <w:tcPr>
            <w:tcW w:w="1111" w:type="dxa"/>
            <w:tcBorders>
              <w:top w:val="nil" w:sz="6" w:space="0" w:color="auto"/>
              <w:left w:val="nil" w:sz="6" w:space="0" w:color="auto"/>
              <w:bottom w:val="single" w:sz="4" w:space="0" w:color="000000"/>
              <w:right w:val="nil" w:sz="6" w:space="0" w:color="auto"/>
            </w:tcBorders>
          </w:tcPr>
          <w:p>
            <w:pPr/>
          </w:p>
        </w:tc>
        <w:tc>
          <w:tcPr>
            <w:tcW w:w="1121" w:type="dxa"/>
            <w:tcBorders>
              <w:top w:val="nil" w:sz="6" w:space="0" w:color="auto"/>
              <w:left w:val="nil" w:sz="6" w:space="0" w:color="auto"/>
              <w:bottom w:val="single" w:sz="4" w:space="0" w:color="000000"/>
              <w:right w:val="nil" w:sz="6" w:space="0" w:color="auto"/>
            </w:tcBorders>
          </w:tcPr>
          <w:p>
            <w:pPr/>
          </w:p>
        </w:tc>
        <w:tc>
          <w:tcPr>
            <w:tcW w:w="1106" w:type="dxa"/>
            <w:tcBorders>
              <w:top w:val="nil" w:sz="6" w:space="0" w:color="auto"/>
              <w:left w:val="nil" w:sz="6" w:space="0" w:color="auto"/>
              <w:bottom w:val="single" w:sz="4" w:space="0" w:color="000000"/>
              <w:right w:val="nil" w:sz="6" w:space="0" w:color="auto"/>
            </w:tcBorders>
          </w:tcPr>
          <w:p>
            <w:pPr/>
          </w:p>
        </w:tc>
      </w:tr>
      <w:tr>
        <w:trPr>
          <w:trHeight w:val="15389" w:hRule="exact"/>
        </w:trPr>
        <w:tc>
          <w:tcPr>
            <w:tcW w:w="2838"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3" w:type="dxa"/>
            <w:tcBorders>
              <w:top w:val="single" w:sz="4" w:space="0" w:color="000000"/>
              <w:left w:val="nil" w:sz="6" w:space="0" w:color="auto"/>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6" w:lineRule="auto"/>
              <w:ind w:left="33" w:right="182"/>
              <w:jc w:val="both"/>
              <w:rPr>
                <w:rFonts w:ascii="宋体" w:hAnsi="宋体" w:cs="宋体" w:eastAsia="宋体" w:hint="default"/>
                <w:sz w:val="18"/>
                <w:szCs w:val="18"/>
              </w:rPr>
            </w:pPr>
            <w:r>
              <w:rPr>
                <w:rFonts w:ascii="宋体" w:hAnsi="宋体" w:cs="宋体" w:eastAsia="宋体" w:hint="default"/>
                <w:sz w:val="18"/>
                <w:szCs w:val="18"/>
              </w:rPr>
              <w:t>深圳市宝德 投资控股有 限公司</w:t>
            </w:r>
          </w:p>
        </w:tc>
        <w:tc>
          <w:tcPr>
            <w:tcW w:w="112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40" w:type="dxa"/>
            <w:tcBorders>
              <w:top w:val="single" w:sz="4" w:space="0" w:color="000000"/>
              <w:left w:val="single" w:sz="4" w:space="0" w:color="000000"/>
              <w:bottom w:val="nil" w:sz="6" w:space="0" w:color="auto"/>
              <w:right w:val="single" w:sz="4" w:space="0" w:color="000000"/>
            </w:tcBorders>
          </w:tcPr>
          <w:p>
            <w:pPr>
              <w:pStyle w:val="TableParagraph"/>
              <w:spacing w:line="316" w:lineRule="auto" w:before="49"/>
              <w:ind w:left="24"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税收承诺：</w:t>
            </w:r>
            <w:r>
              <w:rPr>
                <w:rFonts w:ascii="宋体" w:hAnsi="宋体" w:cs="宋体" w:eastAsia="宋体" w:hint="default"/>
                <w:w w:val="99"/>
                <w:sz w:val="18"/>
                <w:szCs w:val="18"/>
              </w:rPr>
              <w:t> </w:t>
            </w:r>
            <w:r>
              <w:rPr>
                <w:rFonts w:ascii="宋体" w:hAnsi="宋体" w:cs="宋体" w:eastAsia="宋体" w:hint="default"/>
                <w:sz w:val="18"/>
                <w:szCs w:val="18"/>
              </w:rPr>
              <w:t>若中青宝网</w:t>
            </w:r>
            <w:r>
              <w:rPr>
                <w:rFonts w:ascii="宋体" w:hAnsi="宋体" w:cs="宋体" w:eastAsia="宋体" w:hint="default"/>
                <w:w w:val="99"/>
                <w:sz w:val="18"/>
                <w:szCs w:val="18"/>
              </w:rPr>
              <w:t> </w:t>
            </w:r>
            <w:r>
              <w:rPr>
                <w:rFonts w:ascii="宋体" w:hAnsi="宋体" w:cs="宋体" w:eastAsia="宋体" w:hint="default"/>
                <w:sz w:val="18"/>
                <w:szCs w:val="18"/>
              </w:rPr>
              <w:t>因在上市之</w:t>
            </w:r>
            <w:r>
              <w:rPr>
                <w:rFonts w:ascii="宋体" w:hAnsi="宋体" w:cs="宋体" w:eastAsia="宋体" w:hint="default"/>
                <w:w w:val="99"/>
                <w:sz w:val="18"/>
                <w:szCs w:val="18"/>
              </w:rPr>
              <w:t> </w:t>
            </w:r>
            <w:r>
              <w:rPr>
                <w:rFonts w:ascii="宋体" w:hAnsi="宋体" w:cs="宋体" w:eastAsia="宋体" w:hint="default"/>
                <w:sz w:val="18"/>
                <w:szCs w:val="18"/>
              </w:rPr>
              <w:t>前的税收缴</w:t>
            </w:r>
            <w:r>
              <w:rPr>
                <w:rFonts w:ascii="宋体" w:hAnsi="宋体" w:cs="宋体" w:eastAsia="宋体" w:hint="default"/>
                <w:w w:val="99"/>
                <w:sz w:val="18"/>
                <w:szCs w:val="18"/>
              </w:rPr>
              <w:t> </w:t>
            </w:r>
            <w:r>
              <w:rPr>
                <w:rFonts w:ascii="宋体" w:hAnsi="宋体" w:cs="宋体" w:eastAsia="宋体" w:hint="default"/>
                <w:sz w:val="18"/>
                <w:szCs w:val="18"/>
              </w:rPr>
              <w:t>纳事宜将来</w:t>
            </w:r>
            <w:r>
              <w:rPr>
                <w:rFonts w:ascii="宋体" w:hAnsi="宋体" w:cs="宋体" w:eastAsia="宋体" w:hint="default"/>
                <w:w w:val="99"/>
                <w:sz w:val="18"/>
                <w:szCs w:val="18"/>
              </w:rPr>
              <w:t> </w:t>
            </w:r>
            <w:r>
              <w:rPr>
                <w:rFonts w:ascii="宋体" w:hAnsi="宋体" w:cs="宋体" w:eastAsia="宋体" w:hint="default"/>
                <w:sz w:val="18"/>
                <w:szCs w:val="18"/>
              </w:rPr>
              <w:t>被主管税务</w:t>
            </w:r>
            <w:r>
              <w:rPr>
                <w:rFonts w:ascii="宋体" w:hAnsi="宋体" w:cs="宋体" w:eastAsia="宋体" w:hint="default"/>
                <w:w w:val="99"/>
                <w:sz w:val="18"/>
                <w:szCs w:val="18"/>
              </w:rPr>
              <w:t> </w:t>
            </w:r>
            <w:r>
              <w:rPr>
                <w:rFonts w:ascii="宋体" w:hAnsi="宋体" w:cs="宋体" w:eastAsia="宋体" w:hint="default"/>
                <w:sz w:val="18"/>
                <w:szCs w:val="18"/>
              </w:rPr>
              <w:t>部门处罚或</w:t>
            </w:r>
            <w:r>
              <w:rPr>
                <w:rFonts w:ascii="宋体" w:hAnsi="宋体" w:cs="宋体" w:eastAsia="宋体" w:hint="default"/>
                <w:w w:val="99"/>
                <w:sz w:val="18"/>
                <w:szCs w:val="18"/>
              </w:rPr>
              <w:t> </w:t>
            </w:r>
            <w:r>
              <w:rPr>
                <w:rFonts w:ascii="宋体" w:hAnsi="宋体" w:cs="宋体" w:eastAsia="宋体" w:hint="default"/>
                <w:sz w:val="18"/>
                <w:szCs w:val="18"/>
              </w:rPr>
              <w:t>遭受其他任</w:t>
            </w:r>
            <w:r>
              <w:rPr>
                <w:rFonts w:ascii="宋体" w:hAnsi="宋体" w:cs="宋体" w:eastAsia="宋体" w:hint="default"/>
                <w:w w:val="99"/>
                <w:sz w:val="18"/>
                <w:szCs w:val="18"/>
              </w:rPr>
              <w:t> </w:t>
            </w:r>
            <w:r>
              <w:rPr>
                <w:rFonts w:ascii="宋体" w:hAnsi="宋体" w:cs="宋体" w:eastAsia="宋体" w:hint="default"/>
                <w:sz w:val="18"/>
                <w:szCs w:val="18"/>
              </w:rPr>
              <w:t>何损失，均由</w:t>
            </w:r>
            <w:r>
              <w:rPr>
                <w:rFonts w:ascii="宋体" w:hAnsi="宋体" w:cs="宋体" w:eastAsia="宋体" w:hint="default"/>
                <w:w w:val="99"/>
                <w:sz w:val="18"/>
                <w:szCs w:val="18"/>
              </w:rPr>
              <w:t> </w:t>
            </w:r>
            <w:r>
              <w:rPr>
                <w:rFonts w:ascii="宋体" w:hAnsi="宋体" w:cs="宋体" w:eastAsia="宋体" w:hint="default"/>
                <w:sz w:val="18"/>
                <w:szCs w:val="18"/>
              </w:rPr>
              <w:t>本公司承担。</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社保承诺：</w:t>
            </w:r>
            <w:r>
              <w:rPr>
                <w:rFonts w:ascii="宋体" w:hAnsi="宋体" w:cs="宋体" w:eastAsia="宋体" w:hint="default"/>
                <w:w w:val="99"/>
                <w:sz w:val="18"/>
                <w:szCs w:val="18"/>
              </w:rPr>
              <w:t> </w:t>
            </w:r>
            <w:r>
              <w:rPr>
                <w:rFonts w:ascii="宋体" w:hAnsi="宋体" w:cs="宋体" w:eastAsia="宋体" w:hint="default"/>
                <w:sz w:val="18"/>
                <w:szCs w:val="18"/>
              </w:rPr>
              <w:t>如有关社保</w:t>
            </w:r>
            <w:r>
              <w:rPr>
                <w:rFonts w:ascii="宋体" w:hAnsi="宋体" w:cs="宋体" w:eastAsia="宋体" w:hint="default"/>
                <w:w w:val="99"/>
                <w:sz w:val="18"/>
                <w:szCs w:val="18"/>
              </w:rPr>
              <w:t> </w:t>
            </w:r>
            <w:r>
              <w:rPr>
                <w:rFonts w:ascii="宋体" w:hAnsi="宋体" w:cs="宋体" w:eastAsia="宋体" w:hint="default"/>
                <w:sz w:val="18"/>
                <w:szCs w:val="18"/>
              </w:rPr>
              <w:t>主管部门在</w:t>
            </w:r>
            <w:r>
              <w:rPr>
                <w:rFonts w:ascii="宋体" w:hAnsi="宋体" w:cs="宋体" w:eastAsia="宋体" w:hint="default"/>
                <w:w w:val="99"/>
                <w:sz w:val="18"/>
                <w:szCs w:val="18"/>
              </w:rPr>
              <w:t> </w:t>
            </w:r>
            <w:r>
              <w:rPr>
                <w:rFonts w:ascii="宋体" w:hAnsi="宋体" w:cs="宋体" w:eastAsia="宋体" w:hint="default"/>
                <w:sz w:val="18"/>
                <w:szCs w:val="18"/>
              </w:rPr>
              <w:t>任何时候依</w:t>
            </w:r>
            <w:r>
              <w:rPr>
                <w:rFonts w:ascii="宋体" w:hAnsi="宋体" w:cs="宋体" w:eastAsia="宋体" w:hint="default"/>
                <w:w w:val="99"/>
                <w:sz w:val="18"/>
                <w:szCs w:val="18"/>
              </w:rPr>
              <w:t> </w:t>
            </w:r>
            <w:r>
              <w:rPr>
                <w:rFonts w:ascii="宋体" w:hAnsi="宋体" w:cs="宋体" w:eastAsia="宋体" w:hint="default"/>
                <w:sz w:val="18"/>
                <w:szCs w:val="18"/>
              </w:rPr>
              <w:t>法要求中青</w:t>
            </w:r>
            <w:r>
              <w:rPr>
                <w:rFonts w:ascii="宋体" w:hAnsi="宋体" w:cs="宋体" w:eastAsia="宋体" w:hint="default"/>
                <w:w w:val="99"/>
                <w:sz w:val="18"/>
                <w:szCs w:val="18"/>
              </w:rPr>
              <w:t> </w:t>
            </w:r>
            <w:r>
              <w:rPr>
                <w:rFonts w:ascii="宋体" w:hAnsi="宋体" w:cs="宋体" w:eastAsia="宋体" w:hint="default"/>
                <w:sz w:val="18"/>
                <w:szCs w:val="18"/>
              </w:rPr>
              <w:t>宝网补缴在</w:t>
            </w:r>
            <w:r>
              <w:rPr>
                <w:rFonts w:ascii="宋体" w:hAnsi="宋体" w:cs="宋体" w:eastAsia="宋体" w:hint="default"/>
                <w:w w:val="99"/>
                <w:sz w:val="18"/>
                <w:szCs w:val="18"/>
              </w:rPr>
              <w:t> </w:t>
            </w:r>
            <w:r>
              <w:rPr>
                <w:rFonts w:ascii="宋体" w:hAnsi="宋体" w:cs="宋体" w:eastAsia="宋体" w:hint="default"/>
                <w:sz w:val="18"/>
                <w:szCs w:val="18"/>
              </w:rPr>
              <w:t>其首次公开</w:t>
            </w:r>
            <w:r>
              <w:rPr>
                <w:rFonts w:ascii="宋体" w:hAnsi="宋体" w:cs="宋体" w:eastAsia="宋体" w:hint="default"/>
                <w:w w:val="99"/>
                <w:sz w:val="18"/>
                <w:szCs w:val="18"/>
              </w:rPr>
              <w:t> </w:t>
            </w:r>
            <w:r>
              <w:rPr>
                <w:rFonts w:ascii="宋体" w:hAnsi="宋体" w:cs="宋体" w:eastAsia="宋体" w:hint="default"/>
                <w:sz w:val="18"/>
                <w:szCs w:val="18"/>
              </w:rPr>
              <w:t>发行股票之</w:t>
            </w:r>
            <w:r>
              <w:rPr>
                <w:rFonts w:ascii="宋体" w:hAnsi="宋体" w:cs="宋体" w:eastAsia="宋体" w:hint="default"/>
                <w:w w:val="99"/>
                <w:sz w:val="18"/>
                <w:szCs w:val="18"/>
              </w:rPr>
              <w:t> </w:t>
            </w:r>
            <w:r>
              <w:rPr>
                <w:rFonts w:ascii="宋体" w:hAnsi="宋体" w:cs="宋体" w:eastAsia="宋体" w:hint="default"/>
                <w:sz w:val="18"/>
                <w:szCs w:val="18"/>
              </w:rPr>
              <w:t>前任何期间</w:t>
            </w:r>
            <w:r>
              <w:rPr>
                <w:rFonts w:ascii="宋体" w:hAnsi="宋体" w:cs="宋体" w:eastAsia="宋体" w:hint="default"/>
                <w:w w:val="99"/>
                <w:sz w:val="18"/>
                <w:szCs w:val="18"/>
              </w:rPr>
              <w:t> </w:t>
            </w:r>
            <w:r>
              <w:rPr>
                <w:rFonts w:ascii="宋体" w:hAnsi="宋体" w:cs="宋体" w:eastAsia="宋体" w:hint="default"/>
                <w:sz w:val="18"/>
                <w:szCs w:val="18"/>
              </w:rPr>
              <w:t>内应缴的社</w:t>
            </w:r>
            <w:r>
              <w:rPr>
                <w:rFonts w:ascii="宋体" w:hAnsi="宋体" w:cs="宋体" w:eastAsia="宋体" w:hint="default"/>
                <w:w w:val="99"/>
                <w:sz w:val="18"/>
                <w:szCs w:val="18"/>
              </w:rPr>
              <w:t> </w:t>
            </w:r>
            <w:r>
              <w:rPr>
                <w:rFonts w:ascii="宋体" w:hAnsi="宋体" w:cs="宋体" w:eastAsia="宋体" w:hint="default"/>
                <w:sz w:val="18"/>
                <w:szCs w:val="18"/>
              </w:rPr>
              <w:t>会保险费用</w:t>
            </w:r>
          </w:p>
          <w:p>
            <w:pPr>
              <w:pStyle w:val="TableParagraph"/>
              <w:spacing w:line="316" w:lineRule="auto" w:before="19"/>
              <w:ind w:left="24" w:right="24"/>
              <w:jc w:val="left"/>
              <w:rPr>
                <w:rFonts w:ascii="宋体" w:hAnsi="宋体" w:cs="宋体" w:eastAsia="宋体" w:hint="default"/>
                <w:sz w:val="18"/>
                <w:szCs w:val="18"/>
              </w:rPr>
            </w:pPr>
            <w:r>
              <w:rPr>
                <w:rFonts w:ascii="宋体" w:hAnsi="宋体" w:cs="宋体" w:eastAsia="宋体" w:hint="default"/>
                <w:sz w:val="18"/>
                <w:szCs w:val="18"/>
              </w:rPr>
              <w:t>（包括但不 限于基本养 老保险、基本 医疗保险、工 伤保险、生育 保险五种基 本保险和住 </w:t>
            </w:r>
            <w:r>
              <w:rPr>
                <w:rFonts w:ascii="宋体" w:hAnsi="宋体" w:cs="宋体" w:eastAsia="宋体" w:hint="default"/>
                <w:spacing w:val="-16"/>
                <w:sz w:val="18"/>
                <w:szCs w:val="18"/>
              </w:rPr>
              <w:t>房公积金），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则本公司将 无条件连带 地全额承担 </w:t>
            </w:r>
            <w:r>
              <w:rPr>
                <w:rFonts w:ascii="宋体" w:hAnsi="宋体" w:cs="宋体" w:eastAsia="宋体" w:hint="default"/>
                <w:spacing w:val="-5"/>
                <w:sz w:val="18"/>
                <w:szCs w:val="18"/>
              </w:rPr>
              <w:t>相关费用。</w:t>
            </w:r>
            <w:r>
              <w:rPr>
                <w:rFonts w:ascii="Times New Roman" w:hAnsi="Times New Roman" w:cs="Times New Roman" w:eastAsia="Times New Roman" w:hint="default"/>
                <w:spacing w:val="-5"/>
                <w:sz w:val="18"/>
                <w:szCs w:val="18"/>
              </w:rPr>
              <w:t>(3)</w:t>
            </w:r>
            <w:r>
              <w:rPr>
                <w:rFonts w:ascii="Times New Roman" w:hAnsi="Times New Roman" w:cs="Times New Roman" w:eastAsia="Times New Roman" w:hint="default"/>
                <w:sz w:val="18"/>
                <w:szCs w:val="18"/>
              </w:rPr>
              <w:t> </w:t>
            </w:r>
            <w:r>
              <w:rPr>
                <w:rFonts w:ascii="宋体" w:hAnsi="宋体" w:cs="宋体" w:eastAsia="宋体" w:hint="default"/>
                <w:sz w:val="18"/>
                <w:szCs w:val="18"/>
              </w:rPr>
              <w:t>避免同业竞 争的承诺：在 本公司作为 中青宝网控 股股东期间， 保证不自营 或以合资、合 作等方式经 营任何与中 青宝网现从 事的业务有 竞争的业务， 本公司现有 的或将来成 立的全资子 公司、控股子</w:t>
            </w:r>
          </w:p>
        </w:tc>
        <w:tc>
          <w:tcPr>
            <w:tcW w:w="1111"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分别为：长 </w:t>
            </w:r>
            <w:r>
              <w:rPr>
                <w:rFonts w:ascii="宋体" w:hAnsi="宋体" w:cs="宋体" w:eastAsia="宋体" w:hint="default"/>
                <w:spacing w:val="-3"/>
                <w:sz w:val="18"/>
                <w:szCs w:val="18"/>
              </w:rPr>
              <w:t>期、长期、在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深圳市宝德 投资控股有 限公司作为 中青宝控股 股东期间。</w:t>
            </w:r>
          </w:p>
        </w:tc>
        <w:tc>
          <w:tcPr>
            <w:tcW w:w="1106"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footerReference w:type="default" r:id="rId14"/>
          <w:pgSz w:w="11910" w:h="16840"/>
          <w:pgMar w:footer="0" w:header="745" w:top="1060" w:bottom="0" w:left="980" w:right="0"/>
        </w:sectPr>
      </w:pPr>
    </w:p>
    <w:p>
      <w:pPr>
        <w:spacing w:line="240" w:lineRule="auto" w:before="2"/>
        <w:rPr>
          <w:rFonts w:ascii="Times New Roman" w:hAnsi="Times New Roman" w:cs="Times New Roman" w:eastAsia="Times New Roman" w:hint="default"/>
          <w:sz w:val="3"/>
          <w:szCs w:val="3"/>
        </w:rPr>
      </w:pPr>
      <w:r>
        <w:rPr/>
        <w:pict>
          <v:shape style="position:absolute;margin-left:535.634705pt;margin-top:806.72052pt;width:59.493346pt;height:26.794713pt;mso-position-horizontal-relative:page;mso-position-vertical-relative:page;z-index:1552" type="#_x0000_t75" stroked="false">
            <v:imagedata r:id="rId15" o:title=""/>
          </v:shape>
        </w:pict>
      </w: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6956"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3"/>
                <w:sz w:val="18"/>
                <w:szCs w:val="18"/>
              </w:rPr>
              <w:t>李瑞杰、张云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霞</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
              <w:jc w:val="left"/>
              <w:rPr>
                <w:rFonts w:ascii="宋体" w:hAnsi="宋体" w:cs="宋体" w:eastAsia="宋体" w:hint="default"/>
                <w:sz w:val="18"/>
                <w:szCs w:val="18"/>
              </w:rPr>
            </w:pPr>
            <w:r>
              <w:rPr>
                <w:rFonts w:ascii="宋体" w:hAnsi="宋体" w:cs="宋体" w:eastAsia="宋体" w:hint="default"/>
                <w:sz w:val="18"/>
                <w:szCs w:val="18"/>
              </w:rPr>
              <w:t>在本人作为 中青宝网实 际控制人期 间，保证不自 营或以合资、 合作等方式 经营任何与 中青宝网现 从事的业务 有竞争的业 务，本人现有 的或将来成 立的全资子 公司、控股子 公司以及其 他受本公司 控制的企业 亦不会经营 与中青宝网 现从事的业 务有竞争的 业务。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pacing w:val="-3"/>
                <w:sz w:val="18"/>
                <w:szCs w:val="18"/>
              </w:rPr>
              <w:t>李瑞杰、张云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霞作为中青 宝网实际控 制人期间。</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footerReference w:type="default" r:id="rId16"/>
          <w:pgSz w:w="11910" w:h="16840"/>
          <w:pgMar w:footer="0" w:header="745" w:top="1060" w:bottom="0" w:left="980" w:right="0"/>
        </w:sectPr>
      </w:pPr>
    </w:p>
    <w:p>
      <w:pPr>
        <w:spacing w:line="240" w:lineRule="auto" w:before="10"/>
        <w:rPr>
          <w:rFonts w:ascii="Times New Roman" w:hAnsi="Times New Roman" w:cs="Times New Roman" w:eastAsia="Times New Roman" w:hint="default"/>
          <w:sz w:val="3"/>
          <w:szCs w:val="3"/>
        </w:rPr>
      </w:pPr>
      <w:r>
        <w:rPr/>
        <w:pict>
          <v:shape style="position:absolute;margin-left:361.630005pt;margin-top:72.475983pt;width:61.8pt;height:686.5pt;mso-position-horizontal-relative:page;mso-position-vertical-relative:page;z-index:-12446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05"/>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480.100006pt;margin-top:782.933899pt;width:54.85pt;height:59pt;mso-position-horizontal-relative:page;mso-position-vertical-relative:page;z-index:-1244632" type="#_x0000_t202" filled="false" stroked="false">
            <v:textbox inset="0,0,0,0">
              <w:txbxContent>
                <w:p>
                  <w:pPr>
                    <w:spacing w:line="184" w:lineRule="exact" w:before="0"/>
                    <w:ind w:left="0" w:right="12" w:firstLine="0"/>
                    <w:jc w:val="right"/>
                    <w:rPr>
                      <w:rFonts w:ascii="Times New Roman" w:hAnsi="Times New Roman" w:cs="Times New Roman" w:eastAsia="Times New Roman" w:hint="default"/>
                      <w:sz w:val="18"/>
                      <w:szCs w:val="18"/>
                    </w:rPr>
                  </w:pPr>
                  <w:r>
                    <w:rPr>
                      <w:rFonts w:ascii="Times New Roman"/>
                      <w:spacing w:val="1"/>
                      <w:sz w:val="18"/>
                    </w:rPr>
                    <w:t>4</w:t>
                  </w:r>
                  <w:r>
                    <w:rPr>
                      <w:rFonts w:ascii="Times New Roman"/>
                      <w:sz w:val="18"/>
                    </w:rPr>
                  </w:r>
                </w:p>
              </w:txbxContent>
            </v:textbox>
            <w10:wrap type="none"/>
          </v:shape>
        </w:pict>
      </w:r>
      <w:r>
        <w:rPr/>
        <w:pict>
          <v:group style="position:absolute;margin-left:55.200001pt;margin-top:55.559982pt;width:484.9pt;height:.1pt;mso-position-horizontal-relative:page;mso-position-vertical-relative:page;z-index:-124460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group style="position:absolute;margin-left:56.400002pt;margin-top:71.759979pt;width:538.75pt;height:770.4pt;mso-position-horizontal-relative:page;mso-position-vertical-relative:page;z-index:-1244584" coordorigin="1128,1435" coordsize="10775,15408">
            <v:group style="position:absolute;left:1140;top:1450;width:2826;height:15389" coordorigin="1140,1450" coordsize="2826,15389">
              <v:shape style="position:absolute;left:1140;top:1450;width:2826;height:15389" coordorigin="1140,1450" coordsize="2826,15389" path="m3966,16838l3966,1450,1140,1450,1140,16838,3966,16838xe" filled="true" fillcolor="#d2d2d2" stroked="false">
                <v:path arrowok="t"/>
                <v:fill type="solid"/>
              </v:shape>
            </v:group>
            <v:group style="position:absolute;left:1138;top:1445;width:2829;height:2" coordorigin="1138,1445" coordsize="2829,2">
              <v:shape style="position:absolute;left:1138;top:1445;width:2829;height:2" coordorigin="1138,1445" coordsize="2829,0" path="m1138,1445l3966,1445e" filled="false" stroked="true" strokeweight=".48pt" strokecolor="#000000">
                <v:path arrowok="t"/>
              </v:shape>
            </v:group>
            <v:group style="position:absolute;left:3975;top:1445;width:1114;height:2" coordorigin="3975,1445" coordsize="1114,2">
              <v:shape style="position:absolute;left:3975;top:1445;width:1114;height:2" coordorigin="3975,1445" coordsize="1114,0" path="m3975,1445l5089,1445e" filled="false" stroked="true" strokeweight=".48pt" strokecolor="#000000">
                <v:path arrowok="t"/>
              </v:shape>
            </v:group>
            <v:group style="position:absolute;left:5099;top:1445;width:1119;height:2" coordorigin="5099,1445" coordsize="1119,2">
              <v:shape style="position:absolute;left:5099;top:1445;width:1119;height:2" coordorigin="5099,1445" coordsize="1119,0" path="m5099,1445l6217,1445e" filled="false" stroked="true" strokeweight=".48pt" strokecolor="#000000">
                <v:path arrowok="t"/>
              </v:shape>
            </v:group>
            <v:group style="position:absolute;left:7353;top:1450;width:1116;height:13730" coordorigin="7353,1450" coordsize="1116,13730">
              <v:shape style="position:absolute;left:7353;top:1450;width:1116;height:13730" coordorigin="7353,1450" coordsize="1116,13730" path="m7353,15180l8469,15180,8469,1450,7353,1450,7353,15180xe" filled="true" fillcolor="#ffffff" stroked="false">
                <v:path arrowok="t"/>
                <v:fill type="solid"/>
              </v:shape>
            </v:group>
            <v:group style="position:absolute;left:6227;top:1445;width:1116;height:2" coordorigin="6227,1445" coordsize="1116,2">
              <v:shape style="position:absolute;left:6227;top:1445;width:1116;height:2" coordorigin="6227,1445" coordsize="1116,0" path="m6227,1445l7343,1445e" filled="false" stroked="true" strokeweight=".48pt" strokecolor="#000000">
                <v:path arrowok="t"/>
              </v:shape>
            </v:group>
            <v:group style="position:absolute;left:7353;top:1445;width:1116;height:2" coordorigin="7353,1445" coordsize="1116,2">
              <v:shape style="position:absolute;left:7353;top:1445;width:1116;height:2" coordorigin="7353,1445" coordsize="1116,0" path="m7353,1445l8469,1445e" filled="false" stroked="true" strokeweight=".48pt" strokecolor="#000000">
                <v:path arrowok="t"/>
              </v:shape>
            </v:group>
            <v:group style="position:absolute;left:8478;top:1445;width:1112;height:2" coordorigin="8478,1445" coordsize="1112,2">
              <v:shape style="position:absolute;left:8478;top:1445;width:1112;height:2" coordorigin="8478,1445" coordsize="1112,0" path="m8478,1445l9590,1445e" filled="false" stroked="true" strokeweight=".48pt" strokecolor="#000000">
                <v:path arrowok="t"/>
              </v:shape>
            </v:group>
            <v:group style="position:absolute;left:9600;top:1445;width:1097;height:2" coordorigin="9600,1445" coordsize="1097,2">
              <v:shape style="position:absolute;left:9600;top:1445;width:1097;height:2" coordorigin="9600,1445" coordsize="1097,0" path="m9600,1445l10696,1445e" filled="false" stroked="true" strokeweight=".48pt" strokecolor="#000000">
                <v:path arrowok="t"/>
              </v:shape>
            </v:group>
            <v:group style="position:absolute;left:1133;top:1440;width:2;height:15399" coordorigin="1133,1440" coordsize="2,15399">
              <v:shape style="position:absolute;left:1133;top:1440;width:2;height:15399" coordorigin="1133,1440" coordsize="0,15399" path="m1133,1440l1133,16838e" filled="false" stroked="true" strokeweight=".48pt" strokecolor="#000000">
                <v:path arrowok="t"/>
              </v:shape>
            </v:group>
            <v:group style="position:absolute;left:7348;top:1440;width:2;height:15399" coordorigin="7348,1440" coordsize="2,15399">
              <v:shape style="position:absolute;left:7348;top:1440;width:2;height:15399" coordorigin="7348,1440" coordsize="0,15399" path="m7348,1440l7348,16838e" filled="false" stroked="true" strokeweight=".47998pt" strokecolor="#000000">
                <v:path arrowok="t"/>
              </v:shape>
            </v:group>
            <v:group style="position:absolute;left:9602;top:15727;width:1097;height:1112" coordorigin="9602,15727" coordsize="1097,1112">
              <v:shape style="position:absolute;left:9602;top:15727;width:1097;height:1112" coordorigin="9602,15727" coordsize="1097,1112" path="m10699,16838l10699,15727,9602,15727,9602,16838,10699,16838xe" filled="true" fillcolor="#ffffff" stroked="false">
                <v:path arrowok="t"/>
                <v:fill type="solid"/>
              </v:shape>
              <v:shape style="position:absolute;left:10713;top:16134;width:1190;height:536" type="#_x0000_t75" stroked="false">
                <v:imagedata r:id="rId15" o:title=""/>
              </v:shape>
            </v:group>
            <w10:wrap type="none"/>
          </v:group>
        </w:pict>
      </w:r>
    </w:p>
    <w:tbl>
      <w:tblPr>
        <w:tblW w:w="0" w:type="auto"/>
        <w:jc w:val="left"/>
        <w:tblInd w:w="2985" w:type="dxa"/>
        <w:tblLayout w:type="fixed"/>
        <w:tblCellMar>
          <w:top w:w="0" w:type="dxa"/>
          <w:left w:w="0" w:type="dxa"/>
          <w:bottom w:w="0" w:type="dxa"/>
          <w:right w:w="0" w:type="dxa"/>
        </w:tblCellMar>
        <w:tblLook w:val="01E0"/>
      </w:tblPr>
      <w:tblGrid>
        <w:gridCol w:w="1123"/>
        <w:gridCol w:w="1128"/>
        <w:gridCol w:w="1172"/>
        <w:gridCol w:w="1079"/>
        <w:gridCol w:w="1121"/>
        <w:gridCol w:w="1106"/>
      </w:tblGrid>
      <w:tr>
        <w:trPr>
          <w:trHeight w:val="334" w:hRule="exact"/>
        </w:trPr>
        <w:tc>
          <w:tcPr>
            <w:tcW w:w="1123"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r>
      <w:tr>
        <w:trPr>
          <w:trHeight w:val="15394" w:hRule="exact"/>
        </w:trPr>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董事长承诺</w:t>
            </w:r>
          </w:p>
        </w:tc>
        <w:tc>
          <w:tcPr>
            <w:tcW w:w="1172" w:type="dxa"/>
            <w:tcBorders>
              <w:top w:val="nil" w:sz="6" w:space="0" w:color="auto"/>
              <w:left w:val="single" w:sz="4" w:space="0" w:color="000000"/>
              <w:bottom w:val="nil" w:sz="6" w:space="0" w:color="auto"/>
              <w:right w:val="nil" w:sz="6" w:space="0" w:color="auto"/>
            </w:tcBorders>
          </w:tcPr>
          <w:p>
            <w:pPr>
              <w:pStyle w:val="TableParagraph"/>
              <w:spacing w:line="316" w:lineRule="auto" w:before="53"/>
              <w:ind w:left="24" w:right="6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、将严格依 照发行人的 章程、有关法 </w:t>
            </w:r>
            <w:r>
              <w:rPr>
                <w:rFonts w:ascii="宋体" w:hAnsi="宋体" w:cs="宋体" w:eastAsia="宋体" w:hint="default"/>
                <w:spacing w:val="-16"/>
                <w:sz w:val="18"/>
                <w:szCs w:val="18"/>
              </w:rPr>
              <w:t>律法规、《深</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圳证券交易 所创业板股 票上市规则》 及《深圳证券</w:t>
            </w:r>
            <w:r>
              <w:rPr>
                <w:rFonts w:ascii="宋体" w:hAnsi="宋体" w:cs="宋体" w:eastAsia="宋体" w:hint="default"/>
                <w:sz w:val="18"/>
                <w:szCs w:val="18"/>
              </w:rPr>
              <w:t> 交易所创业 板上市公司 规范运作指 引》中关于董 事行为规范、 董事长特别 行为规范的 要求，客观、 公正、独立地 履行董事职 责，保证足够 的时间和精 力来行使董 事职权，切实 维护发行人 及其他股东 的利益。</w:t>
            </w:r>
            <w:r>
              <w:rPr>
                <w:rFonts w:ascii="Times New Roman" w:hAnsi="Times New Roman" w:cs="Times New Roman" w:eastAsia="Times New Roman" w:hint="default"/>
                <w:sz w:val="18"/>
                <w:szCs w:val="18"/>
              </w:rPr>
              <w:t>2</w:t>
            </w:r>
            <w:r>
              <w:rPr>
                <w:rFonts w:ascii="宋体" w:hAnsi="宋体" w:cs="宋体" w:eastAsia="宋体" w:hint="default"/>
                <w:sz w:val="18"/>
                <w:szCs w:val="18"/>
              </w:rPr>
              <w:t>、 作为中青宝 网的实际控 制人，本人未 来仍将不会 在发行人担 任行政职务， 亦不会直接 参与发行人 的日常经营 管理，以避免 可能产生的 利益冲突。</w:t>
            </w:r>
            <w:r>
              <w:rPr>
                <w:rFonts w:ascii="Times New Roman" w:hAnsi="Times New Roman" w:cs="Times New Roman" w:eastAsia="Times New Roman" w:hint="default"/>
                <w:sz w:val="18"/>
                <w:szCs w:val="18"/>
              </w:rPr>
              <w:t>3 </w:t>
            </w:r>
            <w:r>
              <w:rPr>
                <w:rFonts w:ascii="宋体" w:hAnsi="宋体" w:cs="宋体" w:eastAsia="宋体" w:hint="default"/>
                <w:sz w:val="18"/>
                <w:szCs w:val="18"/>
              </w:rPr>
              <w:t>本人承诺未 来不会利用 控股股东或 实际控制人 的地位。从事 任何可能损 害发行人或 其他股东合 法权益的行 为，包括但不 限于：其及其 所控制的企</w:t>
            </w:r>
          </w:p>
        </w:tc>
        <w:tc>
          <w:tcPr>
            <w:tcW w:w="1079"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19"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316" w:lineRule="auto"/>
              <w:ind w:left="23" w:right="185"/>
              <w:jc w:val="both"/>
              <w:rPr>
                <w:rFonts w:ascii="宋体" w:hAnsi="宋体" w:cs="宋体" w:eastAsia="宋体" w:hint="default"/>
                <w:sz w:val="18"/>
                <w:szCs w:val="18"/>
              </w:rPr>
            </w:pPr>
            <w:r>
              <w:rPr>
                <w:rFonts w:ascii="宋体" w:hAnsi="宋体" w:cs="宋体" w:eastAsia="宋体" w:hint="default"/>
                <w:sz w:val="18"/>
                <w:szCs w:val="18"/>
              </w:rPr>
              <w:t>李瑞杰先生 任职董事长 期间</w:t>
            </w:r>
          </w:p>
        </w:tc>
        <w:tc>
          <w:tcPr>
            <w:tcW w:w="1106" w:type="dxa"/>
            <w:tcBorders>
              <w:top w:val="nil" w:sz="6" w:space="0" w:color="auto"/>
              <w:left w:val="single" w:sz="4" w:space="0" w:color="000000"/>
              <w:bottom w:val="nil" w:sz="6" w:space="0" w:color="auto"/>
              <w:right w:val="single" w:sz="10"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footerReference w:type="default" r:id="rId17"/>
          <w:pgSz w:w="11910" w:h="16840"/>
          <w:pgMar w:footer="0" w:header="745" w:top="1060" w:bottom="0" w:left="980" w:right="980"/>
        </w:sectPr>
      </w:pPr>
    </w:p>
    <w:p>
      <w:pPr>
        <w:spacing w:line="240" w:lineRule="auto" w:before="2"/>
        <w:rPr>
          <w:rFonts w:ascii="Times New Roman" w:hAnsi="Times New Roman" w:cs="Times New Roman" w:eastAsia="Times New Roman" w:hint="default"/>
          <w:sz w:val="3"/>
          <w:szCs w:val="3"/>
        </w:rPr>
      </w:pPr>
      <w:r>
        <w:rPr/>
        <w:pict>
          <v:shape style="position:absolute;margin-left:535.634705pt;margin-top:806.72052pt;width:59.493346pt;height:26.794713pt;mso-position-horizontal-relative:page;mso-position-vertical-relative:page;z-index:1696" type="#_x0000_t75" stroked="false">
            <v:imagedata r:id="rId15" o:title=""/>
          </v:shape>
        </w:pict>
      </w: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524"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187"/>
              <w:jc w:val="both"/>
              <w:rPr>
                <w:rFonts w:ascii="宋体" w:hAnsi="宋体" w:cs="宋体" w:eastAsia="宋体" w:hint="default"/>
                <w:sz w:val="18"/>
                <w:szCs w:val="18"/>
              </w:rPr>
            </w:pPr>
            <w:r>
              <w:rPr>
                <w:rFonts w:ascii="宋体" w:hAnsi="宋体" w:cs="宋体" w:eastAsia="宋体" w:hint="default"/>
                <w:sz w:val="18"/>
                <w:szCs w:val="18"/>
              </w:rPr>
              <w:t>深圳中青宝 互动网络股 份有限公司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公司承诺不 为激励对象 依本激励计 划获取有关 限制性股票 提供贷款以 及其他任何 形式的财务 </w:t>
            </w:r>
            <w:r>
              <w:rPr>
                <w:rFonts w:ascii="宋体" w:hAnsi="宋体" w:cs="宋体" w:eastAsia="宋体" w:hint="default"/>
                <w:spacing w:val="-2"/>
                <w:sz w:val="18"/>
                <w:szCs w:val="18"/>
              </w:rPr>
              <w:t>资助，包括为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其贷款提供 担保</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185"/>
              <w:jc w:val="left"/>
              <w:rPr>
                <w:rFonts w:ascii="宋体" w:hAnsi="宋体" w:cs="宋体" w:eastAsia="宋体" w:hint="default"/>
                <w:sz w:val="18"/>
                <w:szCs w:val="18"/>
              </w:rPr>
            </w:pPr>
            <w:r>
              <w:rPr>
                <w:rFonts w:ascii="宋体" w:hAnsi="宋体" w:cs="宋体" w:eastAsia="宋体" w:hint="default"/>
                <w:sz w:val="18"/>
                <w:szCs w:val="18"/>
              </w:rPr>
              <w:t>股权激励有 效期内</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footerReference w:type="default" r:id="rId18"/>
          <w:pgSz w:w="11910" w:h="16840"/>
          <w:pgMar w:footer="0" w:header="745" w:top="1060" w:bottom="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12885"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316" w:lineRule="auto"/>
              <w:ind w:left="23" w:right="187"/>
              <w:jc w:val="both"/>
              <w:rPr>
                <w:rFonts w:ascii="宋体" w:hAnsi="宋体" w:cs="宋体" w:eastAsia="宋体" w:hint="default"/>
                <w:sz w:val="18"/>
                <w:szCs w:val="18"/>
              </w:rPr>
            </w:pPr>
            <w:r>
              <w:rPr>
                <w:rFonts w:ascii="宋体" w:hAnsi="宋体" w:cs="宋体" w:eastAsia="宋体" w:hint="default"/>
                <w:sz w:val="18"/>
                <w:szCs w:val="18"/>
              </w:rPr>
              <w:t>深圳市宝德 投资控股有 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1"/>
              <w:ind w:left="26" w:right="190"/>
              <w:jc w:val="left"/>
              <w:rPr>
                <w:rFonts w:ascii="宋体" w:hAnsi="宋体" w:cs="宋体" w:eastAsia="宋体" w:hint="default"/>
                <w:sz w:val="18"/>
                <w:szCs w:val="18"/>
              </w:rPr>
            </w:pPr>
            <w:r>
              <w:rPr>
                <w:rFonts w:ascii="宋体" w:hAnsi="宋体" w:cs="宋体" w:eastAsia="宋体" w:hint="default"/>
                <w:sz w:val="18"/>
                <w:szCs w:val="18"/>
              </w:rPr>
              <w:t>股份增持承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公司承诺在 本次使用募 投项目结余 资金永久补 充流动资金 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 不进行此类 高风险投资</w:t>
            </w:r>
          </w:p>
          <w:p>
            <w:pPr>
              <w:pStyle w:val="TableParagraph"/>
              <w:spacing w:line="309" w:lineRule="auto" w:before="20"/>
              <w:ind w:left="24" w:right="1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 三届董事会 第十五次会 </w:t>
            </w:r>
            <w:r>
              <w:rPr>
                <w:rFonts w:ascii="宋体" w:hAnsi="宋体" w:cs="宋体" w:eastAsia="宋体" w:hint="default"/>
                <w:spacing w:val="-2"/>
                <w:sz w:val="18"/>
                <w:szCs w:val="18"/>
              </w:rPr>
              <w:t>议，审议通过</w:t>
            </w:r>
          </w:p>
          <w:p>
            <w:pPr>
              <w:pStyle w:val="TableParagraph"/>
              <w:spacing w:line="316" w:lineRule="auto" w:before="25"/>
              <w:ind w:left="24" w:right="101"/>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《关于终止 募投项目并 将剩余募集 资金永久补 充流动资金 </w:t>
            </w:r>
            <w:r>
              <w:rPr>
                <w:rFonts w:ascii="宋体" w:hAnsi="宋体" w:cs="宋体" w:eastAsia="宋体" w:hint="default"/>
                <w:spacing w:val="-16"/>
                <w:sz w:val="18"/>
                <w:szCs w:val="18"/>
              </w:rPr>
              <w:t>的议案》，该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议案于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p>
          <w:p>
            <w:pPr>
              <w:pStyle w:val="TableParagraph"/>
              <w:spacing w:line="314" w:lineRule="auto"/>
              <w:ind w:left="24" w:right="17"/>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 召开的公司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 股东大会审 </w:t>
            </w:r>
            <w:r>
              <w:rPr>
                <w:rFonts w:ascii="宋体" w:hAnsi="宋体" w:cs="宋体" w:eastAsia="宋体" w:hint="default"/>
                <w:spacing w:val="-2"/>
                <w:sz w:val="18"/>
                <w:szCs w:val="18"/>
              </w:rPr>
              <w:t>议通过了《关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于终止募投 项目并将剩 余募集资金 永久补充流 动资金的议 </w:t>
            </w:r>
            <w:r>
              <w:rPr>
                <w:rFonts w:ascii="宋体" w:hAnsi="宋体" w:cs="宋体" w:eastAsia="宋体" w:hint="default"/>
                <w:spacing w:val="-16"/>
                <w:sz w:val="18"/>
                <w:szCs w:val="18"/>
              </w:rPr>
              <w:t>案》，同意公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司终止实施 募投项目中</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苏州华娱创 新投资发展 有限公司研 发用房项目</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并将该项目 剩余募集资 金永久补充 </w:t>
            </w:r>
            <w:r>
              <w:rPr>
                <w:rFonts w:ascii="宋体" w:hAnsi="宋体" w:cs="宋体" w:eastAsia="宋体" w:hint="default"/>
                <w:spacing w:val="-16"/>
                <w:sz w:val="18"/>
                <w:szCs w:val="18"/>
              </w:rPr>
              <w:t>流动资金。）</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9999 </w:t>
            </w:r>
            <w:r>
              <w:rPr>
                <w:rFonts w:ascii="宋体" w:hAnsi="宋体" w:cs="宋体" w:eastAsia="宋体" w:hint="default"/>
                <w:sz w:val="18"/>
                <w:szCs w:val="18"/>
              </w:rPr>
              <w:t>年</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footerReference w:type="default" r:id="rId19"/>
          <w:pgSz w:w="11910" w:h="16840"/>
          <w:pgMar w:footer="980" w:header="745" w:top="1060" w:bottom="1160" w:left="980" w:right="0"/>
        </w:sectPr>
      </w:pPr>
    </w:p>
    <w:p>
      <w:pPr>
        <w:spacing w:line="240" w:lineRule="auto" w:before="10"/>
        <w:rPr>
          <w:rFonts w:ascii="Times New Roman" w:hAnsi="Times New Roman" w:cs="Times New Roman" w:eastAsia="Times New Roman" w:hint="default"/>
          <w:sz w:val="3"/>
          <w:szCs w:val="3"/>
        </w:rPr>
      </w:pPr>
      <w:r>
        <w:rPr/>
        <w:pict>
          <v:shape style="position:absolute;margin-left:480.100006pt;margin-top:489.909973pt;width:54.85pt;height:352.05pt;mso-position-horizontal-relative:page;mso-position-vertical-relative:page;z-index:-12445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1"/>
                      <w:szCs w:val="21"/>
                    </w:rPr>
                  </w:pPr>
                </w:p>
                <w:p>
                  <w:pPr>
                    <w:spacing w:before="0"/>
                    <w:ind w:left="0" w:right="12" w:firstLine="0"/>
                    <w:jc w:val="right"/>
                    <w:rPr>
                      <w:rFonts w:ascii="Times New Roman" w:hAnsi="Times New Roman" w:cs="Times New Roman" w:eastAsia="Times New Roman" w:hint="default"/>
                      <w:sz w:val="18"/>
                      <w:szCs w:val="18"/>
                    </w:rPr>
                  </w:pPr>
                  <w:r>
                    <w:rPr>
                      <w:rFonts w:ascii="Times New Roman"/>
                      <w:spacing w:val="1"/>
                      <w:sz w:val="18"/>
                    </w:rPr>
                    <w:t>5</w:t>
                  </w:r>
                  <w:r>
                    <w:rPr>
                      <w:rFonts w:ascii="Times New Roman"/>
                      <w:sz w:val="18"/>
                    </w:rPr>
                  </w:r>
                </w:p>
              </w:txbxContent>
            </v:textbox>
            <w10:wrap type="none"/>
          </v:shape>
        </w:pict>
      </w:r>
      <w:r>
        <w:rPr/>
        <w:pict>
          <v:group style="position:absolute;margin-left:55.200001pt;margin-top:55.559982pt;width:484.9pt;height:.1pt;mso-position-horizontal-relative:page;mso-position-vertical-relative:page;z-index:-124448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group style="position:absolute;margin-left:56.400002pt;margin-top:71.759979pt;width:538.75pt;height:770.4pt;mso-position-horizontal-relative:page;mso-position-vertical-relative:page;z-index:-1244464" coordorigin="1128,1435" coordsize="10775,15408">
            <v:group style="position:absolute;left:1140;top:1450;width:2826;height:15389" coordorigin="1140,1450" coordsize="2826,15389">
              <v:shape style="position:absolute;left:1140;top:1450;width:2826;height:15389" coordorigin="1140,1450" coordsize="2826,15389" path="m3966,16838l3966,1450,1140,1450,1140,16838,3966,16838xe" filled="true" fillcolor="#d2d2d2" stroked="false">
                <v:path arrowok="t"/>
                <v:fill type="solid"/>
              </v:shape>
            </v:group>
            <v:group style="position:absolute;left:1138;top:1445;width:2829;height:2" coordorigin="1138,1445" coordsize="2829,2">
              <v:shape style="position:absolute;left:1138;top:1445;width:2829;height:2" coordorigin="1138,1445" coordsize="2829,0" path="m1138,1445l3966,1445e" filled="false" stroked="true" strokeweight=".48pt" strokecolor="#000000">
                <v:path arrowok="t"/>
              </v:shape>
            </v:group>
            <v:group style="position:absolute;left:3975;top:1445;width:1114;height:2" coordorigin="3975,1445" coordsize="1114,2">
              <v:shape style="position:absolute;left:3975;top:1445;width:1114;height:2" coordorigin="3975,1445" coordsize="1114,0" path="m3975,1445l5089,1445e" filled="false" stroked="true" strokeweight=".48pt" strokecolor="#000000">
                <v:path arrowok="t"/>
              </v:shape>
            </v:group>
            <v:group style="position:absolute;left:5099;top:1445;width:1119;height:2" coordorigin="5099,1445" coordsize="1119,2">
              <v:shape style="position:absolute;left:5099;top:1445;width:1119;height:2" coordorigin="5099,1445" coordsize="1119,0" path="m5099,1445l6217,1445e" filled="false" stroked="true" strokeweight=".48pt" strokecolor="#000000">
                <v:path arrowok="t"/>
              </v:shape>
            </v:group>
            <v:group style="position:absolute;left:6227;top:1445;width:1116;height:2" coordorigin="6227,1445" coordsize="1116,2">
              <v:shape style="position:absolute;left:6227;top:1445;width:1116;height:2" coordorigin="6227,1445" coordsize="1116,0" path="m6227,1445l7343,1445e" filled="false" stroked="true" strokeweight=".48pt" strokecolor="#000000">
                <v:path arrowok="t"/>
              </v:shape>
            </v:group>
            <v:group style="position:absolute;left:7353;top:1445;width:1116;height:2" coordorigin="7353,1445" coordsize="1116,2">
              <v:shape style="position:absolute;left:7353;top:1445;width:1116;height:2" coordorigin="7353,1445" coordsize="1116,0" path="m7353,1445l8469,1445e" filled="false" stroked="true" strokeweight=".48pt" strokecolor="#000000">
                <v:path arrowok="t"/>
              </v:shape>
            </v:group>
            <v:group style="position:absolute;left:8478;top:1445;width:1112;height:2" coordorigin="8478,1445" coordsize="1112,2">
              <v:shape style="position:absolute;left:8478;top:1445;width:1112;height:2" coordorigin="8478,1445" coordsize="1112,0" path="m8478,1445l9590,1445e" filled="false" stroked="true" strokeweight=".48pt" strokecolor="#000000">
                <v:path arrowok="t"/>
              </v:shape>
            </v:group>
            <v:group style="position:absolute;left:9600;top:1445;width:1097;height:2" coordorigin="9600,1445" coordsize="1097,2">
              <v:shape style="position:absolute;left:9600;top:1445;width:1097;height:2" coordorigin="9600,1445" coordsize="1097,0" path="m9600,1445l10696,1445e" filled="false" stroked="true" strokeweight=".48pt" strokecolor="#000000">
                <v:path arrowok="t"/>
              </v:shape>
            </v:group>
            <v:group style="position:absolute;left:1133;top:1440;width:2;height:15399" coordorigin="1133,1440" coordsize="2,15399">
              <v:shape style="position:absolute;left:1133;top:1440;width:2;height:15399" coordorigin="1133,1440" coordsize="0,15399" path="m1133,1440l1133,16838e" filled="false" stroked="true" strokeweight=".48pt" strokecolor="#000000">
                <v:path arrowok="t"/>
              </v:shape>
            </v:group>
            <v:group style="position:absolute;left:9602;top:9798;width:1097;height:7041" coordorigin="9602,9798" coordsize="1097,7041">
              <v:shape style="position:absolute;left:9602;top:9798;width:1097;height:7041" coordorigin="9602,9798" coordsize="1097,7041" path="m10699,16838l10699,9798,9602,9798,9602,16838,10699,16838xe" filled="true" fillcolor="#ffffff" stroked="false">
                <v:path arrowok="t"/>
                <v:fill type="solid"/>
              </v:shape>
              <v:shape style="position:absolute;left:10713;top:16134;width:1190;height:536" type="#_x0000_t75" stroked="false">
                <v:imagedata r:id="rId15" o:title=""/>
              </v:shape>
            </v:group>
            <w10:wrap type="none"/>
          </v:group>
        </w:pict>
      </w:r>
    </w:p>
    <w:tbl>
      <w:tblPr>
        <w:tblW w:w="0" w:type="auto"/>
        <w:jc w:val="left"/>
        <w:tblInd w:w="2985" w:type="dxa"/>
        <w:tblLayout w:type="fixed"/>
        <w:tblCellMar>
          <w:top w:w="0" w:type="dxa"/>
          <w:left w:w="0" w:type="dxa"/>
          <w:bottom w:w="0" w:type="dxa"/>
          <w:right w:w="0" w:type="dxa"/>
        </w:tblCellMar>
        <w:tblLook w:val="01E0"/>
      </w:tblPr>
      <w:tblGrid>
        <w:gridCol w:w="1123"/>
        <w:gridCol w:w="1128"/>
        <w:gridCol w:w="1126"/>
        <w:gridCol w:w="1126"/>
        <w:gridCol w:w="1121"/>
        <w:gridCol w:w="1106"/>
      </w:tblGrid>
      <w:tr>
        <w:trPr>
          <w:trHeight w:val="334" w:hRule="exact"/>
        </w:trPr>
        <w:tc>
          <w:tcPr>
            <w:tcW w:w="1123"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r>
      <w:tr>
        <w:trPr>
          <w:trHeight w:val="15394" w:hRule="exact"/>
        </w:trPr>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23"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53"/>
              <w:ind w:left="24" w:right="11"/>
              <w:jc w:val="left"/>
              <w:rPr>
                <w:rFonts w:ascii="宋体" w:hAnsi="宋体" w:cs="宋体" w:eastAsia="宋体" w:hint="default"/>
                <w:sz w:val="18"/>
                <w:szCs w:val="18"/>
              </w:rPr>
            </w:pPr>
            <w:r>
              <w:rPr>
                <w:rFonts w:ascii="宋体" w:hAnsi="宋体" w:cs="宋体" w:eastAsia="宋体" w:hint="default"/>
                <w:sz w:val="18"/>
                <w:szCs w:val="18"/>
              </w:rPr>
              <w:t>董事长、实际 控制人李瑞 杰先生承诺： 公司及全资 子公司全体 员工积极买 入中青宝（股 票代码： </w:t>
            </w:r>
            <w:r>
              <w:rPr>
                <w:rFonts w:ascii="Times New Roman" w:hAnsi="Times New Roman" w:cs="Times New Roman" w:eastAsia="Times New Roman" w:hint="default"/>
                <w:sz w:val="18"/>
                <w:szCs w:val="18"/>
              </w:rPr>
              <w:t>300052</w:t>
            </w:r>
            <w:r>
              <w:rPr>
                <w:rFonts w:ascii="宋体" w:hAnsi="宋体" w:cs="宋体" w:eastAsia="宋体" w:hint="default"/>
                <w:sz w:val="18"/>
                <w:szCs w:val="18"/>
              </w:rPr>
              <w:t>）股</w:t>
            </w:r>
          </w:p>
          <w:p>
            <w:pPr>
              <w:pStyle w:val="TableParagraph"/>
              <w:spacing w:line="248" w:lineRule="exact"/>
              <w:ind w:left="24" w:right="0"/>
              <w:jc w:val="left"/>
              <w:rPr>
                <w:rFonts w:ascii="Times New Roman" w:hAnsi="Times New Roman" w:cs="Times New Roman" w:eastAsia="Times New Roman" w:hint="default"/>
                <w:sz w:val="18"/>
                <w:szCs w:val="18"/>
              </w:rPr>
            </w:pPr>
            <w:r>
              <w:rPr>
                <w:rFonts w:ascii="宋体" w:hAnsi="宋体" w:cs="宋体" w:eastAsia="宋体" w:hint="default"/>
                <w:spacing w:val="-14"/>
                <w:sz w:val="18"/>
                <w:szCs w:val="18"/>
              </w:rPr>
              <w:t>票。凡在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月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6</w:t>
            </w:r>
          </w:p>
          <w:p>
            <w:pPr>
              <w:pStyle w:val="TableParagraph"/>
              <w:spacing w:line="316" w:lineRule="auto" w:before="63"/>
              <w:ind w:left="24" w:right="11"/>
              <w:jc w:val="left"/>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29 </w:t>
            </w:r>
            <w:r>
              <w:rPr>
                <w:rFonts w:ascii="宋体" w:hAnsi="宋体" w:cs="宋体" w:eastAsia="宋体" w:hint="default"/>
                <w:sz w:val="18"/>
                <w:szCs w:val="18"/>
              </w:rPr>
              <w:t>日期间 使用自有资 金（不能使用 融资融券或 者结构化、配 资等）通过二 级市竞价净 买入的中青 宝股票（员工 本人及关联 人卖出的予 </w:t>
            </w:r>
            <w:r>
              <w:rPr>
                <w:rFonts w:ascii="宋体" w:hAnsi="宋体" w:cs="宋体" w:eastAsia="宋体" w:hint="default"/>
                <w:spacing w:val="-16"/>
                <w:sz w:val="18"/>
                <w:szCs w:val="18"/>
              </w:rPr>
              <w:t>以扣除），连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续持有</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个月以上且 在职的员工， 如因在前述 期间买入公 司股票实际 产生的亏损， 由本人予以 补偿，收益则 归员工个人 所有；若未连 续持有</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个月发生减 持行为的，或 从买入后至 员工本人获 得补偿期间 不在职的，则 不予补偿。本 次增持公司 股票的总额 度上限不超 过人民币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亿 元，每位中青 宝员工个人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23" w:right="0"/>
              <w:jc w:val="left"/>
              <w:rPr>
                <w:rFonts w:ascii="宋体" w:hAnsi="宋体" w:cs="宋体" w:eastAsia="宋体" w:hint="default"/>
                <w:sz w:val="18"/>
                <w:szCs w:val="18"/>
              </w:rPr>
            </w:pPr>
            <w:r>
              <w:rPr>
                <w:rFonts w:ascii="宋体" w:hAnsi="宋体" w:cs="宋体" w:eastAsia="宋体" w:hint="default"/>
                <w:sz w:val="18"/>
                <w:szCs w:val="18"/>
              </w:rPr>
              <w:t>履行完毕</w:t>
            </w:r>
          </w:p>
        </w:tc>
      </w:tr>
    </w:tbl>
    <w:p>
      <w:pPr>
        <w:spacing w:after="0" w:line="240" w:lineRule="auto"/>
        <w:jc w:val="left"/>
        <w:rPr>
          <w:rFonts w:ascii="宋体" w:hAnsi="宋体" w:cs="宋体" w:eastAsia="宋体" w:hint="default"/>
          <w:sz w:val="18"/>
          <w:szCs w:val="18"/>
        </w:rPr>
        <w:sectPr>
          <w:footerReference w:type="default" r:id="rId20"/>
          <w:pgSz w:w="11910" w:h="16840"/>
          <w:pgMar w:footer="0" w:header="745" w:top="1060" w:bottom="0" w:left="980" w:right="980"/>
        </w:sectPr>
      </w:pPr>
    </w:p>
    <w:p>
      <w:pPr>
        <w:spacing w:line="240" w:lineRule="auto" w:before="10"/>
        <w:rPr>
          <w:rFonts w:ascii="Times New Roman" w:hAnsi="Times New Roman" w:cs="Times New Roman" w:eastAsia="Times New Roman"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2825"/>
        <w:gridCol w:w="6743"/>
      </w:tblGrid>
      <w:tr>
        <w:trPr>
          <w:trHeight w:val="334" w:hRule="exact"/>
        </w:trPr>
        <w:tc>
          <w:tcPr>
            <w:tcW w:w="2825" w:type="dxa"/>
            <w:tcBorders>
              <w:top w:val="nil" w:sz="6" w:space="0" w:color="auto"/>
              <w:left w:val="nil" w:sz="6" w:space="0" w:color="auto"/>
              <w:bottom w:val="single" w:sz="4" w:space="0" w:color="000000"/>
              <w:right w:val="nil" w:sz="6" w:space="0" w:color="auto"/>
            </w:tcBorders>
          </w:tcPr>
          <w:p>
            <w:pPr/>
          </w:p>
        </w:tc>
        <w:tc>
          <w:tcPr>
            <w:tcW w:w="6743" w:type="dxa"/>
            <w:tcBorders>
              <w:top w:val="nil" w:sz="6" w:space="0" w:color="auto"/>
              <w:left w:val="nil" w:sz="6" w:space="0" w:color="auto"/>
              <w:bottom w:val="single" w:sz="4" w:space="0" w:color="000000"/>
              <w:right w:val="nil" w:sz="6" w:space="0" w:color="auto"/>
            </w:tcBorders>
          </w:tcPr>
          <w:p>
            <w:pPr/>
          </w:p>
        </w:tc>
      </w:tr>
      <w:tr>
        <w:trPr>
          <w:trHeight w:val="403"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Heading2"/>
        <w:spacing w:line="338" w:lineRule="auto" w:before="39"/>
        <w:ind w:right="1119"/>
        <w:jc w:val="left"/>
        <w:rPr>
          <w:b w:val="0"/>
          <w:bCs w:val="0"/>
        </w:rPr>
      </w:pPr>
      <w:r>
        <w:rPr/>
        <w:pict>
          <v:group style="position:absolute;margin-left:55.200001pt;margin-top:-37.094387pt;width:484.9pt;height:.1pt;mso-position-horizontal-relative:page;mso-position-vertical-relative:paragraph;z-index:-1244440" coordorigin="1104,-742" coordsize="9698,2">
            <v:shape style="position:absolute;left:1104;top:-742;width:9698;height:2" coordorigin="1104,-742" coordsize="9698,0" path="m1104,-742l10802,-742e" filled="false" stroked="true" strokeweight=".72pt" strokecolor="#000000">
              <v:path arrowok="t"/>
            </v:shape>
            <w10:wrap type="none"/>
          </v:group>
        </w:pict>
      </w:r>
      <w:r>
        <w:rPr>
          <w:rFonts w:ascii="Times New Roman" w:hAnsi="Times New Roman" w:cs="Times New Roman" w:eastAsia="Times New Roman" w:hint="default"/>
          <w:spacing w:val="-3"/>
        </w:rPr>
        <w:t>2</w:t>
      </w:r>
      <w:r>
        <w:rPr>
          <w:spacing w:val="-3"/>
        </w:rPr>
        <w:t>、公司资产或项目存在盈利预测，且报告期仍处在盈利预测期间，公司就资产或项目达到原</w:t>
      </w:r>
      <w:r>
        <w:rPr>
          <w:w w:val="99"/>
        </w:rPr>
        <w:t> </w:t>
      </w:r>
      <w:r>
        <w:rPr/>
        <w:t>盈利预测及其原因做出说明</w:t>
      </w:r>
      <w:r>
        <w:rPr>
          <w:b w:val="0"/>
          <w:bCs w:val="0"/>
        </w:rPr>
      </w:r>
    </w:p>
    <w:p>
      <w:pPr>
        <w:spacing w:line="499" w:lineRule="auto" w:before="55"/>
        <w:ind w:left="152" w:right="4249"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三、控股股东及其关联方对上市公司的非经营性占用资金情况</w:t>
      </w:r>
      <w:r>
        <w:rPr>
          <w:rFonts w:ascii="宋体" w:hAnsi="宋体" w:cs="宋体" w:eastAsia="宋体" w:hint="default"/>
          <w:sz w:val="24"/>
          <w:szCs w:val="24"/>
        </w:rPr>
      </w:r>
    </w:p>
    <w:p>
      <w:pPr>
        <w:pStyle w:val="Heading3"/>
        <w:spacing w:line="338" w:lineRule="auto" w:before="115"/>
        <w:ind w:right="3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公司报告期不存在控股股东及其关联方对上市公司的非经营性占用资金。</w:t>
      </w:r>
    </w:p>
    <w:p>
      <w:pPr>
        <w:spacing w:line="240" w:lineRule="auto" w:before="5"/>
        <w:rPr>
          <w:rFonts w:ascii="宋体" w:hAnsi="宋体" w:cs="宋体" w:eastAsia="宋体" w:hint="default"/>
          <w:sz w:val="21"/>
          <w:szCs w:val="21"/>
        </w:rPr>
      </w:pPr>
    </w:p>
    <w:p>
      <w:pPr>
        <w:pStyle w:val="Heading2"/>
        <w:spacing w:line="240" w:lineRule="auto"/>
        <w:ind w:right="996"/>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6"/>
        <w:rPr>
          <w:rFonts w:ascii="宋体" w:hAnsi="宋体" w:cs="宋体" w:eastAsia="宋体" w:hint="default"/>
          <w:b/>
          <w:bCs/>
          <w:sz w:val="27"/>
          <w:szCs w:val="27"/>
        </w:rPr>
      </w:pPr>
    </w:p>
    <w:p>
      <w:pPr>
        <w:spacing w:line="499" w:lineRule="auto" w:before="0"/>
        <w:ind w:left="152" w:right="1117"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五、董事会、监事会、独立董事（如有）对会计师事务所本报告期</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非标准审计报告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的说明</w:t>
      </w:r>
      <w:r>
        <w:rPr>
          <w:rFonts w:ascii="宋体" w:hAnsi="宋体" w:cs="宋体" w:eastAsia="宋体" w:hint="default"/>
          <w:sz w:val="24"/>
          <w:szCs w:val="24"/>
        </w:rPr>
      </w:r>
    </w:p>
    <w:p>
      <w:pPr>
        <w:spacing w:line="499" w:lineRule="auto" w:before="69"/>
        <w:ind w:left="152" w:right="2803"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六、董事会关于报告期会计政策、会计估计变更或重大会计差错更正的说明</w:t>
      </w:r>
      <w:r>
        <w:rPr>
          <w:rFonts w:ascii="宋体" w:hAnsi="宋体" w:cs="宋体" w:eastAsia="宋体" w:hint="default"/>
          <w:sz w:val="24"/>
          <w:szCs w:val="24"/>
        </w:rPr>
      </w:r>
    </w:p>
    <w:p>
      <w:pPr>
        <w:pStyle w:val="Heading3"/>
        <w:spacing w:line="240" w:lineRule="auto" w:before="118"/>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pStyle w:val="Heading3"/>
        <w:spacing w:line="240" w:lineRule="auto" w:before="136"/>
        <w:ind w:right="996"/>
        <w:jc w:val="left"/>
      </w:pPr>
      <w:r>
        <w:rPr>
          <w:rFonts w:ascii="Times New Roman" w:hAnsi="Times New Roman" w:cs="Times New Roman" w:eastAsia="Times New Roman" w:hint="default"/>
        </w:rPr>
        <w:t>1</w:t>
      </w:r>
      <w:r>
        <w:rPr/>
        <w:t>、重要会计政策变更</w:t>
      </w:r>
    </w:p>
    <w:p>
      <w:pPr>
        <w:spacing w:line="240" w:lineRule="auto" w:before="5"/>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935"/>
        <w:gridCol w:w="2410"/>
        <w:gridCol w:w="1189"/>
      </w:tblGrid>
      <w:tr>
        <w:trPr>
          <w:trHeight w:val="341" w:hRule="exact"/>
        </w:trPr>
        <w:tc>
          <w:tcPr>
            <w:tcW w:w="4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b/>
                <w:bCs/>
                <w:sz w:val="20"/>
                <w:szCs w:val="20"/>
              </w:rPr>
              <w:t>会计政策变更的内容和原因</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97" w:right="0"/>
              <w:jc w:val="left"/>
              <w:rPr>
                <w:rFonts w:ascii="宋体" w:hAnsi="宋体" w:cs="宋体" w:eastAsia="宋体" w:hint="default"/>
                <w:sz w:val="20"/>
                <w:szCs w:val="20"/>
              </w:rPr>
            </w:pPr>
            <w:r>
              <w:rPr>
                <w:rFonts w:ascii="宋体" w:hAnsi="宋体" w:cs="宋体" w:eastAsia="宋体" w:hint="default"/>
                <w:b/>
                <w:bCs/>
                <w:sz w:val="20"/>
                <w:szCs w:val="20"/>
              </w:rPr>
              <w:t>审批程序</w:t>
            </w:r>
            <w:r>
              <w:rPr>
                <w:rFonts w:ascii="宋体" w:hAnsi="宋体" w:cs="宋体" w:eastAsia="宋体" w:hint="default"/>
                <w:sz w:val="20"/>
                <w:szCs w:val="20"/>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91" w:right="0"/>
              <w:jc w:val="left"/>
              <w:rPr>
                <w:rFonts w:ascii="宋体" w:hAnsi="宋体" w:cs="宋体" w:eastAsia="宋体" w:hint="default"/>
                <w:sz w:val="20"/>
                <w:szCs w:val="20"/>
              </w:rPr>
            </w:pPr>
            <w:r>
              <w:rPr>
                <w:rFonts w:ascii="宋体" w:hAnsi="宋体" w:cs="宋体" w:eastAsia="宋体" w:hint="default"/>
                <w:b/>
                <w:bCs/>
                <w:sz w:val="20"/>
                <w:szCs w:val="20"/>
              </w:rPr>
              <w:t>备注</w:t>
            </w:r>
            <w:r>
              <w:rPr>
                <w:rFonts w:ascii="宋体" w:hAnsi="宋体" w:cs="宋体" w:eastAsia="宋体" w:hint="default"/>
                <w:sz w:val="20"/>
                <w:szCs w:val="20"/>
              </w:rPr>
            </w:r>
          </w:p>
        </w:tc>
      </w:tr>
      <w:tr>
        <w:trPr>
          <w:trHeight w:val="967" w:hRule="exact"/>
        </w:trPr>
        <w:tc>
          <w:tcPr>
            <w:tcW w:w="493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4"/>
              <w:ind w:left="7" w:right="3"/>
              <w:jc w:val="both"/>
              <w:rPr>
                <w:rFonts w:ascii="宋体" w:hAnsi="宋体" w:cs="宋体" w:eastAsia="宋体" w:hint="default"/>
                <w:sz w:val="20"/>
                <w:szCs w:val="20"/>
              </w:rPr>
            </w:pPr>
            <w:r>
              <w:rPr>
                <w:rFonts w:ascii="Times New Roman" w:hAnsi="Times New Roman" w:cs="Times New Roman" w:eastAsia="Times New Roman" w:hint="default"/>
                <w:spacing w:val="-3"/>
                <w:w w:val="99"/>
                <w:sz w:val="20"/>
                <w:szCs w:val="20"/>
              </w:rPr>
              <w:t>2019</w:t>
            </w:r>
            <w:r>
              <w:rPr>
                <w:rFonts w:ascii="宋体" w:hAnsi="宋体" w:cs="宋体" w:eastAsia="宋体" w:hint="default"/>
                <w:spacing w:val="-3"/>
                <w:w w:val="99"/>
                <w:sz w:val="20"/>
                <w:szCs w:val="20"/>
              </w:rPr>
              <w:t>年颁布了《关于修订印发</w:t>
            </w:r>
            <w:r>
              <w:rPr>
                <w:rFonts w:ascii="Times New Roman" w:hAnsi="Times New Roman" w:cs="Times New Roman" w:eastAsia="Times New Roman" w:hint="default"/>
                <w:spacing w:val="-3"/>
                <w:w w:val="99"/>
                <w:sz w:val="20"/>
                <w:szCs w:val="20"/>
              </w:rPr>
              <w:t>2019</w:t>
            </w:r>
            <w:r>
              <w:rPr>
                <w:rFonts w:ascii="宋体" w:hAnsi="宋体" w:cs="宋体" w:eastAsia="宋体" w:hint="default"/>
                <w:spacing w:val="-3"/>
                <w:w w:val="99"/>
                <w:sz w:val="20"/>
                <w:szCs w:val="20"/>
              </w:rPr>
              <w:t>年度一般企业财务报表</w:t>
            </w:r>
            <w:r>
              <w:rPr>
                <w:rFonts w:ascii="宋体" w:hAnsi="宋体" w:cs="宋体" w:eastAsia="宋体" w:hint="default"/>
                <w:spacing w:val="-84"/>
                <w:w w:val="99"/>
                <w:sz w:val="20"/>
                <w:szCs w:val="20"/>
              </w:rPr>
              <w:t> </w:t>
            </w:r>
            <w:r>
              <w:rPr>
                <w:rFonts w:ascii="宋体" w:hAnsi="宋体" w:cs="宋体" w:eastAsia="宋体" w:hint="default"/>
                <w:spacing w:val="-84"/>
                <w:w w:val="99"/>
                <w:sz w:val="20"/>
                <w:szCs w:val="20"/>
              </w:rPr>
            </w:r>
            <w:r>
              <w:rPr>
                <w:rFonts w:ascii="宋体" w:hAnsi="宋体" w:cs="宋体" w:eastAsia="宋体" w:hint="default"/>
                <w:sz w:val="20"/>
                <w:szCs w:val="20"/>
              </w:rPr>
              <w:t>格式的通知》（财会〔</w:t>
            </w:r>
            <w:r>
              <w:rPr>
                <w:rFonts w:ascii="Times New Roman" w:hAnsi="Times New Roman" w:cs="Times New Roman" w:eastAsia="Times New Roman" w:hint="default"/>
                <w:sz w:val="20"/>
                <w:szCs w:val="20"/>
              </w:rPr>
              <w:t>2019</w:t>
            </w:r>
            <w:r>
              <w:rPr>
                <w:rFonts w:ascii="宋体" w:hAnsi="宋体" w:cs="宋体" w:eastAsia="宋体" w:hint="default"/>
                <w:sz w:val="20"/>
                <w:szCs w:val="20"/>
              </w:rPr>
              <w:t>〕</w:t>
            </w:r>
            <w:r>
              <w:rPr>
                <w:rFonts w:ascii="Times New Roman" w:hAnsi="Times New Roman" w:cs="Times New Roman" w:eastAsia="Times New Roman" w:hint="default"/>
                <w:sz w:val="20"/>
                <w:szCs w:val="20"/>
              </w:rPr>
              <w:t>6</w:t>
            </w:r>
            <w:r>
              <w:rPr>
                <w:rFonts w:ascii="宋体" w:hAnsi="宋体" w:cs="宋体" w:eastAsia="宋体" w:hint="default"/>
                <w:sz w:val="20"/>
                <w:szCs w:val="20"/>
              </w:rPr>
              <w:t>号），本公司按该通知编</w:t>
            </w:r>
            <w:r>
              <w:rPr>
                <w:rFonts w:ascii="宋体" w:hAnsi="宋体" w:cs="宋体" w:eastAsia="宋体" w:hint="default"/>
                <w:w w:val="99"/>
                <w:sz w:val="20"/>
                <w:szCs w:val="20"/>
              </w:rPr>
              <w:t> </w:t>
            </w:r>
            <w:r>
              <w:rPr>
                <w:rFonts w:ascii="宋体" w:hAnsi="宋体" w:cs="宋体" w:eastAsia="宋体" w:hint="default"/>
                <w:sz w:val="20"/>
                <w:szCs w:val="20"/>
              </w:rPr>
              <w:t>制</w:t>
            </w:r>
            <w:r>
              <w:rPr>
                <w:rFonts w:ascii="Times New Roman" w:hAnsi="Times New Roman" w:cs="Times New Roman" w:eastAsia="Times New Roman" w:hint="default"/>
                <w:sz w:val="20"/>
                <w:szCs w:val="20"/>
              </w:rPr>
              <w:t>2019</w:t>
            </w:r>
            <w:r>
              <w:rPr>
                <w:rFonts w:ascii="宋体" w:hAnsi="宋体" w:cs="宋体" w:eastAsia="宋体" w:hint="default"/>
                <w:sz w:val="20"/>
                <w:szCs w:val="20"/>
              </w:rPr>
              <w:t>年度财务报表。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4" w:right="195"/>
              <w:jc w:val="both"/>
              <w:rPr>
                <w:rFonts w:ascii="宋体" w:hAnsi="宋体" w:cs="宋体" w:eastAsia="宋体" w:hint="default"/>
                <w:sz w:val="20"/>
                <w:szCs w:val="20"/>
              </w:rPr>
            </w:pPr>
            <w:r>
              <w:rPr>
                <w:rFonts w:ascii="宋体" w:hAnsi="宋体" w:cs="宋体" w:eastAsia="宋体" w:hint="default"/>
                <w:sz w:val="20"/>
                <w:szCs w:val="20"/>
              </w:rPr>
              <w:t>相关会计政策变更已经本</w:t>
            </w:r>
            <w:r>
              <w:rPr>
                <w:rFonts w:ascii="宋体" w:hAnsi="宋体" w:cs="宋体" w:eastAsia="宋体" w:hint="default"/>
                <w:w w:val="99"/>
                <w:sz w:val="20"/>
                <w:szCs w:val="20"/>
              </w:rPr>
              <w:t> </w:t>
            </w:r>
            <w:r>
              <w:rPr>
                <w:rFonts w:ascii="宋体" w:hAnsi="宋体" w:cs="宋体" w:eastAsia="宋体" w:hint="default"/>
                <w:sz w:val="20"/>
                <w:szCs w:val="20"/>
              </w:rPr>
              <w:t>公司第四届董事会第二十</w:t>
            </w:r>
            <w:r>
              <w:rPr>
                <w:rFonts w:ascii="宋体" w:hAnsi="宋体" w:cs="宋体" w:eastAsia="宋体" w:hint="default"/>
                <w:w w:val="99"/>
                <w:sz w:val="20"/>
                <w:szCs w:val="20"/>
              </w:rPr>
              <w:t> </w:t>
            </w:r>
            <w:r>
              <w:rPr>
                <w:rFonts w:ascii="宋体" w:hAnsi="宋体" w:cs="宋体" w:eastAsia="宋体" w:hint="default"/>
                <w:sz w:val="20"/>
                <w:szCs w:val="20"/>
              </w:rPr>
              <w:t>八次会议批准。</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说明</w:t>
            </w:r>
            <w:r>
              <w:rPr>
                <w:rFonts w:ascii="Times New Roman" w:hAnsi="Times New Roman" w:cs="Times New Roman" w:eastAsia="Times New Roman" w:hint="default"/>
                <w:sz w:val="20"/>
                <w:szCs w:val="20"/>
              </w:rPr>
              <w:t>1</w:t>
            </w:r>
          </w:p>
        </w:tc>
      </w:tr>
      <w:tr>
        <w:trPr>
          <w:trHeight w:val="3461" w:hRule="exact"/>
        </w:trPr>
        <w:tc>
          <w:tcPr>
            <w:tcW w:w="4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财政部于</w:t>
            </w:r>
            <w:r>
              <w:rPr>
                <w:rFonts w:ascii="Times New Roman" w:hAnsi="Times New Roman" w:cs="Times New Roman" w:eastAsia="Times New Roman" w:hint="default"/>
                <w:sz w:val="20"/>
                <w:szCs w:val="20"/>
              </w:rPr>
              <w:t>2017</w:t>
            </w:r>
            <w:r>
              <w:rPr>
                <w:rFonts w:ascii="宋体" w:hAnsi="宋体" w:cs="宋体" w:eastAsia="宋体" w:hint="default"/>
                <w:sz w:val="20"/>
                <w:szCs w:val="20"/>
              </w:rPr>
              <w:t>年颁布了修订后的《企业会计准则第</w:t>
            </w:r>
            <w:r>
              <w:rPr>
                <w:rFonts w:ascii="Times New Roman" w:hAnsi="Times New Roman" w:cs="Times New Roman" w:eastAsia="Times New Roman" w:hint="default"/>
                <w:sz w:val="20"/>
                <w:szCs w:val="20"/>
              </w:rPr>
              <w:t>22</w:t>
            </w:r>
            <w:r>
              <w:rPr>
                <w:rFonts w:ascii="宋体" w:hAnsi="宋体" w:cs="宋体" w:eastAsia="宋体" w:hint="default"/>
                <w:sz w:val="20"/>
                <w:szCs w:val="20"/>
              </w:rPr>
              <w:t>号</w:t>
            </w:r>
          </w:p>
          <w:p>
            <w:pPr>
              <w:pStyle w:val="TableParagraph"/>
              <w:spacing w:line="240" w:lineRule="auto" w:before="35"/>
              <w:ind w:left="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pacing w:val="-3"/>
                <w:sz w:val="20"/>
                <w:szCs w:val="20"/>
              </w:rPr>
              <w:t>——</w:t>
            </w:r>
            <w:r>
              <w:rPr>
                <w:rFonts w:ascii="宋体" w:hAnsi="宋体" w:cs="宋体" w:eastAsia="宋体" w:hint="default"/>
                <w:spacing w:val="-3"/>
                <w:sz w:val="20"/>
                <w:szCs w:val="20"/>
              </w:rPr>
              <w:t>金融工具确认和计量》、《企业会计准则第</w:t>
            </w:r>
            <w:r>
              <w:rPr>
                <w:rFonts w:ascii="Times New Roman" w:hAnsi="Times New Roman" w:cs="Times New Roman" w:eastAsia="Times New Roman" w:hint="default"/>
                <w:spacing w:val="-3"/>
                <w:sz w:val="20"/>
                <w:szCs w:val="20"/>
              </w:rPr>
              <w:t>23</w:t>
            </w:r>
            <w:r>
              <w:rPr>
                <w:rFonts w:ascii="宋体" w:hAnsi="宋体" w:cs="宋体" w:eastAsia="宋体" w:hint="default"/>
                <w:spacing w:val="-3"/>
                <w:sz w:val="20"/>
                <w:szCs w:val="20"/>
              </w:rPr>
              <w:t>号</w:t>
            </w:r>
            <w:r>
              <w:rPr>
                <w:rFonts w:ascii="Times New Roman" w:hAnsi="Times New Roman" w:cs="Times New Roman" w:eastAsia="Times New Roman" w:hint="default"/>
                <w:spacing w:val="-3"/>
                <w:sz w:val="20"/>
                <w:szCs w:val="20"/>
              </w:rPr>
              <w:t>——</w:t>
            </w:r>
            <w:r>
              <w:rPr>
                <w:rFonts w:ascii="Times New Roman" w:hAnsi="Times New Roman" w:cs="Times New Roman" w:eastAsia="Times New Roman" w:hint="default"/>
                <w:sz w:val="20"/>
                <w:szCs w:val="20"/>
              </w:rPr>
            </w:r>
          </w:p>
          <w:p>
            <w:pPr>
              <w:pStyle w:val="TableParagraph"/>
              <w:spacing w:line="240" w:lineRule="auto" w:before="35"/>
              <w:ind w:left="7" w:right="-15"/>
              <w:jc w:val="left"/>
              <w:rPr>
                <w:rFonts w:ascii="宋体" w:hAnsi="宋体" w:cs="宋体" w:eastAsia="宋体" w:hint="default"/>
                <w:sz w:val="20"/>
                <w:szCs w:val="20"/>
              </w:rPr>
            </w:pPr>
            <w:r>
              <w:rPr>
                <w:rFonts w:ascii="宋体" w:hAnsi="宋体" w:cs="宋体" w:eastAsia="宋体" w:hint="default"/>
                <w:w w:val="99"/>
                <w:sz w:val="20"/>
                <w:szCs w:val="20"/>
              </w:rPr>
              <w:t>金融资</w:t>
            </w:r>
            <w:r>
              <w:rPr>
                <w:rFonts w:ascii="宋体" w:hAnsi="宋体" w:cs="宋体" w:eastAsia="宋体" w:hint="default"/>
                <w:spacing w:val="2"/>
                <w:w w:val="99"/>
                <w:sz w:val="20"/>
                <w:szCs w:val="20"/>
              </w:rPr>
              <w:t>产</w:t>
            </w:r>
            <w:r>
              <w:rPr>
                <w:rFonts w:ascii="宋体" w:hAnsi="宋体" w:cs="宋体" w:eastAsia="宋体" w:hint="default"/>
                <w:w w:val="99"/>
                <w:sz w:val="20"/>
                <w:szCs w:val="20"/>
              </w:rPr>
              <w:t>转移</w:t>
            </w:r>
            <w:r>
              <w:rPr>
                <w:rFonts w:ascii="宋体" w:hAnsi="宋体" w:cs="宋体" w:eastAsia="宋体" w:hint="default"/>
                <w:spacing w:val="-46"/>
                <w:w w:val="99"/>
                <w:sz w:val="20"/>
                <w:szCs w:val="20"/>
              </w:rPr>
              <w:t>》</w:t>
            </w:r>
            <w:r>
              <w:rPr>
                <w:rFonts w:ascii="宋体" w:hAnsi="宋体" w:cs="宋体" w:eastAsia="宋体" w:hint="default"/>
                <w:spacing w:val="-92"/>
                <w:w w:val="99"/>
                <w:sz w:val="20"/>
                <w:szCs w:val="20"/>
              </w:rPr>
              <w:t>、</w:t>
            </w:r>
            <w:r>
              <w:rPr>
                <w:rFonts w:ascii="宋体" w:hAnsi="宋体" w:cs="宋体" w:eastAsia="宋体" w:hint="default"/>
                <w:w w:val="99"/>
                <w:sz w:val="20"/>
                <w:szCs w:val="20"/>
              </w:rPr>
              <w:t>《</w:t>
            </w:r>
            <w:r>
              <w:rPr>
                <w:rFonts w:ascii="宋体" w:hAnsi="宋体" w:cs="宋体" w:eastAsia="宋体" w:hint="default"/>
                <w:spacing w:val="2"/>
                <w:w w:val="99"/>
                <w:sz w:val="20"/>
                <w:szCs w:val="20"/>
              </w:rPr>
              <w:t>企</w:t>
            </w:r>
            <w:r>
              <w:rPr>
                <w:rFonts w:ascii="宋体" w:hAnsi="宋体" w:cs="宋体" w:eastAsia="宋体" w:hint="default"/>
                <w:w w:val="99"/>
                <w:sz w:val="20"/>
                <w:szCs w:val="20"/>
              </w:rPr>
              <w:t>业</w:t>
            </w:r>
            <w:r>
              <w:rPr>
                <w:rFonts w:ascii="宋体" w:hAnsi="宋体" w:cs="宋体" w:eastAsia="宋体" w:hint="default"/>
                <w:spacing w:val="2"/>
                <w:w w:val="99"/>
                <w:sz w:val="20"/>
                <w:szCs w:val="20"/>
              </w:rPr>
              <w:t>会</w:t>
            </w:r>
            <w:r>
              <w:rPr>
                <w:rFonts w:ascii="宋体" w:hAnsi="宋体" w:cs="宋体" w:eastAsia="宋体" w:hint="default"/>
                <w:w w:val="99"/>
                <w:sz w:val="20"/>
                <w:szCs w:val="20"/>
              </w:rPr>
              <w:t>计准则</w:t>
            </w:r>
            <w:r>
              <w:rPr>
                <w:rFonts w:ascii="宋体" w:hAnsi="宋体" w:cs="宋体" w:eastAsia="宋体" w:hint="default"/>
                <w:spacing w:val="1"/>
                <w:w w:val="99"/>
                <w:sz w:val="20"/>
                <w:szCs w:val="20"/>
              </w:rPr>
              <w:t>第</w:t>
            </w:r>
            <w:r>
              <w:rPr>
                <w:rFonts w:ascii="Times New Roman" w:hAnsi="Times New Roman" w:cs="Times New Roman" w:eastAsia="Times New Roman" w:hint="default"/>
                <w:spacing w:val="1"/>
                <w:w w:val="99"/>
                <w:sz w:val="20"/>
                <w:szCs w:val="20"/>
              </w:rPr>
              <w:t>24</w:t>
            </w:r>
            <w:r>
              <w:rPr>
                <w:rFonts w:ascii="宋体" w:hAnsi="宋体" w:cs="宋体" w:eastAsia="宋体" w:hint="default"/>
                <w:w w:val="99"/>
                <w:sz w:val="20"/>
                <w:szCs w:val="20"/>
              </w:rPr>
              <w:t>号</w:t>
            </w:r>
            <w:r>
              <w:rPr>
                <w:rFonts w:ascii="Times New Roman" w:hAnsi="Times New Roman" w:cs="Times New Roman" w:eastAsia="Times New Roman" w:hint="default"/>
                <w:spacing w:val="2"/>
                <w:w w:val="99"/>
                <w:sz w:val="20"/>
                <w:szCs w:val="20"/>
              </w:rPr>
              <w:t>—</w:t>
            </w:r>
            <w:r>
              <w:rPr>
                <w:rFonts w:ascii="Times New Roman" w:hAnsi="Times New Roman" w:cs="Times New Roman" w:eastAsia="Times New Roman" w:hint="default"/>
                <w:w w:val="99"/>
                <w:sz w:val="20"/>
                <w:szCs w:val="20"/>
              </w:rPr>
              <w:t>—</w:t>
            </w:r>
            <w:r>
              <w:rPr>
                <w:rFonts w:ascii="宋体" w:hAnsi="宋体" w:cs="宋体" w:eastAsia="宋体" w:hint="default"/>
                <w:w w:val="99"/>
                <w:sz w:val="20"/>
                <w:szCs w:val="20"/>
              </w:rPr>
              <w:t>套</w:t>
            </w:r>
            <w:r>
              <w:rPr>
                <w:rFonts w:ascii="宋体" w:hAnsi="宋体" w:cs="宋体" w:eastAsia="宋体" w:hint="default"/>
                <w:spacing w:val="2"/>
                <w:w w:val="99"/>
                <w:sz w:val="20"/>
                <w:szCs w:val="20"/>
              </w:rPr>
              <w:t>期</w:t>
            </w:r>
            <w:r>
              <w:rPr>
                <w:rFonts w:ascii="宋体" w:hAnsi="宋体" w:cs="宋体" w:eastAsia="宋体" w:hint="default"/>
                <w:w w:val="99"/>
                <w:sz w:val="20"/>
                <w:szCs w:val="20"/>
              </w:rPr>
              <w:t>会</w:t>
            </w:r>
            <w:r>
              <w:rPr>
                <w:rFonts w:ascii="宋体" w:hAnsi="宋体" w:cs="宋体" w:eastAsia="宋体" w:hint="default"/>
                <w:spacing w:val="2"/>
                <w:w w:val="99"/>
                <w:sz w:val="20"/>
                <w:szCs w:val="20"/>
              </w:rPr>
              <w:t>计</w:t>
            </w:r>
            <w:r>
              <w:rPr>
                <w:rFonts w:ascii="宋体" w:hAnsi="宋体" w:cs="宋体" w:eastAsia="宋体" w:hint="default"/>
                <w:spacing w:val="-46"/>
                <w:w w:val="99"/>
                <w:sz w:val="20"/>
                <w:szCs w:val="20"/>
              </w:rPr>
              <w:t>》</w:t>
            </w:r>
            <w:r>
              <w:rPr>
                <w:rFonts w:ascii="宋体" w:hAnsi="宋体" w:cs="宋体" w:eastAsia="宋体" w:hint="default"/>
                <w:spacing w:val="-82"/>
                <w:w w:val="99"/>
                <w:sz w:val="20"/>
                <w:szCs w:val="20"/>
              </w:rPr>
              <w:t>，</w:t>
            </w:r>
            <w:r>
              <w:rPr>
                <w:rFonts w:ascii="宋体" w:hAnsi="宋体" w:cs="宋体" w:eastAsia="宋体" w:hint="default"/>
                <w:sz w:val="20"/>
                <w:szCs w:val="20"/>
              </w:rPr>
            </w:r>
          </w:p>
          <w:p>
            <w:pPr>
              <w:pStyle w:val="TableParagraph"/>
              <w:spacing w:line="273" w:lineRule="auto" w:before="35"/>
              <w:ind w:left="7" w:right="2"/>
              <w:jc w:val="left"/>
              <w:rPr>
                <w:rFonts w:ascii="宋体" w:hAnsi="宋体" w:cs="宋体" w:eastAsia="宋体" w:hint="default"/>
                <w:sz w:val="20"/>
                <w:szCs w:val="20"/>
              </w:rPr>
            </w:pPr>
            <w:r>
              <w:rPr>
                <w:rFonts w:ascii="宋体" w:hAnsi="宋体" w:cs="宋体" w:eastAsia="宋体" w:hint="default"/>
                <w:spacing w:val="-6"/>
                <w:w w:val="99"/>
                <w:sz w:val="20"/>
                <w:szCs w:val="20"/>
              </w:rPr>
              <w:t>《企业会计准则第</w:t>
            </w:r>
            <w:r>
              <w:rPr>
                <w:rFonts w:ascii="Times New Roman" w:hAnsi="Times New Roman" w:cs="Times New Roman" w:eastAsia="Times New Roman" w:hint="default"/>
                <w:spacing w:val="-6"/>
                <w:w w:val="99"/>
                <w:sz w:val="20"/>
                <w:szCs w:val="20"/>
              </w:rPr>
              <w:t>37</w:t>
            </w:r>
            <w:r>
              <w:rPr>
                <w:rFonts w:ascii="宋体" w:hAnsi="宋体" w:cs="宋体" w:eastAsia="宋体" w:hint="default"/>
                <w:spacing w:val="-6"/>
                <w:w w:val="99"/>
                <w:sz w:val="20"/>
                <w:szCs w:val="20"/>
              </w:rPr>
              <w:t>号</w:t>
            </w:r>
            <w:r>
              <w:rPr>
                <w:rFonts w:ascii="Times New Roman" w:hAnsi="Times New Roman" w:cs="Times New Roman" w:eastAsia="Times New Roman" w:hint="default"/>
                <w:spacing w:val="-6"/>
                <w:w w:val="99"/>
                <w:sz w:val="20"/>
                <w:szCs w:val="20"/>
              </w:rPr>
              <w:t>——</w:t>
            </w:r>
            <w:r>
              <w:rPr>
                <w:rFonts w:ascii="宋体" w:hAnsi="宋体" w:cs="宋体" w:eastAsia="宋体" w:hint="default"/>
                <w:spacing w:val="-6"/>
                <w:w w:val="99"/>
                <w:sz w:val="20"/>
                <w:szCs w:val="20"/>
              </w:rPr>
              <w:t>金融工具列报》（以下合称</w:t>
            </w:r>
            <w:r>
              <w:rPr>
                <w:rFonts w:ascii="Times New Roman" w:hAnsi="Times New Roman" w:cs="Times New Roman" w:eastAsia="Times New Roman" w:hint="default"/>
                <w:spacing w:val="-6"/>
                <w:w w:val="99"/>
                <w:sz w:val="20"/>
                <w:szCs w:val="20"/>
              </w:rPr>
              <w:t>“</w:t>
            </w:r>
            <w:r>
              <w:rPr>
                <w:rFonts w:ascii="宋体" w:hAnsi="宋体" w:cs="宋体" w:eastAsia="宋体" w:hint="default"/>
                <w:spacing w:val="-6"/>
                <w:w w:val="99"/>
                <w:sz w:val="20"/>
                <w:szCs w:val="20"/>
              </w:rPr>
              <w:t>新</w:t>
            </w:r>
            <w:r>
              <w:rPr>
                <w:rFonts w:ascii="宋体" w:hAnsi="宋体" w:cs="宋体" w:eastAsia="宋体" w:hint="default"/>
                <w:spacing w:val="-96"/>
                <w:w w:val="99"/>
                <w:sz w:val="20"/>
                <w:szCs w:val="20"/>
              </w:rPr>
              <w:t> </w:t>
            </w:r>
            <w:r>
              <w:rPr>
                <w:rFonts w:ascii="宋体" w:hAnsi="宋体" w:cs="宋体" w:eastAsia="宋体" w:hint="default"/>
                <w:sz w:val="20"/>
                <w:szCs w:val="20"/>
              </w:rPr>
              <w:t>金融工具准则</w:t>
            </w:r>
            <w:r>
              <w:rPr>
                <w:rFonts w:ascii="Times New Roman" w:hAnsi="Times New Roman" w:cs="Times New Roman" w:eastAsia="Times New Roman" w:hint="default"/>
                <w:sz w:val="20"/>
                <w:szCs w:val="20"/>
              </w:rPr>
              <w:t>”</w:t>
            </w:r>
            <w:r>
              <w:rPr>
                <w:rFonts w:ascii="宋体" w:hAnsi="宋体" w:cs="宋体" w:eastAsia="宋体" w:hint="default"/>
                <w:sz w:val="20"/>
                <w:szCs w:val="20"/>
              </w:rPr>
              <w:t>），并于</w:t>
            </w:r>
            <w:r>
              <w:rPr>
                <w:rFonts w:ascii="Times New Roman" w:hAnsi="Times New Roman" w:cs="Times New Roman" w:eastAsia="Times New Roman" w:hint="default"/>
                <w:sz w:val="20"/>
                <w:szCs w:val="20"/>
              </w:rPr>
              <w:t>2019</w:t>
            </w:r>
            <w:r>
              <w:rPr>
                <w:rFonts w:ascii="宋体" w:hAnsi="宋体" w:cs="宋体" w:eastAsia="宋体" w:hint="default"/>
                <w:sz w:val="20"/>
                <w:szCs w:val="20"/>
              </w:rPr>
              <w:t>年颁布了修订后的《企业会</w:t>
            </w:r>
            <w:r>
              <w:rPr>
                <w:rFonts w:ascii="宋体" w:hAnsi="宋体" w:cs="宋体" w:eastAsia="宋体" w:hint="default"/>
                <w:w w:val="99"/>
                <w:sz w:val="20"/>
                <w:szCs w:val="20"/>
              </w:rPr>
              <w:t> </w:t>
            </w:r>
            <w:r>
              <w:rPr>
                <w:rFonts w:ascii="宋体" w:hAnsi="宋体" w:cs="宋体" w:eastAsia="宋体" w:hint="default"/>
                <w:spacing w:val="-3"/>
                <w:sz w:val="20"/>
                <w:szCs w:val="20"/>
              </w:rPr>
              <w:t>计准则第</w:t>
            </w:r>
            <w:r>
              <w:rPr>
                <w:rFonts w:ascii="Times New Roman" w:hAnsi="Times New Roman" w:cs="Times New Roman" w:eastAsia="Times New Roman" w:hint="default"/>
                <w:spacing w:val="-3"/>
                <w:sz w:val="20"/>
                <w:szCs w:val="20"/>
              </w:rPr>
              <w:t>7</w:t>
            </w:r>
            <w:r>
              <w:rPr>
                <w:rFonts w:ascii="宋体" w:hAnsi="宋体" w:cs="宋体" w:eastAsia="宋体" w:hint="default"/>
                <w:spacing w:val="-3"/>
                <w:sz w:val="20"/>
                <w:szCs w:val="20"/>
              </w:rPr>
              <w:t>号</w:t>
            </w:r>
            <w:r>
              <w:rPr>
                <w:rFonts w:ascii="Times New Roman" w:hAnsi="Times New Roman" w:cs="Times New Roman" w:eastAsia="Times New Roman" w:hint="default"/>
                <w:spacing w:val="-3"/>
                <w:sz w:val="20"/>
                <w:szCs w:val="20"/>
              </w:rPr>
              <w:t>——</w:t>
            </w:r>
            <w:r>
              <w:rPr>
                <w:rFonts w:ascii="宋体" w:hAnsi="宋体" w:cs="宋体" w:eastAsia="宋体" w:hint="default"/>
                <w:spacing w:val="-3"/>
                <w:sz w:val="20"/>
                <w:szCs w:val="20"/>
              </w:rPr>
              <w:t>非货币性资产交换》（以下合称</w:t>
            </w:r>
            <w:r>
              <w:rPr>
                <w:rFonts w:ascii="Times New Roman" w:hAnsi="Times New Roman" w:cs="Times New Roman" w:eastAsia="Times New Roman" w:hint="default"/>
                <w:spacing w:val="-3"/>
                <w:sz w:val="20"/>
                <w:szCs w:val="20"/>
              </w:rPr>
              <w:t>“</w:t>
            </w:r>
            <w:r>
              <w:rPr>
                <w:rFonts w:ascii="宋体" w:hAnsi="宋体" w:cs="宋体" w:eastAsia="宋体" w:hint="default"/>
                <w:spacing w:val="-3"/>
                <w:sz w:val="20"/>
                <w:szCs w:val="20"/>
              </w:rPr>
              <w:t>非货币</w:t>
            </w:r>
            <w:r>
              <w:rPr>
                <w:rFonts w:ascii="宋体" w:hAnsi="宋体" w:cs="宋体" w:eastAsia="宋体" w:hint="default"/>
                <w:w w:val="99"/>
                <w:sz w:val="20"/>
                <w:szCs w:val="20"/>
              </w:rPr>
              <w:t> </w:t>
            </w:r>
            <w:r>
              <w:rPr>
                <w:rFonts w:ascii="宋体" w:hAnsi="宋体" w:cs="宋体" w:eastAsia="宋体" w:hint="default"/>
                <w:sz w:val="20"/>
                <w:szCs w:val="20"/>
              </w:rPr>
              <w:t>性资产交换准则</w:t>
            </w:r>
            <w:r>
              <w:rPr>
                <w:rFonts w:ascii="Times New Roman" w:hAnsi="Times New Roman" w:cs="Times New Roman" w:eastAsia="Times New Roman" w:hint="default"/>
                <w:sz w:val="20"/>
                <w:szCs w:val="20"/>
              </w:rPr>
              <w:t>”</w:t>
            </w:r>
            <w:r>
              <w:rPr>
                <w:rFonts w:ascii="宋体" w:hAnsi="宋体" w:cs="宋体" w:eastAsia="宋体" w:hint="default"/>
                <w:sz w:val="20"/>
                <w:szCs w:val="20"/>
              </w:rPr>
              <w:t>）、《企业会计准则第</w:t>
            </w:r>
            <w:r>
              <w:rPr>
                <w:rFonts w:ascii="Times New Roman" w:hAnsi="Times New Roman" w:cs="Times New Roman" w:eastAsia="Times New Roman" w:hint="default"/>
                <w:sz w:val="20"/>
                <w:szCs w:val="20"/>
              </w:rPr>
              <w:t>12</w:t>
            </w:r>
            <w:r>
              <w:rPr>
                <w:rFonts w:ascii="宋体" w:hAnsi="宋体" w:cs="宋体" w:eastAsia="宋体" w:hint="default"/>
                <w:sz w:val="20"/>
                <w:szCs w:val="20"/>
              </w:rPr>
              <w:t>号</w:t>
            </w:r>
            <w:r>
              <w:rPr>
                <w:rFonts w:ascii="Times New Roman" w:hAnsi="Times New Roman" w:cs="Times New Roman" w:eastAsia="Times New Roman" w:hint="default"/>
                <w:sz w:val="20"/>
                <w:szCs w:val="20"/>
              </w:rPr>
              <w:t>——</w:t>
            </w:r>
            <w:r>
              <w:rPr>
                <w:rFonts w:ascii="宋体" w:hAnsi="宋体" w:cs="宋体" w:eastAsia="宋体" w:hint="default"/>
                <w:sz w:val="20"/>
                <w:szCs w:val="20"/>
              </w:rPr>
              <w:t>债务重</w:t>
            </w:r>
            <w:r>
              <w:rPr>
                <w:rFonts w:ascii="宋体" w:hAnsi="宋体" w:cs="宋体" w:eastAsia="宋体" w:hint="default"/>
                <w:w w:val="99"/>
                <w:sz w:val="20"/>
                <w:szCs w:val="20"/>
              </w:rPr>
              <w:t> </w:t>
            </w:r>
            <w:r>
              <w:rPr>
                <w:rFonts w:ascii="宋体" w:hAnsi="宋体" w:cs="宋体" w:eastAsia="宋体" w:hint="default"/>
                <w:sz w:val="20"/>
                <w:szCs w:val="20"/>
              </w:rPr>
              <w:t>组》（以下合称</w:t>
            </w:r>
            <w:r>
              <w:rPr>
                <w:rFonts w:ascii="Times New Roman" w:hAnsi="Times New Roman" w:cs="Times New Roman" w:eastAsia="Times New Roman" w:hint="default"/>
                <w:sz w:val="20"/>
                <w:szCs w:val="20"/>
              </w:rPr>
              <w:t>“</w:t>
            </w:r>
            <w:r>
              <w:rPr>
                <w:rFonts w:ascii="宋体" w:hAnsi="宋体" w:cs="宋体" w:eastAsia="宋体" w:hint="default"/>
                <w:sz w:val="20"/>
                <w:szCs w:val="20"/>
              </w:rPr>
              <w:t>债务重组准则</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宋体" w:hAnsi="宋体" w:cs="宋体" w:eastAsia="宋体" w:hint="default"/>
                <w:spacing w:val="-21"/>
                <w:sz w:val="20"/>
                <w:szCs w:val="20"/>
              </w:rPr>
              <w:t> </w:t>
            </w:r>
            <w:r>
              <w:rPr>
                <w:rFonts w:ascii="宋体" w:hAnsi="宋体" w:cs="宋体" w:eastAsia="宋体" w:hint="default"/>
                <w:sz w:val="20"/>
                <w:szCs w:val="20"/>
              </w:rPr>
              <w:t>修订后非货币性资</w:t>
            </w:r>
            <w:r>
              <w:rPr>
                <w:rFonts w:ascii="宋体" w:hAnsi="宋体" w:cs="宋体" w:eastAsia="宋体" w:hint="default"/>
                <w:w w:val="99"/>
                <w:sz w:val="20"/>
                <w:szCs w:val="20"/>
              </w:rPr>
              <w:t> </w:t>
            </w:r>
            <w:r>
              <w:rPr>
                <w:rFonts w:ascii="宋体" w:hAnsi="宋体" w:cs="宋体" w:eastAsia="宋体" w:hint="default"/>
                <w:sz w:val="20"/>
                <w:szCs w:val="20"/>
              </w:rPr>
              <w:t>产交换准则和债务重组准则对本集团及本公司无显著影</w:t>
            </w:r>
            <w:r>
              <w:rPr>
                <w:rFonts w:ascii="宋体" w:hAnsi="宋体" w:cs="宋体" w:eastAsia="宋体" w:hint="default"/>
                <w:w w:val="99"/>
                <w:sz w:val="20"/>
                <w:szCs w:val="20"/>
              </w:rPr>
              <w:t> </w:t>
            </w:r>
            <w:r>
              <w:rPr>
                <w:rFonts w:ascii="宋体" w:hAnsi="宋体" w:cs="宋体" w:eastAsia="宋体" w:hint="default"/>
                <w:spacing w:val="-3"/>
                <w:sz w:val="20"/>
                <w:szCs w:val="20"/>
              </w:rPr>
              <w:t>响。本公司在编制</w:t>
            </w:r>
            <w:r>
              <w:rPr>
                <w:rFonts w:ascii="Times New Roman" w:hAnsi="Times New Roman" w:cs="Times New Roman" w:eastAsia="Times New Roman" w:hint="default"/>
                <w:spacing w:val="-3"/>
                <w:sz w:val="20"/>
                <w:szCs w:val="20"/>
              </w:rPr>
              <w:t>2019</w:t>
            </w:r>
            <w:r>
              <w:rPr>
                <w:rFonts w:ascii="宋体" w:hAnsi="宋体" w:cs="宋体" w:eastAsia="宋体" w:hint="default"/>
                <w:spacing w:val="-3"/>
                <w:sz w:val="20"/>
                <w:szCs w:val="20"/>
              </w:rPr>
              <w:t>年度财务报表时，执行了相关会计</w:t>
            </w:r>
            <w:r>
              <w:rPr>
                <w:rFonts w:ascii="宋体" w:hAnsi="宋体" w:cs="宋体" w:eastAsia="宋体" w:hint="default"/>
                <w:w w:val="99"/>
                <w:sz w:val="20"/>
                <w:szCs w:val="20"/>
              </w:rPr>
              <w:t> </w:t>
            </w:r>
            <w:r>
              <w:rPr>
                <w:rFonts w:ascii="宋体" w:hAnsi="宋体" w:cs="宋体" w:eastAsia="宋体" w:hint="default"/>
                <w:sz w:val="20"/>
                <w:szCs w:val="20"/>
              </w:rPr>
              <w:t>准则，并按照有关的衔接规定进行了处理。</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
              <w:ind w:left="4" w:right="195"/>
              <w:jc w:val="both"/>
              <w:rPr>
                <w:rFonts w:ascii="宋体" w:hAnsi="宋体" w:cs="宋体" w:eastAsia="宋体" w:hint="default"/>
                <w:sz w:val="20"/>
                <w:szCs w:val="20"/>
              </w:rPr>
            </w:pPr>
            <w:r>
              <w:rPr>
                <w:rFonts w:ascii="宋体" w:hAnsi="宋体" w:cs="宋体" w:eastAsia="宋体" w:hint="default"/>
                <w:sz w:val="20"/>
                <w:szCs w:val="20"/>
              </w:rPr>
              <w:t>相关会计政策变更已经本</w:t>
            </w:r>
            <w:r>
              <w:rPr>
                <w:rFonts w:ascii="宋体" w:hAnsi="宋体" w:cs="宋体" w:eastAsia="宋体" w:hint="default"/>
                <w:w w:val="99"/>
                <w:sz w:val="20"/>
                <w:szCs w:val="20"/>
              </w:rPr>
              <w:t> </w:t>
            </w:r>
            <w:r>
              <w:rPr>
                <w:rFonts w:ascii="宋体" w:hAnsi="宋体" w:cs="宋体" w:eastAsia="宋体" w:hint="default"/>
                <w:sz w:val="20"/>
                <w:szCs w:val="20"/>
              </w:rPr>
              <w:t>公司第四届董事会第二十</w:t>
            </w:r>
            <w:r>
              <w:rPr>
                <w:rFonts w:ascii="宋体" w:hAnsi="宋体" w:cs="宋体" w:eastAsia="宋体" w:hint="default"/>
                <w:w w:val="99"/>
                <w:sz w:val="20"/>
                <w:szCs w:val="20"/>
              </w:rPr>
              <w:t> </w:t>
            </w:r>
            <w:r>
              <w:rPr>
                <w:rFonts w:ascii="宋体" w:hAnsi="宋体" w:cs="宋体" w:eastAsia="宋体" w:hint="default"/>
                <w:sz w:val="20"/>
                <w:szCs w:val="20"/>
              </w:rPr>
              <w:t>三次会议批准。</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
              <w:ind w:left="7" w:right="300"/>
              <w:jc w:val="left"/>
              <w:rPr>
                <w:rFonts w:ascii="宋体" w:hAnsi="宋体" w:cs="宋体" w:eastAsia="宋体" w:hint="default"/>
                <w:sz w:val="20"/>
                <w:szCs w:val="20"/>
              </w:rPr>
            </w:pPr>
            <w:r>
              <w:rPr>
                <w:rFonts w:ascii="宋体" w:hAnsi="宋体" w:cs="宋体" w:eastAsia="宋体" w:hint="default"/>
                <w:sz w:val="20"/>
                <w:szCs w:val="20"/>
              </w:rPr>
              <w:t>本附注</w:t>
            </w:r>
            <w:r>
              <w:rPr>
                <w:rFonts w:ascii="宋体" w:hAnsi="宋体" w:cs="宋体" w:eastAsia="宋体" w:hint="default"/>
                <w:w w:val="99"/>
                <w:sz w:val="20"/>
                <w:szCs w:val="20"/>
              </w:rPr>
              <w:t> </w:t>
            </w:r>
            <w:r>
              <w:rPr>
                <w:rFonts w:ascii="宋体" w:hAnsi="宋体" w:cs="宋体" w:eastAsia="宋体" w:hint="default"/>
                <w:sz w:val="20"/>
                <w:szCs w:val="20"/>
              </w:rPr>
              <w:t>四</w:t>
            </w:r>
            <w:r>
              <w:rPr>
                <w:rFonts w:ascii="Times New Roman" w:hAnsi="Times New Roman" w:cs="Times New Roman" w:eastAsia="Times New Roman" w:hint="default"/>
                <w:sz w:val="20"/>
                <w:szCs w:val="20"/>
              </w:rPr>
              <w:t>.26.(3</w:t>
            </w:r>
            <w:r>
              <w:rPr>
                <w:rFonts w:ascii="宋体" w:hAnsi="宋体" w:cs="宋体" w:eastAsia="宋体" w:hint="default"/>
                <w:sz w:val="20"/>
                <w:szCs w:val="20"/>
              </w:rPr>
              <w:t>）</w:t>
            </w:r>
          </w:p>
        </w:tc>
      </w:tr>
    </w:tbl>
    <w:p>
      <w:pPr>
        <w:pStyle w:val="Heading3"/>
        <w:spacing w:line="338" w:lineRule="auto" w:before="39"/>
        <w:ind w:left="633" w:right="996"/>
        <w:jc w:val="left"/>
      </w:pPr>
      <w:r>
        <w:rPr/>
        <w:pict>
          <v:shape style="position:absolute;margin-left:535.634705pt;margin-top:81.826149pt;width:59.493346pt;height:26.794713pt;mso-position-horizontal-relative:page;mso-position-vertical-relative:paragraph;z-index:1816" type="#_x0000_t75" stroked="false">
            <v:imagedata r:id="rId15" o:title=""/>
          </v:shape>
        </w:pict>
      </w:r>
      <w:r>
        <w:rPr/>
        <w:t>说明</w:t>
      </w:r>
      <w:r>
        <w:rPr>
          <w:rFonts w:ascii="Times New Roman" w:hAnsi="Times New Roman" w:cs="Times New Roman" w:eastAsia="Times New Roman" w:hint="default"/>
        </w:rPr>
        <w:t>1</w:t>
      </w:r>
      <w:r>
        <w:rPr>
          <w:rFonts w:ascii="MS Gothic" w:hAnsi="MS Gothic" w:cs="MS Gothic" w:eastAsia="MS Gothic" w:hint="default"/>
        </w:rPr>
        <w:t>､</w:t>
      </w:r>
      <w:r>
        <w:rPr/>
        <w:t>新财务报表格式 财务报表因新财务报表格式变更引起的追溯重述对</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日合并及母公司的资产</w:t>
      </w:r>
    </w:p>
    <w:p>
      <w:pPr>
        <w:spacing w:after="0" w:line="338" w:lineRule="auto"/>
        <w:jc w:val="left"/>
        <w:sectPr>
          <w:footerReference w:type="default" r:id="rId21"/>
          <w:pgSz w:w="11910" w:h="16840"/>
          <w:pgMar w:footer="0" w:header="745" w:top="1060" w:bottom="0" w:left="98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5"/>
          <w:szCs w:val="25"/>
        </w:rPr>
      </w:pPr>
    </w:p>
    <w:p>
      <w:pPr>
        <w:pStyle w:val="Heading3"/>
        <w:spacing w:line="357" w:lineRule="auto" w:before="26"/>
        <w:ind w:left="633" w:right="6673" w:hanging="481"/>
        <w:jc w:val="left"/>
      </w:pPr>
      <w:r>
        <w:rPr/>
        <w:t>负债表的影响如下： 对合并资产负债表的影响列示如下</w:t>
      </w:r>
    </w:p>
    <w:tbl>
      <w:tblPr>
        <w:tblW w:w="0" w:type="auto"/>
        <w:jc w:val="left"/>
        <w:tblInd w:w="760" w:type="dxa"/>
        <w:tblLayout w:type="fixed"/>
        <w:tblCellMar>
          <w:top w:w="0" w:type="dxa"/>
          <w:left w:w="0" w:type="dxa"/>
          <w:bottom w:w="0" w:type="dxa"/>
          <w:right w:w="0" w:type="dxa"/>
        </w:tblCellMar>
        <w:tblLook w:val="01E0"/>
      </w:tblPr>
      <w:tblGrid>
        <w:gridCol w:w="2149"/>
        <w:gridCol w:w="1212"/>
        <w:gridCol w:w="1616"/>
        <w:gridCol w:w="1776"/>
        <w:gridCol w:w="1664"/>
      </w:tblGrid>
      <w:tr>
        <w:trPr>
          <w:trHeight w:val="965" w:hRule="exact"/>
        </w:trPr>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868" w:right="64" w:hanging="804"/>
              <w:jc w:val="left"/>
              <w:rPr>
                <w:rFonts w:ascii="宋体" w:hAnsi="宋体" w:cs="宋体" w:eastAsia="宋体" w:hint="default"/>
                <w:sz w:val="20"/>
                <w:szCs w:val="20"/>
              </w:rPr>
            </w:pPr>
            <w:r>
              <w:rPr>
                <w:rFonts w:ascii="宋体" w:hAnsi="宋体" w:cs="宋体" w:eastAsia="宋体" w:hint="default"/>
                <w:b/>
                <w:bCs/>
                <w:sz w:val="20"/>
                <w:szCs w:val="20"/>
              </w:rPr>
              <w:t>会计政策变更的内容和</w:t>
            </w:r>
            <w:r>
              <w:rPr>
                <w:rFonts w:ascii="宋体" w:hAnsi="宋体" w:cs="宋体" w:eastAsia="宋体" w:hint="default"/>
                <w:b/>
                <w:bCs/>
                <w:w w:val="99"/>
                <w:sz w:val="20"/>
                <w:szCs w:val="20"/>
              </w:rPr>
              <w:t> </w:t>
            </w:r>
            <w:r>
              <w:rPr>
                <w:rFonts w:ascii="宋体" w:hAnsi="宋体" w:cs="宋体" w:eastAsia="宋体" w:hint="default"/>
                <w:b/>
                <w:bCs/>
                <w:sz w:val="20"/>
                <w:szCs w:val="20"/>
              </w:rPr>
              <w:t>原因</w:t>
            </w:r>
            <w:r>
              <w:rPr>
                <w:rFonts w:ascii="宋体" w:hAnsi="宋体" w:cs="宋体" w:eastAsia="宋体" w:hint="default"/>
                <w:sz w:val="20"/>
                <w:szCs w:val="20"/>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98" w:right="99"/>
              <w:jc w:val="center"/>
              <w:rPr>
                <w:rFonts w:ascii="宋体" w:hAnsi="宋体" w:cs="宋体" w:eastAsia="宋体" w:hint="default"/>
                <w:sz w:val="20"/>
                <w:szCs w:val="20"/>
              </w:rPr>
            </w:pPr>
            <w:r>
              <w:rPr>
                <w:rFonts w:ascii="宋体" w:hAnsi="宋体" w:cs="宋体" w:eastAsia="宋体" w:hint="default"/>
                <w:b/>
                <w:bCs/>
                <w:sz w:val="20"/>
                <w:szCs w:val="20"/>
              </w:rPr>
              <w:t>受影响的报</w:t>
            </w:r>
            <w:r>
              <w:rPr>
                <w:rFonts w:ascii="宋体" w:hAnsi="宋体" w:cs="宋体" w:eastAsia="宋体" w:hint="default"/>
                <w:b/>
                <w:bCs/>
                <w:w w:val="99"/>
                <w:sz w:val="20"/>
                <w:szCs w:val="20"/>
              </w:rPr>
              <w:t> </w:t>
            </w:r>
            <w:r>
              <w:rPr>
                <w:rFonts w:ascii="宋体" w:hAnsi="宋体" w:cs="宋体" w:eastAsia="宋体" w:hint="default"/>
                <w:b/>
                <w:bCs/>
                <w:sz w:val="20"/>
                <w:szCs w:val="20"/>
              </w:rPr>
              <w:t>表项目和名</w:t>
            </w:r>
            <w:r>
              <w:rPr>
                <w:rFonts w:ascii="宋体" w:hAnsi="宋体" w:cs="宋体" w:eastAsia="宋体" w:hint="default"/>
                <w:b/>
                <w:bCs/>
                <w:w w:val="99"/>
                <w:sz w:val="20"/>
                <w:szCs w:val="20"/>
              </w:rPr>
              <w:t> </w:t>
            </w:r>
            <w:r>
              <w:rPr>
                <w:rFonts w:ascii="宋体" w:hAnsi="宋体" w:cs="宋体" w:eastAsia="宋体" w:hint="default"/>
                <w:b/>
                <w:bCs/>
                <w:sz w:val="20"/>
                <w:szCs w:val="20"/>
              </w:rPr>
              <w:t>称</w:t>
            </w:r>
            <w:r>
              <w:rPr>
                <w:rFonts w:ascii="宋体" w:hAnsi="宋体" w:cs="宋体" w:eastAsia="宋体" w:hint="default"/>
                <w:sz w:val="20"/>
                <w:szCs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0" w:right="97"/>
              <w:jc w:val="both"/>
              <w:rPr>
                <w:rFonts w:ascii="宋体" w:hAnsi="宋体" w:cs="宋体" w:eastAsia="宋体" w:hint="default"/>
                <w:sz w:val="20"/>
                <w:szCs w:val="20"/>
              </w:rPr>
            </w:pPr>
            <w:r>
              <w:rPr>
                <w:rFonts w:ascii="宋体" w:hAnsi="宋体" w:cs="宋体" w:eastAsia="宋体" w:hint="default"/>
                <w:b/>
                <w:bCs/>
                <w:sz w:val="20"/>
                <w:szCs w:val="20"/>
              </w:rPr>
              <w:t>会计政策变更前</w:t>
            </w:r>
            <w:r>
              <w:rPr>
                <w:rFonts w:ascii="宋体" w:hAnsi="宋体" w:cs="宋体" w:eastAsia="宋体" w:hint="default"/>
                <w:b/>
                <w:bCs/>
                <w:w w:val="99"/>
                <w:sz w:val="20"/>
                <w:szCs w:val="20"/>
              </w:rPr>
              <w:t> </w:t>
            </w:r>
            <w:r>
              <w:rPr>
                <w:rFonts w:ascii="宋体" w:hAnsi="宋体" w:cs="宋体" w:eastAsia="宋体" w:hint="default"/>
                <w:b/>
                <w:bCs/>
                <w:sz w:val="20"/>
                <w:szCs w:val="20"/>
              </w:rPr>
              <w:t>列示的账面价值</w:t>
            </w:r>
            <w:r>
              <w:rPr>
                <w:rFonts w:ascii="宋体" w:hAnsi="宋体" w:cs="宋体" w:eastAsia="宋体" w:hint="default"/>
                <w:b/>
                <w:bCs/>
                <w:w w:val="99"/>
                <w:sz w:val="20"/>
                <w:szCs w:val="20"/>
              </w:rPr>
              <w:t> </w:t>
            </w:r>
            <w:r>
              <w:rPr>
                <w:rFonts w:ascii="Times New Roman" w:hAnsi="Times New Roman" w:cs="Times New Roman" w:eastAsia="Times New Roman" w:hint="default"/>
                <w:b/>
                <w:bCs/>
                <w:sz w:val="20"/>
                <w:szCs w:val="20"/>
              </w:rPr>
              <w:t>2018</w:t>
            </w:r>
            <w:r>
              <w:rPr>
                <w:rFonts w:ascii="宋体" w:hAnsi="宋体" w:cs="宋体" w:eastAsia="宋体" w:hint="default"/>
                <w:b/>
                <w:bCs/>
                <w:sz w:val="20"/>
                <w:szCs w:val="20"/>
              </w:rPr>
              <w:t>年</w:t>
            </w:r>
            <w:r>
              <w:rPr>
                <w:rFonts w:ascii="Times New Roman" w:hAnsi="Times New Roman" w:cs="Times New Roman" w:eastAsia="Times New Roman" w:hint="default"/>
                <w:b/>
                <w:bCs/>
                <w:sz w:val="20"/>
                <w:szCs w:val="20"/>
              </w:rPr>
              <w:t>12</w:t>
            </w:r>
            <w:r>
              <w:rPr>
                <w:rFonts w:ascii="宋体" w:hAnsi="宋体" w:cs="宋体" w:eastAsia="宋体" w:hint="default"/>
                <w:b/>
                <w:bCs/>
                <w:sz w:val="20"/>
                <w:szCs w:val="20"/>
              </w:rPr>
              <w:t>月</w:t>
            </w:r>
            <w:r>
              <w:rPr>
                <w:rFonts w:ascii="Times New Roman" w:hAnsi="Times New Roman" w:cs="Times New Roman" w:eastAsia="Times New Roman" w:hint="default"/>
                <w:b/>
                <w:bCs/>
                <w:sz w:val="20"/>
                <w:szCs w:val="20"/>
              </w:rPr>
              <w:t>31</w:t>
            </w:r>
            <w:r>
              <w:rPr>
                <w:rFonts w:ascii="宋体" w:hAnsi="宋体" w:cs="宋体" w:eastAsia="宋体" w:hint="default"/>
                <w:b/>
                <w:bCs/>
                <w:sz w:val="20"/>
                <w:szCs w:val="20"/>
              </w:rPr>
              <w:t>日</w:t>
            </w:r>
            <w:r>
              <w:rPr>
                <w:rFonts w:ascii="宋体" w:hAnsi="宋体" w:cs="宋体" w:eastAsia="宋体" w:hint="default"/>
                <w:sz w:val="20"/>
                <w:szCs w:val="20"/>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583" w:right="0"/>
              <w:jc w:val="left"/>
              <w:rPr>
                <w:rFonts w:ascii="宋体" w:hAnsi="宋体" w:cs="宋体" w:eastAsia="宋体" w:hint="default"/>
                <w:sz w:val="20"/>
                <w:szCs w:val="20"/>
              </w:rPr>
            </w:pPr>
            <w:r>
              <w:rPr>
                <w:rFonts w:ascii="宋体" w:hAnsi="宋体" w:cs="宋体" w:eastAsia="宋体" w:hint="default"/>
                <w:b/>
                <w:bCs/>
                <w:spacing w:val="2"/>
                <w:sz w:val="20"/>
                <w:szCs w:val="20"/>
              </w:rPr>
              <w:t>重分类</w:t>
            </w:r>
            <w:r>
              <w:rPr>
                <w:rFonts w:ascii="宋体" w:hAnsi="宋体" w:cs="宋体" w:eastAsia="宋体" w:hint="default"/>
                <w:sz w:val="20"/>
                <w:szCs w:val="20"/>
              </w:rPr>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ind w:left="26" w:right="18" w:hanging="3"/>
              <w:jc w:val="center"/>
              <w:rPr>
                <w:rFonts w:ascii="宋体" w:hAnsi="宋体" w:cs="宋体" w:eastAsia="宋体" w:hint="default"/>
                <w:sz w:val="20"/>
                <w:szCs w:val="20"/>
              </w:rPr>
            </w:pPr>
            <w:r>
              <w:rPr>
                <w:rFonts w:ascii="宋体" w:hAnsi="宋体" w:cs="宋体" w:eastAsia="宋体" w:hint="default"/>
                <w:b/>
                <w:bCs/>
                <w:sz w:val="20"/>
                <w:szCs w:val="20"/>
              </w:rPr>
              <w:t>会计政策变更后列</w:t>
            </w:r>
            <w:r>
              <w:rPr>
                <w:rFonts w:ascii="宋体" w:hAnsi="宋体" w:cs="宋体" w:eastAsia="宋体" w:hint="default"/>
                <w:b/>
                <w:bCs/>
                <w:w w:val="99"/>
                <w:sz w:val="20"/>
                <w:szCs w:val="20"/>
              </w:rPr>
              <w:t> </w:t>
            </w:r>
            <w:r>
              <w:rPr>
                <w:rFonts w:ascii="宋体" w:hAnsi="宋体" w:cs="宋体" w:eastAsia="宋体" w:hint="default"/>
                <w:b/>
                <w:bCs/>
                <w:sz w:val="20"/>
                <w:szCs w:val="20"/>
              </w:rPr>
              <w:t>示的账面价值</w:t>
            </w:r>
            <w:r>
              <w:rPr>
                <w:rFonts w:ascii="Times New Roman" w:hAnsi="Times New Roman" w:cs="Times New Roman" w:eastAsia="Times New Roman" w:hint="default"/>
                <w:b/>
                <w:bCs/>
                <w:sz w:val="20"/>
                <w:szCs w:val="20"/>
              </w:rPr>
              <w:t>2019</w:t>
            </w:r>
            <w:r>
              <w:rPr>
                <w:rFonts w:ascii="Times New Roman" w:hAnsi="Times New Roman" w:cs="Times New Roman" w:eastAsia="Times New Roman" w:hint="default"/>
                <w:b/>
                <w:bCs/>
                <w:w w:val="99"/>
                <w:sz w:val="20"/>
                <w:szCs w:val="20"/>
              </w:rPr>
              <w:t> </w:t>
            </w:r>
            <w:r>
              <w:rPr>
                <w:rFonts w:ascii="宋体" w:hAnsi="宋体" w:cs="宋体" w:eastAsia="宋体" w:hint="default"/>
                <w:b/>
                <w:bCs/>
                <w:sz w:val="20"/>
                <w:szCs w:val="20"/>
              </w:rPr>
              <w:t>年</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月</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日</w:t>
            </w:r>
            <w:r>
              <w:rPr>
                <w:rFonts w:ascii="宋体" w:hAnsi="宋体" w:cs="宋体" w:eastAsia="宋体" w:hint="default"/>
                <w:sz w:val="20"/>
                <w:szCs w:val="20"/>
              </w:rPr>
            </w:r>
          </w:p>
        </w:tc>
      </w:tr>
      <w:tr>
        <w:trPr>
          <w:trHeight w:val="343" w:hRule="exact"/>
        </w:trPr>
        <w:tc>
          <w:tcPr>
            <w:tcW w:w="2149" w:type="dxa"/>
            <w:vMerge w:val="restart"/>
            <w:tcBorders>
              <w:top w:val="single" w:sz="4" w:space="0" w:color="000000"/>
              <w:left w:val="single" w:sz="4" w:space="0" w:color="000000"/>
              <w:right w:val="single" w:sz="4" w:space="0" w:color="000000"/>
            </w:tcBorders>
          </w:tcPr>
          <w:p>
            <w:pPr>
              <w:pStyle w:val="TableParagraph"/>
              <w:spacing w:line="285" w:lineRule="auto" w:before="1"/>
              <w:ind w:left="7" w:right="8"/>
              <w:jc w:val="both"/>
              <w:rPr>
                <w:rFonts w:ascii="宋体" w:hAnsi="宋体" w:cs="宋体" w:eastAsia="宋体" w:hint="default"/>
                <w:sz w:val="20"/>
                <w:szCs w:val="20"/>
              </w:rPr>
            </w:pPr>
            <w:r>
              <w:rPr>
                <w:rFonts w:ascii="宋体" w:hAnsi="宋体" w:cs="宋体" w:eastAsia="宋体" w:hint="default"/>
                <w:spacing w:val="12"/>
                <w:sz w:val="20"/>
                <w:szCs w:val="20"/>
              </w:rPr>
              <w:t>将应收票据及应收账款</w:t>
            </w:r>
            <w:r>
              <w:rPr>
                <w:rFonts w:ascii="宋体" w:hAnsi="宋体" w:cs="宋体" w:eastAsia="宋体" w:hint="default"/>
                <w:w w:val="99"/>
                <w:sz w:val="20"/>
                <w:szCs w:val="20"/>
              </w:rPr>
              <w:t> </w:t>
            </w:r>
            <w:r>
              <w:rPr>
                <w:rFonts w:ascii="宋体" w:hAnsi="宋体" w:cs="宋体" w:eastAsia="宋体" w:hint="default"/>
                <w:spacing w:val="12"/>
                <w:sz w:val="20"/>
                <w:szCs w:val="20"/>
              </w:rPr>
              <w:t>项目分拆为应收票据项</w:t>
            </w:r>
            <w:r>
              <w:rPr>
                <w:rFonts w:ascii="宋体" w:hAnsi="宋体" w:cs="宋体" w:eastAsia="宋体" w:hint="default"/>
                <w:w w:val="99"/>
                <w:sz w:val="20"/>
                <w:szCs w:val="20"/>
              </w:rPr>
              <w:t> </w:t>
            </w:r>
            <w:r>
              <w:rPr>
                <w:rFonts w:ascii="宋体" w:hAnsi="宋体" w:cs="宋体" w:eastAsia="宋体" w:hint="default"/>
                <w:sz w:val="20"/>
                <w:szCs w:val="20"/>
              </w:rPr>
              <w:t>目和应收账款项目</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149" w:type="dxa"/>
            <w:vMerge/>
            <w:tcBorders>
              <w:left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
              <w:jc w:val="right"/>
              <w:rPr>
                <w:rFonts w:ascii="Times New Roman" w:hAnsi="Times New Roman" w:cs="Times New Roman" w:eastAsia="Times New Roman" w:hint="default"/>
                <w:sz w:val="20"/>
                <w:szCs w:val="20"/>
              </w:rPr>
            </w:pPr>
            <w:r>
              <w:rPr>
                <w:rFonts w:ascii="Times New Roman"/>
                <w:w w:val="95"/>
                <w:sz w:val="20"/>
              </w:rPr>
              <w:t>154,246,153.78</w:t>
            </w:r>
            <w:r>
              <w:rPr>
                <w:rFonts w:ascii="Times New Roman"/>
                <w:sz w:val="20"/>
              </w:rPr>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154,246,153.78</w:t>
            </w:r>
            <w:r>
              <w:rPr>
                <w:rFonts w:ascii="Times New Roman"/>
                <w:sz w:val="20"/>
              </w:rPr>
            </w:r>
          </w:p>
        </w:tc>
      </w:tr>
      <w:tr>
        <w:trPr>
          <w:trHeight w:val="655" w:hRule="exact"/>
        </w:trPr>
        <w:tc>
          <w:tcPr>
            <w:tcW w:w="2149" w:type="dxa"/>
            <w:vMerge/>
            <w:tcBorders>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
              <w:ind w:left="4" w:right="5"/>
              <w:jc w:val="left"/>
              <w:rPr>
                <w:rFonts w:ascii="宋体" w:hAnsi="宋体" w:cs="宋体" w:eastAsia="宋体" w:hint="default"/>
                <w:sz w:val="20"/>
                <w:szCs w:val="20"/>
              </w:rPr>
            </w:pPr>
            <w:r>
              <w:rPr>
                <w:rFonts w:ascii="宋体" w:hAnsi="宋体" w:cs="宋体" w:eastAsia="宋体" w:hint="default"/>
                <w:sz w:val="20"/>
                <w:szCs w:val="20"/>
              </w:rPr>
              <w:t>应</w:t>
            </w:r>
            <w:r>
              <w:rPr>
                <w:rFonts w:ascii="宋体" w:hAnsi="宋体" w:cs="宋体" w:eastAsia="宋体" w:hint="default"/>
                <w:spacing w:val="-54"/>
                <w:sz w:val="20"/>
                <w:szCs w:val="20"/>
              </w:rPr>
              <w:t> </w:t>
            </w:r>
            <w:r>
              <w:rPr>
                <w:rFonts w:ascii="宋体" w:hAnsi="宋体" w:cs="宋体" w:eastAsia="宋体" w:hint="default"/>
                <w:sz w:val="20"/>
                <w:szCs w:val="20"/>
              </w:rPr>
              <w:t>收</w:t>
            </w:r>
            <w:r>
              <w:rPr>
                <w:rFonts w:ascii="宋体" w:hAnsi="宋体" w:cs="宋体" w:eastAsia="宋体" w:hint="default"/>
                <w:spacing w:val="-54"/>
                <w:sz w:val="20"/>
                <w:szCs w:val="20"/>
              </w:rPr>
              <w:t> </w:t>
            </w:r>
            <w:r>
              <w:rPr>
                <w:rFonts w:ascii="宋体" w:hAnsi="宋体" w:cs="宋体" w:eastAsia="宋体" w:hint="default"/>
                <w:sz w:val="20"/>
                <w:szCs w:val="20"/>
              </w:rPr>
              <w:t>票</w:t>
            </w:r>
            <w:r>
              <w:rPr>
                <w:rFonts w:ascii="宋体" w:hAnsi="宋体" w:cs="宋体" w:eastAsia="宋体" w:hint="default"/>
                <w:spacing w:val="-51"/>
                <w:sz w:val="20"/>
                <w:szCs w:val="20"/>
              </w:rPr>
              <w:t> </w:t>
            </w:r>
            <w:r>
              <w:rPr>
                <w:rFonts w:ascii="宋体" w:hAnsi="宋体" w:cs="宋体" w:eastAsia="宋体" w:hint="default"/>
                <w:sz w:val="20"/>
                <w:szCs w:val="20"/>
              </w:rPr>
              <w:t>据</w:t>
            </w:r>
            <w:r>
              <w:rPr>
                <w:rFonts w:ascii="宋体" w:hAnsi="宋体" w:cs="宋体" w:eastAsia="宋体" w:hint="default"/>
                <w:spacing w:val="-54"/>
                <w:sz w:val="20"/>
                <w:szCs w:val="20"/>
              </w:rPr>
              <w:t> </w:t>
            </w:r>
            <w:r>
              <w:rPr>
                <w:rFonts w:ascii="宋体" w:hAnsi="宋体" w:cs="宋体" w:eastAsia="宋体" w:hint="default"/>
                <w:sz w:val="20"/>
                <w:szCs w:val="20"/>
              </w:rPr>
              <w:t>及</w:t>
            </w:r>
            <w:r>
              <w:rPr>
                <w:rFonts w:ascii="宋体" w:hAnsi="宋体" w:cs="宋体" w:eastAsia="宋体" w:hint="default"/>
                <w:w w:val="99"/>
                <w:sz w:val="20"/>
                <w:szCs w:val="20"/>
              </w:rPr>
              <w:t> </w:t>
            </w:r>
            <w:r>
              <w:rPr>
                <w:rFonts w:ascii="宋体" w:hAnsi="宋体" w:cs="宋体" w:eastAsia="宋体" w:hint="default"/>
                <w:sz w:val="20"/>
                <w:szCs w:val="20"/>
              </w:rPr>
              <w:t>应收账款</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154,246,153.78</w:t>
            </w:r>
            <w:r>
              <w:rPr>
                <w:rFonts w:ascii="Times New Roman"/>
                <w:sz w:val="20"/>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-154,246,153.78</w:t>
            </w:r>
            <w:r>
              <w:rPr>
                <w:rFonts w:ascii="Times New Roman"/>
                <w:sz w:val="20"/>
              </w:rPr>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1" w:hRule="exact"/>
        </w:trPr>
        <w:tc>
          <w:tcPr>
            <w:tcW w:w="2149" w:type="dxa"/>
            <w:vMerge w:val="restart"/>
            <w:tcBorders>
              <w:top w:val="single" w:sz="4" w:space="0" w:color="000000"/>
              <w:left w:val="single" w:sz="4" w:space="0" w:color="000000"/>
              <w:right w:val="single" w:sz="4" w:space="0" w:color="000000"/>
            </w:tcBorders>
          </w:tcPr>
          <w:p>
            <w:pPr>
              <w:pStyle w:val="TableParagraph"/>
              <w:spacing w:line="261" w:lineRule="exact"/>
              <w:ind w:left="7" w:right="0"/>
              <w:jc w:val="both"/>
              <w:rPr>
                <w:rFonts w:ascii="宋体" w:hAnsi="宋体" w:cs="宋体" w:eastAsia="宋体" w:hint="default"/>
                <w:sz w:val="20"/>
                <w:szCs w:val="20"/>
              </w:rPr>
            </w:pPr>
            <w:r>
              <w:rPr>
                <w:rFonts w:ascii="宋体" w:hAnsi="宋体" w:cs="宋体" w:eastAsia="宋体" w:hint="default"/>
                <w:spacing w:val="12"/>
                <w:sz w:val="20"/>
                <w:szCs w:val="20"/>
              </w:rPr>
              <w:t>递延收益预计在一年内</w:t>
            </w:r>
          </w:p>
          <w:p>
            <w:pPr>
              <w:pStyle w:val="TableParagraph"/>
              <w:spacing w:line="278" w:lineRule="auto" w:before="50"/>
              <w:ind w:left="7" w:right="0"/>
              <w:jc w:val="both"/>
              <w:rPr>
                <w:rFonts w:ascii="Times New Roman" w:hAnsi="Times New Roman" w:cs="Times New Roman" w:eastAsia="Times New Roman" w:hint="default"/>
                <w:sz w:val="20"/>
                <w:szCs w:val="20"/>
              </w:rPr>
            </w:pPr>
            <w:r>
              <w:rPr>
                <w:rFonts w:ascii="宋体" w:hAnsi="宋体" w:cs="宋体" w:eastAsia="宋体" w:hint="default"/>
                <w:spacing w:val="-7"/>
                <w:sz w:val="20"/>
                <w:szCs w:val="20"/>
              </w:rPr>
              <w:t>（含一年）进行摊销的部</w:t>
            </w:r>
            <w:r>
              <w:rPr>
                <w:rFonts w:ascii="宋体" w:hAnsi="宋体" w:cs="宋体" w:eastAsia="宋体" w:hint="default"/>
                <w:w w:val="99"/>
                <w:sz w:val="20"/>
                <w:szCs w:val="20"/>
              </w:rPr>
              <w:t> </w:t>
            </w:r>
            <w:r>
              <w:rPr>
                <w:rFonts w:ascii="宋体" w:hAnsi="宋体" w:cs="宋体" w:eastAsia="宋体" w:hint="default"/>
                <w:spacing w:val="3"/>
                <w:sz w:val="20"/>
                <w:szCs w:val="20"/>
              </w:rPr>
              <w:t>分不转入</w:t>
            </w:r>
            <w:r>
              <w:rPr>
                <w:rFonts w:ascii="Times New Roman" w:hAnsi="Times New Roman" w:cs="Times New Roman" w:eastAsia="Times New Roman" w:hint="default"/>
                <w:spacing w:val="3"/>
                <w:sz w:val="20"/>
                <w:szCs w:val="20"/>
              </w:rPr>
              <w:t>“</w:t>
            </w:r>
            <w:r>
              <w:rPr>
                <w:rFonts w:ascii="宋体" w:hAnsi="宋体" w:cs="宋体" w:eastAsia="宋体" w:hint="default"/>
                <w:spacing w:val="3"/>
                <w:sz w:val="20"/>
                <w:szCs w:val="20"/>
              </w:rPr>
              <w:t>一年内到期的</w:t>
            </w:r>
            <w:r>
              <w:rPr>
                <w:rFonts w:ascii="宋体" w:hAnsi="宋体" w:cs="宋体" w:eastAsia="宋体" w:hint="default"/>
                <w:spacing w:val="4"/>
                <w:w w:val="99"/>
                <w:sz w:val="20"/>
                <w:szCs w:val="20"/>
              </w:rPr>
              <w:t> </w:t>
            </w:r>
            <w:r>
              <w:rPr>
                <w:rFonts w:ascii="宋体" w:hAnsi="宋体" w:cs="宋体" w:eastAsia="宋体" w:hint="default"/>
                <w:sz w:val="20"/>
                <w:szCs w:val="20"/>
              </w:rPr>
              <w:t>非流负债</w:t>
            </w:r>
            <w:r>
              <w:rPr>
                <w:rFonts w:ascii="Times New Roman" w:hAnsi="Times New Roman" w:cs="Times New Roman" w:eastAsia="Times New Roman" w:hint="default"/>
                <w:sz w:val="20"/>
                <w:szCs w:val="20"/>
              </w:rPr>
              <w:t>”</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 w:right="0"/>
              <w:jc w:val="left"/>
              <w:rPr>
                <w:rFonts w:ascii="宋体" w:hAnsi="宋体" w:cs="宋体" w:eastAsia="宋体" w:hint="default"/>
                <w:sz w:val="20"/>
                <w:szCs w:val="20"/>
              </w:rPr>
            </w:pPr>
            <w:r>
              <w:rPr>
                <w:rFonts w:ascii="宋体" w:hAnsi="宋体" w:cs="宋体" w:eastAsia="宋体" w:hint="default"/>
                <w:sz w:val="20"/>
                <w:szCs w:val="20"/>
              </w:rPr>
              <w:t>递延收益</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1,643,333.47</w:t>
            </w:r>
            <w:r>
              <w:rPr>
                <w:rFonts w:ascii="Times New Roman"/>
                <w:sz w:val="20"/>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
              <w:jc w:val="right"/>
              <w:rPr>
                <w:rFonts w:ascii="Times New Roman" w:hAnsi="Times New Roman" w:cs="Times New Roman" w:eastAsia="Times New Roman" w:hint="default"/>
                <w:sz w:val="20"/>
                <w:szCs w:val="20"/>
              </w:rPr>
            </w:pPr>
            <w:r>
              <w:rPr>
                <w:rFonts w:ascii="Times New Roman"/>
                <w:w w:val="95"/>
                <w:sz w:val="20"/>
              </w:rPr>
              <w:t>10,123,925.06</w:t>
            </w:r>
            <w:r>
              <w:rPr>
                <w:rFonts w:ascii="Times New Roman"/>
                <w:sz w:val="20"/>
              </w:rPr>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11,767,258.53</w:t>
            </w:r>
            <w:r>
              <w:rPr>
                <w:rFonts w:ascii="Times New Roman"/>
                <w:sz w:val="20"/>
              </w:rPr>
            </w:r>
          </w:p>
        </w:tc>
      </w:tr>
      <w:tr>
        <w:trPr>
          <w:trHeight w:val="937" w:hRule="exact"/>
        </w:trPr>
        <w:tc>
          <w:tcPr>
            <w:tcW w:w="2149" w:type="dxa"/>
            <w:vMerge/>
            <w:tcBorders>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
              <w:ind w:left="4" w:right="197"/>
              <w:jc w:val="left"/>
              <w:rPr>
                <w:rFonts w:ascii="宋体" w:hAnsi="宋体" w:cs="宋体" w:eastAsia="宋体" w:hint="default"/>
                <w:sz w:val="20"/>
                <w:szCs w:val="20"/>
              </w:rPr>
            </w:pPr>
            <w:r>
              <w:rPr>
                <w:rFonts w:ascii="宋体" w:hAnsi="宋体" w:cs="宋体" w:eastAsia="宋体" w:hint="default"/>
                <w:sz w:val="20"/>
                <w:szCs w:val="20"/>
              </w:rPr>
              <w:t>其他流动负</w:t>
            </w:r>
            <w:r>
              <w:rPr>
                <w:rFonts w:ascii="宋体" w:hAnsi="宋体" w:cs="宋体" w:eastAsia="宋体" w:hint="default"/>
                <w:w w:val="99"/>
                <w:sz w:val="20"/>
                <w:szCs w:val="20"/>
              </w:rPr>
              <w:t> </w:t>
            </w:r>
            <w:r>
              <w:rPr>
                <w:rFonts w:ascii="宋体" w:hAnsi="宋体" w:cs="宋体" w:eastAsia="宋体" w:hint="default"/>
                <w:sz w:val="20"/>
                <w:szCs w:val="20"/>
              </w:rPr>
              <w:t>债</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10,123,925.06</w:t>
            </w:r>
            <w:r>
              <w:rPr>
                <w:rFonts w:ascii="Times New Roman"/>
                <w:sz w:val="20"/>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-10,123,925.06</w:t>
            </w:r>
            <w:r>
              <w:rPr>
                <w:rFonts w:ascii="Times New Roman"/>
                <w:sz w:val="20"/>
              </w:rPr>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55" w:hRule="exact"/>
        </w:trPr>
        <w:tc>
          <w:tcPr>
            <w:tcW w:w="2149" w:type="dxa"/>
            <w:vMerge w:val="restart"/>
            <w:tcBorders>
              <w:top w:val="single" w:sz="4" w:space="0" w:color="000000"/>
              <w:left w:val="single" w:sz="4" w:space="0" w:color="000000"/>
              <w:right w:val="single" w:sz="4" w:space="0" w:color="000000"/>
            </w:tcBorders>
          </w:tcPr>
          <w:p>
            <w:pPr>
              <w:pStyle w:val="TableParagraph"/>
              <w:spacing w:line="280" w:lineRule="auto" w:before="1"/>
              <w:ind w:left="7" w:right="0"/>
              <w:jc w:val="both"/>
              <w:rPr>
                <w:rFonts w:ascii="Times New Roman" w:hAnsi="Times New Roman" w:cs="Times New Roman" w:eastAsia="Times New Roman" w:hint="default"/>
                <w:sz w:val="20"/>
                <w:szCs w:val="20"/>
              </w:rPr>
            </w:pPr>
            <w:r>
              <w:rPr>
                <w:rFonts w:ascii="宋体" w:hAnsi="宋体" w:cs="宋体" w:eastAsia="宋体" w:hint="default"/>
                <w:spacing w:val="12"/>
                <w:sz w:val="20"/>
                <w:szCs w:val="20"/>
              </w:rPr>
              <w:t>长期待摊费用预计在一</w:t>
            </w:r>
            <w:r>
              <w:rPr>
                <w:rFonts w:ascii="宋体" w:hAnsi="宋体" w:cs="宋体" w:eastAsia="宋体" w:hint="default"/>
                <w:w w:val="99"/>
                <w:sz w:val="20"/>
                <w:szCs w:val="20"/>
              </w:rPr>
              <w:t> </w:t>
            </w:r>
            <w:r>
              <w:rPr>
                <w:rFonts w:ascii="宋体" w:hAnsi="宋体" w:cs="宋体" w:eastAsia="宋体" w:hint="default"/>
                <w:spacing w:val="-7"/>
                <w:sz w:val="20"/>
                <w:szCs w:val="20"/>
              </w:rPr>
              <w:t>年内（含一年）进行摊销</w:t>
            </w:r>
            <w:r>
              <w:rPr>
                <w:rFonts w:ascii="宋体" w:hAnsi="宋体" w:cs="宋体" w:eastAsia="宋体" w:hint="default"/>
                <w:w w:val="99"/>
                <w:sz w:val="20"/>
                <w:szCs w:val="20"/>
              </w:rPr>
              <w:t> </w:t>
            </w:r>
            <w:r>
              <w:rPr>
                <w:rFonts w:ascii="宋体" w:hAnsi="宋体" w:cs="宋体" w:eastAsia="宋体" w:hint="default"/>
                <w:spacing w:val="3"/>
                <w:sz w:val="20"/>
                <w:szCs w:val="20"/>
              </w:rPr>
              <w:t>的部分不转入</w:t>
            </w:r>
            <w:r>
              <w:rPr>
                <w:rFonts w:ascii="Times New Roman" w:hAnsi="Times New Roman" w:cs="Times New Roman" w:eastAsia="Times New Roman" w:hint="default"/>
                <w:spacing w:val="3"/>
                <w:sz w:val="20"/>
                <w:szCs w:val="20"/>
              </w:rPr>
              <w:t>“</w:t>
            </w:r>
            <w:r>
              <w:rPr>
                <w:rFonts w:ascii="宋体" w:hAnsi="宋体" w:cs="宋体" w:eastAsia="宋体" w:hint="default"/>
                <w:spacing w:val="3"/>
                <w:sz w:val="20"/>
                <w:szCs w:val="20"/>
              </w:rPr>
              <w:t>一年内到</w:t>
            </w:r>
            <w:r>
              <w:rPr>
                <w:rFonts w:ascii="宋体" w:hAnsi="宋体" w:cs="宋体" w:eastAsia="宋体" w:hint="default"/>
                <w:spacing w:val="4"/>
                <w:w w:val="99"/>
                <w:sz w:val="20"/>
                <w:szCs w:val="20"/>
              </w:rPr>
              <w:t> </w:t>
            </w:r>
            <w:r>
              <w:rPr>
                <w:rFonts w:ascii="宋体" w:hAnsi="宋体" w:cs="宋体" w:eastAsia="宋体" w:hint="default"/>
                <w:sz w:val="20"/>
                <w:szCs w:val="20"/>
              </w:rPr>
              <w:t>期的非流动资产</w:t>
            </w:r>
            <w:r>
              <w:rPr>
                <w:rFonts w:ascii="Times New Roman" w:hAnsi="Times New Roman" w:cs="Times New Roman" w:eastAsia="Times New Roman" w:hint="default"/>
                <w:sz w:val="20"/>
                <w:szCs w:val="20"/>
              </w:rPr>
              <w:t>”</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
              <w:ind w:left="4" w:right="197"/>
              <w:jc w:val="left"/>
              <w:rPr>
                <w:rFonts w:ascii="宋体" w:hAnsi="宋体" w:cs="宋体" w:eastAsia="宋体" w:hint="default"/>
                <w:sz w:val="20"/>
                <w:szCs w:val="20"/>
              </w:rPr>
            </w:pPr>
            <w:r>
              <w:rPr>
                <w:rFonts w:ascii="宋体" w:hAnsi="宋体" w:cs="宋体" w:eastAsia="宋体" w:hint="default"/>
                <w:sz w:val="20"/>
                <w:szCs w:val="20"/>
              </w:rPr>
              <w:t>长期待摊费</w:t>
            </w:r>
            <w:r>
              <w:rPr>
                <w:rFonts w:ascii="宋体" w:hAnsi="宋体" w:cs="宋体" w:eastAsia="宋体" w:hint="default"/>
                <w:w w:val="99"/>
                <w:sz w:val="20"/>
                <w:szCs w:val="20"/>
              </w:rPr>
              <w:t> </w:t>
            </w:r>
            <w:r>
              <w:rPr>
                <w:rFonts w:ascii="宋体" w:hAnsi="宋体" w:cs="宋体" w:eastAsia="宋体" w:hint="default"/>
                <w:sz w:val="20"/>
                <w:szCs w:val="20"/>
              </w:rPr>
              <w:t>用</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9,920,461.71</w:t>
            </w:r>
            <w:r>
              <w:rPr>
                <w:rFonts w:ascii="Times New Roman"/>
                <w:sz w:val="20"/>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7,214,642.64</w:t>
            </w:r>
            <w:r>
              <w:rPr>
                <w:rFonts w:ascii="Times New Roman"/>
                <w:sz w:val="20"/>
              </w:rPr>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17,135,104.35</w:t>
            </w:r>
            <w:r>
              <w:rPr>
                <w:rFonts w:ascii="Times New Roman"/>
                <w:sz w:val="20"/>
              </w:rPr>
            </w:r>
          </w:p>
        </w:tc>
      </w:tr>
      <w:tr>
        <w:trPr>
          <w:trHeight w:val="965" w:hRule="exact"/>
        </w:trPr>
        <w:tc>
          <w:tcPr>
            <w:tcW w:w="2149" w:type="dxa"/>
            <w:vMerge/>
            <w:tcBorders>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4" w:right="197"/>
              <w:jc w:val="both"/>
              <w:rPr>
                <w:rFonts w:ascii="宋体" w:hAnsi="宋体" w:cs="宋体" w:eastAsia="宋体" w:hint="default"/>
                <w:sz w:val="20"/>
                <w:szCs w:val="20"/>
              </w:rPr>
            </w:pPr>
            <w:r>
              <w:rPr>
                <w:rFonts w:ascii="宋体" w:hAnsi="宋体" w:cs="宋体" w:eastAsia="宋体" w:hint="default"/>
                <w:sz w:val="20"/>
                <w:szCs w:val="20"/>
              </w:rPr>
              <w:t>一年内到期</w:t>
            </w:r>
            <w:r>
              <w:rPr>
                <w:rFonts w:ascii="宋体" w:hAnsi="宋体" w:cs="宋体" w:eastAsia="宋体" w:hint="default"/>
                <w:w w:val="99"/>
                <w:sz w:val="20"/>
                <w:szCs w:val="20"/>
              </w:rPr>
              <w:t> </w:t>
            </w:r>
            <w:r>
              <w:rPr>
                <w:rFonts w:ascii="宋体" w:hAnsi="宋体" w:cs="宋体" w:eastAsia="宋体" w:hint="default"/>
                <w:sz w:val="20"/>
                <w:szCs w:val="20"/>
              </w:rPr>
              <w:t>的非流动资</w:t>
            </w:r>
            <w:r>
              <w:rPr>
                <w:rFonts w:ascii="宋体" w:hAnsi="宋体" w:cs="宋体" w:eastAsia="宋体" w:hint="default"/>
                <w:w w:val="99"/>
                <w:sz w:val="20"/>
                <w:szCs w:val="20"/>
              </w:rPr>
              <w:t> </w:t>
            </w:r>
            <w:r>
              <w:rPr>
                <w:rFonts w:ascii="宋体" w:hAnsi="宋体" w:cs="宋体" w:eastAsia="宋体" w:hint="default"/>
                <w:sz w:val="20"/>
                <w:szCs w:val="20"/>
              </w:rPr>
              <w:t>产</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7,214,642.64</w:t>
            </w:r>
            <w:r>
              <w:rPr>
                <w:rFonts w:ascii="Times New Roman"/>
                <w:sz w:val="20"/>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
              <w:jc w:val="right"/>
              <w:rPr>
                <w:rFonts w:ascii="Times New Roman" w:hAnsi="Times New Roman" w:cs="Times New Roman" w:eastAsia="Times New Roman" w:hint="default"/>
                <w:sz w:val="20"/>
                <w:szCs w:val="20"/>
              </w:rPr>
            </w:pPr>
            <w:r>
              <w:rPr>
                <w:rFonts w:ascii="Times New Roman"/>
                <w:w w:val="95"/>
                <w:sz w:val="20"/>
              </w:rPr>
              <w:t>-7,214,642.64</w:t>
            </w:r>
            <w:r>
              <w:rPr>
                <w:rFonts w:ascii="Times New Roman"/>
                <w:sz w:val="20"/>
              </w:rPr>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3" w:hRule="exact"/>
        </w:trPr>
        <w:tc>
          <w:tcPr>
            <w:tcW w:w="2149" w:type="dxa"/>
            <w:vMerge w:val="restart"/>
            <w:tcBorders>
              <w:top w:val="single" w:sz="4" w:space="0" w:color="000000"/>
              <w:left w:val="single" w:sz="4" w:space="0" w:color="000000"/>
              <w:right w:val="single" w:sz="4" w:space="0" w:color="000000"/>
            </w:tcBorders>
          </w:tcPr>
          <w:p>
            <w:pPr>
              <w:pStyle w:val="TableParagraph"/>
              <w:spacing w:line="283" w:lineRule="auto" w:before="1"/>
              <w:ind w:left="7" w:right="5"/>
              <w:jc w:val="both"/>
              <w:rPr>
                <w:rFonts w:ascii="宋体" w:hAnsi="宋体" w:cs="宋体" w:eastAsia="宋体" w:hint="default"/>
                <w:sz w:val="20"/>
                <w:szCs w:val="20"/>
              </w:rPr>
            </w:pPr>
            <w:r>
              <w:rPr>
                <w:rFonts w:ascii="宋体" w:hAnsi="宋体" w:cs="宋体" w:eastAsia="宋体" w:hint="default"/>
                <w:spacing w:val="6"/>
                <w:sz w:val="20"/>
                <w:szCs w:val="20"/>
              </w:rPr>
              <w:t>其他应付款</w:t>
            </w:r>
            <w:r>
              <w:rPr>
                <w:rFonts w:ascii="Times New Roman" w:hAnsi="Times New Roman" w:cs="Times New Roman" w:eastAsia="Times New Roman" w:hint="default"/>
                <w:spacing w:val="6"/>
                <w:sz w:val="20"/>
                <w:szCs w:val="20"/>
              </w:rPr>
              <w:t>-</w:t>
            </w:r>
            <w:r>
              <w:rPr>
                <w:rFonts w:ascii="Times New Roman" w:hAnsi="Times New Roman" w:cs="Times New Roman" w:eastAsia="Times New Roman" w:hint="default"/>
                <w:spacing w:val="6"/>
                <w:sz w:val="20"/>
                <w:szCs w:val="20"/>
              </w:rPr>
              <w:t>“</w:t>
            </w:r>
            <w:r>
              <w:rPr>
                <w:rFonts w:ascii="宋体" w:hAnsi="宋体" w:cs="宋体" w:eastAsia="宋体" w:hint="default"/>
                <w:spacing w:val="6"/>
                <w:sz w:val="20"/>
                <w:szCs w:val="20"/>
              </w:rPr>
              <w:t>应付利息</w:t>
            </w:r>
            <w:r>
              <w:rPr>
                <w:rFonts w:ascii="Times New Roman" w:hAnsi="Times New Roman" w:cs="Times New Roman" w:eastAsia="Times New Roman" w:hint="default"/>
                <w:spacing w:val="6"/>
                <w:sz w:val="20"/>
                <w:szCs w:val="20"/>
              </w:rPr>
              <w:t>”</w:t>
            </w:r>
            <w:r>
              <w:rPr>
                <w:rFonts w:ascii="Times New Roman" w:hAnsi="Times New Roman" w:cs="Times New Roman" w:eastAsia="Times New Roman" w:hint="default"/>
                <w:w w:val="99"/>
                <w:sz w:val="20"/>
                <w:szCs w:val="20"/>
              </w:rPr>
              <w:t> </w:t>
            </w:r>
            <w:r>
              <w:rPr>
                <w:rFonts w:ascii="宋体" w:hAnsi="宋体" w:cs="宋体" w:eastAsia="宋体" w:hint="default"/>
                <w:spacing w:val="12"/>
                <w:sz w:val="20"/>
                <w:szCs w:val="20"/>
              </w:rPr>
              <w:t>仅反映相关金融工具已</w:t>
            </w:r>
            <w:r>
              <w:rPr>
                <w:rFonts w:ascii="宋体" w:hAnsi="宋体" w:cs="宋体" w:eastAsia="宋体" w:hint="default"/>
                <w:w w:val="99"/>
                <w:sz w:val="20"/>
                <w:szCs w:val="20"/>
              </w:rPr>
              <w:t> </w:t>
            </w:r>
            <w:r>
              <w:rPr>
                <w:rFonts w:ascii="宋体" w:hAnsi="宋体" w:cs="宋体" w:eastAsia="宋体" w:hint="default"/>
                <w:spacing w:val="12"/>
                <w:sz w:val="20"/>
                <w:szCs w:val="20"/>
              </w:rPr>
              <w:t>到期可收取但尚未收到</w:t>
            </w:r>
            <w:r>
              <w:rPr>
                <w:rFonts w:ascii="宋体" w:hAnsi="宋体" w:cs="宋体" w:eastAsia="宋体" w:hint="default"/>
                <w:w w:val="99"/>
                <w:sz w:val="20"/>
                <w:szCs w:val="20"/>
              </w:rPr>
              <w:t> </w:t>
            </w:r>
            <w:r>
              <w:rPr>
                <w:rFonts w:ascii="宋体" w:hAnsi="宋体" w:cs="宋体" w:eastAsia="宋体" w:hint="default"/>
                <w:spacing w:val="12"/>
                <w:sz w:val="20"/>
                <w:szCs w:val="20"/>
              </w:rPr>
              <w:t>或已到期应支付但尚未</w:t>
            </w:r>
            <w:r>
              <w:rPr>
                <w:rFonts w:ascii="宋体" w:hAnsi="宋体" w:cs="宋体" w:eastAsia="宋体" w:hint="default"/>
                <w:w w:val="99"/>
                <w:sz w:val="20"/>
                <w:szCs w:val="20"/>
              </w:rPr>
              <w:t> </w:t>
            </w:r>
            <w:r>
              <w:rPr>
                <w:rFonts w:ascii="宋体" w:hAnsi="宋体" w:cs="宋体" w:eastAsia="宋体" w:hint="default"/>
                <w:spacing w:val="-7"/>
                <w:sz w:val="20"/>
                <w:szCs w:val="20"/>
              </w:rPr>
              <w:t>支付的利息，基于实际利</w:t>
            </w:r>
            <w:r>
              <w:rPr>
                <w:rFonts w:ascii="宋体" w:hAnsi="宋体" w:cs="宋体" w:eastAsia="宋体" w:hint="default"/>
                <w:w w:val="99"/>
                <w:sz w:val="20"/>
                <w:szCs w:val="20"/>
              </w:rPr>
              <w:t> </w:t>
            </w:r>
            <w:r>
              <w:rPr>
                <w:rFonts w:ascii="宋体" w:hAnsi="宋体" w:cs="宋体" w:eastAsia="宋体" w:hint="default"/>
                <w:spacing w:val="12"/>
                <w:sz w:val="20"/>
                <w:szCs w:val="20"/>
              </w:rPr>
              <w:t>率法计提的利息应包含</w:t>
            </w:r>
            <w:r>
              <w:rPr>
                <w:rFonts w:ascii="宋体" w:hAnsi="宋体" w:cs="宋体" w:eastAsia="宋体" w:hint="default"/>
                <w:w w:val="99"/>
                <w:sz w:val="20"/>
                <w:szCs w:val="20"/>
              </w:rPr>
              <w:t> </w:t>
            </w:r>
            <w:r>
              <w:rPr>
                <w:rFonts w:ascii="宋体" w:hAnsi="宋体" w:cs="宋体" w:eastAsia="宋体" w:hint="default"/>
                <w:spacing w:val="12"/>
                <w:sz w:val="20"/>
                <w:szCs w:val="20"/>
              </w:rPr>
              <w:t>在相应金融工具的账面</w:t>
            </w:r>
            <w:r>
              <w:rPr>
                <w:rFonts w:ascii="宋体" w:hAnsi="宋体" w:cs="宋体" w:eastAsia="宋体" w:hint="default"/>
                <w:w w:val="99"/>
                <w:sz w:val="20"/>
                <w:szCs w:val="20"/>
              </w:rPr>
              <w:t> </w:t>
            </w:r>
            <w:r>
              <w:rPr>
                <w:rFonts w:ascii="宋体" w:hAnsi="宋体" w:cs="宋体" w:eastAsia="宋体" w:hint="default"/>
                <w:sz w:val="20"/>
                <w:szCs w:val="20"/>
              </w:rPr>
              <w:t>余额中</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119,599.99</w:t>
            </w:r>
            <w:r>
              <w:rPr>
                <w:rFonts w:ascii="Times New Roman"/>
                <w:sz w:val="20"/>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-119,599.99</w:t>
            </w:r>
            <w:r>
              <w:rPr>
                <w:rFonts w:ascii="Times New Roman"/>
                <w:sz w:val="20"/>
              </w:rPr>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184" w:hRule="exact"/>
        </w:trPr>
        <w:tc>
          <w:tcPr>
            <w:tcW w:w="2149" w:type="dxa"/>
            <w:vMerge/>
            <w:tcBorders>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60,000,000.00</w:t>
            </w:r>
            <w:r>
              <w:rPr>
                <w:rFonts w:ascii="Times New Roman"/>
                <w:sz w:val="20"/>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
              <w:jc w:val="right"/>
              <w:rPr>
                <w:rFonts w:ascii="Times New Roman" w:hAnsi="Times New Roman" w:cs="Times New Roman" w:eastAsia="Times New Roman" w:hint="default"/>
                <w:sz w:val="20"/>
                <w:szCs w:val="20"/>
              </w:rPr>
            </w:pPr>
            <w:r>
              <w:rPr>
                <w:rFonts w:ascii="Times New Roman"/>
                <w:w w:val="95"/>
                <w:sz w:val="20"/>
              </w:rPr>
              <w:t>119,599.99</w:t>
            </w:r>
            <w:r>
              <w:rPr>
                <w:rFonts w:ascii="Times New Roman"/>
                <w:sz w:val="20"/>
              </w:rPr>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60,119,599.99</w:t>
            </w:r>
            <w:r>
              <w:rPr>
                <w:rFonts w:ascii="Times New Roman"/>
                <w:sz w:val="20"/>
              </w:rPr>
            </w:r>
          </w:p>
        </w:tc>
      </w:tr>
      <w:tr>
        <w:trPr>
          <w:trHeight w:val="341" w:hRule="exact"/>
        </w:trPr>
        <w:tc>
          <w:tcPr>
            <w:tcW w:w="2149" w:type="dxa"/>
            <w:vMerge w:val="restart"/>
            <w:tcBorders>
              <w:top w:val="single" w:sz="4" w:space="0" w:color="000000"/>
              <w:left w:val="single" w:sz="4" w:space="0" w:color="000000"/>
              <w:right w:val="single" w:sz="4" w:space="0" w:color="000000"/>
            </w:tcBorders>
          </w:tcPr>
          <w:p>
            <w:pPr>
              <w:pStyle w:val="TableParagraph"/>
              <w:spacing w:line="285" w:lineRule="auto"/>
              <w:ind w:left="7" w:right="8"/>
              <w:jc w:val="both"/>
              <w:rPr>
                <w:rFonts w:ascii="宋体" w:hAnsi="宋体" w:cs="宋体" w:eastAsia="宋体" w:hint="default"/>
                <w:sz w:val="20"/>
                <w:szCs w:val="20"/>
              </w:rPr>
            </w:pPr>
            <w:r>
              <w:rPr>
                <w:rFonts w:ascii="宋体" w:hAnsi="宋体" w:cs="宋体" w:eastAsia="宋体" w:hint="default"/>
                <w:spacing w:val="12"/>
                <w:sz w:val="20"/>
                <w:szCs w:val="20"/>
              </w:rPr>
              <w:t>将应付票据及应付账款</w:t>
            </w:r>
            <w:r>
              <w:rPr>
                <w:rFonts w:ascii="宋体" w:hAnsi="宋体" w:cs="宋体" w:eastAsia="宋体" w:hint="default"/>
                <w:w w:val="99"/>
                <w:sz w:val="20"/>
                <w:szCs w:val="20"/>
              </w:rPr>
              <w:t> </w:t>
            </w:r>
            <w:r>
              <w:rPr>
                <w:rFonts w:ascii="宋体" w:hAnsi="宋体" w:cs="宋体" w:eastAsia="宋体" w:hint="default"/>
                <w:spacing w:val="12"/>
                <w:sz w:val="20"/>
                <w:szCs w:val="20"/>
              </w:rPr>
              <w:t>项目分拆为应付票据项</w:t>
            </w:r>
            <w:r>
              <w:rPr>
                <w:rFonts w:ascii="宋体" w:hAnsi="宋体" w:cs="宋体" w:eastAsia="宋体" w:hint="default"/>
                <w:w w:val="99"/>
                <w:sz w:val="20"/>
                <w:szCs w:val="20"/>
              </w:rPr>
              <w:t> </w:t>
            </w:r>
            <w:r>
              <w:rPr>
                <w:rFonts w:ascii="宋体" w:hAnsi="宋体" w:cs="宋体" w:eastAsia="宋体" w:hint="default"/>
                <w:sz w:val="20"/>
                <w:szCs w:val="20"/>
              </w:rPr>
              <w:t>目和应付账款项目</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149" w:type="dxa"/>
            <w:vMerge/>
            <w:tcBorders>
              <w:left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53,373,071.49</w:t>
            </w:r>
            <w:r>
              <w:rPr>
                <w:rFonts w:ascii="Times New Roman"/>
                <w:sz w:val="20"/>
              </w:rPr>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53,373,071.49</w:t>
            </w:r>
            <w:r>
              <w:rPr>
                <w:rFonts w:ascii="Times New Roman"/>
                <w:sz w:val="20"/>
              </w:rPr>
            </w:r>
          </w:p>
        </w:tc>
      </w:tr>
      <w:tr>
        <w:trPr>
          <w:trHeight w:val="655" w:hRule="exact"/>
        </w:trPr>
        <w:tc>
          <w:tcPr>
            <w:tcW w:w="2149" w:type="dxa"/>
            <w:vMerge/>
            <w:tcBorders>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4" w:right="5"/>
              <w:jc w:val="left"/>
              <w:rPr>
                <w:rFonts w:ascii="宋体" w:hAnsi="宋体" w:cs="宋体" w:eastAsia="宋体" w:hint="default"/>
                <w:sz w:val="20"/>
                <w:szCs w:val="20"/>
              </w:rPr>
            </w:pPr>
            <w:r>
              <w:rPr>
                <w:rFonts w:ascii="宋体" w:hAnsi="宋体" w:cs="宋体" w:eastAsia="宋体" w:hint="default"/>
                <w:sz w:val="20"/>
                <w:szCs w:val="20"/>
              </w:rPr>
              <w:t>应</w:t>
            </w:r>
            <w:r>
              <w:rPr>
                <w:rFonts w:ascii="宋体" w:hAnsi="宋体" w:cs="宋体" w:eastAsia="宋体" w:hint="default"/>
                <w:spacing w:val="-54"/>
                <w:sz w:val="20"/>
                <w:szCs w:val="20"/>
              </w:rPr>
              <w:t> </w:t>
            </w:r>
            <w:r>
              <w:rPr>
                <w:rFonts w:ascii="宋体" w:hAnsi="宋体" w:cs="宋体" w:eastAsia="宋体" w:hint="default"/>
                <w:sz w:val="20"/>
                <w:szCs w:val="20"/>
              </w:rPr>
              <w:t>付</w:t>
            </w:r>
            <w:r>
              <w:rPr>
                <w:rFonts w:ascii="宋体" w:hAnsi="宋体" w:cs="宋体" w:eastAsia="宋体" w:hint="default"/>
                <w:spacing w:val="-54"/>
                <w:sz w:val="20"/>
                <w:szCs w:val="20"/>
              </w:rPr>
              <w:t> </w:t>
            </w:r>
            <w:r>
              <w:rPr>
                <w:rFonts w:ascii="宋体" w:hAnsi="宋体" w:cs="宋体" w:eastAsia="宋体" w:hint="default"/>
                <w:sz w:val="20"/>
                <w:szCs w:val="20"/>
              </w:rPr>
              <w:t>票</w:t>
            </w:r>
            <w:r>
              <w:rPr>
                <w:rFonts w:ascii="宋体" w:hAnsi="宋体" w:cs="宋体" w:eastAsia="宋体" w:hint="default"/>
                <w:spacing w:val="-51"/>
                <w:sz w:val="20"/>
                <w:szCs w:val="20"/>
              </w:rPr>
              <w:t> </w:t>
            </w:r>
            <w:r>
              <w:rPr>
                <w:rFonts w:ascii="宋体" w:hAnsi="宋体" w:cs="宋体" w:eastAsia="宋体" w:hint="default"/>
                <w:sz w:val="20"/>
                <w:szCs w:val="20"/>
              </w:rPr>
              <w:t>据</w:t>
            </w:r>
            <w:r>
              <w:rPr>
                <w:rFonts w:ascii="宋体" w:hAnsi="宋体" w:cs="宋体" w:eastAsia="宋体" w:hint="default"/>
                <w:spacing w:val="-54"/>
                <w:sz w:val="20"/>
                <w:szCs w:val="20"/>
              </w:rPr>
              <w:t> </w:t>
            </w:r>
            <w:r>
              <w:rPr>
                <w:rFonts w:ascii="宋体" w:hAnsi="宋体" w:cs="宋体" w:eastAsia="宋体" w:hint="default"/>
                <w:sz w:val="20"/>
                <w:szCs w:val="20"/>
              </w:rPr>
              <w:t>和</w:t>
            </w:r>
            <w:r>
              <w:rPr>
                <w:rFonts w:ascii="宋体" w:hAnsi="宋体" w:cs="宋体" w:eastAsia="宋体" w:hint="default"/>
                <w:w w:val="99"/>
                <w:sz w:val="20"/>
                <w:szCs w:val="20"/>
              </w:rPr>
              <w:t> </w:t>
            </w:r>
            <w:r>
              <w:rPr>
                <w:rFonts w:ascii="宋体" w:hAnsi="宋体" w:cs="宋体" w:eastAsia="宋体" w:hint="default"/>
                <w:sz w:val="20"/>
                <w:szCs w:val="20"/>
              </w:rPr>
              <w:t>应付账款</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53,373,071.49</w:t>
            </w:r>
            <w:r>
              <w:rPr>
                <w:rFonts w:ascii="Times New Roman"/>
                <w:sz w:val="20"/>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
              <w:jc w:val="right"/>
              <w:rPr>
                <w:rFonts w:ascii="Times New Roman" w:hAnsi="Times New Roman" w:cs="Times New Roman" w:eastAsia="Times New Roman" w:hint="default"/>
                <w:sz w:val="20"/>
                <w:szCs w:val="20"/>
              </w:rPr>
            </w:pPr>
            <w:r>
              <w:rPr>
                <w:rFonts w:ascii="Times New Roman"/>
                <w:w w:val="95"/>
                <w:sz w:val="20"/>
              </w:rPr>
              <w:t>-53,373,071.49</w:t>
            </w:r>
            <w:r>
              <w:rPr>
                <w:rFonts w:ascii="Times New Roman"/>
                <w:sz w:val="20"/>
              </w:rPr>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bl>
    <w:p>
      <w:pPr>
        <w:pStyle w:val="Heading3"/>
        <w:spacing w:line="240" w:lineRule="auto"/>
        <w:ind w:left="633" w:right="996"/>
        <w:jc w:val="left"/>
      </w:pPr>
      <w:r>
        <w:rPr/>
        <w:t>对母公司资产负债表的影响列示如下：</w:t>
      </w:r>
    </w:p>
    <w:p>
      <w:pPr>
        <w:spacing w:line="240" w:lineRule="auto" w:before="10"/>
        <w:rPr>
          <w:rFonts w:ascii="宋体" w:hAnsi="宋体" w:cs="宋体" w:eastAsia="宋体" w:hint="default"/>
          <w:sz w:val="8"/>
          <w:szCs w:val="8"/>
        </w:rPr>
      </w:pPr>
    </w:p>
    <w:tbl>
      <w:tblPr>
        <w:tblW w:w="0" w:type="auto"/>
        <w:jc w:val="left"/>
        <w:tblInd w:w="760" w:type="dxa"/>
        <w:tblLayout w:type="fixed"/>
        <w:tblCellMar>
          <w:top w:w="0" w:type="dxa"/>
          <w:left w:w="0" w:type="dxa"/>
          <w:bottom w:w="0" w:type="dxa"/>
          <w:right w:w="0" w:type="dxa"/>
        </w:tblCellMar>
        <w:tblLook w:val="01E0"/>
      </w:tblPr>
      <w:tblGrid>
        <w:gridCol w:w="2029"/>
        <w:gridCol w:w="1200"/>
        <w:gridCol w:w="1707"/>
        <w:gridCol w:w="1690"/>
        <w:gridCol w:w="1791"/>
      </w:tblGrid>
      <w:tr>
        <w:trPr>
          <w:trHeight w:val="965" w:hRule="exact"/>
        </w:trPr>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
              <w:ind w:left="811" w:right="2" w:hanging="804"/>
              <w:jc w:val="left"/>
              <w:rPr>
                <w:rFonts w:ascii="宋体" w:hAnsi="宋体" w:cs="宋体" w:eastAsia="宋体" w:hint="default"/>
                <w:sz w:val="20"/>
                <w:szCs w:val="20"/>
              </w:rPr>
            </w:pPr>
            <w:r>
              <w:rPr>
                <w:rFonts w:ascii="宋体" w:hAnsi="宋体" w:cs="宋体" w:eastAsia="宋体" w:hint="default"/>
                <w:b/>
                <w:bCs/>
                <w:sz w:val="20"/>
                <w:szCs w:val="20"/>
              </w:rPr>
              <w:t>会计政策变更的内容和</w:t>
            </w:r>
            <w:r>
              <w:rPr>
                <w:rFonts w:ascii="宋体" w:hAnsi="宋体" w:cs="宋体" w:eastAsia="宋体" w:hint="default"/>
                <w:b/>
                <w:bCs/>
                <w:w w:val="99"/>
                <w:sz w:val="20"/>
                <w:szCs w:val="20"/>
              </w:rPr>
              <w:t> </w:t>
            </w:r>
            <w:r>
              <w:rPr>
                <w:rFonts w:ascii="宋体" w:hAnsi="宋体" w:cs="宋体" w:eastAsia="宋体" w:hint="default"/>
                <w:b/>
                <w:bCs/>
                <w:sz w:val="20"/>
                <w:szCs w:val="20"/>
              </w:rPr>
              <w:t>原因</w:t>
            </w:r>
            <w:r>
              <w:rPr>
                <w:rFonts w:ascii="宋体" w:hAnsi="宋体" w:cs="宋体" w:eastAsia="宋体" w:hint="default"/>
                <w:sz w:val="20"/>
                <w:szCs w:val="20"/>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
              <w:ind w:left="95" w:right="89"/>
              <w:jc w:val="center"/>
              <w:rPr>
                <w:rFonts w:ascii="宋体" w:hAnsi="宋体" w:cs="宋体" w:eastAsia="宋体" w:hint="default"/>
                <w:sz w:val="20"/>
                <w:szCs w:val="20"/>
              </w:rPr>
            </w:pPr>
            <w:r>
              <w:rPr>
                <w:rFonts w:ascii="宋体" w:hAnsi="宋体" w:cs="宋体" w:eastAsia="宋体" w:hint="default"/>
                <w:b/>
                <w:bCs/>
                <w:sz w:val="20"/>
                <w:szCs w:val="20"/>
              </w:rPr>
              <w:t>受影响的报</w:t>
            </w:r>
            <w:r>
              <w:rPr>
                <w:rFonts w:ascii="宋体" w:hAnsi="宋体" w:cs="宋体" w:eastAsia="宋体" w:hint="default"/>
                <w:b/>
                <w:bCs/>
                <w:w w:val="99"/>
                <w:sz w:val="20"/>
                <w:szCs w:val="20"/>
              </w:rPr>
              <w:t> </w:t>
            </w:r>
            <w:r>
              <w:rPr>
                <w:rFonts w:ascii="宋体" w:hAnsi="宋体" w:cs="宋体" w:eastAsia="宋体" w:hint="default"/>
                <w:b/>
                <w:bCs/>
                <w:sz w:val="20"/>
                <w:szCs w:val="20"/>
              </w:rPr>
              <w:t>表项目和名</w:t>
            </w:r>
            <w:r>
              <w:rPr>
                <w:rFonts w:ascii="宋体" w:hAnsi="宋体" w:cs="宋体" w:eastAsia="宋体" w:hint="default"/>
                <w:b/>
                <w:bCs/>
                <w:w w:val="99"/>
                <w:sz w:val="20"/>
                <w:szCs w:val="20"/>
              </w:rPr>
              <w:t> </w:t>
            </w:r>
            <w:r>
              <w:rPr>
                <w:rFonts w:ascii="宋体" w:hAnsi="宋体" w:cs="宋体" w:eastAsia="宋体" w:hint="default"/>
                <w:b/>
                <w:bCs/>
                <w:sz w:val="20"/>
                <w:szCs w:val="20"/>
              </w:rPr>
              <w:t>称</w:t>
            </w:r>
            <w:r>
              <w:rPr>
                <w:rFonts w:ascii="宋体" w:hAnsi="宋体" w:cs="宋体" w:eastAsia="宋体" w:hint="default"/>
                <w:sz w:val="20"/>
                <w:szCs w:val="20"/>
              </w:rPr>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
              <w:ind w:left="47" w:right="40" w:hanging="3"/>
              <w:jc w:val="center"/>
              <w:rPr>
                <w:rFonts w:ascii="宋体" w:hAnsi="宋体" w:cs="宋体" w:eastAsia="宋体" w:hint="default"/>
                <w:sz w:val="20"/>
                <w:szCs w:val="20"/>
              </w:rPr>
            </w:pPr>
            <w:r>
              <w:rPr>
                <w:rFonts w:ascii="宋体" w:hAnsi="宋体" w:cs="宋体" w:eastAsia="宋体" w:hint="default"/>
                <w:b/>
                <w:bCs/>
                <w:sz w:val="20"/>
                <w:szCs w:val="20"/>
              </w:rPr>
              <w:t>会计政策变更前列</w:t>
            </w:r>
            <w:r>
              <w:rPr>
                <w:rFonts w:ascii="宋体" w:hAnsi="宋体" w:cs="宋体" w:eastAsia="宋体" w:hint="default"/>
                <w:b/>
                <w:bCs/>
                <w:w w:val="99"/>
                <w:sz w:val="20"/>
                <w:szCs w:val="20"/>
              </w:rPr>
              <w:t> </w:t>
            </w:r>
            <w:r>
              <w:rPr>
                <w:rFonts w:ascii="宋体" w:hAnsi="宋体" w:cs="宋体" w:eastAsia="宋体" w:hint="default"/>
                <w:b/>
                <w:bCs/>
                <w:sz w:val="20"/>
                <w:szCs w:val="20"/>
              </w:rPr>
              <w:t>示的账面价值</w:t>
            </w:r>
            <w:r>
              <w:rPr>
                <w:rFonts w:ascii="Times New Roman" w:hAnsi="Times New Roman" w:cs="Times New Roman" w:eastAsia="Times New Roman" w:hint="default"/>
                <w:b/>
                <w:bCs/>
                <w:sz w:val="20"/>
                <w:szCs w:val="20"/>
              </w:rPr>
              <w:t>2018</w:t>
            </w:r>
            <w:r>
              <w:rPr>
                <w:rFonts w:ascii="Times New Roman" w:hAnsi="Times New Roman" w:cs="Times New Roman" w:eastAsia="Times New Roman" w:hint="default"/>
                <w:b/>
                <w:bCs/>
                <w:w w:val="99"/>
                <w:sz w:val="20"/>
                <w:szCs w:val="20"/>
              </w:rPr>
              <w:t> </w:t>
            </w:r>
            <w:r>
              <w:rPr>
                <w:rFonts w:ascii="宋体" w:hAnsi="宋体" w:cs="宋体" w:eastAsia="宋体" w:hint="default"/>
                <w:b/>
                <w:bCs/>
                <w:sz w:val="20"/>
                <w:szCs w:val="20"/>
              </w:rPr>
              <w:t>年</w:t>
            </w:r>
            <w:r>
              <w:rPr>
                <w:rFonts w:ascii="Times New Roman" w:hAnsi="Times New Roman" w:cs="Times New Roman" w:eastAsia="Times New Roman" w:hint="default"/>
                <w:b/>
                <w:bCs/>
                <w:sz w:val="20"/>
                <w:szCs w:val="20"/>
              </w:rPr>
              <w:t>12</w:t>
            </w:r>
            <w:r>
              <w:rPr>
                <w:rFonts w:ascii="宋体" w:hAnsi="宋体" w:cs="宋体" w:eastAsia="宋体" w:hint="default"/>
                <w:b/>
                <w:bCs/>
                <w:sz w:val="20"/>
                <w:szCs w:val="20"/>
              </w:rPr>
              <w:t>月</w:t>
            </w:r>
            <w:r>
              <w:rPr>
                <w:rFonts w:ascii="Times New Roman" w:hAnsi="Times New Roman" w:cs="Times New Roman" w:eastAsia="Times New Roman" w:hint="default"/>
                <w:b/>
                <w:bCs/>
                <w:sz w:val="20"/>
                <w:szCs w:val="20"/>
              </w:rPr>
              <w:t>31</w:t>
            </w:r>
            <w:r>
              <w:rPr>
                <w:rFonts w:ascii="宋体" w:hAnsi="宋体" w:cs="宋体" w:eastAsia="宋体" w:hint="default"/>
                <w:b/>
                <w:bCs/>
                <w:sz w:val="20"/>
                <w:szCs w:val="20"/>
              </w:rPr>
              <w:t>日</w:t>
            </w:r>
            <w:r>
              <w:rPr>
                <w:rFonts w:ascii="宋体" w:hAnsi="宋体" w:cs="宋体" w:eastAsia="宋体" w:hint="default"/>
                <w:sz w:val="20"/>
                <w:szCs w:val="20"/>
              </w:rPr>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39" w:right="0"/>
              <w:jc w:val="left"/>
              <w:rPr>
                <w:rFonts w:ascii="宋体" w:hAnsi="宋体" w:cs="宋体" w:eastAsia="宋体" w:hint="default"/>
                <w:sz w:val="20"/>
                <w:szCs w:val="20"/>
              </w:rPr>
            </w:pPr>
            <w:r>
              <w:rPr>
                <w:rFonts w:ascii="宋体" w:hAnsi="宋体" w:cs="宋体" w:eastAsia="宋体" w:hint="default"/>
                <w:b/>
                <w:bCs/>
                <w:spacing w:val="2"/>
                <w:sz w:val="20"/>
                <w:szCs w:val="20"/>
              </w:rPr>
              <w:t>重分类</w:t>
            </w:r>
            <w:r>
              <w:rPr>
                <w:rFonts w:ascii="宋体" w:hAnsi="宋体" w:cs="宋体" w:eastAsia="宋体" w:hint="default"/>
                <w:sz w:val="20"/>
                <w:szCs w:val="20"/>
              </w:rPr>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
              <w:ind w:left="86" w:right="86" w:hanging="3"/>
              <w:jc w:val="center"/>
              <w:rPr>
                <w:rFonts w:ascii="宋体" w:hAnsi="宋体" w:cs="宋体" w:eastAsia="宋体" w:hint="default"/>
                <w:sz w:val="20"/>
                <w:szCs w:val="20"/>
              </w:rPr>
            </w:pPr>
            <w:r>
              <w:rPr>
                <w:rFonts w:ascii="宋体" w:hAnsi="宋体" w:cs="宋体" w:eastAsia="宋体" w:hint="default"/>
                <w:b/>
                <w:bCs/>
                <w:sz w:val="20"/>
                <w:szCs w:val="20"/>
              </w:rPr>
              <w:t>会计政策变更后列</w:t>
            </w:r>
            <w:r>
              <w:rPr>
                <w:rFonts w:ascii="宋体" w:hAnsi="宋体" w:cs="宋体" w:eastAsia="宋体" w:hint="default"/>
                <w:b/>
                <w:bCs/>
                <w:w w:val="99"/>
                <w:sz w:val="20"/>
                <w:szCs w:val="20"/>
              </w:rPr>
              <w:t> </w:t>
            </w:r>
            <w:r>
              <w:rPr>
                <w:rFonts w:ascii="宋体" w:hAnsi="宋体" w:cs="宋体" w:eastAsia="宋体" w:hint="default"/>
                <w:b/>
                <w:bCs/>
                <w:sz w:val="20"/>
                <w:szCs w:val="20"/>
              </w:rPr>
              <w:t>示的账面价值</w:t>
            </w:r>
            <w:r>
              <w:rPr>
                <w:rFonts w:ascii="Times New Roman" w:hAnsi="Times New Roman" w:cs="Times New Roman" w:eastAsia="Times New Roman" w:hint="default"/>
                <w:b/>
                <w:bCs/>
                <w:sz w:val="20"/>
                <w:szCs w:val="20"/>
              </w:rPr>
              <w:t>2019</w:t>
            </w:r>
            <w:r>
              <w:rPr>
                <w:rFonts w:ascii="Times New Roman" w:hAnsi="Times New Roman" w:cs="Times New Roman" w:eastAsia="Times New Roman" w:hint="default"/>
                <w:b/>
                <w:bCs/>
                <w:w w:val="99"/>
                <w:sz w:val="20"/>
                <w:szCs w:val="20"/>
              </w:rPr>
              <w:t> </w:t>
            </w:r>
            <w:r>
              <w:rPr>
                <w:rFonts w:ascii="宋体" w:hAnsi="宋体" w:cs="宋体" w:eastAsia="宋体" w:hint="default"/>
                <w:b/>
                <w:bCs/>
                <w:sz w:val="20"/>
                <w:szCs w:val="20"/>
              </w:rPr>
              <w:t>年</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月</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日</w:t>
            </w:r>
            <w:r>
              <w:rPr>
                <w:rFonts w:ascii="宋体" w:hAnsi="宋体" w:cs="宋体" w:eastAsia="宋体" w:hint="default"/>
                <w:sz w:val="20"/>
                <w:szCs w:val="20"/>
              </w:rPr>
            </w:r>
          </w:p>
        </w:tc>
      </w:tr>
      <w:tr>
        <w:trPr>
          <w:trHeight w:val="344" w:hRule="exact"/>
        </w:trPr>
        <w:tc>
          <w:tcPr>
            <w:tcW w:w="2029" w:type="dxa"/>
            <w:vMerge w:val="restart"/>
            <w:tcBorders>
              <w:top w:val="single" w:sz="4" w:space="0" w:color="000000"/>
              <w:left w:val="single" w:sz="4" w:space="0" w:color="000000"/>
              <w:right w:val="single" w:sz="4" w:space="0" w:color="000000"/>
            </w:tcBorders>
          </w:tcPr>
          <w:p>
            <w:pPr>
              <w:pStyle w:val="TableParagraph"/>
              <w:spacing w:line="285" w:lineRule="auto" w:before="2"/>
              <w:ind w:left="7" w:right="4"/>
              <w:jc w:val="both"/>
              <w:rPr>
                <w:rFonts w:ascii="宋体" w:hAnsi="宋体" w:cs="宋体" w:eastAsia="宋体" w:hint="default"/>
                <w:sz w:val="20"/>
                <w:szCs w:val="20"/>
              </w:rPr>
            </w:pPr>
            <w:r>
              <w:rPr>
                <w:rFonts w:ascii="宋体" w:hAnsi="宋体" w:cs="宋体" w:eastAsia="宋体" w:hint="default"/>
                <w:sz w:val="20"/>
                <w:szCs w:val="20"/>
              </w:rPr>
              <w:t>将应收票据及应收账款</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项目分拆为应收票据项</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目和应收账款项目</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1707"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029" w:type="dxa"/>
            <w:vMerge/>
            <w:tcBorders>
              <w:left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707"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56,799,644.47</w:t>
            </w:r>
            <w:r>
              <w:rPr>
                <w:rFonts w:ascii="Times New Roman"/>
                <w:sz w:val="20"/>
              </w:rPr>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56,799,644.47</w:t>
            </w:r>
            <w:r>
              <w:rPr>
                <w:rFonts w:ascii="Times New Roman"/>
                <w:sz w:val="20"/>
              </w:rPr>
            </w:r>
          </w:p>
        </w:tc>
      </w:tr>
      <w:tr>
        <w:trPr>
          <w:trHeight w:val="655" w:hRule="exact"/>
        </w:trPr>
        <w:tc>
          <w:tcPr>
            <w:tcW w:w="2029" w:type="dxa"/>
            <w:vMerge/>
            <w:tcBorders>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
              <w:ind w:left="7" w:right="-41"/>
              <w:jc w:val="left"/>
              <w:rPr>
                <w:rFonts w:ascii="宋体" w:hAnsi="宋体" w:cs="宋体" w:eastAsia="宋体" w:hint="default"/>
                <w:sz w:val="20"/>
                <w:szCs w:val="20"/>
              </w:rPr>
            </w:pPr>
            <w:r>
              <w:rPr>
                <w:rFonts w:ascii="宋体" w:hAnsi="宋体" w:cs="宋体" w:eastAsia="宋体" w:hint="default"/>
                <w:spacing w:val="36"/>
                <w:sz w:val="20"/>
                <w:szCs w:val="20"/>
              </w:rPr>
              <w:t>应收票据及</w:t>
            </w:r>
            <w:r>
              <w:rPr>
                <w:rFonts w:ascii="宋体" w:hAnsi="宋体" w:cs="宋体" w:eastAsia="宋体" w:hint="default"/>
                <w:spacing w:val="-55"/>
                <w:sz w:val="20"/>
                <w:szCs w:val="20"/>
              </w:rPr>
              <w:t> </w:t>
            </w:r>
            <w:r>
              <w:rPr>
                <w:rFonts w:ascii="宋体" w:hAnsi="宋体" w:cs="宋体" w:eastAsia="宋体" w:hint="default"/>
                <w:sz w:val="20"/>
                <w:szCs w:val="20"/>
              </w:rPr>
              <w:t>应收账款</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56,799,644.47</w:t>
            </w:r>
            <w:r>
              <w:rPr>
                <w:rFonts w:ascii="Times New Roman"/>
                <w:sz w:val="20"/>
              </w:rPr>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-56,799,644.47</w:t>
            </w:r>
            <w:r>
              <w:rPr>
                <w:rFonts w:ascii="Times New Roman"/>
                <w:sz w:val="20"/>
              </w:rPr>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1" w:hRule="exact"/>
        </w:trPr>
        <w:tc>
          <w:tcPr>
            <w:tcW w:w="2029" w:type="dxa"/>
            <w:vMerge w:val="restart"/>
            <w:tcBorders>
              <w:top w:val="single" w:sz="4" w:space="0" w:color="000000"/>
              <w:left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递延收益预计在一年内</w:t>
            </w:r>
          </w:p>
          <w:p>
            <w:pPr>
              <w:pStyle w:val="TableParagraph"/>
              <w:spacing w:line="285" w:lineRule="auto" w:before="50"/>
              <w:ind w:left="7" w:right="-12"/>
              <w:jc w:val="left"/>
              <w:rPr>
                <w:rFonts w:ascii="宋体" w:hAnsi="宋体" w:cs="宋体" w:eastAsia="宋体" w:hint="default"/>
                <w:sz w:val="20"/>
                <w:szCs w:val="20"/>
              </w:rPr>
            </w:pPr>
            <w:r>
              <w:rPr>
                <w:rFonts w:ascii="宋体" w:hAnsi="宋体" w:cs="宋体" w:eastAsia="宋体" w:hint="default"/>
                <w:sz w:val="20"/>
                <w:szCs w:val="20"/>
              </w:rPr>
              <w:t>（含一年）进行摊销的</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3"/>
                <w:sz w:val="20"/>
                <w:szCs w:val="20"/>
              </w:rPr>
              <w:t>部分不转入</w:t>
            </w:r>
            <w:r>
              <w:rPr>
                <w:rFonts w:ascii="Times New Roman" w:hAnsi="Times New Roman" w:cs="Times New Roman" w:eastAsia="Times New Roman" w:hint="default"/>
                <w:spacing w:val="13"/>
                <w:sz w:val="20"/>
                <w:szCs w:val="20"/>
              </w:rPr>
              <w:t>“</w:t>
            </w:r>
            <w:r>
              <w:rPr>
                <w:rFonts w:ascii="宋体" w:hAnsi="宋体" w:cs="宋体" w:eastAsia="宋体" w:hint="default"/>
                <w:spacing w:val="13"/>
                <w:sz w:val="20"/>
                <w:szCs w:val="20"/>
              </w:rPr>
              <w:t>一年内到</w:t>
            </w:r>
            <w:r>
              <w:rPr>
                <w:rFonts w:ascii="宋体" w:hAnsi="宋体" w:cs="宋体" w:eastAsia="宋体" w:hint="default"/>
                <w:sz w:val="20"/>
                <w:szCs w:val="20"/>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递延收益</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1,643,333.47</w:t>
            </w:r>
            <w:r>
              <w:rPr>
                <w:rFonts w:ascii="Times New Roman"/>
                <w:sz w:val="20"/>
              </w:rPr>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10,123,925.06</w:t>
            </w:r>
            <w:r>
              <w:rPr>
                <w:rFonts w:ascii="Times New Roman"/>
                <w:sz w:val="20"/>
              </w:rPr>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11,767,258.53</w:t>
            </w:r>
            <w:r>
              <w:rPr>
                <w:rFonts w:ascii="Times New Roman"/>
                <w:sz w:val="20"/>
              </w:rPr>
            </w:r>
          </w:p>
        </w:tc>
      </w:tr>
      <w:tr>
        <w:trPr>
          <w:trHeight w:val="655" w:hRule="exact"/>
        </w:trPr>
        <w:tc>
          <w:tcPr>
            <w:tcW w:w="2029" w:type="dxa"/>
            <w:vMerge/>
            <w:tcBorders>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
              <w:ind w:left="7" w:right="183"/>
              <w:jc w:val="left"/>
              <w:rPr>
                <w:rFonts w:ascii="宋体" w:hAnsi="宋体" w:cs="宋体" w:eastAsia="宋体" w:hint="default"/>
                <w:sz w:val="20"/>
                <w:szCs w:val="20"/>
              </w:rPr>
            </w:pPr>
            <w:r>
              <w:rPr>
                <w:rFonts w:ascii="宋体" w:hAnsi="宋体" w:cs="宋体" w:eastAsia="宋体" w:hint="default"/>
                <w:sz w:val="20"/>
                <w:szCs w:val="20"/>
              </w:rPr>
              <w:t>其他流动负</w:t>
            </w:r>
            <w:r>
              <w:rPr>
                <w:rFonts w:ascii="宋体" w:hAnsi="宋体" w:cs="宋体" w:eastAsia="宋体" w:hint="default"/>
                <w:w w:val="99"/>
                <w:sz w:val="20"/>
                <w:szCs w:val="20"/>
              </w:rPr>
              <w:t> </w:t>
            </w:r>
            <w:r>
              <w:rPr>
                <w:rFonts w:ascii="宋体" w:hAnsi="宋体" w:cs="宋体" w:eastAsia="宋体" w:hint="default"/>
                <w:sz w:val="20"/>
                <w:szCs w:val="20"/>
              </w:rPr>
              <w:t>债</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10,123,925.06</w:t>
            </w:r>
            <w:r>
              <w:rPr>
                <w:rFonts w:ascii="Times New Roman"/>
                <w:sz w:val="20"/>
              </w:rPr>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-10,123,925.06</w:t>
            </w:r>
            <w:r>
              <w:rPr>
                <w:rFonts w:ascii="Times New Roman"/>
                <w:sz w:val="20"/>
              </w:rPr>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footerReference w:type="default" r:id="rId22"/>
          <w:pgSz w:w="11910" w:h="16840"/>
          <w:pgMar w:footer="980" w:header="745" w:top="1060" w:bottom="1160" w:left="980" w:right="0"/>
          <w:pgNumType w:start="53"/>
        </w:sectPr>
      </w:pPr>
    </w:p>
    <w:p>
      <w:pPr>
        <w:spacing w:line="240" w:lineRule="auto" w:before="6"/>
        <w:rPr>
          <w:rFonts w:ascii="宋体" w:hAnsi="宋体" w:cs="宋体" w:eastAsia="宋体" w:hint="default"/>
          <w:sz w:val="28"/>
          <w:szCs w:val="28"/>
        </w:rPr>
      </w:pPr>
    </w:p>
    <w:tbl>
      <w:tblPr>
        <w:tblW w:w="0" w:type="auto"/>
        <w:jc w:val="left"/>
        <w:tblInd w:w="760" w:type="dxa"/>
        <w:tblLayout w:type="fixed"/>
        <w:tblCellMar>
          <w:top w:w="0" w:type="dxa"/>
          <w:left w:w="0" w:type="dxa"/>
          <w:bottom w:w="0" w:type="dxa"/>
          <w:right w:w="0" w:type="dxa"/>
        </w:tblCellMar>
        <w:tblLook w:val="01E0"/>
      </w:tblPr>
      <w:tblGrid>
        <w:gridCol w:w="2029"/>
        <w:gridCol w:w="1200"/>
        <w:gridCol w:w="1707"/>
        <w:gridCol w:w="1690"/>
        <w:gridCol w:w="1791"/>
      </w:tblGrid>
      <w:tr>
        <w:trPr>
          <w:trHeight w:val="343" w:hRule="exact"/>
        </w:trPr>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期的非流动负债</w:t>
            </w:r>
            <w:r>
              <w:rPr>
                <w:rFonts w:ascii="Times New Roman" w:hAnsi="Times New Roman" w:cs="Times New Roman" w:eastAsia="Times New Roman" w:hint="default"/>
                <w:sz w:val="20"/>
                <w:szCs w:val="20"/>
              </w:rPr>
              <w:t>”</w:t>
            </w:r>
          </w:p>
        </w:tc>
        <w:tc>
          <w:tcPr>
            <w:tcW w:w="1200"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653" w:hRule="exact"/>
        </w:trPr>
        <w:tc>
          <w:tcPr>
            <w:tcW w:w="2029" w:type="dxa"/>
            <w:vMerge w:val="restart"/>
            <w:tcBorders>
              <w:top w:val="single" w:sz="4" w:space="0" w:color="000000"/>
              <w:left w:val="single" w:sz="4" w:space="0" w:color="000000"/>
              <w:right w:val="single" w:sz="4" w:space="0" w:color="000000"/>
            </w:tcBorders>
          </w:tcPr>
          <w:p>
            <w:pPr>
              <w:pStyle w:val="TableParagraph"/>
              <w:spacing w:line="280" w:lineRule="auto" w:before="2"/>
              <w:ind w:left="7" w:right="-12"/>
              <w:jc w:val="both"/>
              <w:rPr>
                <w:rFonts w:ascii="Times New Roman" w:hAnsi="Times New Roman" w:cs="Times New Roman" w:eastAsia="Times New Roman" w:hint="default"/>
                <w:sz w:val="20"/>
                <w:szCs w:val="20"/>
              </w:rPr>
            </w:pPr>
            <w:r>
              <w:rPr>
                <w:rFonts w:ascii="宋体" w:hAnsi="宋体" w:cs="宋体" w:eastAsia="宋体" w:hint="default"/>
                <w:sz w:val="20"/>
                <w:szCs w:val="20"/>
              </w:rPr>
              <w:t>长期待摊费用预计在一</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年内（含一年）进行摊</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3"/>
                <w:sz w:val="20"/>
                <w:szCs w:val="20"/>
              </w:rPr>
              <w:t>销的部分不转入</w:t>
            </w:r>
            <w:r>
              <w:rPr>
                <w:rFonts w:ascii="Times New Roman" w:hAnsi="Times New Roman" w:cs="Times New Roman" w:eastAsia="Times New Roman" w:hint="default"/>
                <w:spacing w:val="13"/>
                <w:sz w:val="20"/>
                <w:szCs w:val="20"/>
              </w:rPr>
              <w:t>“</w:t>
            </w:r>
            <w:r>
              <w:rPr>
                <w:rFonts w:ascii="宋体" w:hAnsi="宋体" w:cs="宋体" w:eastAsia="宋体" w:hint="default"/>
                <w:spacing w:val="13"/>
                <w:sz w:val="20"/>
                <w:szCs w:val="20"/>
              </w:rPr>
              <w:t>一年</w:t>
            </w:r>
            <w:r>
              <w:rPr>
                <w:rFonts w:ascii="宋体" w:hAnsi="宋体" w:cs="宋体" w:eastAsia="宋体" w:hint="default"/>
                <w:spacing w:val="14"/>
                <w:w w:val="99"/>
                <w:sz w:val="20"/>
                <w:szCs w:val="20"/>
              </w:rPr>
              <w:t> </w:t>
            </w:r>
            <w:r>
              <w:rPr>
                <w:rFonts w:ascii="宋体" w:hAnsi="宋体" w:cs="宋体" w:eastAsia="宋体" w:hint="default"/>
                <w:sz w:val="20"/>
                <w:szCs w:val="20"/>
              </w:rPr>
              <w:t>内到期的非流动资产</w:t>
            </w:r>
            <w:r>
              <w:rPr>
                <w:rFonts w:ascii="Times New Roman" w:hAnsi="Times New Roman" w:cs="Times New Roman" w:eastAsia="Times New Roman" w:hint="default"/>
                <w:sz w:val="20"/>
                <w:szCs w:val="20"/>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2"/>
              <w:ind w:left="7" w:right="183"/>
              <w:jc w:val="left"/>
              <w:rPr>
                <w:rFonts w:ascii="宋体" w:hAnsi="宋体" w:cs="宋体" w:eastAsia="宋体" w:hint="default"/>
                <w:sz w:val="20"/>
                <w:szCs w:val="20"/>
              </w:rPr>
            </w:pPr>
            <w:r>
              <w:rPr>
                <w:rFonts w:ascii="宋体" w:hAnsi="宋体" w:cs="宋体" w:eastAsia="宋体" w:hint="default"/>
                <w:sz w:val="20"/>
                <w:szCs w:val="20"/>
              </w:rPr>
              <w:t>长期待摊费</w:t>
            </w:r>
            <w:r>
              <w:rPr>
                <w:rFonts w:ascii="宋体" w:hAnsi="宋体" w:cs="宋体" w:eastAsia="宋体" w:hint="default"/>
                <w:w w:val="99"/>
                <w:sz w:val="20"/>
                <w:szCs w:val="20"/>
              </w:rPr>
              <w:t> </w:t>
            </w:r>
            <w:r>
              <w:rPr>
                <w:rFonts w:ascii="宋体" w:hAnsi="宋体" w:cs="宋体" w:eastAsia="宋体" w:hint="default"/>
                <w:sz w:val="20"/>
                <w:szCs w:val="20"/>
              </w:rPr>
              <w:t>用</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w w:val="95"/>
                <w:sz w:val="20"/>
              </w:rPr>
              <w:t>9,737,609.75</w:t>
            </w:r>
            <w:r>
              <w:rPr>
                <w:rFonts w:ascii="Times New Roman"/>
                <w:sz w:val="20"/>
              </w:rPr>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w w:val="95"/>
                <w:sz w:val="20"/>
              </w:rPr>
              <w:t>4,094,155.76</w:t>
            </w:r>
            <w:r>
              <w:rPr>
                <w:rFonts w:ascii="Times New Roman"/>
                <w:sz w:val="20"/>
              </w:rPr>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w w:val="95"/>
                <w:sz w:val="20"/>
              </w:rPr>
              <w:t>13,831,765.51</w:t>
            </w:r>
            <w:r>
              <w:rPr>
                <w:rFonts w:ascii="Times New Roman"/>
                <w:sz w:val="20"/>
              </w:rPr>
            </w:r>
          </w:p>
        </w:tc>
      </w:tr>
      <w:tr>
        <w:trPr>
          <w:trHeight w:val="653" w:hRule="exact"/>
        </w:trPr>
        <w:tc>
          <w:tcPr>
            <w:tcW w:w="2029" w:type="dxa"/>
            <w:vMerge/>
            <w:tcBorders>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
              <w:ind w:left="7" w:right="183"/>
              <w:jc w:val="left"/>
              <w:rPr>
                <w:rFonts w:ascii="宋体" w:hAnsi="宋体" w:cs="宋体" w:eastAsia="宋体" w:hint="default"/>
                <w:sz w:val="20"/>
                <w:szCs w:val="20"/>
              </w:rPr>
            </w:pPr>
            <w:r>
              <w:rPr>
                <w:rFonts w:ascii="宋体" w:hAnsi="宋体" w:cs="宋体" w:eastAsia="宋体" w:hint="default"/>
                <w:sz w:val="20"/>
                <w:szCs w:val="20"/>
              </w:rPr>
              <w:t>其他流动资</w:t>
            </w:r>
            <w:r>
              <w:rPr>
                <w:rFonts w:ascii="宋体" w:hAnsi="宋体" w:cs="宋体" w:eastAsia="宋体" w:hint="default"/>
                <w:w w:val="99"/>
                <w:sz w:val="20"/>
                <w:szCs w:val="20"/>
              </w:rPr>
              <w:t> </w:t>
            </w:r>
            <w:r>
              <w:rPr>
                <w:rFonts w:ascii="宋体" w:hAnsi="宋体" w:cs="宋体" w:eastAsia="宋体" w:hint="default"/>
                <w:sz w:val="20"/>
                <w:szCs w:val="20"/>
              </w:rPr>
              <w:t>产</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4,094,155.76</w:t>
            </w:r>
            <w:r>
              <w:rPr>
                <w:rFonts w:ascii="Times New Roman"/>
                <w:sz w:val="20"/>
              </w:rPr>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-4,094,155.76</w:t>
            </w:r>
            <w:r>
              <w:rPr>
                <w:rFonts w:ascii="Times New Roman"/>
                <w:sz w:val="20"/>
              </w:rPr>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3" w:hRule="exact"/>
        </w:trPr>
        <w:tc>
          <w:tcPr>
            <w:tcW w:w="2029" w:type="dxa"/>
            <w:vMerge w:val="restart"/>
            <w:tcBorders>
              <w:top w:val="single" w:sz="4" w:space="0" w:color="000000"/>
              <w:left w:val="single" w:sz="4" w:space="0" w:color="000000"/>
              <w:right w:val="single" w:sz="4" w:space="0" w:color="000000"/>
            </w:tcBorders>
          </w:tcPr>
          <w:p>
            <w:pPr>
              <w:pStyle w:val="TableParagraph"/>
              <w:spacing w:line="280" w:lineRule="auto" w:before="4"/>
              <w:ind w:left="7" w:right="13"/>
              <w:jc w:val="left"/>
              <w:rPr>
                <w:rFonts w:ascii="宋体" w:hAnsi="宋体" w:cs="宋体" w:eastAsia="宋体" w:hint="default"/>
                <w:sz w:val="20"/>
                <w:szCs w:val="20"/>
              </w:rPr>
            </w:pPr>
            <w:r>
              <w:rPr>
                <w:rFonts w:ascii="宋体" w:hAnsi="宋体" w:cs="宋体" w:eastAsia="宋体" w:hint="default"/>
                <w:sz w:val="20"/>
                <w:szCs w:val="20"/>
              </w:rPr>
              <w:t>其他应付款</w:t>
            </w:r>
            <w:r>
              <w:rPr>
                <w:rFonts w:ascii="Times New Roman" w:hAnsi="Times New Roman" w:cs="Times New Roman" w:eastAsia="Times New Roman"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应付利</w:t>
            </w:r>
            <w:r>
              <w:rPr>
                <w:rFonts w:ascii="宋体" w:hAnsi="宋体" w:cs="宋体" w:eastAsia="宋体" w:hint="default"/>
                <w:w w:val="99"/>
                <w:sz w:val="20"/>
                <w:szCs w:val="20"/>
              </w:rPr>
              <w:t> </w:t>
            </w:r>
            <w:r>
              <w:rPr>
                <w:rFonts w:ascii="宋体" w:hAnsi="宋体" w:cs="宋体" w:eastAsia="宋体" w:hint="default"/>
                <w:sz w:val="20"/>
                <w:szCs w:val="20"/>
              </w:rPr>
              <w:t>息</w:t>
            </w:r>
            <w:r>
              <w:rPr>
                <w:rFonts w:ascii="Times New Roman" w:hAnsi="Times New Roman" w:cs="Times New Roman" w:eastAsia="Times New Roman" w:hint="default"/>
                <w:sz w:val="20"/>
                <w:szCs w:val="20"/>
              </w:rPr>
              <w:t>”</w:t>
            </w:r>
            <w:r>
              <w:rPr>
                <w:rFonts w:ascii="宋体" w:hAnsi="宋体" w:cs="宋体" w:eastAsia="宋体" w:hint="default"/>
                <w:sz w:val="20"/>
                <w:szCs w:val="20"/>
              </w:rPr>
              <w:t>仅反映相关金融工</w:t>
            </w:r>
            <w:r>
              <w:rPr>
                <w:rFonts w:ascii="宋体" w:hAnsi="宋体" w:cs="宋体" w:eastAsia="宋体" w:hint="default"/>
                <w:w w:val="99"/>
                <w:sz w:val="20"/>
                <w:szCs w:val="20"/>
              </w:rPr>
              <w:t> </w:t>
            </w:r>
            <w:r>
              <w:rPr>
                <w:rFonts w:ascii="宋体" w:hAnsi="宋体" w:cs="宋体" w:eastAsia="宋体" w:hint="default"/>
                <w:sz w:val="20"/>
                <w:szCs w:val="20"/>
              </w:rPr>
              <w:t>具已到期可收取但尚未</w:t>
            </w:r>
            <w:r>
              <w:rPr>
                <w:rFonts w:ascii="宋体" w:hAnsi="宋体" w:cs="宋体" w:eastAsia="宋体" w:hint="default"/>
                <w:w w:val="99"/>
                <w:sz w:val="20"/>
                <w:szCs w:val="20"/>
              </w:rPr>
              <w:t> </w:t>
            </w:r>
            <w:r>
              <w:rPr>
                <w:rFonts w:ascii="宋体" w:hAnsi="宋体" w:cs="宋体" w:eastAsia="宋体" w:hint="default"/>
                <w:sz w:val="20"/>
                <w:szCs w:val="20"/>
              </w:rPr>
              <w:t>收到或已到期应支付但</w:t>
            </w:r>
            <w:r>
              <w:rPr>
                <w:rFonts w:ascii="宋体" w:hAnsi="宋体" w:cs="宋体" w:eastAsia="宋体" w:hint="default"/>
                <w:w w:val="99"/>
                <w:sz w:val="20"/>
                <w:szCs w:val="20"/>
              </w:rPr>
              <w:t> </w:t>
            </w:r>
            <w:r>
              <w:rPr>
                <w:rFonts w:ascii="宋体" w:hAnsi="宋体" w:cs="宋体" w:eastAsia="宋体" w:hint="default"/>
                <w:sz w:val="20"/>
                <w:szCs w:val="20"/>
              </w:rPr>
              <w:t>尚未支付的利息，基于</w:t>
            </w:r>
            <w:r>
              <w:rPr>
                <w:rFonts w:ascii="宋体" w:hAnsi="宋体" w:cs="宋体" w:eastAsia="宋体" w:hint="default"/>
                <w:w w:val="99"/>
                <w:sz w:val="20"/>
                <w:szCs w:val="20"/>
              </w:rPr>
              <w:t> </w:t>
            </w:r>
            <w:r>
              <w:rPr>
                <w:rFonts w:ascii="宋体" w:hAnsi="宋体" w:cs="宋体" w:eastAsia="宋体" w:hint="default"/>
                <w:sz w:val="20"/>
                <w:szCs w:val="20"/>
              </w:rPr>
              <w:t>实际利率法计提的利息</w:t>
            </w:r>
            <w:r>
              <w:rPr>
                <w:rFonts w:ascii="宋体" w:hAnsi="宋体" w:cs="宋体" w:eastAsia="宋体" w:hint="default"/>
                <w:w w:val="99"/>
                <w:sz w:val="20"/>
                <w:szCs w:val="20"/>
              </w:rPr>
              <w:t> </w:t>
            </w:r>
            <w:r>
              <w:rPr>
                <w:rFonts w:ascii="宋体" w:hAnsi="宋体" w:cs="宋体" w:eastAsia="宋体" w:hint="default"/>
                <w:sz w:val="20"/>
                <w:szCs w:val="20"/>
              </w:rPr>
              <w:t>应包含在相应金融工具</w:t>
            </w:r>
            <w:r>
              <w:rPr>
                <w:rFonts w:ascii="宋体" w:hAnsi="宋体" w:cs="宋体" w:eastAsia="宋体" w:hint="default"/>
                <w:w w:val="99"/>
                <w:sz w:val="20"/>
                <w:szCs w:val="20"/>
              </w:rPr>
              <w:t> </w:t>
            </w:r>
            <w:r>
              <w:rPr>
                <w:rFonts w:ascii="宋体" w:hAnsi="宋体" w:cs="宋体" w:eastAsia="宋体" w:hint="default"/>
                <w:sz w:val="20"/>
                <w:szCs w:val="20"/>
              </w:rPr>
              <w:t>的账面余额中</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119,599.99</w:t>
            </w:r>
            <w:r>
              <w:rPr>
                <w:rFonts w:ascii="Times New Roman"/>
                <w:sz w:val="20"/>
              </w:rPr>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-119,599.99</w:t>
            </w:r>
            <w:r>
              <w:rPr>
                <w:rFonts w:ascii="Times New Roman"/>
                <w:sz w:val="20"/>
              </w:rPr>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185" w:hRule="exact"/>
        </w:trPr>
        <w:tc>
          <w:tcPr>
            <w:tcW w:w="2029" w:type="dxa"/>
            <w:vMerge/>
            <w:tcBorders>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60,000,000.00</w:t>
            </w:r>
            <w:r>
              <w:rPr>
                <w:rFonts w:ascii="Times New Roman"/>
                <w:sz w:val="20"/>
              </w:rPr>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119,599.99</w:t>
            </w:r>
            <w:r>
              <w:rPr>
                <w:rFonts w:ascii="Times New Roman"/>
                <w:sz w:val="20"/>
              </w:rPr>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60,119,599.99</w:t>
            </w:r>
            <w:r>
              <w:rPr>
                <w:rFonts w:ascii="Times New Roman"/>
                <w:sz w:val="20"/>
              </w:rPr>
            </w:r>
          </w:p>
        </w:tc>
      </w:tr>
      <w:tr>
        <w:trPr>
          <w:trHeight w:val="341" w:hRule="exact"/>
        </w:trPr>
        <w:tc>
          <w:tcPr>
            <w:tcW w:w="2029" w:type="dxa"/>
            <w:vMerge w:val="restart"/>
            <w:tcBorders>
              <w:top w:val="single" w:sz="4" w:space="0" w:color="000000"/>
              <w:left w:val="single" w:sz="4" w:space="0" w:color="000000"/>
              <w:right w:val="single" w:sz="4" w:space="0" w:color="000000"/>
            </w:tcBorders>
          </w:tcPr>
          <w:p>
            <w:pPr>
              <w:pStyle w:val="TableParagraph"/>
              <w:spacing w:line="285" w:lineRule="auto" w:before="1"/>
              <w:ind w:left="7" w:right="4"/>
              <w:jc w:val="both"/>
              <w:rPr>
                <w:rFonts w:ascii="宋体" w:hAnsi="宋体" w:cs="宋体" w:eastAsia="宋体" w:hint="default"/>
                <w:sz w:val="20"/>
                <w:szCs w:val="20"/>
              </w:rPr>
            </w:pPr>
            <w:r>
              <w:rPr>
                <w:rFonts w:ascii="宋体" w:hAnsi="宋体" w:cs="宋体" w:eastAsia="宋体" w:hint="default"/>
                <w:sz w:val="20"/>
                <w:szCs w:val="20"/>
              </w:rPr>
              <w:t>将应付票据及应付账款</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项目分拆为应付票据项</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目和应付账款项目</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1707"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029" w:type="dxa"/>
            <w:vMerge/>
            <w:tcBorders>
              <w:left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707"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925,377.76</w:t>
            </w:r>
            <w:r>
              <w:rPr>
                <w:rFonts w:ascii="Times New Roman"/>
                <w:sz w:val="20"/>
              </w:rPr>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925,377.76</w:t>
            </w:r>
            <w:r>
              <w:rPr>
                <w:rFonts w:ascii="Times New Roman"/>
                <w:sz w:val="20"/>
              </w:rPr>
            </w:r>
          </w:p>
        </w:tc>
      </w:tr>
      <w:tr>
        <w:trPr>
          <w:trHeight w:val="655" w:hRule="exact"/>
        </w:trPr>
        <w:tc>
          <w:tcPr>
            <w:tcW w:w="2029" w:type="dxa"/>
            <w:vMerge/>
            <w:tcBorders>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
              <w:ind w:left="7" w:right="-41"/>
              <w:jc w:val="left"/>
              <w:rPr>
                <w:rFonts w:ascii="宋体" w:hAnsi="宋体" w:cs="宋体" w:eastAsia="宋体" w:hint="default"/>
                <w:sz w:val="20"/>
                <w:szCs w:val="20"/>
              </w:rPr>
            </w:pPr>
            <w:r>
              <w:rPr>
                <w:rFonts w:ascii="宋体" w:hAnsi="宋体" w:cs="宋体" w:eastAsia="宋体" w:hint="default"/>
                <w:spacing w:val="36"/>
                <w:sz w:val="20"/>
                <w:szCs w:val="20"/>
              </w:rPr>
              <w:t>应付票据和</w:t>
            </w:r>
            <w:r>
              <w:rPr>
                <w:rFonts w:ascii="宋体" w:hAnsi="宋体" w:cs="宋体" w:eastAsia="宋体" w:hint="default"/>
                <w:spacing w:val="-55"/>
                <w:sz w:val="20"/>
                <w:szCs w:val="20"/>
              </w:rPr>
              <w:t> </w:t>
            </w:r>
            <w:r>
              <w:rPr>
                <w:rFonts w:ascii="宋体" w:hAnsi="宋体" w:cs="宋体" w:eastAsia="宋体" w:hint="default"/>
                <w:sz w:val="20"/>
                <w:szCs w:val="20"/>
              </w:rPr>
              <w:t>应付账款</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925,377.76</w:t>
            </w:r>
            <w:r>
              <w:rPr>
                <w:rFonts w:ascii="Times New Roman"/>
                <w:sz w:val="20"/>
              </w:rPr>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-925,377.76</w:t>
            </w:r>
            <w:r>
              <w:rPr>
                <w:rFonts w:ascii="Times New Roman"/>
                <w:sz w:val="20"/>
              </w:rPr>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bl>
    <w:p>
      <w:pPr>
        <w:pStyle w:val="Heading3"/>
        <w:spacing w:line="338" w:lineRule="auto" w:before="39"/>
        <w:ind w:left="633" w:right="6913"/>
        <w:jc w:val="left"/>
      </w:pPr>
      <w:r>
        <w:rPr>
          <w:rFonts w:ascii="Times New Roman" w:hAnsi="Times New Roman" w:cs="Times New Roman" w:eastAsia="Times New Roman" w:hint="default"/>
        </w:rPr>
        <w:t>2</w:t>
      </w:r>
      <w:r>
        <w:rPr/>
        <w:t>、重要会计估计变更 本年无重要会计估计变更事项。</w:t>
      </w:r>
    </w:p>
    <w:p>
      <w:pPr>
        <w:pStyle w:val="Heading3"/>
        <w:spacing w:line="240" w:lineRule="auto" w:before="55"/>
        <w:ind w:left="633" w:right="996"/>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年（首次）起执行新金融工具准则执行当年年初财务报表相关项目情况</w:t>
      </w:r>
    </w:p>
    <w:p>
      <w:pPr>
        <w:pStyle w:val="Heading3"/>
        <w:spacing w:line="240" w:lineRule="auto" w:before="135"/>
        <w:ind w:left="633" w:right="996"/>
        <w:jc w:val="left"/>
      </w:pPr>
      <w:r>
        <w:rPr>
          <w:rFonts w:ascii="Times New Roman" w:hAnsi="Times New Roman" w:cs="Times New Roman" w:eastAsia="Times New Roman" w:hint="default"/>
        </w:rPr>
        <w:t>1</w:t>
      </w:r>
      <w:r>
        <w:rPr/>
        <w:t>）合并资产负债表</w:t>
      </w:r>
    </w:p>
    <w:p>
      <w:pPr>
        <w:pStyle w:val="BodyText"/>
        <w:spacing w:line="240" w:lineRule="auto" w:before="195"/>
        <w:ind w:left="0" w:right="1128"/>
        <w:jc w:val="right"/>
      </w:pPr>
      <w:r>
        <w:rPr/>
        <w:t>单位：元</w:t>
      </w:r>
    </w:p>
    <w:p>
      <w:pPr>
        <w:spacing w:line="240" w:lineRule="auto" w:before="9"/>
        <w:rPr>
          <w:rFonts w:ascii="宋体" w:hAnsi="宋体" w:cs="宋体" w:eastAsia="宋体" w:hint="default"/>
          <w:sz w:val="12"/>
          <w:szCs w:val="12"/>
        </w:rPr>
      </w:pPr>
    </w:p>
    <w:tbl>
      <w:tblPr>
        <w:tblW w:w="0" w:type="auto"/>
        <w:jc w:val="left"/>
        <w:tblInd w:w="786" w:type="dxa"/>
        <w:tblLayout w:type="fixed"/>
        <w:tblCellMar>
          <w:top w:w="0" w:type="dxa"/>
          <w:left w:w="0" w:type="dxa"/>
          <w:bottom w:w="0" w:type="dxa"/>
          <w:right w:w="0" w:type="dxa"/>
        </w:tblCellMar>
        <w:tblLook w:val="01E0"/>
      </w:tblPr>
      <w:tblGrid>
        <w:gridCol w:w="2581"/>
        <w:gridCol w:w="1985"/>
        <w:gridCol w:w="1985"/>
        <w:gridCol w:w="1813"/>
      </w:tblGrid>
      <w:tr>
        <w:trPr>
          <w:trHeight w:val="341"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85"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2018</w:t>
            </w:r>
            <w:r>
              <w:rPr>
                <w:rFonts w:ascii="宋体" w:hAnsi="宋体" w:cs="宋体" w:eastAsia="宋体" w:hint="default"/>
                <w:b/>
                <w:bCs/>
                <w:sz w:val="20"/>
                <w:szCs w:val="20"/>
              </w:rPr>
              <w:t>年</w:t>
            </w:r>
            <w:r>
              <w:rPr>
                <w:rFonts w:ascii="Times New Roman" w:hAnsi="Times New Roman" w:cs="Times New Roman" w:eastAsia="Times New Roman" w:hint="default"/>
                <w:b/>
                <w:bCs/>
                <w:sz w:val="20"/>
                <w:szCs w:val="20"/>
              </w:rPr>
              <w:t>12</w:t>
            </w:r>
            <w:r>
              <w:rPr>
                <w:rFonts w:ascii="宋体" w:hAnsi="宋体" w:cs="宋体" w:eastAsia="宋体" w:hint="default"/>
                <w:b/>
                <w:bCs/>
                <w:sz w:val="20"/>
                <w:szCs w:val="20"/>
              </w:rPr>
              <w:t>月</w:t>
            </w:r>
            <w:r>
              <w:rPr>
                <w:rFonts w:ascii="Times New Roman" w:hAnsi="Times New Roman" w:cs="Times New Roman" w:eastAsia="Times New Roman" w:hint="default"/>
                <w:b/>
                <w:bCs/>
                <w:sz w:val="20"/>
                <w:szCs w:val="20"/>
              </w:rPr>
              <w:t>31</w:t>
            </w:r>
            <w:r>
              <w:rPr>
                <w:rFonts w:ascii="宋体" w:hAnsi="宋体" w:cs="宋体" w:eastAsia="宋体" w:hint="default"/>
                <w:b/>
                <w:bCs/>
                <w:sz w:val="20"/>
                <w:szCs w:val="20"/>
              </w:rPr>
              <w:t>日</w:t>
            </w:r>
            <w:r>
              <w:rPr>
                <w:rFonts w:ascii="宋体" w:hAnsi="宋体" w:cs="宋体" w:eastAsia="宋体" w:hint="default"/>
                <w:sz w:val="20"/>
                <w:szCs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86"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2019</w:t>
            </w:r>
            <w:r>
              <w:rPr>
                <w:rFonts w:ascii="宋体" w:hAnsi="宋体" w:cs="宋体" w:eastAsia="宋体" w:hint="default"/>
                <w:b/>
                <w:bCs/>
                <w:sz w:val="20"/>
                <w:szCs w:val="20"/>
              </w:rPr>
              <w:t>年</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月</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日</w:t>
            </w:r>
            <w:r>
              <w:rPr>
                <w:rFonts w:ascii="宋体" w:hAnsi="宋体" w:cs="宋体" w:eastAsia="宋体" w:hint="default"/>
                <w:sz w:val="20"/>
                <w:szCs w:val="20"/>
              </w:rPr>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600" w:right="0"/>
              <w:jc w:val="left"/>
              <w:rPr>
                <w:rFonts w:ascii="宋体" w:hAnsi="宋体" w:cs="宋体" w:eastAsia="宋体" w:hint="default"/>
                <w:sz w:val="20"/>
                <w:szCs w:val="20"/>
              </w:rPr>
            </w:pPr>
            <w:r>
              <w:rPr>
                <w:rFonts w:ascii="宋体" w:hAnsi="宋体" w:cs="宋体" w:eastAsia="宋体" w:hint="default"/>
                <w:b/>
                <w:bCs/>
                <w:spacing w:val="2"/>
                <w:sz w:val="20"/>
                <w:szCs w:val="20"/>
              </w:rPr>
              <w:t>调整数</w:t>
            </w:r>
            <w:r>
              <w:rPr>
                <w:rFonts w:ascii="宋体" w:hAnsi="宋体" w:cs="宋体" w:eastAsia="宋体" w:hint="default"/>
                <w:sz w:val="20"/>
                <w:szCs w:val="20"/>
              </w:rPr>
            </w:r>
          </w:p>
        </w:tc>
      </w:tr>
      <w:tr>
        <w:trPr>
          <w:trHeight w:val="343"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6"/>
              <w:jc w:val="right"/>
              <w:rPr>
                <w:rFonts w:ascii="Times New Roman" w:hAnsi="Times New Roman" w:cs="Times New Roman" w:eastAsia="Times New Roman" w:hint="default"/>
                <w:sz w:val="20"/>
                <w:szCs w:val="20"/>
              </w:rPr>
            </w:pPr>
            <w:r>
              <w:rPr>
                <w:rFonts w:ascii="Times New Roman"/>
                <w:w w:val="95"/>
                <w:sz w:val="20"/>
              </w:rPr>
              <w:t>154,246,153.78</w:t>
            </w:r>
            <w:r>
              <w:rPr>
                <w:rFonts w:ascii="Times New Roman"/>
                <w:sz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154,246,153.78</w:t>
            </w:r>
            <w:r>
              <w:rPr>
                <w:rFonts w:ascii="Times New Roman"/>
                <w:sz w:val="20"/>
              </w:rPr>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1"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6"/>
              <w:jc w:val="right"/>
              <w:rPr>
                <w:rFonts w:ascii="Times New Roman" w:hAnsi="Times New Roman" w:cs="Times New Roman" w:eastAsia="Times New Roman" w:hint="default"/>
                <w:sz w:val="20"/>
                <w:szCs w:val="20"/>
              </w:rPr>
            </w:pPr>
            <w:r>
              <w:rPr>
                <w:rFonts w:ascii="Times New Roman"/>
                <w:w w:val="95"/>
                <w:sz w:val="20"/>
              </w:rPr>
              <w:t>361,431,985.65</w:t>
            </w:r>
            <w:r>
              <w:rPr>
                <w:rFonts w:ascii="Times New Roman"/>
                <w:sz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-361,431,985.65</w:t>
            </w:r>
            <w:r>
              <w:rPr>
                <w:rFonts w:ascii="Times New Roman"/>
                <w:sz w:val="20"/>
              </w:rPr>
            </w:r>
          </w:p>
        </w:tc>
      </w:tr>
      <w:tr>
        <w:trPr>
          <w:trHeight w:val="343"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其他权益工具投资</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335,073,434.15</w:t>
            </w:r>
            <w:r>
              <w:rPr>
                <w:rFonts w:ascii="Times New Roman"/>
                <w:sz w:val="20"/>
              </w:rPr>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335,073,434.15</w:t>
            </w:r>
            <w:r>
              <w:rPr>
                <w:rFonts w:ascii="Times New Roman"/>
                <w:sz w:val="20"/>
              </w:rPr>
            </w:r>
          </w:p>
        </w:tc>
      </w:tr>
      <w:tr>
        <w:trPr>
          <w:trHeight w:val="341"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其他非流动金融资产</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26,358,551.50</w:t>
            </w:r>
            <w:r>
              <w:rPr>
                <w:rFonts w:ascii="Times New Roman"/>
                <w:sz w:val="20"/>
              </w:rPr>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26,358,551.50</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745" w:footer="980" w:top="1060" w:bottom="1160" w:left="980" w:right="0"/>
        </w:sectPr>
      </w:pPr>
    </w:p>
    <w:p>
      <w:pPr>
        <w:pStyle w:val="Heading3"/>
        <w:spacing w:line="240" w:lineRule="auto" w:before="39"/>
        <w:ind w:left="633" w:right="-20"/>
        <w:jc w:val="left"/>
      </w:pPr>
      <w:r>
        <w:rPr>
          <w:rFonts w:ascii="Times New Roman" w:hAnsi="Times New Roman" w:cs="Times New Roman" w:eastAsia="Times New Roman" w:hint="default"/>
        </w:rPr>
        <w:t>2</w:t>
      </w:r>
      <w:r>
        <w:rPr/>
        <w:t>）母公司资产负债表</w:t>
      </w:r>
    </w:p>
    <w:p>
      <w:pPr>
        <w:spacing w:line="240" w:lineRule="auto" w:before="0"/>
        <w:rPr>
          <w:rFonts w:ascii="宋体" w:hAnsi="宋体" w:cs="宋体" w:eastAsia="宋体" w:hint="default"/>
          <w:sz w:val="22"/>
          <w:szCs w:val="22"/>
        </w:rPr>
      </w:pPr>
      <w:r>
        <w:rPr/>
        <w:br w:type="column"/>
      </w:r>
      <w:r>
        <w:rPr>
          <w:rFonts w:ascii="宋体"/>
          <w:sz w:val="22"/>
        </w:rPr>
      </w:r>
    </w:p>
    <w:p>
      <w:pPr>
        <w:pStyle w:val="BodyText"/>
        <w:spacing w:line="240" w:lineRule="auto" w:before="158"/>
        <w:ind w:left="633" w:right="0"/>
        <w:jc w:val="left"/>
      </w:pPr>
      <w:r>
        <w:rPr/>
        <w:t>单位：元</w:t>
      </w:r>
    </w:p>
    <w:p>
      <w:pPr>
        <w:spacing w:after="0" w:line="240" w:lineRule="auto"/>
        <w:jc w:val="left"/>
        <w:sectPr>
          <w:type w:val="continuous"/>
          <w:pgSz w:w="11910" w:h="16840"/>
          <w:pgMar w:top="1060" w:bottom="1160" w:left="980" w:right="0"/>
          <w:cols w:num="2" w:equalWidth="0">
            <w:col w:w="2914" w:space="5365"/>
            <w:col w:w="2651"/>
          </w:cols>
        </w:sectPr>
      </w:pPr>
    </w:p>
    <w:p>
      <w:pPr>
        <w:spacing w:line="240" w:lineRule="auto" w:before="7"/>
        <w:rPr>
          <w:rFonts w:ascii="宋体" w:hAnsi="宋体" w:cs="宋体" w:eastAsia="宋体" w:hint="default"/>
          <w:sz w:val="3"/>
          <w:szCs w:val="3"/>
        </w:rPr>
      </w:pPr>
    </w:p>
    <w:tbl>
      <w:tblPr>
        <w:tblW w:w="0" w:type="auto"/>
        <w:jc w:val="left"/>
        <w:tblInd w:w="786" w:type="dxa"/>
        <w:tblLayout w:type="fixed"/>
        <w:tblCellMar>
          <w:top w:w="0" w:type="dxa"/>
          <w:left w:w="0" w:type="dxa"/>
          <w:bottom w:w="0" w:type="dxa"/>
          <w:right w:w="0" w:type="dxa"/>
        </w:tblCellMar>
        <w:tblLook w:val="01E0"/>
      </w:tblPr>
      <w:tblGrid>
        <w:gridCol w:w="2581"/>
        <w:gridCol w:w="1985"/>
        <w:gridCol w:w="1985"/>
        <w:gridCol w:w="1813"/>
      </w:tblGrid>
      <w:tr>
        <w:trPr>
          <w:trHeight w:val="343"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85"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2018</w:t>
            </w:r>
            <w:r>
              <w:rPr>
                <w:rFonts w:ascii="宋体" w:hAnsi="宋体" w:cs="宋体" w:eastAsia="宋体" w:hint="default"/>
                <w:b/>
                <w:bCs/>
                <w:sz w:val="20"/>
                <w:szCs w:val="20"/>
              </w:rPr>
              <w:t>年</w:t>
            </w:r>
            <w:r>
              <w:rPr>
                <w:rFonts w:ascii="Times New Roman" w:hAnsi="Times New Roman" w:cs="Times New Roman" w:eastAsia="Times New Roman" w:hint="default"/>
                <w:b/>
                <w:bCs/>
                <w:sz w:val="20"/>
                <w:szCs w:val="20"/>
              </w:rPr>
              <w:t>12</w:t>
            </w:r>
            <w:r>
              <w:rPr>
                <w:rFonts w:ascii="宋体" w:hAnsi="宋体" w:cs="宋体" w:eastAsia="宋体" w:hint="default"/>
                <w:b/>
                <w:bCs/>
                <w:sz w:val="20"/>
                <w:szCs w:val="20"/>
              </w:rPr>
              <w:t>月</w:t>
            </w:r>
            <w:r>
              <w:rPr>
                <w:rFonts w:ascii="Times New Roman" w:hAnsi="Times New Roman" w:cs="Times New Roman" w:eastAsia="Times New Roman" w:hint="default"/>
                <w:b/>
                <w:bCs/>
                <w:sz w:val="20"/>
                <w:szCs w:val="20"/>
              </w:rPr>
              <w:t>31</w:t>
            </w:r>
            <w:r>
              <w:rPr>
                <w:rFonts w:ascii="宋体" w:hAnsi="宋体" w:cs="宋体" w:eastAsia="宋体" w:hint="default"/>
                <w:b/>
                <w:bCs/>
                <w:sz w:val="20"/>
                <w:szCs w:val="20"/>
              </w:rPr>
              <w:t>日</w:t>
            </w:r>
            <w:r>
              <w:rPr>
                <w:rFonts w:ascii="宋体" w:hAnsi="宋体" w:cs="宋体" w:eastAsia="宋体" w:hint="default"/>
                <w:sz w:val="20"/>
                <w:szCs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86"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2019</w:t>
            </w:r>
            <w:r>
              <w:rPr>
                <w:rFonts w:ascii="宋体" w:hAnsi="宋体" w:cs="宋体" w:eastAsia="宋体" w:hint="default"/>
                <w:b/>
                <w:bCs/>
                <w:sz w:val="20"/>
                <w:szCs w:val="20"/>
              </w:rPr>
              <w:t>年</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月</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日</w:t>
            </w:r>
            <w:r>
              <w:rPr>
                <w:rFonts w:ascii="宋体" w:hAnsi="宋体" w:cs="宋体" w:eastAsia="宋体" w:hint="default"/>
                <w:sz w:val="20"/>
                <w:szCs w:val="20"/>
              </w:rPr>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600" w:right="0"/>
              <w:jc w:val="left"/>
              <w:rPr>
                <w:rFonts w:ascii="宋体" w:hAnsi="宋体" w:cs="宋体" w:eastAsia="宋体" w:hint="default"/>
                <w:sz w:val="20"/>
                <w:szCs w:val="20"/>
              </w:rPr>
            </w:pPr>
            <w:r>
              <w:rPr>
                <w:rFonts w:ascii="宋体" w:hAnsi="宋体" w:cs="宋体" w:eastAsia="宋体" w:hint="default"/>
                <w:b/>
                <w:bCs/>
                <w:spacing w:val="2"/>
                <w:sz w:val="20"/>
                <w:szCs w:val="20"/>
              </w:rPr>
              <w:t>调整数</w:t>
            </w:r>
            <w:r>
              <w:rPr>
                <w:rFonts w:ascii="宋体" w:hAnsi="宋体" w:cs="宋体" w:eastAsia="宋体" w:hint="default"/>
                <w:sz w:val="20"/>
                <w:szCs w:val="20"/>
              </w:rPr>
            </w:r>
          </w:p>
        </w:tc>
      </w:tr>
      <w:tr>
        <w:trPr>
          <w:trHeight w:val="341"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6"/>
              <w:jc w:val="right"/>
              <w:rPr>
                <w:rFonts w:ascii="Times New Roman" w:hAnsi="Times New Roman" w:cs="Times New Roman" w:eastAsia="Times New Roman" w:hint="default"/>
                <w:sz w:val="20"/>
                <w:szCs w:val="20"/>
              </w:rPr>
            </w:pPr>
            <w:r>
              <w:rPr>
                <w:rFonts w:ascii="Times New Roman"/>
                <w:w w:val="95"/>
                <w:sz w:val="20"/>
              </w:rPr>
              <w:t>56,799,644.47</w:t>
            </w:r>
            <w:r>
              <w:rPr>
                <w:rFonts w:ascii="Times New Roman"/>
                <w:sz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56,799,644.47</w:t>
            </w:r>
            <w:r>
              <w:rPr>
                <w:rFonts w:ascii="Times New Roman"/>
                <w:sz w:val="20"/>
              </w:rPr>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3"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
              <w:jc w:val="right"/>
              <w:rPr>
                <w:rFonts w:ascii="Times New Roman" w:hAnsi="Times New Roman" w:cs="Times New Roman" w:eastAsia="Times New Roman" w:hint="default"/>
                <w:sz w:val="20"/>
                <w:szCs w:val="20"/>
              </w:rPr>
            </w:pPr>
            <w:r>
              <w:rPr>
                <w:rFonts w:ascii="Times New Roman"/>
                <w:w w:val="95"/>
                <w:sz w:val="20"/>
              </w:rPr>
              <w:t>249,473,546.70</w:t>
            </w:r>
            <w:r>
              <w:rPr>
                <w:rFonts w:ascii="Times New Roman"/>
                <w:sz w:val="20"/>
              </w:rPr>
            </w:r>
          </w:p>
        </w:tc>
        <w:tc>
          <w:tcPr>
            <w:tcW w:w="1985" w:type="dxa"/>
            <w:tcBorders>
              <w:top w:val="single" w:sz="4" w:space="0" w:color="000000"/>
              <w:left w:val="single" w:sz="4" w:space="0" w:color="000000"/>
              <w:bottom w:val="single" w:sz="4" w:space="0" w:color="000000"/>
              <w:right w:val="single" w:sz="4" w:space="0" w:color="000000"/>
            </w:tcBorders>
          </w:tcPr>
          <w:p>
            <w:pP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-249,473,546.70</w:t>
            </w:r>
            <w:r>
              <w:rPr>
                <w:rFonts w:ascii="Times New Roman"/>
                <w:sz w:val="20"/>
              </w:rPr>
            </w:r>
          </w:p>
        </w:tc>
      </w:tr>
      <w:tr>
        <w:trPr>
          <w:trHeight w:val="341"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 w:right="0"/>
              <w:jc w:val="left"/>
              <w:rPr>
                <w:rFonts w:ascii="宋体" w:hAnsi="宋体" w:cs="宋体" w:eastAsia="宋体" w:hint="default"/>
                <w:sz w:val="20"/>
                <w:szCs w:val="20"/>
              </w:rPr>
            </w:pPr>
            <w:r>
              <w:rPr>
                <w:rFonts w:ascii="宋体" w:hAnsi="宋体" w:cs="宋体" w:eastAsia="宋体" w:hint="default"/>
                <w:sz w:val="20"/>
                <w:szCs w:val="20"/>
              </w:rPr>
              <w:t>其他权益投资</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w w:val="95"/>
                <w:sz w:val="20"/>
              </w:rPr>
              <w:t>249,473,546.70</w:t>
            </w:r>
            <w:r>
              <w:rPr>
                <w:rFonts w:ascii="Times New Roman"/>
                <w:sz w:val="20"/>
              </w:rPr>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w w:val="95"/>
                <w:sz w:val="20"/>
              </w:rPr>
              <w:t>249,473,546.70</w:t>
            </w:r>
            <w:r>
              <w:rPr>
                <w:rFonts w:ascii="Times New Roman"/>
                <w:sz w:val="20"/>
              </w:rPr>
            </w:r>
          </w:p>
        </w:tc>
      </w:tr>
    </w:tbl>
    <w:p>
      <w:pPr>
        <w:pStyle w:val="Heading3"/>
        <w:spacing w:line="240" w:lineRule="auto" w:before="39"/>
        <w:ind w:left="633" w:right="996"/>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t>年（首次）起执行新金融工具准则以及追溯调整前期比较数据说明</w:t>
      </w:r>
    </w:p>
    <w:p>
      <w:pPr>
        <w:pStyle w:val="Heading3"/>
        <w:spacing w:line="338" w:lineRule="auto" w:before="135"/>
        <w:ind w:left="633" w:right="996"/>
        <w:jc w:val="left"/>
      </w:pPr>
      <w:r>
        <w:rPr>
          <w:rFonts w:ascii="Times New Roman" w:hAnsi="Times New Roman" w:cs="Times New Roman" w:eastAsia="Times New Roman" w:hint="default"/>
        </w:rPr>
        <w:t>1</w:t>
      </w:r>
      <w:r>
        <w:rPr/>
        <w:t>）新金融工具准则 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日，本公司执行新金融工具准则对本公司的合并及母公司资产负债表的影</w:t>
      </w:r>
    </w:p>
    <w:p>
      <w:pPr>
        <w:pStyle w:val="Heading3"/>
        <w:spacing w:line="240" w:lineRule="auto" w:before="26"/>
        <w:ind w:right="996"/>
        <w:jc w:val="left"/>
      </w:pPr>
      <w:r>
        <w:rPr/>
        <w:t>响如下：</w:t>
      </w:r>
    </w:p>
    <w:p>
      <w:pPr>
        <w:spacing w:after="0" w:line="240" w:lineRule="auto"/>
        <w:jc w:val="left"/>
        <w:sectPr>
          <w:type w:val="continuous"/>
          <w:pgSz w:w="11910" w:h="16840"/>
          <w:pgMar w:top="1060" w:bottom="1160" w:left="980" w:right="0"/>
        </w:sectPr>
      </w:pPr>
    </w:p>
    <w:p>
      <w:pPr>
        <w:spacing w:line="240" w:lineRule="auto" w:before="6"/>
        <w:rPr>
          <w:rFonts w:ascii="宋体" w:hAnsi="宋体" w:cs="宋体" w:eastAsia="宋体" w:hint="default"/>
          <w:sz w:val="29"/>
          <w:szCs w:val="29"/>
        </w:rPr>
      </w:pPr>
    </w:p>
    <w:p>
      <w:pPr>
        <w:pStyle w:val="Heading3"/>
        <w:spacing w:line="240" w:lineRule="auto" w:before="26"/>
        <w:ind w:left="633" w:right="996"/>
        <w:jc w:val="left"/>
      </w:pPr>
      <w:r>
        <w:rPr/>
        <w:t>本公司合并资产负债表</w:t>
      </w:r>
    </w:p>
    <w:p>
      <w:pPr>
        <w:spacing w:line="240" w:lineRule="auto" w:before="11"/>
        <w:rPr>
          <w:rFonts w:ascii="宋体" w:hAnsi="宋体" w:cs="宋体" w:eastAsia="宋体" w:hint="default"/>
          <w:sz w:val="8"/>
          <w:szCs w:val="8"/>
        </w:rPr>
      </w:pPr>
    </w:p>
    <w:tbl>
      <w:tblPr>
        <w:tblW w:w="0" w:type="auto"/>
        <w:jc w:val="left"/>
        <w:tblInd w:w="707" w:type="dxa"/>
        <w:tblLayout w:type="fixed"/>
        <w:tblCellMar>
          <w:top w:w="0" w:type="dxa"/>
          <w:left w:w="0" w:type="dxa"/>
          <w:bottom w:w="0" w:type="dxa"/>
          <w:right w:w="0" w:type="dxa"/>
        </w:tblCellMar>
        <w:tblLook w:val="01E0"/>
      </w:tblPr>
      <w:tblGrid>
        <w:gridCol w:w="1939"/>
        <w:gridCol w:w="1616"/>
        <w:gridCol w:w="1978"/>
        <w:gridCol w:w="1351"/>
        <w:gridCol w:w="1637"/>
      </w:tblGrid>
      <w:tr>
        <w:trPr>
          <w:trHeight w:val="341" w:hRule="exact"/>
        </w:trPr>
        <w:tc>
          <w:tcPr>
            <w:tcW w:w="1939" w:type="dxa"/>
            <w:vMerge w:val="restart"/>
            <w:tcBorders>
              <w:top w:val="single" w:sz="4" w:space="0" w:color="000000"/>
              <w:left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b/>
                <w:bCs/>
                <w:sz w:val="20"/>
                <w:szCs w:val="20"/>
              </w:rPr>
              <w:t>报表项目</w:t>
            </w:r>
            <w:r>
              <w:rPr>
                <w:rFonts w:ascii="宋体" w:hAnsi="宋体" w:cs="宋体" w:eastAsia="宋体" w:hint="default"/>
                <w:sz w:val="20"/>
                <w:szCs w:val="20"/>
              </w:rPr>
            </w:r>
          </w:p>
        </w:tc>
        <w:tc>
          <w:tcPr>
            <w:tcW w:w="1616" w:type="dxa"/>
            <w:vMerge w:val="restart"/>
            <w:tcBorders>
              <w:top w:val="single" w:sz="4" w:space="0" w:color="000000"/>
              <w:left w:val="single" w:sz="4" w:space="0" w:color="000000"/>
              <w:right w:val="single" w:sz="4" w:space="0" w:color="000000"/>
            </w:tcBorders>
          </w:tcPr>
          <w:p>
            <w:pPr>
              <w:pStyle w:val="TableParagraph"/>
              <w:spacing w:line="285" w:lineRule="auto" w:before="1"/>
              <w:ind w:left="4" w:right="194"/>
              <w:jc w:val="both"/>
              <w:rPr>
                <w:rFonts w:ascii="Times New Roman" w:hAnsi="Times New Roman" w:cs="Times New Roman" w:eastAsia="Times New Roman" w:hint="default"/>
                <w:sz w:val="20"/>
                <w:szCs w:val="20"/>
              </w:rPr>
            </w:pPr>
            <w:r>
              <w:rPr>
                <w:rFonts w:ascii="宋体" w:hAnsi="宋体" w:cs="宋体" w:eastAsia="宋体" w:hint="default"/>
                <w:b/>
                <w:bCs/>
                <w:sz w:val="20"/>
                <w:szCs w:val="20"/>
              </w:rPr>
              <w:t>按原金融工具准</w:t>
            </w:r>
            <w:r>
              <w:rPr>
                <w:rFonts w:ascii="宋体" w:hAnsi="宋体" w:cs="宋体" w:eastAsia="宋体" w:hint="default"/>
                <w:b/>
                <w:bCs/>
                <w:w w:val="99"/>
                <w:sz w:val="20"/>
                <w:szCs w:val="20"/>
              </w:rPr>
              <w:t> </w:t>
            </w:r>
            <w:r>
              <w:rPr>
                <w:rFonts w:ascii="宋体" w:hAnsi="宋体" w:cs="宋体" w:eastAsia="宋体" w:hint="default"/>
                <w:b/>
                <w:bCs/>
                <w:sz w:val="20"/>
                <w:szCs w:val="20"/>
              </w:rPr>
              <w:t>则列示的账面价</w:t>
            </w:r>
            <w:r>
              <w:rPr>
                <w:rFonts w:ascii="宋体" w:hAnsi="宋体" w:cs="宋体" w:eastAsia="宋体" w:hint="default"/>
                <w:b/>
                <w:bCs/>
                <w:w w:val="99"/>
                <w:sz w:val="20"/>
                <w:szCs w:val="20"/>
              </w:rPr>
              <w:t> </w:t>
            </w:r>
            <w:r>
              <w:rPr>
                <w:rFonts w:ascii="宋体" w:hAnsi="宋体" w:cs="宋体" w:eastAsia="宋体" w:hint="default"/>
                <w:b/>
                <w:bCs/>
                <w:sz w:val="20"/>
                <w:szCs w:val="20"/>
              </w:rPr>
              <w:t>值</w:t>
            </w:r>
            <w:r>
              <w:rPr>
                <w:rFonts w:ascii="Times New Roman" w:hAnsi="Times New Roman" w:cs="Times New Roman" w:eastAsia="Times New Roman" w:hint="default"/>
                <w:b/>
                <w:bCs/>
                <w:sz w:val="20"/>
                <w:szCs w:val="20"/>
              </w:rPr>
              <w:t>2018</w:t>
            </w:r>
            <w:r>
              <w:rPr>
                <w:rFonts w:ascii="宋体" w:hAnsi="宋体" w:cs="宋体" w:eastAsia="宋体" w:hint="default"/>
                <w:b/>
                <w:bCs/>
                <w:sz w:val="20"/>
                <w:szCs w:val="20"/>
              </w:rPr>
              <w:t>年</w:t>
            </w:r>
            <w:r>
              <w:rPr>
                <w:rFonts w:ascii="Times New Roman" w:hAnsi="Times New Roman" w:cs="Times New Roman" w:eastAsia="Times New Roman" w:hint="default"/>
                <w:b/>
                <w:bCs/>
                <w:sz w:val="20"/>
                <w:szCs w:val="20"/>
              </w:rPr>
              <w:t>12</w:t>
            </w:r>
            <w:r>
              <w:rPr>
                <w:rFonts w:ascii="宋体" w:hAnsi="宋体" w:cs="宋体" w:eastAsia="宋体" w:hint="default"/>
                <w:b/>
                <w:bCs/>
                <w:sz w:val="20"/>
                <w:szCs w:val="20"/>
              </w:rPr>
              <w:t>月</w:t>
            </w:r>
            <w:r>
              <w:rPr>
                <w:rFonts w:ascii="Times New Roman" w:hAnsi="Times New Roman" w:cs="Times New Roman" w:eastAsia="Times New Roman" w:hint="default"/>
                <w:b/>
                <w:bCs/>
                <w:sz w:val="20"/>
                <w:szCs w:val="20"/>
              </w:rPr>
              <w:t>31</w:t>
            </w:r>
            <w:r>
              <w:rPr>
                <w:rFonts w:ascii="Times New Roman" w:hAnsi="Times New Roman" w:cs="Times New Roman" w:eastAsia="Times New Roman" w:hint="default"/>
                <w:sz w:val="20"/>
                <w:szCs w:val="20"/>
              </w:rPr>
            </w:r>
          </w:p>
          <w:p>
            <w:pPr>
              <w:pStyle w:val="TableParagraph"/>
              <w:spacing w:line="255" w:lineRule="exact"/>
              <w:ind w:left="4" w:right="0"/>
              <w:jc w:val="both"/>
              <w:rPr>
                <w:rFonts w:ascii="宋体" w:hAnsi="宋体" w:cs="宋体" w:eastAsia="宋体" w:hint="default"/>
                <w:sz w:val="20"/>
                <w:szCs w:val="20"/>
              </w:rPr>
            </w:pPr>
            <w:r>
              <w:rPr>
                <w:rFonts w:ascii="宋体" w:hAnsi="宋体" w:cs="宋体" w:eastAsia="宋体" w:hint="default"/>
                <w:b/>
                <w:bCs/>
                <w:w w:val="99"/>
                <w:sz w:val="20"/>
                <w:szCs w:val="20"/>
              </w:rPr>
              <w:t>日</w:t>
            </w:r>
            <w:r>
              <w:rPr>
                <w:rFonts w:ascii="宋体" w:hAnsi="宋体" w:cs="宋体" w:eastAsia="宋体" w:hint="default"/>
                <w:sz w:val="20"/>
                <w:szCs w:val="20"/>
              </w:rPr>
            </w:r>
          </w:p>
        </w:tc>
        <w:tc>
          <w:tcPr>
            <w:tcW w:w="33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58" w:right="0"/>
              <w:jc w:val="left"/>
              <w:rPr>
                <w:rFonts w:ascii="宋体" w:hAnsi="宋体" w:cs="宋体" w:eastAsia="宋体" w:hint="default"/>
                <w:sz w:val="20"/>
                <w:szCs w:val="20"/>
              </w:rPr>
            </w:pPr>
            <w:r>
              <w:rPr>
                <w:rFonts w:ascii="宋体" w:hAnsi="宋体" w:cs="宋体" w:eastAsia="宋体" w:hint="default"/>
                <w:b/>
                <w:bCs/>
                <w:sz w:val="20"/>
                <w:szCs w:val="20"/>
              </w:rPr>
              <w:t>施行新金融工具准则</w:t>
            </w:r>
            <w:r>
              <w:rPr>
                <w:rFonts w:ascii="宋体" w:hAnsi="宋体" w:cs="宋体" w:eastAsia="宋体" w:hint="default"/>
                <w:sz w:val="20"/>
                <w:szCs w:val="20"/>
              </w:rPr>
            </w:r>
          </w:p>
        </w:tc>
        <w:tc>
          <w:tcPr>
            <w:tcW w:w="1637" w:type="dxa"/>
            <w:vMerge w:val="restart"/>
            <w:tcBorders>
              <w:top w:val="single" w:sz="4" w:space="0" w:color="000000"/>
              <w:left w:val="single" w:sz="4" w:space="0" w:color="000000"/>
              <w:right w:val="single" w:sz="4" w:space="0" w:color="000000"/>
            </w:tcBorders>
          </w:tcPr>
          <w:p>
            <w:pPr>
              <w:pStyle w:val="TableParagraph"/>
              <w:spacing w:line="285" w:lineRule="auto" w:before="1"/>
              <w:ind w:left="12" w:right="9"/>
              <w:jc w:val="center"/>
              <w:rPr>
                <w:rFonts w:ascii="宋体" w:hAnsi="宋体" w:cs="宋体" w:eastAsia="宋体" w:hint="default"/>
                <w:sz w:val="20"/>
                <w:szCs w:val="20"/>
              </w:rPr>
            </w:pPr>
            <w:r>
              <w:rPr>
                <w:rFonts w:ascii="宋体" w:hAnsi="宋体" w:cs="宋体" w:eastAsia="宋体" w:hint="default"/>
                <w:b/>
                <w:bCs/>
                <w:sz w:val="20"/>
                <w:szCs w:val="20"/>
              </w:rPr>
              <w:t>按新金融工具准则</w:t>
            </w:r>
            <w:r>
              <w:rPr>
                <w:rFonts w:ascii="宋体" w:hAnsi="宋体" w:cs="宋体" w:eastAsia="宋体" w:hint="default"/>
                <w:b/>
                <w:bCs/>
                <w:w w:val="99"/>
                <w:sz w:val="20"/>
                <w:szCs w:val="20"/>
              </w:rPr>
              <w:t> </w:t>
            </w:r>
            <w:r>
              <w:rPr>
                <w:rFonts w:ascii="宋体" w:hAnsi="宋体" w:cs="宋体" w:eastAsia="宋体" w:hint="default"/>
                <w:b/>
                <w:bCs/>
                <w:sz w:val="20"/>
                <w:szCs w:val="20"/>
              </w:rPr>
              <w:t>列示的账面价值</w:t>
            </w:r>
            <w:r>
              <w:rPr>
                <w:rFonts w:ascii="宋体" w:hAnsi="宋体" w:cs="宋体" w:eastAsia="宋体" w:hint="default"/>
                <w:b/>
                <w:bCs/>
                <w:w w:val="99"/>
                <w:sz w:val="20"/>
                <w:szCs w:val="20"/>
              </w:rPr>
              <w:t> </w:t>
            </w:r>
            <w:r>
              <w:rPr>
                <w:rFonts w:ascii="Times New Roman" w:hAnsi="Times New Roman" w:cs="Times New Roman" w:eastAsia="Times New Roman" w:hint="default"/>
                <w:b/>
                <w:bCs/>
                <w:sz w:val="20"/>
                <w:szCs w:val="20"/>
              </w:rPr>
              <w:t>2019</w:t>
            </w:r>
            <w:r>
              <w:rPr>
                <w:rFonts w:ascii="宋体" w:hAnsi="宋体" w:cs="宋体" w:eastAsia="宋体" w:hint="default"/>
                <w:b/>
                <w:bCs/>
                <w:sz w:val="20"/>
                <w:szCs w:val="20"/>
              </w:rPr>
              <w:t>年</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月</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日</w:t>
            </w:r>
            <w:r>
              <w:rPr>
                <w:rFonts w:ascii="宋体" w:hAnsi="宋体" w:cs="宋体" w:eastAsia="宋体" w:hint="default"/>
                <w:sz w:val="20"/>
                <w:szCs w:val="20"/>
              </w:rPr>
            </w:r>
          </w:p>
        </w:tc>
      </w:tr>
      <w:tr>
        <w:trPr>
          <w:trHeight w:val="967" w:hRule="exact"/>
        </w:trPr>
        <w:tc>
          <w:tcPr>
            <w:tcW w:w="1939" w:type="dxa"/>
            <w:vMerge/>
            <w:tcBorders>
              <w:left w:val="single" w:sz="4" w:space="0" w:color="000000"/>
              <w:bottom w:val="single" w:sz="4" w:space="0" w:color="000000"/>
              <w:right w:val="single" w:sz="4" w:space="0" w:color="000000"/>
            </w:tcBorders>
          </w:tcPr>
          <w:p>
            <w:pPr/>
          </w:p>
        </w:tc>
        <w:tc>
          <w:tcPr>
            <w:tcW w:w="1616" w:type="dxa"/>
            <w:vMerge/>
            <w:tcBorders>
              <w:left w:val="single" w:sz="4" w:space="0" w:color="000000"/>
              <w:bottom w:val="single" w:sz="4" w:space="0" w:color="000000"/>
              <w:right w:val="single" w:sz="4" w:space="0" w:color="000000"/>
            </w:tcBorders>
          </w:tcPr>
          <w:p>
            <w:pP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31" w:right="0"/>
              <w:jc w:val="left"/>
              <w:rPr>
                <w:rFonts w:ascii="宋体" w:hAnsi="宋体" w:cs="宋体" w:eastAsia="宋体" w:hint="default"/>
                <w:sz w:val="20"/>
                <w:szCs w:val="20"/>
              </w:rPr>
            </w:pPr>
            <w:r>
              <w:rPr>
                <w:rFonts w:ascii="宋体" w:hAnsi="宋体" w:cs="宋体" w:eastAsia="宋体" w:hint="default"/>
                <w:b/>
                <w:bCs/>
                <w:sz w:val="20"/>
                <w:szCs w:val="20"/>
              </w:rPr>
              <w:t>重分类（注</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w:t>
            </w:r>
            <w:r>
              <w:rPr>
                <w:rFonts w:ascii="宋体" w:hAnsi="宋体" w:cs="宋体" w:eastAsia="宋体" w:hint="default"/>
                <w:sz w:val="20"/>
                <w:szCs w:val="20"/>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4" w:right="3"/>
              <w:jc w:val="center"/>
              <w:rPr>
                <w:rFonts w:ascii="Times New Roman" w:hAnsi="Times New Roman" w:cs="Times New Roman" w:eastAsia="Times New Roman" w:hint="default"/>
                <w:sz w:val="20"/>
                <w:szCs w:val="20"/>
              </w:rPr>
            </w:pPr>
            <w:r>
              <w:rPr>
                <w:rFonts w:ascii="宋体" w:hAnsi="宋体" w:cs="宋体" w:eastAsia="宋体" w:hint="default"/>
                <w:b/>
                <w:bCs/>
                <w:spacing w:val="-10"/>
                <w:w w:val="95"/>
                <w:sz w:val="20"/>
                <w:szCs w:val="20"/>
              </w:rPr>
              <w:t>重新计量：预期</w:t>
            </w:r>
            <w:r>
              <w:rPr>
                <w:rFonts w:ascii="宋体" w:hAnsi="宋体" w:cs="宋体" w:eastAsia="宋体" w:hint="default"/>
                <w:b/>
                <w:bCs/>
                <w:spacing w:val="-38"/>
                <w:w w:val="95"/>
                <w:sz w:val="20"/>
                <w:szCs w:val="20"/>
              </w:rPr>
              <w:t> </w:t>
            </w:r>
            <w:r>
              <w:rPr>
                <w:rFonts w:ascii="宋体" w:hAnsi="宋体" w:cs="宋体" w:eastAsia="宋体" w:hint="default"/>
                <w:b/>
                <w:bCs/>
                <w:spacing w:val="-38"/>
                <w:w w:val="95"/>
                <w:sz w:val="20"/>
                <w:szCs w:val="20"/>
              </w:rPr>
            </w:r>
            <w:r>
              <w:rPr>
                <w:rFonts w:ascii="宋体" w:hAnsi="宋体" w:cs="宋体" w:eastAsia="宋体" w:hint="default"/>
                <w:b/>
                <w:bCs/>
                <w:sz w:val="20"/>
                <w:szCs w:val="20"/>
              </w:rPr>
              <w:t>信用损失准备</w:t>
            </w:r>
            <w:r>
              <w:rPr>
                <w:rFonts w:ascii="宋体" w:hAnsi="宋体" w:cs="宋体" w:eastAsia="宋体" w:hint="default"/>
                <w:b/>
                <w:bCs/>
                <w:w w:val="99"/>
                <w:sz w:val="20"/>
                <w:szCs w:val="20"/>
              </w:rPr>
              <w:t> </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注</w:t>
            </w:r>
            <w:r>
              <w:rPr>
                <w:rFonts w:ascii="Times New Roman" w:hAnsi="Times New Roman" w:cs="Times New Roman" w:eastAsia="Times New Roman" w:hint="default"/>
                <w:b/>
                <w:bCs/>
                <w:sz w:val="20"/>
                <w:szCs w:val="20"/>
              </w:rPr>
              <w:t>2)</w:t>
            </w:r>
            <w:r>
              <w:rPr>
                <w:rFonts w:ascii="Times New Roman" w:hAnsi="Times New Roman" w:cs="Times New Roman" w:eastAsia="Times New Roman" w:hint="default"/>
                <w:sz w:val="20"/>
                <w:szCs w:val="20"/>
              </w:rPr>
            </w:r>
          </w:p>
        </w:tc>
        <w:tc>
          <w:tcPr>
            <w:tcW w:w="1637" w:type="dxa"/>
            <w:vMerge/>
            <w:tcBorders>
              <w:left w:val="single" w:sz="4" w:space="0" w:color="000000"/>
              <w:bottom w:val="single" w:sz="4" w:space="0" w:color="000000"/>
              <w:right w:val="single" w:sz="4" w:space="0" w:color="000000"/>
            </w:tcBorders>
          </w:tcPr>
          <w:p>
            <w:pPr/>
          </w:p>
        </w:tc>
      </w:tr>
      <w:tr>
        <w:trPr>
          <w:trHeight w:val="341"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50" w:right="0"/>
              <w:jc w:val="left"/>
              <w:rPr>
                <w:rFonts w:ascii="Times New Roman" w:hAnsi="Times New Roman" w:cs="Times New Roman" w:eastAsia="Times New Roman" w:hint="default"/>
                <w:sz w:val="20"/>
                <w:szCs w:val="20"/>
              </w:rPr>
            </w:pPr>
            <w:r>
              <w:rPr>
                <w:rFonts w:ascii="Times New Roman"/>
                <w:sz w:val="20"/>
              </w:rPr>
              <w:t>361,431,985.65</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
              <w:jc w:val="right"/>
              <w:rPr>
                <w:rFonts w:ascii="Times New Roman" w:hAnsi="Times New Roman" w:cs="Times New Roman" w:eastAsia="Times New Roman" w:hint="default"/>
                <w:sz w:val="20"/>
                <w:szCs w:val="20"/>
              </w:rPr>
            </w:pPr>
            <w:r>
              <w:rPr>
                <w:rFonts w:ascii="Times New Roman"/>
                <w:w w:val="95"/>
                <w:sz w:val="20"/>
              </w:rPr>
              <w:t>-361,431,985.65</w:t>
            </w:r>
            <w:r>
              <w:rPr>
                <w:rFonts w:ascii="Times New Roman"/>
                <w:sz w:val="20"/>
              </w:rPr>
            </w:r>
          </w:p>
        </w:tc>
        <w:tc>
          <w:tcPr>
            <w:tcW w:w="1351"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3"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其他权益工具投资</w:t>
            </w:r>
          </w:p>
        </w:tc>
        <w:tc>
          <w:tcPr>
            <w:tcW w:w="1616" w:type="dxa"/>
            <w:tcBorders>
              <w:top w:val="single" w:sz="4" w:space="0" w:color="000000"/>
              <w:left w:val="single" w:sz="4" w:space="0" w:color="000000"/>
              <w:bottom w:val="single" w:sz="4" w:space="0" w:color="000000"/>
              <w:right w:val="single" w:sz="4" w:space="0" w:color="000000"/>
            </w:tcBorders>
          </w:tcPr>
          <w:p>
            <w:pP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w w:val="95"/>
                <w:sz w:val="20"/>
              </w:rPr>
              <w:t>335,073,434.15</w:t>
            </w:r>
            <w:r>
              <w:rPr>
                <w:rFonts w:ascii="Times New Roman"/>
                <w:sz w:val="20"/>
              </w:rPr>
            </w:r>
          </w:p>
        </w:tc>
        <w:tc>
          <w:tcPr>
            <w:tcW w:w="1351"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335,073,434.15</w:t>
            </w:r>
            <w:r>
              <w:rPr>
                <w:rFonts w:ascii="Times New Roman"/>
                <w:sz w:val="20"/>
              </w:rPr>
            </w:r>
          </w:p>
        </w:tc>
      </w:tr>
      <w:tr>
        <w:trPr>
          <w:trHeight w:val="343"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其他非流动金融资产</w:t>
            </w:r>
          </w:p>
        </w:tc>
        <w:tc>
          <w:tcPr>
            <w:tcW w:w="1616" w:type="dxa"/>
            <w:tcBorders>
              <w:top w:val="single" w:sz="4" w:space="0" w:color="000000"/>
              <w:left w:val="single" w:sz="4" w:space="0" w:color="000000"/>
              <w:bottom w:val="single" w:sz="4" w:space="0" w:color="000000"/>
              <w:right w:val="single" w:sz="4" w:space="0" w:color="000000"/>
            </w:tcBorders>
          </w:tcPr>
          <w:p>
            <w:pP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26,358,551.50</w:t>
            </w:r>
            <w:r>
              <w:rPr>
                <w:rFonts w:ascii="Times New Roman"/>
                <w:sz w:val="20"/>
              </w:rPr>
            </w:r>
          </w:p>
        </w:tc>
        <w:tc>
          <w:tcPr>
            <w:tcW w:w="1351"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26,358,551.50</w:t>
            </w:r>
            <w:r>
              <w:rPr>
                <w:rFonts w:ascii="Times New Roman"/>
                <w:sz w:val="20"/>
              </w:rPr>
            </w:r>
          </w:p>
        </w:tc>
      </w:tr>
    </w:tbl>
    <w:p>
      <w:pPr>
        <w:pStyle w:val="Heading3"/>
        <w:spacing w:line="338" w:lineRule="auto" w:before="39"/>
        <w:ind w:right="1131" w:firstLine="480"/>
        <w:jc w:val="both"/>
      </w:pPr>
      <w:r>
        <w:rPr/>
        <w:t>注</w:t>
      </w: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根据新金融工具准则的要求，自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日起，本公司可供出售金融资产人民币 </w:t>
      </w:r>
      <w:r>
        <w:rPr>
          <w:rFonts w:ascii="Times New Roman" w:hAnsi="Times New Roman" w:cs="Times New Roman" w:eastAsia="Times New Roman" w:hint="default"/>
          <w:spacing w:val="2"/>
        </w:rPr>
        <w:t>361,431,985.65</w:t>
      </w:r>
      <w:r>
        <w:rPr>
          <w:spacing w:val="2"/>
        </w:rPr>
        <w:t>元中</w:t>
      </w:r>
      <w:r>
        <w:rPr>
          <w:rFonts w:ascii="Times New Roman" w:hAnsi="Times New Roman" w:cs="Times New Roman" w:eastAsia="Times New Roman" w:hint="default"/>
          <w:spacing w:val="2"/>
        </w:rPr>
        <w:t>335,073,434.15</w:t>
      </w:r>
      <w:r>
        <w:rPr>
          <w:spacing w:val="2"/>
        </w:rPr>
        <w:t>元因指定为以公允价值计量且其变动计入其他综合收益的</w:t>
      </w:r>
      <w:r>
        <w:rPr>
          <w:spacing w:val="-99"/>
        </w:rPr>
        <w:t> </w:t>
      </w:r>
      <w:r>
        <w:rPr>
          <w:spacing w:val="-99"/>
        </w:rPr>
      </w:r>
      <w:r>
        <w:rPr/>
        <w:t>金融资产而重分类至其他权益工具投资；</w:t>
      </w:r>
      <w:r>
        <w:rPr>
          <w:rFonts w:ascii="Times New Roman" w:hAnsi="Times New Roman" w:cs="Times New Roman" w:eastAsia="Times New Roman" w:hint="default"/>
        </w:rPr>
        <w:t>26,358,551.50</w:t>
      </w:r>
      <w:r>
        <w:rPr/>
        <w:t>元因指定为以公允价值计量且其变动</w:t>
      </w:r>
      <w:r>
        <w:rPr>
          <w:spacing w:val="-35"/>
        </w:rPr>
        <w:t> </w:t>
      </w:r>
      <w:r>
        <w:rPr>
          <w:spacing w:val="-35"/>
        </w:rPr>
      </w:r>
      <w:r>
        <w:rPr/>
        <w:t>计入当期损益的金融资产而重分类至其他非流动金融资产。</w:t>
      </w:r>
    </w:p>
    <w:p>
      <w:pPr>
        <w:pStyle w:val="Heading3"/>
        <w:spacing w:line="338" w:lineRule="auto" w:before="55"/>
        <w:ind w:right="1131" w:firstLine="480"/>
        <w:jc w:val="both"/>
      </w:pPr>
      <w:r>
        <w:rPr/>
        <w:t>注</w:t>
      </w: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根据新金融工具准则的要求，自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日起，本公司金融资产减值计量由「已 发生损失模型」变更为「预期信用损失模型」。</w:t>
      </w:r>
    </w:p>
    <w:p>
      <w:pPr>
        <w:pStyle w:val="Heading3"/>
        <w:spacing w:line="240" w:lineRule="auto" w:before="55"/>
        <w:ind w:left="633" w:right="996"/>
        <w:jc w:val="left"/>
      </w:pPr>
      <w:r>
        <w:rPr/>
        <w:t>母公司资产负债表</w:t>
      </w:r>
    </w:p>
    <w:p>
      <w:pPr>
        <w:spacing w:line="240" w:lineRule="auto" w:before="10"/>
        <w:rPr>
          <w:rFonts w:ascii="宋体" w:hAnsi="宋体" w:cs="宋体" w:eastAsia="宋体" w:hint="default"/>
          <w:sz w:val="8"/>
          <w:szCs w:val="8"/>
        </w:rPr>
      </w:pPr>
    </w:p>
    <w:tbl>
      <w:tblPr>
        <w:tblW w:w="0" w:type="auto"/>
        <w:jc w:val="left"/>
        <w:tblInd w:w="707" w:type="dxa"/>
        <w:tblLayout w:type="fixed"/>
        <w:tblCellMar>
          <w:top w:w="0" w:type="dxa"/>
          <w:left w:w="0" w:type="dxa"/>
          <w:bottom w:w="0" w:type="dxa"/>
          <w:right w:w="0" w:type="dxa"/>
        </w:tblCellMar>
        <w:tblLook w:val="01E0"/>
      </w:tblPr>
      <w:tblGrid>
        <w:gridCol w:w="1958"/>
        <w:gridCol w:w="1659"/>
        <w:gridCol w:w="1752"/>
        <w:gridCol w:w="1495"/>
        <w:gridCol w:w="1657"/>
      </w:tblGrid>
      <w:tr>
        <w:trPr>
          <w:trHeight w:val="341" w:hRule="exact"/>
        </w:trPr>
        <w:tc>
          <w:tcPr>
            <w:tcW w:w="1958" w:type="dxa"/>
            <w:vMerge w:val="restart"/>
            <w:tcBorders>
              <w:top w:val="single" w:sz="4" w:space="0" w:color="000000"/>
              <w:left w:val="single" w:sz="4" w:space="0" w:color="000000"/>
              <w:right w:val="single" w:sz="4" w:space="0" w:color="000000"/>
            </w:tcBorders>
          </w:tcPr>
          <w:p>
            <w:pPr>
              <w:pStyle w:val="TableParagraph"/>
              <w:spacing w:line="240" w:lineRule="auto" w:before="1"/>
              <w:ind w:left="571" w:right="0"/>
              <w:jc w:val="left"/>
              <w:rPr>
                <w:rFonts w:ascii="宋体" w:hAnsi="宋体" w:cs="宋体" w:eastAsia="宋体" w:hint="default"/>
                <w:sz w:val="20"/>
                <w:szCs w:val="20"/>
              </w:rPr>
            </w:pPr>
            <w:r>
              <w:rPr>
                <w:rFonts w:ascii="宋体" w:hAnsi="宋体" w:cs="宋体" w:eastAsia="宋体" w:hint="default"/>
                <w:b/>
                <w:bCs/>
                <w:sz w:val="20"/>
                <w:szCs w:val="20"/>
              </w:rPr>
              <w:t>报表项目</w:t>
            </w:r>
            <w:r>
              <w:rPr>
                <w:rFonts w:ascii="宋体" w:hAnsi="宋体" w:cs="宋体" w:eastAsia="宋体" w:hint="default"/>
                <w:sz w:val="20"/>
                <w:szCs w:val="20"/>
              </w:rPr>
            </w:r>
          </w:p>
        </w:tc>
        <w:tc>
          <w:tcPr>
            <w:tcW w:w="1659" w:type="dxa"/>
            <w:vMerge w:val="restart"/>
            <w:tcBorders>
              <w:top w:val="single" w:sz="4" w:space="0" w:color="000000"/>
              <w:left w:val="single" w:sz="4" w:space="0" w:color="000000"/>
              <w:right w:val="single" w:sz="4" w:space="0" w:color="000000"/>
            </w:tcBorders>
          </w:tcPr>
          <w:p>
            <w:pPr>
              <w:pStyle w:val="TableParagraph"/>
              <w:spacing w:line="285" w:lineRule="auto" w:before="1"/>
              <w:ind w:left="120" w:right="21" w:hanging="99"/>
              <w:jc w:val="left"/>
              <w:rPr>
                <w:rFonts w:ascii="宋体" w:hAnsi="宋体" w:cs="宋体" w:eastAsia="宋体" w:hint="default"/>
                <w:sz w:val="20"/>
                <w:szCs w:val="20"/>
              </w:rPr>
            </w:pPr>
            <w:r>
              <w:rPr>
                <w:rFonts w:ascii="宋体" w:hAnsi="宋体" w:cs="宋体" w:eastAsia="宋体" w:hint="default"/>
                <w:b/>
                <w:bCs/>
                <w:sz w:val="20"/>
                <w:szCs w:val="20"/>
              </w:rPr>
              <w:t>按原金融工具准则</w:t>
            </w:r>
            <w:r>
              <w:rPr>
                <w:rFonts w:ascii="宋体" w:hAnsi="宋体" w:cs="宋体" w:eastAsia="宋体" w:hint="default"/>
                <w:b/>
                <w:bCs/>
                <w:w w:val="99"/>
                <w:sz w:val="20"/>
                <w:szCs w:val="20"/>
              </w:rPr>
              <w:t> </w:t>
            </w:r>
            <w:r>
              <w:rPr>
                <w:rFonts w:ascii="宋体" w:hAnsi="宋体" w:cs="宋体" w:eastAsia="宋体" w:hint="default"/>
                <w:b/>
                <w:bCs/>
                <w:sz w:val="20"/>
                <w:szCs w:val="20"/>
              </w:rPr>
              <w:t>列示的账面价值</w:t>
            </w:r>
            <w:r>
              <w:rPr>
                <w:rFonts w:ascii="宋体" w:hAnsi="宋体" w:cs="宋体" w:eastAsia="宋体" w:hint="default"/>
                <w:b/>
                <w:bCs/>
                <w:w w:val="99"/>
                <w:sz w:val="20"/>
                <w:szCs w:val="20"/>
              </w:rPr>
              <w:t> </w:t>
            </w:r>
            <w:r>
              <w:rPr>
                <w:rFonts w:ascii="Times New Roman" w:hAnsi="Times New Roman" w:cs="Times New Roman" w:eastAsia="Times New Roman" w:hint="default"/>
                <w:b/>
                <w:bCs/>
                <w:sz w:val="20"/>
                <w:szCs w:val="20"/>
              </w:rPr>
              <w:t>2018</w:t>
            </w:r>
            <w:r>
              <w:rPr>
                <w:rFonts w:ascii="宋体" w:hAnsi="宋体" w:cs="宋体" w:eastAsia="宋体" w:hint="default"/>
                <w:b/>
                <w:bCs/>
                <w:sz w:val="20"/>
                <w:szCs w:val="20"/>
              </w:rPr>
              <w:t>年</w:t>
            </w:r>
            <w:r>
              <w:rPr>
                <w:rFonts w:ascii="Times New Roman" w:hAnsi="Times New Roman" w:cs="Times New Roman" w:eastAsia="Times New Roman" w:hint="default"/>
                <w:b/>
                <w:bCs/>
                <w:sz w:val="20"/>
                <w:szCs w:val="20"/>
              </w:rPr>
              <w:t>12</w:t>
            </w:r>
            <w:r>
              <w:rPr>
                <w:rFonts w:ascii="宋体" w:hAnsi="宋体" w:cs="宋体" w:eastAsia="宋体" w:hint="default"/>
                <w:b/>
                <w:bCs/>
                <w:sz w:val="20"/>
                <w:szCs w:val="20"/>
              </w:rPr>
              <w:t>月</w:t>
            </w:r>
            <w:r>
              <w:rPr>
                <w:rFonts w:ascii="Times New Roman" w:hAnsi="Times New Roman" w:cs="Times New Roman" w:eastAsia="Times New Roman" w:hint="default"/>
                <w:b/>
                <w:bCs/>
                <w:sz w:val="20"/>
                <w:szCs w:val="20"/>
              </w:rPr>
              <w:t>31</w:t>
            </w:r>
            <w:r>
              <w:rPr>
                <w:rFonts w:ascii="宋体" w:hAnsi="宋体" w:cs="宋体" w:eastAsia="宋体" w:hint="default"/>
                <w:b/>
                <w:bCs/>
                <w:sz w:val="20"/>
                <w:szCs w:val="20"/>
              </w:rPr>
              <w:t>日</w:t>
            </w:r>
            <w:r>
              <w:rPr>
                <w:rFonts w:ascii="宋体" w:hAnsi="宋体" w:cs="宋体" w:eastAsia="宋体" w:hint="default"/>
                <w:sz w:val="20"/>
                <w:szCs w:val="20"/>
              </w:rPr>
            </w:r>
          </w:p>
        </w:tc>
        <w:tc>
          <w:tcPr>
            <w:tcW w:w="32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15" w:right="0"/>
              <w:jc w:val="left"/>
              <w:rPr>
                <w:rFonts w:ascii="宋体" w:hAnsi="宋体" w:cs="宋体" w:eastAsia="宋体" w:hint="default"/>
                <w:sz w:val="20"/>
                <w:szCs w:val="20"/>
              </w:rPr>
            </w:pPr>
            <w:r>
              <w:rPr>
                <w:rFonts w:ascii="宋体" w:hAnsi="宋体" w:cs="宋体" w:eastAsia="宋体" w:hint="default"/>
                <w:b/>
                <w:bCs/>
                <w:sz w:val="20"/>
                <w:szCs w:val="20"/>
              </w:rPr>
              <w:t>施行新金融工具准则</w:t>
            </w:r>
            <w:r>
              <w:rPr>
                <w:rFonts w:ascii="宋体" w:hAnsi="宋体" w:cs="宋体" w:eastAsia="宋体" w:hint="default"/>
                <w:sz w:val="20"/>
                <w:szCs w:val="20"/>
              </w:rPr>
            </w:r>
          </w:p>
        </w:tc>
        <w:tc>
          <w:tcPr>
            <w:tcW w:w="1657" w:type="dxa"/>
            <w:vMerge w:val="restart"/>
            <w:tcBorders>
              <w:top w:val="single" w:sz="4" w:space="0" w:color="000000"/>
              <w:left w:val="single" w:sz="4" w:space="0" w:color="000000"/>
              <w:right w:val="single" w:sz="4" w:space="0" w:color="000000"/>
            </w:tcBorders>
          </w:tcPr>
          <w:p>
            <w:pPr>
              <w:pStyle w:val="TableParagraph"/>
              <w:spacing w:line="285" w:lineRule="auto" w:before="1"/>
              <w:ind w:left="21" w:right="18"/>
              <w:jc w:val="center"/>
              <w:rPr>
                <w:rFonts w:ascii="宋体" w:hAnsi="宋体" w:cs="宋体" w:eastAsia="宋体" w:hint="default"/>
                <w:sz w:val="20"/>
                <w:szCs w:val="20"/>
              </w:rPr>
            </w:pPr>
            <w:r>
              <w:rPr>
                <w:rFonts w:ascii="宋体" w:hAnsi="宋体" w:cs="宋体" w:eastAsia="宋体" w:hint="default"/>
                <w:b/>
                <w:bCs/>
                <w:sz w:val="20"/>
                <w:szCs w:val="20"/>
              </w:rPr>
              <w:t>按新金融工具准则</w:t>
            </w:r>
            <w:r>
              <w:rPr>
                <w:rFonts w:ascii="宋体" w:hAnsi="宋体" w:cs="宋体" w:eastAsia="宋体" w:hint="default"/>
                <w:b/>
                <w:bCs/>
                <w:w w:val="99"/>
                <w:sz w:val="20"/>
                <w:szCs w:val="20"/>
              </w:rPr>
              <w:t> </w:t>
            </w:r>
            <w:r>
              <w:rPr>
                <w:rFonts w:ascii="宋体" w:hAnsi="宋体" w:cs="宋体" w:eastAsia="宋体" w:hint="default"/>
                <w:b/>
                <w:bCs/>
                <w:sz w:val="20"/>
                <w:szCs w:val="20"/>
              </w:rPr>
              <w:t>列示的账面价值</w:t>
            </w:r>
            <w:r>
              <w:rPr>
                <w:rFonts w:ascii="宋体" w:hAnsi="宋体" w:cs="宋体" w:eastAsia="宋体" w:hint="default"/>
                <w:b/>
                <w:bCs/>
                <w:w w:val="99"/>
                <w:sz w:val="20"/>
                <w:szCs w:val="20"/>
              </w:rPr>
              <w:t> </w:t>
            </w:r>
            <w:r>
              <w:rPr>
                <w:rFonts w:ascii="Times New Roman" w:hAnsi="Times New Roman" w:cs="Times New Roman" w:eastAsia="Times New Roman" w:hint="default"/>
                <w:b/>
                <w:bCs/>
                <w:sz w:val="20"/>
                <w:szCs w:val="20"/>
              </w:rPr>
              <w:t>2019</w:t>
            </w:r>
            <w:r>
              <w:rPr>
                <w:rFonts w:ascii="宋体" w:hAnsi="宋体" w:cs="宋体" w:eastAsia="宋体" w:hint="default"/>
                <w:b/>
                <w:bCs/>
                <w:sz w:val="20"/>
                <w:szCs w:val="20"/>
              </w:rPr>
              <w:t>年</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月</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日</w:t>
            </w:r>
            <w:r>
              <w:rPr>
                <w:rFonts w:ascii="宋体" w:hAnsi="宋体" w:cs="宋体" w:eastAsia="宋体" w:hint="default"/>
                <w:sz w:val="20"/>
                <w:szCs w:val="20"/>
              </w:rPr>
            </w:r>
          </w:p>
        </w:tc>
      </w:tr>
      <w:tr>
        <w:trPr>
          <w:trHeight w:val="967" w:hRule="exact"/>
        </w:trPr>
        <w:tc>
          <w:tcPr>
            <w:tcW w:w="1958" w:type="dxa"/>
            <w:vMerge/>
            <w:tcBorders>
              <w:left w:val="single" w:sz="4" w:space="0" w:color="000000"/>
              <w:bottom w:val="single" w:sz="4" w:space="0" w:color="000000"/>
              <w:right w:val="single" w:sz="4" w:space="0" w:color="000000"/>
            </w:tcBorders>
          </w:tcPr>
          <w:p>
            <w:pPr/>
          </w:p>
        </w:tc>
        <w:tc>
          <w:tcPr>
            <w:tcW w:w="1659" w:type="dxa"/>
            <w:vMerge/>
            <w:tcBorders>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87" w:right="0"/>
              <w:jc w:val="left"/>
              <w:rPr>
                <w:rFonts w:ascii="宋体" w:hAnsi="宋体" w:cs="宋体" w:eastAsia="宋体" w:hint="default"/>
                <w:sz w:val="20"/>
                <w:szCs w:val="20"/>
              </w:rPr>
            </w:pPr>
            <w:r>
              <w:rPr>
                <w:rFonts w:ascii="宋体" w:hAnsi="宋体" w:cs="宋体" w:eastAsia="宋体" w:hint="default"/>
                <w:b/>
                <w:bCs/>
                <w:sz w:val="20"/>
                <w:szCs w:val="20"/>
              </w:rPr>
              <w:t>重分类</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（注</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w:t>
            </w:r>
            <w:r>
              <w:rPr>
                <w:rFonts w:ascii="宋体" w:hAnsi="宋体" w:cs="宋体" w:eastAsia="宋体" w:hint="default"/>
                <w:sz w:val="20"/>
                <w:szCs w:val="20"/>
              </w:rPr>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
              <w:ind w:left="7" w:right="5" w:hanging="4"/>
              <w:jc w:val="center"/>
              <w:rPr>
                <w:rFonts w:ascii="Times New Roman" w:hAnsi="Times New Roman" w:cs="Times New Roman" w:eastAsia="Times New Roman" w:hint="default"/>
                <w:sz w:val="20"/>
                <w:szCs w:val="20"/>
              </w:rPr>
            </w:pPr>
            <w:r>
              <w:rPr>
                <w:rFonts w:ascii="宋体" w:hAnsi="宋体" w:cs="宋体" w:eastAsia="宋体" w:hint="default"/>
                <w:b/>
                <w:bCs/>
                <w:sz w:val="20"/>
                <w:szCs w:val="20"/>
              </w:rPr>
              <w:t>重新计量：预期</w:t>
            </w:r>
            <w:r>
              <w:rPr>
                <w:rFonts w:ascii="宋体" w:hAnsi="宋体" w:cs="宋体" w:eastAsia="宋体" w:hint="default"/>
                <w:b/>
                <w:bCs/>
                <w:w w:val="99"/>
                <w:sz w:val="20"/>
                <w:szCs w:val="20"/>
              </w:rPr>
              <w:t> </w:t>
            </w:r>
            <w:r>
              <w:rPr>
                <w:rFonts w:ascii="宋体" w:hAnsi="宋体" w:cs="宋体" w:eastAsia="宋体" w:hint="default"/>
                <w:b/>
                <w:bCs/>
                <w:sz w:val="20"/>
                <w:szCs w:val="20"/>
              </w:rPr>
              <w:t>信用损失凖备</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注</w:t>
            </w:r>
            <w:r>
              <w:rPr>
                <w:rFonts w:ascii="宋体" w:hAnsi="宋体" w:cs="宋体" w:eastAsia="宋体" w:hint="default"/>
                <w:b/>
                <w:bCs/>
                <w:w w:val="99"/>
                <w:sz w:val="20"/>
                <w:szCs w:val="20"/>
              </w:rPr>
              <w:t> </w:t>
            </w:r>
            <w:r>
              <w:rPr>
                <w:rFonts w:ascii="Times New Roman" w:hAnsi="Times New Roman" w:cs="Times New Roman" w:eastAsia="Times New Roman" w:hint="default"/>
                <w:b/>
                <w:bCs/>
                <w:sz w:val="20"/>
                <w:szCs w:val="20"/>
              </w:rPr>
              <w:t>2)</w:t>
            </w:r>
            <w:r>
              <w:rPr>
                <w:rFonts w:ascii="Times New Roman" w:hAnsi="Times New Roman" w:cs="Times New Roman" w:eastAsia="Times New Roman" w:hint="default"/>
                <w:sz w:val="20"/>
                <w:szCs w:val="20"/>
              </w:rPr>
            </w:r>
          </w:p>
        </w:tc>
        <w:tc>
          <w:tcPr>
            <w:tcW w:w="1657" w:type="dxa"/>
            <w:vMerge/>
            <w:tcBorders>
              <w:left w:val="single" w:sz="4" w:space="0" w:color="000000"/>
              <w:bottom w:val="single" w:sz="4" w:space="0" w:color="000000"/>
              <w:right w:val="single" w:sz="4" w:space="0" w:color="000000"/>
            </w:tcBorders>
          </w:tcPr>
          <w:p>
            <w:pPr/>
          </w:p>
        </w:tc>
      </w:tr>
      <w:tr>
        <w:trPr>
          <w:trHeight w:val="341"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94" w:right="0"/>
              <w:jc w:val="left"/>
              <w:rPr>
                <w:rFonts w:ascii="Times New Roman" w:hAnsi="Times New Roman" w:cs="Times New Roman" w:eastAsia="Times New Roman" w:hint="default"/>
                <w:sz w:val="20"/>
                <w:szCs w:val="20"/>
              </w:rPr>
            </w:pPr>
            <w:r>
              <w:rPr>
                <w:rFonts w:ascii="Times New Roman"/>
                <w:sz w:val="20"/>
              </w:rPr>
              <w:t>249,473,546.70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
              <w:jc w:val="right"/>
              <w:rPr>
                <w:rFonts w:ascii="Times New Roman" w:hAnsi="Times New Roman" w:cs="Times New Roman" w:eastAsia="Times New Roman" w:hint="default"/>
                <w:sz w:val="20"/>
                <w:szCs w:val="20"/>
              </w:rPr>
            </w:pPr>
            <w:r>
              <w:rPr>
                <w:rFonts w:ascii="Times New Roman"/>
                <w:w w:val="95"/>
                <w:sz w:val="20"/>
              </w:rPr>
              <w:t>-249,473,546.70</w:t>
            </w:r>
            <w:r>
              <w:rPr>
                <w:rFonts w:ascii="Times New Roman"/>
                <w:sz w:val="20"/>
              </w:rPr>
            </w:r>
          </w:p>
        </w:tc>
        <w:tc>
          <w:tcPr>
            <w:tcW w:w="1495"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 w:right="0"/>
              <w:jc w:val="left"/>
              <w:rPr>
                <w:rFonts w:ascii="宋体" w:hAnsi="宋体" w:cs="宋体" w:eastAsia="宋体" w:hint="default"/>
                <w:sz w:val="20"/>
                <w:szCs w:val="20"/>
              </w:rPr>
            </w:pPr>
            <w:r>
              <w:rPr>
                <w:rFonts w:ascii="宋体" w:hAnsi="宋体" w:cs="宋体" w:eastAsia="宋体" w:hint="default"/>
                <w:sz w:val="20"/>
                <w:szCs w:val="20"/>
              </w:rPr>
              <w:t>其他权益投资</w:t>
            </w:r>
          </w:p>
        </w:tc>
        <w:tc>
          <w:tcPr>
            <w:tcW w:w="1659"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right"/>
              <w:rPr>
                <w:rFonts w:ascii="Times New Roman" w:hAnsi="Times New Roman" w:cs="Times New Roman" w:eastAsia="Times New Roman" w:hint="default"/>
                <w:sz w:val="20"/>
                <w:szCs w:val="20"/>
              </w:rPr>
            </w:pPr>
            <w:r>
              <w:rPr>
                <w:rFonts w:ascii="Times New Roman"/>
                <w:w w:val="95"/>
                <w:sz w:val="20"/>
              </w:rPr>
              <w:t>249,473,546.70</w:t>
            </w:r>
            <w:r>
              <w:rPr>
                <w:rFonts w:ascii="Times New Roman"/>
                <w:sz w:val="20"/>
              </w:rPr>
            </w:r>
          </w:p>
        </w:tc>
        <w:tc>
          <w:tcPr>
            <w:tcW w:w="1495"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w w:val="95"/>
                <w:sz w:val="20"/>
              </w:rPr>
              <w:t>249,473,546.70</w:t>
            </w:r>
            <w:r>
              <w:rPr>
                <w:rFonts w:ascii="Times New Roman"/>
                <w:sz w:val="20"/>
              </w:rPr>
            </w:r>
          </w:p>
        </w:tc>
      </w:tr>
    </w:tbl>
    <w:p>
      <w:pPr>
        <w:pStyle w:val="Heading3"/>
        <w:spacing w:line="338" w:lineRule="auto" w:before="39"/>
        <w:ind w:right="1131" w:firstLine="480"/>
        <w:jc w:val="both"/>
      </w:pPr>
      <w:r>
        <w:rPr/>
        <w:t>注</w:t>
      </w: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根据新金融工具准则的要求，自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日起，母公司可供出售金融资产人民币 </w:t>
      </w:r>
      <w:r>
        <w:rPr>
          <w:rFonts w:ascii="Times New Roman" w:hAnsi="Times New Roman" w:cs="Times New Roman" w:eastAsia="Times New Roman" w:hint="default"/>
          <w:spacing w:val="3"/>
        </w:rPr>
        <w:t>249,473,546.70</w:t>
      </w:r>
      <w:r>
        <w:rPr>
          <w:spacing w:val="3"/>
        </w:rPr>
        <w:t>元因指定为以公允价值计量且其变动计入其他综合收益的金融资产而重分类</w:t>
      </w:r>
      <w:r>
        <w:rPr>
          <w:spacing w:val="-77"/>
        </w:rPr>
        <w:t> </w:t>
      </w:r>
      <w:r>
        <w:rPr>
          <w:spacing w:val="-77"/>
        </w:rPr>
      </w:r>
      <w:r>
        <w:rPr/>
        <w:t>至其他权益工具投资。</w:t>
      </w:r>
    </w:p>
    <w:p>
      <w:pPr>
        <w:pStyle w:val="Heading3"/>
        <w:spacing w:line="338" w:lineRule="auto" w:before="55"/>
        <w:ind w:right="1131" w:firstLine="480"/>
        <w:jc w:val="both"/>
      </w:pPr>
      <w:r>
        <w:rPr/>
        <w:t>注</w:t>
      </w: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根据新金融工具准则的要求，自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日起，母公司金融资产减值计量由「已 发生损失模型」变更为「预期信用损失模型」。</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1"/>
          <w:szCs w:val="21"/>
        </w:rPr>
      </w:pPr>
    </w:p>
    <w:p>
      <w:pPr>
        <w:pStyle w:val="Heading2"/>
        <w:spacing w:line="240" w:lineRule="auto"/>
        <w:ind w:right="996"/>
        <w:jc w:val="left"/>
        <w:rPr>
          <w:b w:val="0"/>
          <w:bCs w:val="0"/>
        </w:rPr>
      </w:pPr>
      <w:r>
        <w:rPr/>
        <w:t>七、与上年度财务报告相比，合并报表范围发生变化的情况说明</w:t>
      </w:r>
      <w:r>
        <w:rPr>
          <w:b w:val="0"/>
          <w:bCs w:val="0"/>
        </w:rPr>
      </w:r>
    </w:p>
    <w:p>
      <w:pPr>
        <w:spacing w:line="240" w:lineRule="auto" w:before="9"/>
        <w:rPr>
          <w:rFonts w:ascii="宋体" w:hAnsi="宋体" w:cs="宋体" w:eastAsia="宋体" w:hint="default"/>
          <w:b/>
          <w:bCs/>
          <w:sz w:val="28"/>
          <w:szCs w:val="28"/>
        </w:rPr>
      </w:pPr>
    </w:p>
    <w:p>
      <w:pPr>
        <w:pStyle w:val="Heading3"/>
        <w:spacing w:line="240" w:lineRule="auto" w:before="0"/>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pStyle w:val="Heading3"/>
        <w:spacing w:line="240" w:lineRule="auto" w:before="135"/>
        <w:ind w:right="996"/>
        <w:jc w:val="left"/>
      </w:pPr>
      <w:r>
        <w:rPr/>
        <w:t>与上年相比，因非同一控制下企业合并增加深圳娱游 </w:t>
      </w:r>
      <w:r>
        <w:rPr>
          <w:rFonts w:ascii="Times New Roman" w:hAnsi="Times New Roman" w:cs="Times New Roman" w:eastAsia="Times New Roman" w:hint="default"/>
        </w:rPr>
        <w:t>1</w:t>
      </w:r>
      <w:r>
        <w:rPr>
          <w:rFonts w:ascii="Times New Roman" w:hAnsi="Times New Roman" w:cs="Times New Roman" w:eastAsia="Times New Roman" w:hint="default"/>
          <w:spacing w:val="-21"/>
        </w:rPr>
        <w:t> </w:t>
      </w:r>
      <w:r>
        <w:rPr/>
        <w:t>家子公司，新设增加乐山宝腾、山东</w:t>
      </w:r>
    </w:p>
    <w:p>
      <w:pPr>
        <w:pStyle w:val="Heading3"/>
        <w:spacing w:line="240" w:lineRule="auto" w:before="135"/>
        <w:ind w:right="996"/>
        <w:jc w:val="left"/>
        <w:rPr>
          <w:rFonts w:ascii="Times New Roman" w:hAnsi="Times New Roman" w:cs="Times New Roman" w:eastAsia="Times New Roman" w:hint="default"/>
        </w:rPr>
      </w:pPr>
      <w:r>
        <w:rPr/>
        <w:t>科讯达恒、合肥宝腾、深圳利得链 </w:t>
      </w:r>
      <w:r>
        <w:rPr>
          <w:rFonts w:ascii="Times New Roman" w:hAnsi="Times New Roman" w:cs="Times New Roman" w:eastAsia="Times New Roman" w:hint="default"/>
        </w:rPr>
        <w:t>4  </w:t>
      </w:r>
      <w:r>
        <w:rPr/>
        <w:t>家子公司，因注销减少杭州九锡、霍尔果斯中青聚宝</w:t>
      </w:r>
      <w:r>
        <w:rPr>
          <w:spacing w:val="-82"/>
        </w:rPr>
        <w:t> </w:t>
      </w:r>
      <w:r>
        <w:rPr>
          <w:rFonts w:ascii="Times New Roman" w:hAnsi="Times New Roman" w:cs="Times New Roman" w:eastAsia="Times New Roman" w:hint="default"/>
        </w:rPr>
        <w:t>2</w:t>
      </w:r>
    </w:p>
    <w:p>
      <w:pPr>
        <w:pStyle w:val="Heading3"/>
        <w:spacing w:line="240" w:lineRule="auto" w:before="135"/>
        <w:ind w:right="996"/>
        <w:jc w:val="left"/>
      </w:pPr>
      <w:r>
        <w:rPr/>
        <w:t>家子公司。</w:t>
      </w:r>
    </w:p>
    <w:p>
      <w:pPr>
        <w:spacing w:after="0" w:line="2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spacing w:line="528" w:lineRule="auto" w:before="26"/>
        <w:ind w:left="152" w:right="7140" w:firstLine="0"/>
        <w:jc w:val="left"/>
        <w:rPr>
          <w:rFonts w:ascii="宋体" w:hAnsi="宋体" w:cs="宋体" w:eastAsia="宋体" w:hint="default"/>
          <w:sz w:val="24"/>
          <w:szCs w:val="24"/>
        </w:rPr>
      </w:pPr>
      <w:r>
        <w:rPr/>
        <w:pict>
          <v:shape style="position:absolute;margin-left:56.459999pt;margin-top:57.335613pt;width:479.2pt;height:100.95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90"/>
                    <w:gridCol w:w="4779"/>
                  </w:tblGrid>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信永中和会计师事务所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郭晋龙、邱乐群</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r>
                </w:tbl>
                <w:p>
                  <w:pPr/>
                </w:p>
              </w:txbxContent>
            </v:textbox>
            <w10:wrap type="none"/>
          </v:shape>
        </w:pict>
      </w:r>
      <w:r>
        <w:rPr>
          <w:rFonts w:ascii="宋体" w:hAnsi="宋体" w:cs="宋体" w:eastAsia="宋体" w:hint="default"/>
          <w:b/>
          <w:bCs/>
          <w:sz w:val="24"/>
          <w:szCs w:val="24"/>
        </w:rPr>
        <w:t>八、聘任、解聘会计师事务所情况</w:t>
      </w:r>
      <w:r>
        <w:rPr>
          <w:rFonts w:ascii="宋体" w:hAnsi="宋体" w:cs="宋体" w:eastAsia="宋体" w:hint="default"/>
          <w:b/>
          <w:bCs/>
          <w:w w:val="99"/>
          <w:sz w:val="24"/>
          <w:szCs w:val="24"/>
        </w:rPr>
        <w:t> </w:t>
      </w:r>
      <w:r>
        <w:rPr>
          <w:rFonts w:ascii="宋体" w:hAnsi="宋体" w:cs="宋体" w:eastAsia="宋体" w:hint="default"/>
          <w:sz w:val="24"/>
          <w:szCs w:val="24"/>
        </w:rPr>
        <w:t>现聘任的会计事务所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2"/>
          <w:szCs w:val="22"/>
        </w:rPr>
      </w:pPr>
    </w:p>
    <w:p>
      <w:pPr>
        <w:pStyle w:val="Heading3"/>
        <w:spacing w:line="240" w:lineRule="auto" w:before="26"/>
        <w:ind w:right="996"/>
        <w:jc w:val="left"/>
      </w:pPr>
      <w:r>
        <w:rPr/>
        <w:t>是否改聘会计师事务所</w:t>
      </w:r>
    </w:p>
    <w:p>
      <w:pPr>
        <w:pStyle w:val="Heading3"/>
        <w:spacing w:line="338" w:lineRule="auto" w:before="154"/>
        <w:ind w:right="47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否 聘请内部控制审计会计师事务所、财务顾问或保荐人情况</w:t>
      </w:r>
    </w:p>
    <w:p>
      <w:pPr>
        <w:spacing w:line="499" w:lineRule="auto" w:before="55"/>
        <w:ind w:left="152" w:right="5453"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九、年度报告披露后面临暂停上市和终止上市情况</w:t>
      </w:r>
      <w:r>
        <w:rPr>
          <w:rFonts w:ascii="宋体" w:hAnsi="宋体" w:cs="宋体" w:eastAsia="宋体" w:hint="default"/>
          <w:sz w:val="24"/>
          <w:szCs w:val="24"/>
        </w:rPr>
      </w:r>
    </w:p>
    <w:p>
      <w:pPr>
        <w:spacing w:line="499" w:lineRule="auto" w:before="118"/>
        <w:ind w:left="152" w:right="8345"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十、破产重整相关事项</w:t>
      </w:r>
      <w:r>
        <w:rPr>
          <w:rFonts w:ascii="宋体" w:hAnsi="宋体" w:cs="宋体" w:eastAsia="宋体" w:hint="default"/>
          <w:sz w:val="24"/>
          <w:szCs w:val="24"/>
        </w:rPr>
      </w:r>
    </w:p>
    <w:p>
      <w:pPr>
        <w:pStyle w:val="Heading3"/>
        <w:spacing w:line="338" w:lineRule="auto" w:before="115"/>
        <w:ind w:right="6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公司报告期未发生破产重整相关事项。</w:t>
      </w:r>
    </w:p>
    <w:p>
      <w:pPr>
        <w:spacing w:line="240" w:lineRule="auto" w:before="4"/>
        <w:rPr>
          <w:rFonts w:ascii="宋体" w:hAnsi="宋体" w:cs="宋体" w:eastAsia="宋体" w:hint="default"/>
          <w:sz w:val="21"/>
          <w:szCs w:val="21"/>
        </w:rPr>
      </w:pPr>
    </w:p>
    <w:p>
      <w:pPr>
        <w:pStyle w:val="Heading2"/>
        <w:spacing w:line="240" w:lineRule="auto"/>
        <w:ind w:right="996"/>
        <w:jc w:val="left"/>
        <w:rPr>
          <w:b w:val="0"/>
          <w:bCs w:val="0"/>
        </w:rPr>
      </w:pPr>
      <w:r>
        <w:rPr/>
        <w:t>十一、重大诉讼、仲裁事项</w:t>
      </w:r>
      <w:r>
        <w:rPr>
          <w:b w:val="0"/>
          <w:bCs w:val="0"/>
        </w:rPr>
      </w:r>
    </w:p>
    <w:p>
      <w:pPr>
        <w:spacing w:line="240" w:lineRule="auto" w:before="11"/>
        <w:rPr>
          <w:rFonts w:ascii="宋体" w:hAnsi="宋体" w:cs="宋体" w:eastAsia="宋体" w:hint="default"/>
          <w:b/>
          <w:bCs/>
          <w:sz w:val="28"/>
          <w:szCs w:val="28"/>
        </w:rPr>
      </w:pPr>
    </w:p>
    <w:p>
      <w:pPr>
        <w:pStyle w:val="Heading3"/>
        <w:spacing w:line="240" w:lineRule="auto" w:before="0"/>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5"/>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52"/>
        <w:gridCol w:w="1085"/>
        <w:gridCol w:w="1265"/>
        <w:gridCol w:w="953"/>
        <w:gridCol w:w="1395"/>
        <w:gridCol w:w="1265"/>
        <w:gridCol w:w="1081"/>
        <w:gridCol w:w="1078"/>
      </w:tblGrid>
      <w:tr>
        <w:trPr>
          <w:trHeight w:val="713" w:hRule="exact"/>
        </w:trPr>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631" w:right="29"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7" w:right="19" w:hanging="334"/>
              <w:jc w:val="left"/>
              <w:rPr>
                <w:rFonts w:ascii="宋体" w:hAnsi="宋体" w:cs="宋体" w:eastAsia="宋体" w:hint="default"/>
                <w:sz w:val="18"/>
                <w:szCs w:val="18"/>
              </w:rPr>
            </w:pPr>
            <w:r>
              <w:rPr>
                <w:rFonts w:ascii="宋体" w:hAnsi="宋体" w:cs="宋体" w:eastAsia="宋体" w:hint="default"/>
                <w:spacing w:val="-9"/>
                <w:sz w:val="18"/>
                <w:szCs w:val="18"/>
              </w:rPr>
              <w:t>涉案金额（万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49" w:right="84" w:hanging="360"/>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92" w:right="48"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2" w:right="91" w:hanging="152"/>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68" w:right="24"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 执行情况</w:t>
            </w:r>
          </w:p>
        </w:tc>
        <w:tc>
          <w:tcPr>
            <w:tcW w:w="1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7"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其他未达重大诉 讼披露标准的其 他诉讼</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8" w:right="0"/>
              <w:jc w:val="left"/>
              <w:rPr>
                <w:rFonts w:ascii="Times New Roman" w:hAnsi="Times New Roman" w:cs="Times New Roman" w:eastAsia="Times New Roman" w:hint="default"/>
                <w:sz w:val="18"/>
                <w:szCs w:val="18"/>
              </w:rPr>
            </w:pPr>
            <w:r>
              <w:rPr>
                <w:rFonts w:ascii="Times New Roman"/>
                <w:sz w:val="18"/>
              </w:rPr>
              <w:t>4,575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97"/>
              <w:jc w:val="left"/>
              <w:rPr>
                <w:rFonts w:ascii="宋体" w:hAnsi="宋体" w:cs="宋体" w:eastAsia="宋体" w:hint="default"/>
                <w:sz w:val="18"/>
                <w:szCs w:val="18"/>
              </w:rPr>
            </w:pPr>
            <w:r>
              <w:rPr>
                <w:rFonts w:ascii="宋体" w:hAnsi="宋体" w:cs="宋体" w:eastAsia="宋体" w:hint="default"/>
                <w:sz w:val="18"/>
                <w:szCs w:val="18"/>
              </w:rPr>
              <w:t>在审理阶 段</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在审理阶段</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在审理阶段</w:t>
            </w:r>
          </w:p>
        </w:tc>
        <w:tc>
          <w:tcPr>
            <w:tcW w:w="108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sz w:val="18"/>
          <w:szCs w:val="18"/>
        </w:rPr>
      </w:pPr>
    </w:p>
    <w:p>
      <w:pPr>
        <w:pStyle w:val="Heading2"/>
        <w:spacing w:line="240" w:lineRule="auto" w:before="26"/>
        <w:ind w:right="996"/>
        <w:jc w:val="left"/>
        <w:rPr>
          <w:b w:val="0"/>
          <w:bCs w:val="0"/>
        </w:rPr>
      </w:pPr>
      <w:r>
        <w:rPr/>
        <w:t>十二、处罚及整改情况</w:t>
      </w:r>
      <w:r>
        <w:rPr>
          <w:b w:val="0"/>
          <w:bCs w:val="0"/>
        </w:rPr>
      </w:r>
    </w:p>
    <w:p>
      <w:pPr>
        <w:spacing w:line="240" w:lineRule="auto" w:before="8"/>
        <w:rPr>
          <w:rFonts w:ascii="宋体" w:hAnsi="宋体" w:cs="宋体" w:eastAsia="宋体" w:hint="default"/>
          <w:b/>
          <w:bCs/>
          <w:sz w:val="28"/>
          <w:szCs w:val="28"/>
        </w:rPr>
      </w:pPr>
    </w:p>
    <w:p>
      <w:pPr>
        <w:pStyle w:val="Heading3"/>
        <w:spacing w:line="338" w:lineRule="auto" w:before="0"/>
        <w:ind w:right="69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公司报告期不存在处罚及整改情况。</w:t>
      </w:r>
    </w:p>
    <w:p>
      <w:pPr>
        <w:spacing w:after="0" w:line="338"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996"/>
        <w:jc w:val="left"/>
        <w:rPr>
          <w:b w:val="0"/>
          <w:bCs w:val="0"/>
        </w:rPr>
      </w:pPr>
      <w:r>
        <w:rPr/>
        <w:t>十三、公司及其控股股东、实际控制人的诚信状况</w:t>
      </w:r>
      <w:r>
        <w:rPr>
          <w:b w:val="0"/>
          <w:bCs w:val="0"/>
        </w:rPr>
      </w:r>
    </w:p>
    <w:p>
      <w:pPr>
        <w:spacing w:line="240" w:lineRule="auto" w:before="11"/>
        <w:rPr>
          <w:rFonts w:ascii="宋体" w:hAnsi="宋体" w:cs="宋体" w:eastAsia="宋体" w:hint="default"/>
          <w:b/>
          <w:bCs/>
          <w:sz w:val="28"/>
          <w:szCs w:val="28"/>
        </w:rPr>
      </w:pPr>
    </w:p>
    <w:p>
      <w:pPr>
        <w:spacing w:line="499" w:lineRule="auto" w:before="0"/>
        <w:ind w:left="152" w:right="3044"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十四、公司股权激励计划、员工持股计划或其他员工激励措施的实施情况</w:t>
      </w:r>
      <w:r>
        <w:rPr>
          <w:rFonts w:ascii="宋体" w:hAnsi="宋体" w:cs="宋体" w:eastAsia="宋体" w:hint="default"/>
          <w:sz w:val="24"/>
          <w:szCs w:val="24"/>
        </w:rPr>
      </w:r>
    </w:p>
    <w:p>
      <w:pPr>
        <w:pStyle w:val="Heading3"/>
        <w:spacing w:line="240" w:lineRule="auto" w:before="115"/>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pStyle w:val="Heading3"/>
        <w:spacing w:line="338" w:lineRule="auto" w:before="135"/>
        <w:ind w:right="1131" w:firstLine="480"/>
        <w:jc w:val="both"/>
      </w:pP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3</w:t>
      </w:r>
      <w:r>
        <w:rPr>
          <w:spacing w:val="-3"/>
        </w:rPr>
        <w:t>日，公司召开了第四届董事会第二十四次（临时）会议和第四届监事会第</w:t>
      </w:r>
      <w:r>
        <w:rPr/>
        <w:t> </w:t>
      </w:r>
      <w:r>
        <w:rPr>
          <w:spacing w:val="-2"/>
        </w:rPr>
        <w:t>十五次（临时）会议并于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15</w:t>
      </w:r>
      <w:r>
        <w:rPr>
          <w:spacing w:val="-2"/>
        </w:rPr>
        <w:t>日召开了</w:t>
      </w:r>
      <w:r>
        <w:rPr>
          <w:rFonts w:ascii="Times New Roman" w:hAnsi="Times New Roman" w:cs="Times New Roman" w:eastAsia="Times New Roman" w:hint="default"/>
          <w:spacing w:val="-2"/>
        </w:rPr>
        <w:t>2018</w:t>
      </w:r>
      <w:r>
        <w:rPr>
          <w:spacing w:val="-2"/>
        </w:rPr>
        <w:t>年年度股东大会审议通过了《关于回购注</w:t>
      </w:r>
      <w:r>
        <w:rPr>
          <w:spacing w:val="-112"/>
        </w:rPr>
        <w:t> </w:t>
      </w:r>
      <w:r>
        <w:rPr>
          <w:spacing w:val="-112"/>
        </w:rPr>
      </w:r>
      <w:r>
        <w:rPr/>
        <w:t>销部分限制性股票的议案》，同意回购注销已获授但尚未解锁的限制性股票共</w:t>
      </w:r>
      <w:r>
        <w:rPr>
          <w:rFonts w:ascii="Times New Roman" w:hAnsi="Times New Roman" w:cs="Times New Roman" w:eastAsia="Times New Roman" w:hint="default"/>
        </w:rPr>
        <w:t>1,468,500</w:t>
      </w:r>
      <w:r>
        <w:rPr/>
        <w:t>股，</w:t>
      </w:r>
      <w:r>
        <w:rPr>
          <w:spacing w:val="-88"/>
        </w:rPr>
        <w:t> </w:t>
      </w:r>
      <w:r>
        <w:rPr/>
        <w:t>回购价格为</w:t>
      </w:r>
      <w:r>
        <w:rPr>
          <w:rFonts w:ascii="Times New Roman" w:hAnsi="Times New Roman" w:cs="Times New Roman" w:eastAsia="Times New Roman" w:hint="default"/>
        </w:rPr>
        <w:t>6.20</w:t>
      </w:r>
      <w:r>
        <w:rPr/>
        <w:t>元</w:t>
      </w:r>
      <w:r>
        <w:rPr>
          <w:rFonts w:ascii="Times New Roman" w:hAnsi="Times New Roman" w:cs="Times New Roman" w:eastAsia="Times New Roman" w:hint="default"/>
        </w:rPr>
        <w:t>/</w:t>
      </w:r>
      <w:r>
        <w:rPr/>
        <w:t>股加银行同期存款利息。本次回购注销完成后，公司总股本由</w:t>
      </w:r>
      <w:r>
        <w:rPr>
          <w:rFonts w:ascii="Times New Roman" w:hAnsi="Times New Roman" w:cs="Times New Roman" w:eastAsia="Times New Roman" w:hint="default"/>
        </w:rPr>
        <w:t>264,708,600</w:t>
      </w:r>
      <w:r>
        <w:rPr>
          <w:rFonts w:ascii="Times New Roman" w:hAnsi="Times New Roman" w:cs="Times New Roman" w:eastAsia="Times New Roman" w:hint="default"/>
          <w:spacing w:val="-31"/>
        </w:rPr>
        <w:t> </w:t>
      </w:r>
      <w:r>
        <w:rPr/>
        <w:t>股减至</w:t>
      </w:r>
      <w:r>
        <w:rPr>
          <w:rFonts w:ascii="Times New Roman" w:hAnsi="Times New Roman" w:cs="Times New Roman" w:eastAsia="Times New Roman" w:hint="default"/>
        </w:rPr>
        <w:t>263,240,100</w:t>
      </w:r>
      <w:r>
        <w:rPr/>
        <w:t>股。</w:t>
      </w:r>
    </w:p>
    <w:p>
      <w:pPr>
        <w:pStyle w:val="Heading3"/>
        <w:spacing w:line="338" w:lineRule="auto" w:before="27"/>
        <w:ind w:right="1102" w:firstLine="48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25</w:t>
      </w:r>
      <w:r>
        <w:rPr/>
        <w:t>日，公司召开第四届董事会第二十六次会议及第四届监事会第十七次会 议，审议通过了《关于调整公司</w:t>
      </w:r>
      <w:r>
        <w:rPr>
          <w:rFonts w:ascii="Times New Roman" w:hAnsi="Times New Roman" w:cs="Times New Roman" w:eastAsia="Times New Roman" w:hint="default"/>
        </w:rPr>
        <w:t>2018</w:t>
      </w:r>
      <w:r>
        <w:rPr/>
        <w:t>年限制性股票激励计划预留授予限制性股票授予价格的</w:t>
      </w:r>
      <w:r>
        <w:rPr>
          <w:spacing w:val="-89"/>
        </w:rPr>
        <w:t> </w:t>
      </w:r>
      <w:r>
        <w:rPr>
          <w:spacing w:val="-89"/>
        </w:rPr>
      </w:r>
      <w:r>
        <w:rPr/>
        <w:t>议案》、《关于向激励对象授予预留限制性股票的议案》，鉴于公司</w:t>
      </w:r>
      <w:r>
        <w:rPr>
          <w:spacing w:val="1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0"/>
        </w:rPr>
        <w:t> </w:t>
      </w:r>
      <w:r>
        <w:rPr/>
        <w:t>年限制性股票激</w:t>
      </w:r>
      <w:r>
        <w:rPr>
          <w:spacing w:val="-117"/>
        </w:rPr>
        <w:t> </w:t>
      </w:r>
      <w:r>
        <w:rPr>
          <w:spacing w:val="-117"/>
        </w:rPr>
      </w:r>
      <w:r>
        <w:rPr>
          <w:spacing w:val="-2"/>
        </w:rPr>
        <w:t>励计划预留部分股份的授予条件已成就，公司董事会同意以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25</w:t>
      </w:r>
      <w:r>
        <w:rPr>
          <w:spacing w:val="-2"/>
        </w:rPr>
        <w:t>日作为限制性股票的</w:t>
      </w:r>
      <w:r>
        <w:rPr>
          <w:spacing w:val="-113"/>
        </w:rPr>
        <w:t> </w:t>
      </w:r>
      <w:r>
        <w:rPr/>
        <w:t>授予日，向符合条件的</w:t>
      </w:r>
      <w:r>
        <w:rPr>
          <w:rFonts w:ascii="Times New Roman" w:hAnsi="Times New Roman" w:cs="Times New Roman" w:eastAsia="Times New Roman" w:hint="default"/>
        </w:rPr>
        <w:t>14</w:t>
      </w:r>
      <w:r>
        <w:rPr/>
        <w:t>名激励对象授予</w:t>
      </w:r>
      <w:r>
        <w:rPr>
          <w:rFonts w:ascii="Times New Roman" w:hAnsi="Times New Roman" w:cs="Times New Roman" w:eastAsia="Times New Roman" w:hint="default"/>
        </w:rPr>
        <w:t>70.77</w:t>
      </w:r>
      <w:r>
        <w:rPr/>
        <w:t>万股预留限制性股票，授予价格为</w:t>
      </w:r>
      <w:r>
        <w:rPr>
          <w:rFonts w:ascii="Times New Roman" w:hAnsi="Times New Roman" w:cs="Times New Roman" w:eastAsia="Times New Roman" w:hint="default"/>
        </w:rPr>
        <w:t>6.18</w:t>
      </w:r>
      <w:r>
        <w:rPr/>
        <w:t>元</w:t>
      </w:r>
      <w:r>
        <w:rPr>
          <w:rFonts w:ascii="Times New Roman" w:hAnsi="Times New Roman" w:cs="Times New Roman" w:eastAsia="Times New Roman" w:hint="default"/>
        </w:rPr>
        <w:t>/</w:t>
      </w:r>
      <w:r>
        <w:rPr/>
        <w:t>股。 </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25</w:t>
      </w:r>
      <w:r>
        <w:rPr>
          <w:spacing w:val="-2"/>
        </w:rPr>
        <w:t>日，公司召开第四届董事会第二十七次会议及第四届监事会第十八次会议，审议</w:t>
      </w:r>
      <w:r>
        <w:rPr>
          <w:spacing w:val="-115"/>
        </w:rPr>
        <w:t> </w:t>
      </w:r>
      <w:r>
        <w:rPr>
          <w:spacing w:val="-115"/>
        </w:rPr>
      </w:r>
      <w:r>
        <w:rPr/>
        <w:t>通过了《关于调整</w:t>
      </w:r>
      <w:r>
        <w:rPr>
          <w:rFonts w:ascii="Times New Roman" w:hAnsi="Times New Roman" w:cs="Times New Roman" w:eastAsia="Times New Roman" w:hint="default"/>
        </w:rPr>
        <w:t>2018</w:t>
      </w:r>
      <w:r>
        <w:rPr/>
        <w:t>年限制性股票激励计划预留授予激励对象名单、授予数量的议案》，</w:t>
      </w:r>
      <w:r>
        <w:rPr>
          <w:spacing w:val="-90"/>
        </w:rPr>
        <w:t> </w:t>
      </w:r>
      <w:r>
        <w:rPr>
          <w:spacing w:val="-90"/>
        </w:rPr>
      </w:r>
      <w:r>
        <w:rPr/>
        <w:t>本次激励计划预留授予的激励对象由</w:t>
      </w:r>
      <w:r>
        <w:rPr>
          <w:rFonts w:ascii="Times New Roman" w:hAnsi="Times New Roman" w:cs="Times New Roman" w:eastAsia="Times New Roman" w:hint="default"/>
        </w:rPr>
        <w:t>14</w:t>
      </w:r>
      <w:r>
        <w:rPr/>
        <w:t>名调整为</w:t>
      </w:r>
      <w:r>
        <w:rPr>
          <w:rFonts w:ascii="Times New Roman" w:hAnsi="Times New Roman" w:cs="Times New Roman" w:eastAsia="Times New Roman" w:hint="default"/>
        </w:rPr>
        <w:t>12</w:t>
      </w:r>
      <w:r>
        <w:rPr/>
        <w:t>名，本次激励计划拟授予的预留限制性股</w:t>
      </w:r>
      <w:r>
        <w:rPr>
          <w:spacing w:val="-89"/>
        </w:rPr>
        <w:t> </w:t>
      </w:r>
      <w:r>
        <w:rPr>
          <w:spacing w:val="-89"/>
        </w:rPr>
      </w:r>
      <w:r>
        <w:rPr>
          <w:spacing w:val="3"/>
        </w:rPr>
        <w:t>票数量由</w:t>
      </w:r>
      <w:r>
        <w:rPr>
          <w:rFonts w:ascii="Times New Roman" w:hAnsi="Times New Roman" w:cs="Times New Roman" w:eastAsia="Times New Roman" w:hint="default"/>
          <w:spacing w:val="3"/>
        </w:rPr>
        <w:t>70.77</w:t>
      </w:r>
      <w:r>
        <w:rPr>
          <w:spacing w:val="3"/>
        </w:rPr>
        <w:t>万股调整为</w:t>
      </w:r>
      <w:r>
        <w:rPr>
          <w:rFonts w:ascii="Times New Roman" w:hAnsi="Times New Roman" w:cs="Times New Roman" w:eastAsia="Times New Roman" w:hint="default"/>
          <w:spacing w:val="3"/>
        </w:rPr>
        <w:t>43.17</w:t>
      </w:r>
      <w:r>
        <w:rPr>
          <w:spacing w:val="3"/>
        </w:rPr>
        <w:t>万股。本次授予预留限制性股票事项完成后，公司总股本由</w:t>
      </w:r>
      <w:r>
        <w:rPr/>
        <w:t> </w:t>
      </w:r>
      <w:r>
        <w:rPr>
          <w:rFonts w:ascii="Times New Roman" w:hAnsi="Times New Roman" w:cs="Times New Roman" w:eastAsia="Times New Roman" w:hint="default"/>
        </w:rPr>
        <w:t>263,240,100</w:t>
      </w:r>
      <w:r>
        <w:rPr/>
        <w:t>股增加至</w:t>
      </w:r>
      <w:r>
        <w:rPr>
          <w:rFonts w:ascii="Times New Roman" w:hAnsi="Times New Roman" w:cs="Times New Roman" w:eastAsia="Times New Roman" w:hint="default"/>
        </w:rPr>
        <w:t>263,671,800</w:t>
      </w:r>
      <w:r>
        <w:rPr/>
        <w:t>股。</w:t>
      </w:r>
    </w:p>
    <w:p>
      <w:pPr>
        <w:pStyle w:val="Heading3"/>
        <w:spacing w:line="345" w:lineRule="auto" w:before="27"/>
        <w:ind w:right="1104" w:firstLine="48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23</w:t>
      </w:r>
      <w:r>
        <w:rPr/>
        <w:t>日，公司召开第四届董事会第二十九次会议及第四届监事会第二十次会 议，审议通过了《关于调整限制性股票回购价格的议案》、《关于回购注销部分限制性股票</w:t>
      </w:r>
      <w:r>
        <w:rPr>
          <w:spacing w:val="-91"/>
        </w:rPr>
        <w:t> </w:t>
      </w:r>
      <w:r>
        <w:rPr>
          <w:spacing w:val="-91"/>
        </w:rPr>
      </w:r>
      <w:r>
        <w:rPr>
          <w:spacing w:val="-2"/>
        </w:rPr>
        <w:t>的议案》，</w:t>
      </w:r>
      <w:r>
        <w:rPr>
          <w:rFonts w:ascii="Times New Roman" w:hAnsi="Times New Roman" w:cs="Times New Roman" w:eastAsia="Times New Roman" w:hint="default"/>
          <w:spacing w:val="-2"/>
        </w:rPr>
        <w:t>6</w:t>
      </w:r>
      <w:r>
        <w:rPr>
          <w:spacing w:val="-2"/>
        </w:rPr>
        <w:t>名激励对象因个人原因离职已不符合激励条件，其已获授但尚未解除限售的限制</w:t>
      </w:r>
      <w:r>
        <w:rPr/>
        <w:t> 性股票不得解除限售，由公司回购注销。据此，公司董事会同意回购注销上述人员已获授但</w:t>
      </w:r>
      <w:r>
        <w:rPr>
          <w:spacing w:val="-91"/>
        </w:rPr>
        <w:t> </w:t>
      </w:r>
      <w:r>
        <w:rPr>
          <w:spacing w:val="-91"/>
        </w:rPr>
      </w:r>
      <w:r>
        <w:rPr/>
        <w:t>尚未解除限售的限制性股票共</w:t>
      </w:r>
      <w:r>
        <w:rPr>
          <w:rFonts w:ascii="Times New Roman" w:hAnsi="Times New Roman" w:cs="Times New Roman" w:eastAsia="Times New Roman" w:hint="default"/>
        </w:rPr>
        <w:t>402,500</w:t>
      </w:r>
      <w:r>
        <w:rPr/>
        <w:t>股，回购价格为</w:t>
      </w:r>
      <w:r>
        <w:rPr>
          <w:rFonts w:ascii="Times New Roman" w:hAnsi="Times New Roman" w:cs="Times New Roman" w:eastAsia="Times New Roman" w:hint="default"/>
        </w:rPr>
        <w:t>6.18</w:t>
      </w:r>
      <w:r>
        <w:rPr/>
        <w:t>元</w:t>
      </w:r>
      <w:r>
        <w:rPr>
          <w:rFonts w:ascii="Times New Roman" w:hAnsi="Times New Roman" w:cs="Times New Roman" w:eastAsia="Times New Roman" w:hint="default"/>
        </w:rPr>
        <w:t>/</w:t>
      </w:r>
      <w:r>
        <w:rPr/>
        <w:t>股加上银行同期存款利息之和。 本次回购注销完成后，公司总股本由</w:t>
      </w:r>
      <w:r>
        <w:rPr>
          <w:rFonts w:ascii="Times New Roman" w:hAnsi="Times New Roman" w:cs="Times New Roman" w:eastAsia="Times New Roman" w:hint="default"/>
        </w:rPr>
        <w:t>263,671,800</w:t>
      </w:r>
      <w:r>
        <w:rPr/>
        <w:t>股减至</w:t>
      </w:r>
      <w:r>
        <w:rPr>
          <w:rFonts w:ascii="Times New Roman" w:hAnsi="Times New Roman" w:cs="Times New Roman" w:eastAsia="Times New Roman" w:hint="default"/>
        </w:rPr>
        <w:t>263,269,300</w:t>
      </w:r>
      <w:r>
        <w:rPr/>
        <w:t>股。</w:t>
      </w:r>
    </w:p>
    <w:p>
      <w:pPr>
        <w:spacing w:after="0" w:line="345" w:lineRule="auto"/>
        <w:jc w:val="both"/>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996"/>
        <w:jc w:val="left"/>
        <w:rPr>
          <w:b w:val="0"/>
          <w:bCs w:val="0"/>
        </w:rPr>
      </w:pPr>
      <w:r>
        <w:rPr/>
        <w:t>十五、重大关联交易</w:t>
      </w:r>
      <w:r>
        <w:rPr>
          <w:b w:val="0"/>
          <w:bCs w:val="0"/>
        </w:rPr>
      </w:r>
    </w:p>
    <w:p>
      <w:pPr>
        <w:spacing w:line="240" w:lineRule="auto" w:before="11"/>
        <w:rPr>
          <w:rFonts w:ascii="宋体" w:hAnsi="宋体" w:cs="宋体" w:eastAsia="宋体" w:hint="default"/>
          <w:b/>
          <w:bCs/>
          <w:sz w:val="28"/>
          <w:szCs w:val="28"/>
        </w:rPr>
      </w:pPr>
    </w:p>
    <w:p>
      <w:pPr>
        <w:pStyle w:val="Heading2"/>
        <w:spacing w:line="240" w:lineRule="auto"/>
        <w:ind w:right="996"/>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before="146"/>
        <w:ind w:left="152" w:right="9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0"/>
        <w:gridCol w:w="677"/>
        <w:gridCol w:w="677"/>
        <w:gridCol w:w="704"/>
        <w:gridCol w:w="679"/>
        <w:gridCol w:w="674"/>
        <w:gridCol w:w="674"/>
        <w:gridCol w:w="675"/>
        <w:gridCol w:w="674"/>
        <w:gridCol w:w="674"/>
        <w:gridCol w:w="673"/>
        <w:gridCol w:w="674"/>
        <w:gridCol w:w="670"/>
        <w:gridCol w:w="646"/>
      </w:tblGrid>
      <w:tr>
        <w:trPr>
          <w:trHeight w:val="133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05" w:right="32"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4" w:right="60"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4" w:right="60"/>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6" w:right="75"/>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4"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2" w:right="60"/>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6" w:lineRule="auto" w:before="19"/>
              <w:ind w:left="151" w:right="151"/>
              <w:jc w:val="left"/>
              <w:rPr>
                <w:rFonts w:ascii="宋体" w:hAnsi="宋体" w:cs="宋体" w:eastAsia="宋体" w:hint="default"/>
                <w:sz w:val="18"/>
                <w:szCs w:val="18"/>
              </w:rPr>
            </w:pPr>
            <w:r>
              <w:rPr>
                <w:rFonts w:ascii="宋体" w:hAnsi="宋体" w:cs="宋体" w:eastAsia="宋体" w:hint="default"/>
                <w:sz w:val="18"/>
                <w:szCs w:val="18"/>
              </w:rPr>
              <w:t>（万 元）</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58"/>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9"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7" w:right="47"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4"/>
              <w:jc w:val="right"/>
              <w:rPr>
                <w:rFonts w:ascii="宋体" w:hAnsi="宋体" w:cs="宋体" w:eastAsia="宋体" w:hint="default"/>
                <w:sz w:val="18"/>
                <w:szCs w:val="18"/>
              </w:rPr>
            </w:pPr>
            <w:r>
              <w:rPr>
                <w:rFonts w:ascii="宋体" w:hAnsi="宋体" w:cs="宋体" w:eastAsia="宋体" w:hint="default"/>
                <w:sz w:val="18"/>
                <w:szCs w:val="18"/>
              </w:rPr>
              <w:t>宝德科技</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101"/>
              <w:jc w:val="left"/>
              <w:rPr>
                <w:rFonts w:ascii="宋体" w:hAnsi="宋体" w:cs="宋体" w:eastAsia="宋体" w:hint="default"/>
                <w:sz w:val="18"/>
                <w:szCs w:val="18"/>
              </w:rPr>
            </w:pPr>
            <w:r>
              <w:rPr>
                <w:rFonts w:ascii="宋体" w:hAnsi="宋体" w:cs="宋体" w:eastAsia="宋体" w:hint="default"/>
                <w:sz w:val="18"/>
                <w:szCs w:val="18"/>
              </w:rPr>
              <w:t>控股股 东</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01"/>
              <w:jc w:val="left"/>
              <w:rPr>
                <w:rFonts w:ascii="宋体" w:hAnsi="宋体" w:cs="宋体" w:eastAsia="宋体" w:hint="default"/>
                <w:sz w:val="18"/>
                <w:szCs w:val="18"/>
              </w:rPr>
            </w:pPr>
            <w:r>
              <w:rPr>
                <w:rFonts w:ascii="宋体" w:hAnsi="宋体" w:cs="宋体" w:eastAsia="宋体" w:hint="default"/>
                <w:sz w:val="18"/>
                <w:szCs w:val="18"/>
              </w:rPr>
              <w:t>经营性 租赁</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128"/>
              <w:jc w:val="left"/>
              <w:rPr>
                <w:rFonts w:ascii="宋体" w:hAnsi="宋体" w:cs="宋体" w:eastAsia="宋体" w:hint="default"/>
                <w:sz w:val="18"/>
                <w:szCs w:val="18"/>
              </w:rPr>
            </w:pPr>
            <w:r>
              <w:rPr>
                <w:rFonts w:ascii="宋体" w:hAnsi="宋体" w:cs="宋体" w:eastAsia="宋体" w:hint="default"/>
                <w:sz w:val="18"/>
                <w:szCs w:val="18"/>
              </w:rPr>
              <w:t>房屋出 租</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103"/>
              <w:jc w:val="left"/>
              <w:rPr>
                <w:rFonts w:ascii="宋体" w:hAnsi="宋体" w:cs="宋体" w:eastAsia="宋体" w:hint="default"/>
                <w:sz w:val="18"/>
                <w:szCs w:val="18"/>
              </w:rPr>
            </w:pPr>
            <w:r>
              <w:rPr>
                <w:rFonts w:ascii="宋体" w:hAnsi="宋体" w:cs="宋体" w:eastAsia="宋体" w:hint="default"/>
                <w:sz w:val="18"/>
                <w:szCs w:val="18"/>
              </w:rPr>
              <w:t>公允价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248.72</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19.01%</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235" w:right="0"/>
              <w:jc w:val="left"/>
              <w:rPr>
                <w:rFonts w:ascii="Times New Roman" w:hAnsi="Times New Roman" w:cs="Times New Roman" w:eastAsia="Times New Roman" w:hint="default"/>
                <w:sz w:val="18"/>
                <w:szCs w:val="18"/>
              </w:rPr>
            </w:pPr>
            <w:r>
              <w:rPr>
                <w:rFonts w:ascii="Times New Roman"/>
                <w:sz w:val="18"/>
              </w:rPr>
              <w:t>2,000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248.72</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71"/>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44"/>
              <w:jc w:val="right"/>
              <w:rPr>
                <w:rFonts w:ascii="宋体" w:hAnsi="宋体" w:cs="宋体" w:eastAsia="宋体" w:hint="default"/>
                <w:sz w:val="18"/>
                <w:szCs w:val="18"/>
              </w:rPr>
            </w:pPr>
            <w:r>
              <w:rPr>
                <w:rFonts w:ascii="宋体" w:hAnsi="宋体" w:cs="宋体" w:eastAsia="宋体" w:hint="default"/>
                <w:sz w:val="18"/>
                <w:szCs w:val="18"/>
              </w:rPr>
              <w:t>宝德控股</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1"/>
              <w:jc w:val="left"/>
              <w:rPr>
                <w:rFonts w:ascii="宋体" w:hAnsi="宋体" w:cs="宋体" w:eastAsia="宋体" w:hint="default"/>
                <w:sz w:val="18"/>
                <w:szCs w:val="18"/>
              </w:rPr>
            </w:pPr>
            <w:r>
              <w:rPr>
                <w:rFonts w:ascii="宋体" w:hAnsi="宋体" w:cs="宋体" w:eastAsia="宋体" w:hint="default"/>
                <w:sz w:val="18"/>
                <w:szCs w:val="18"/>
              </w:rPr>
              <w:t>控股股 东</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01"/>
              <w:jc w:val="left"/>
              <w:rPr>
                <w:rFonts w:ascii="宋体" w:hAnsi="宋体" w:cs="宋体" w:eastAsia="宋体" w:hint="default"/>
                <w:sz w:val="18"/>
                <w:szCs w:val="18"/>
              </w:rPr>
            </w:pPr>
            <w:r>
              <w:rPr>
                <w:rFonts w:ascii="宋体" w:hAnsi="宋体" w:cs="宋体" w:eastAsia="宋体" w:hint="default"/>
                <w:sz w:val="18"/>
                <w:szCs w:val="18"/>
              </w:rPr>
              <w:t>经营性 租赁</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8"/>
              <w:jc w:val="left"/>
              <w:rPr>
                <w:rFonts w:ascii="宋体" w:hAnsi="宋体" w:cs="宋体" w:eastAsia="宋体" w:hint="default"/>
                <w:sz w:val="18"/>
                <w:szCs w:val="18"/>
              </w:rPr>
            </w:pPr>
            <w:r>
              <w:rPr>
                <w:rFonts w:ascii="宋体" w:hAnsi="宋体" w:cs="宋体" w:eastAsia="宋体" w:hint="default"/>
                <w:sz w:val="18"/>
                <w:szCs w:val="18"/>
              </w:rPr>
              <w:t>房屋出 租</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3"/>
              <w:jc w:val="left"/>
              <w:rPr>
                <w:rFonts w:ascii="宋体" w:hAnsi="宋体" w:cs="宋体" w:eastAsia="宋体" w:hint="default"/>
                <w:sz w:val="18"/>
                <w:szCs w:val="18"/>
              </w:rPr>
            </w:pPr>
            <w:r>
              <w:rPr>
                <w:rFonts w:ascii="宋体" w:hAnsi="宋体" w:cs="宋体" w:eastAsia="宋体" w:hint="default"/>
                <w:sz w:val="18"/>
                <w:szCs w:val="18"/>
              </w:rPr>
              <w:t>公允价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83.68</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1" w:right="0"/>
              <w:jc w:val="center"/>
              <w:rPr>
                <w:rFonts w:ascii="Times New Roman" w:hAnsi="Times New Roman" w:cs="Times New Roman" w:eastAsia="Times New Roman" w:hint="default"/>
                <w:sz w:val="18"/>
                <w:szCs w:val="18"/>
              </w:rPr>
            </w:pPr>
            <w:r>
              <w:rPr>
                <w:rFonts w:ascii="Times New Roman"/>
                <w:sz w:val="18"/>
              </w:rPr>
              <w:t>6.40%</w:t>
            </w:r>
          </w:p>
        </w:tc>
        <w:tc>
          <w:tcPr>
            <w:tcW w:w="674" w:type="dxa"/>
            <w:vMerge/>
            <w:tcBorders>
              <w:left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83.68</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1339"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4"/>
              <w:jc w:val="both"/>
              <w:rPr>
                <w:rFonts w:ascii="宋体" w:hAnsi="宋体" w:cs="宋体" w:eastAsia="宋体" w:hint="default"/>
                <w:sz w:val="18"/>
                <w:szCs w:val="18"/>
              </w:rPr>
            </w:pPr>
            <w:r>
              <w:rPr>
                <w:rFonts w:ascii="宋体" w:hAnsi="宋体" w:cs="宋体" w:eastAsia="宋体" w:hint="default"/>
                <w:sz w:val="18"/>
                <w:szCs w:val="18"/>
              </w:rPr>
              <w:t>深圳鸿德 房地产开 发有限公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1"/>
              <w:jc w:val="both"/>
              <w:rPr>
                <w:rFonts w:ascii="宋体" w:hAnsi="宋体" w:cs="宋体" w:eastAsia="宋体" w:hint="default"/>
                <w:sz w:val="18"/>
                <w:szCs w:val="18"/>
              </w:rPr>
            </w:pPr>
            <w:r>
              <w:rPr>
                <w:rFonts w:ascii="宋体" w:hAnsi="宋体" w:cs="宋体" w:eastAsia="宋体" w:hint="default"/>
                <w:sz w:val="18"/>
                <w:szCs w:val="18"/>
              </w:rPr>
              <w:t>实际控 制人控 制的企 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4" w:right="101"/>
              <w:jc w:val="left"/>
              <w:rPr>
                <w:rFonts w:ascii="宋体" w:hAnsi="宋体" w:cs="宋体" w:eastAsia="宋体" w:hint="default"/>
                <w:sz w:val="18"/>
                <w:szCs w:val="18"/>
              </w:rPr>
            </w:pPr>
            <w:r>
              <w:rPr>
                <w:rFonts w:ascii="宋体" w:hAnsi="宋体" w:cs="宋体" w:eastAsia="宋体" w:hint="default"/>
                <w:sz w:val="18"/>
                <w:szCs w:val="18"/>
              </w:rPr>
              <w:t>经营性 租赁</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128"/>
              <w:jc w:val="left"/>
              <w:rPr>
                <w:rFonts w:ascii="宋体" w:hAnsi="宋体" w:cs="宋体" w:eastAsia="宋体" w:hint="default"/>
                <w:sz w:val="18"/>
                <w:szCs w:val="18"/>
              </w:rPr>
            </w:pPr>
            <w:r>
              <w:rPr>
                <w:rFonts w:ascii="宋体" w:hAnsi="宋体" w:cs="宋体" w:eastAsia="宋体" w:hint="default"/>
                <w:sz w:val="18"/>
                <w:szCs w:val="18"/>
              </w:rPr>
              <w:t>房屋出 租</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103"/>
              <w:jc w:val="left"/>
              <w:rPr>
                <w:rFonts w:ascii="宋体" w:hAnsi="宋体" w:cs="宋体" w:eastAsia="宋体" w:hint="default"/>
                <w:sz w:val="18"/>
                <w:szCs w:val="18"/>
              </w:rPr>
            </w:pPr>
            <w:r>
              <w:rPr>
                <w:rFonts w:ascii="宋体" w:hAnsi="宋体" w:cs="宋体" w:eastAsia="宋体" w:hint="default"/>
                <w:sz w:val="18"/>
                <w:szCs w:val="18"/>
              </w:rPr>
              <w:t>公允价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414.34</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31.67%</w:t>
            </w:r>
          </w:p>
        </w:tc>
        <w:tc>
          <w:tcPr>
            <w:tcW w:w="674" w:type="dxa"/>
            <w:vMerge/>
            <w:tcBorders>
              <w:left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414.34</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71"/>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133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44"/>
              <w:jc w:val="both"/>
              <w:rPr>
                <w:rFonts w:ascii="宋体" w:hAnsi="宋体" w:cs="宋体" w:eastAsia="宋体" w:hint="default"/>
                <w:sz w:val="18"/>
                <w:szCs w:val="18"/>
              </w:rPr>
            </w:pPr>
            <w:r>
              <w:rPr>
                <w:rFonts w:ascii="宋体" w:hAnsi="宋体" w:cs="宋体" w:eastAsia="宋体" w:hint="default"/>
                <w:sz w:val="18"/>
                <w:szCs w:val="18"/>
              </w:rPr>
              <w:t>深圳鹏德 创业投资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1"/>
              <w:jc w:val="both"/>
              <w:rPr>
                <w:rFonts w:ascii="宋体" w:hAnsi="宋体" w:cs="宋体" w:eastAsia="宋体" w:hint="default"/>
                <w:sz w:val="18"/>
                <w:szCs w:val="18"/>
              </w:rPr>
            </w:pPr>
            <w:r>
              <w:rPr>
                <w:rFonts w:ascii="宋体" w:hAnsi="宋体" w:cs="宋体" w:eastAsia="宋体" w:hint="default"/>
                <w:sz w:val="18"/>
                <w:szCs w:val="18"/>
              </w:rPr>
              <w:t>实际控 制人控 制的企 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01"/>
              <w:jc w:val="left"/>
              <w:rPr>
                <w:rFonts w:ascii="宋体" w:hAnsi="宋体" w:cs="宋体" w:eastAsia="宋体" w:hint="default"/>
                <w:sz w:val="18"/>
                <w:szCs w:val="18"/>
              </w:rPr>
            </w:pPr>
            <w:r>
              <w:rPr>
                <w:rFonts w:ascii="宋体" w:hAnsi="宋体" w:cs="宋体" w:eastAsia="宋体" w:hint="default"/>
                <w:sz w:val="18"/>
                <w:szCs w:val="18"/>
              </w:rPr>
              <w:t>经营性 租赁</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28"/>
              <w:jc w:val="left"/>
              <w:rPr>
                <w:rFonts w:ascii="宋体" w:hAnsi="宋体" w:cs="宋体" w:eastAsia="宋体" w:hint="default"/>
                <w:sz w:val="18"/>
                <w:szCs w:val="18"/>
              </w:rPr>
            </w:pPr>
            <w:r>
              <w:rPr>
                <w:rFonts w:ascii="宋体" w:hAnsi="宋体" w:cs="宋体" w:eastAsia="宋体" w:hint="default"/>
                <w:sz w:val="18"/>
                <w:szCs w:val="18"/>
              </w:rPr>
              <w:t>房屋出 租</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03"/>
              <w:jc w:val="left"/>
              <w:rPr>
                <w:rFonts w:ascii="宋体" w:hAnsi="宋体" w:cs="宋体" w:eastAsia="宋体" w:hint="default"/>
                <w:sz w:val="18"/>
                <w:szCs w:val="18"/>
              </w:rPr>
            </w:pPr>
            <w:r>
              <w:rPr>
                <w:rFonts w:ascii="宋体" w:hAnsi="宋体" w:cs="宋体" w:eastAsia="宋体" w:hint="default"/>
                <w:sz w:val="18"/>
                <w:szCs w:val="18"/>
              </w:rPr>
              <w:t>公允价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171.45</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13.11%</w:t>
            </w:r>
          </w:p>
        </w:tc>
        <w:tc>
          <w:tcPr>
            <w:tcW w:w="674" w:type="dxa"/>
            <w:vMerge/>
            <w:tcBorders>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171.45</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71"/>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4"/>
              <w:jc w:val="right"/>
              <w:rPr>
                <w:rFonts w:ascii="宋体" w:hAnsi="宋体" w:cs="宋体" w:eastAsia="宋体" w:hint="default"/>
                <w:sz w:val="18"/>
                <w:szCs w:val="18"/>
              </w:rPr>
            </w:pPr>
            <w:r>
              <w:rPr>
                <w:rFonts w:ascii="宋体" w:hAnsi="宋体" w:cs="宋体" w:eastAsia="宋体" w:hint="default"/>
                <w:sz w:val="18"/>
                <w:szCs w:val="18"/>
              </w:rPr>
              <w:t>宝德科技</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101"/>
              <w:jc w:val="left"/>
              <w:rPr>
                <w:rFonts w:ascii="宋体" w:hAnsi="宋体" w:cs="宋体" w:eastAsia="宋体" w:hint="default"/>
                <w:sz w:val="18"/>
                <w:szCs w:val="18"/>
              </w:rPr>
            </w:pPr>
            <w:r>
              <w:rPr>
                <w:rFonts w:ascii="宋体" w:hAnsi="宋体" w:cs="宋体" w:eastAsia="宋体" w:hint="default"/>
                <w:sz w:val="18"/>
                <w:szCs w:val="18"/>
              </w:rPr>
              <w:t>控股股 东</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01"/>
              <w:jc w:val="left"/>
              <w:rPr>
                <w:rFonts w:ascii="宋体" w:hAnsi="宋体" w:cs="宋体" w:eastAsia="宋体" w:hint="default"/>
                <w:sz w:val="18"/>
                <w:szCs w:val="18"/>
              </w:rPr>
            </w:pPr>
            <w:r>
              <w:rPr>
                <w:rFonts w:ascii="宋体" w:hAnsi="宋体" w:cs="宋体" w:eastAsia="宋体" w:hint="default"/>
                <w:sz w:val="18"/>
                <w:szCs w:val="18"/>
              </w:rPr>
              <w:t>经营性 租赁</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128"/>
              <w:jc w:val="left"/>
              <w:rPr>
                <w:rFonts w:ascii="宋体" w:hAnsi="宋体" w:cs="宋体" w:eastAsia="宋体" w:hint="default"/>
                <w:sz w:val="18"/>
                <w:szCs w:val="18"/>
              </w:rPr>
            </w:pPr>
            <w:r>
              <w:rPr>
                <w:rFonts w:ascii="宋体" w:hAnsi="宋体" w:cs="宋体" w:eastAsia="宋体" w:hint="default"/>
                <w:sz w:val="18"/>
                <w:szCs w:val="18"/>
              </w:rPr>
              <w:t>房屋租 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103"/>
              <w:jc w:val="left"/>
              <w:rPr>
                <w:rFonts w:ascii="宋体" w:hAnsi="宋体" w:cs="宋体" w:eastAsia="宋体" w:hint="default"/>
                <w:sz w:val="18"/>
                <w:szCs w:val="18"/>
              </w:rPr>
            </w:pPr>
            <w:r>
              <w:rPr>
                <w:rFonts w:ascii="宋体" w:hAnsi="宋体" w:cs="宋体" w:eastAsia="宋体" w:hint="default"/>
                <w:sz w:val="18"/>
                <w:szCs w:val="18"/>
              </w:rPr>
              <w:t>公允价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496.09</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23.21%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496.09</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71"/>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133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深圳市速 必拓网络 科技有限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1"/>
              <w:jc w:val="both"/>
              <w:rPr>
                <w:rFonts w:ascii="宋体" w:hAnsi="宋体" w:cs="宋体" w:eastAsia="宋体" w:hint="default"/>
                <w:sz w:val="18"/>
                <w:szCs w:val="18"/>
              </w:rPr>
            </w:pPr>
            <w:r>
              <w:rPr>
                <w:rFonts w:ascii="宋体" w:hAnsi="宋体" w:cs="宋体" w:eastAsia="宋体" w:hint="default"/>
                <w:sz w:val="18"/>
                <w:szCs w:val="18"/>
              </w:rPr>
              <w:t>实际控 制人控 制的企 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01"/>
              <w:jc w:val="left"/>
              <w:rPr>
                <w:rFonts w:ascii="宋体" w:hAnsi="宋体" w:cs="宋体" w:eastAsia="宋体" w:hint="default"/>
                <w:sz w:val="18"/>
                <w:szCs w:val="18"/>
              </w:rPr>
            </w:pPr>
            <w:r>
              <w:rPr>
                <w:rFonts w:ascii="宋体" w:hAnsi="宋体" w:cs="宋体" w:eastAsia="宋体" w:hint="default"/>
                <w:sz w:val="18"/>
                <w:szCs w:val="18"/>
              </w:rPr>
              <w:t>接受劳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8"/>
              <w:jc w:val="both"/>
              <w:rPr>
                <w:rFonts w:ascii="宋体" w:hAnsi="宋体" w:cs="宋体" w:eastAsia="宋体" w:hint="default"/>
                <w:sz w:val="18"/>
                <w:szCs w:val="18"/>
              </w:rPr>
            </w:pPr>
            <w:r>
              <w:rPr>
                <w:rFonts w:ascii="宋体" w:hAnsi="宋体" w:cs="宋体" w:eastAsia="宋体" w:hint="default"/>
                <w:sz w:val="18"/>
                <w:szCs w:val="18"/>
              </w:rPr>
              <w:t>服务器 托管服 务及宽 带服务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03"/>
              <w:jc w:val="left"/>
              <w:rPr>
                <w:rFonts w:ascii="宋体" w:hAnsi="宋体" w:cs="宋体" w:eastAsia="宋体" w:hint="default"/>
                <w:sz w:val="18"/>
                <w:szCs w:val="18"/>
              </w:rPr>
            </w:pPr>
            <w:r>
              <w:rPr>
                <w:rFonts w:ascii="宋体" w:hAnsi="宋体" w:cs="宋体" w:eastAsia="宋体" w:hint="default"/>
                <w:sz w:val="18"/>
                <w:szCs w:val="18"/>
              </w:rPr>
              <w:t>公允价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59.31</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51" w:right="0"/>
              <w:jc w:val="center"/>
              <w:rPr>
                <w:rFonts w:ascii="Times New Roman" w:hAnsi="Times New Roman" w:cs="Times New Roman" w:eastAsia="Times New Roman" w:hint="default"/>
                <w:sz w:val="18"/>
                <w:szCs w:val="18"/>
              </w:rPr>
            </w:pPr>
            <w:r>
              <w:rPr>
                <w:rFonts w:ascii="Times New Roman"/>
                <w:sz w:val="18"/>
              </w:rPr>
              <w:t>9.22%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59.31</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71"/>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4"/>
              <w:jc w:val="right"/>
              <w:rPr>
                <w:rFonts w:ascii="宋体" w:hAnsi="宋体" w:cs="宋体" w:eastAsia="宋体" w:hint="default"/>
                <w:sz w:val="18"/>
                <w:szCs w:val="18"/>
              </w:rPr>
            </w:pPr>
            <w:r>
              <w:rPr>
                <w:rFonts w:ascii="宋体" w:hAnsi="宋体" w:cs="宋体" w:eastAsia="宋体" w:hint="default"/>
                <w:sz w:val="18"/>
                <w:szCs w:val="18"/>
              </w:rPr>
              <w:t>宝德科技</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101"/>
              <w:jc w:val="left"/>
              <w:rPr>
                <w:rFonts w:ascii="宋体" w:hAnsi="宋体" w:cs="宋体" w:eastAsia="宋体" w:hint="default"/>
                <w:sz w:val="18"/>
                <w:szCs w:val="18"/>
              </w:rPr>
            </w:pPr>
            <w:r>
              <w:rPr>
                <w:rFonts w:ascii="宋体" w:hAnsi="宋体" w:cs="宋体" w:eastAsia="宋体" w:hint="default"/>
                <w:sz w:val="18"/>
                <w:szCs w:val="18"/>
              </w:rPr>
              <w:t>控股股 东</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01"/>
              <w:jc w:val="left"/>
              <w:rPr>
                <w:rFonts w:ascii="宋体" w:hAnsi="宋体" w:cs="宋体" w:eastAsia="宋体" w:hint="default"/>
                <w:sz w:val="18"/>
                <w:szCs w:val="18"/>
              </w:rPr>
            </w:pPr>
            <w:r>
              <w:rPr>
                <w:rFonts w:ascii="宋体" w:hAnsi="宋体" w:cs="宋体" w:eastAsia="宋体" w:hint="default"/>
                <w:sz w:val="18"/>
                <w:szCs w:val="18"/>
              </w:rPr>
              <w:t>提供劳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维服务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103"/>
              <w:jc w:val="left"/>
              <w:rPr>
                <w:rFonts w:ascii="宋体" w:hAnsi="宋体" w:cs="宋体" w:eastAsia="宋体" w:hint="default"/>
                <w:sz w:val="18"/>
                <w:szCs w:val="18"/>
              </w:rPr>
            </w:pPr>
            <w:r>
              <w:rPr>
                <w:rFonts w:ascii="宋体" w:hAnsi="宋体" w:cs="宋体" w:eastAsia="宋体" w:hint="default"/>
                <w:sz w:val="18"/>
                <w:szCs w:val="18"/>
              </w:rPr>
              <w:t>公允价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6.74</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51" w:right="0"/>
              <w:jc w:val="center"/>
              <w:rPr>
                <w:rFonts w:ascii="Times New Roman" w:hAnsi="Times New Roman" w:cs="Times New Roman" w:eastAsia="Times New Roman" w:hint="default"/>
                <w:sz w:val="18"/>
                <w:szCs w:val="18"/>
              </w:rPr>
            </w:pPr>
            <w:r>
              <w:rPr>
                <w:rFonts w:ascii="Times New Roman"/>
                <w:sz w:val="18"/>
              </w:rPr>
              <w:t>0.07%</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6.74</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71"/>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133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4"/>
              <w:jc w:val="left"/>
              <w:rPr>
                <w:rFonts w:ascii="宋体" w:hAnsi="宋体" w:cs="宋体" w:eastAsia="宋体" w:hint="default"/>
                <w:sz w:val="18"/>
                <w:szCs w:val="18"/>
              </w:rPr>
            </w:pPr>
            <w:r>
              <w:rPr>
                <w:rFonts w:ascii="宋体" w:hAnsi="宋体" w:cs="宋体" w:eastAsia="宋体" w:hint="default"/>
                <w:sz w:val="18"/>
                <w:szCs w:val="18"/>
              </w:rPr>
              <w:t>宝德网络 安全系统</w:t>
            </w:r>
          </w:p>
          <w:p>
            <w:pPr>
              <w:pStyle w:val="TableParagraph"/>
              <w:spacing w:line="316" w:lineRule="auto" w:before="19"/>
              <w:ind w:left="24" w:right="44"/>
              <w:jc w:val="left"/>
              <w:rPr>
                <w:rFonts w:ascii="宋体" w:hAnsi="宋体" w:cs="宋体" w:eastAsia="宋体" w:hint="default"/>
                <w:sz w:val="18"/>
                <w:szCs w:val="18"/>
              </w:rPr>
            </w:pPr>
            <w:r>
              <w:rPr>
                <w:rFonts w:ascii="宋体" w:hAnsi="宋体" w:cs="宋体" w:eastAsia="宋体" w:hint="default"/>
                <w:sz w:val="18"/>
                <w:szCs w:val="18"/>
              </w:rPr>
              <w:t>（深圳）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01"/>
              <w:jc w:val="both"/>
              <w:rPr>
                <w:rFonts w:ascii="宋体" w:hAnsi="宋体" w:cs="宋体" w:eastAsia="宋体" w:hint="default"/>
                <w:sz w:val="18"/>
                <w:szCs w:val="18"/>
              </w:rPr>
            </w:pPr>
            <w:r>
              <w:rPr>
                <w:rFonts w:ascii="宋体" w:hAnsi="宋体" w:cs="宋体" w:eastAsia="宋体" w:hint="default"/>
                <w:sz w:val="18"/>
                <w:szCs w:val="18"/>
              </w:rPr>
              <w:t>实际控 制人控 制的企 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4" w:right="101"/>
              <w:jc w:val="left"/>
              <w:rPr>
                <w:rFonts w:ascii="宋体" w:hAnsi="宋体" w:cs="宋体" w:eastAsia="宋体" w:hint="default"/>
                <w:sz w:val="18"/>
                <w:szCs w:val="18"/>
              </w:rPr>
            </w:pPr>
            <w:r>
              <w:rPr>
                <w:rFonts w:ascii="宋体" w:hAnsi="宋体" w:cs="宋体" w:eastAsia="宋体" w:hint="default"/>
                <w:sz w:val="18"/>
                <w:szCs w:val="18"/>
              </w:rPr>
              <w:t>提供劳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维服务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3" w:right="103"/>
              <w:jc w:val="left"/>
              <w:rPr>
                <w:rFonts w:ascii="宋体" w:hAnsi="宋体" w:cs="宋体" w:eastAsia="宋体" w:hint="default"/>
                <w:sz w:val="18"/>
                <w:szCs w:val="18"/>
              </w:rPr>
            </w:pPr>
            <w:r>
              <w:rPr>
                <w:rFonts w:ascii="宋体" w:hAnsi="宋体" w:cs="宋体" w:eastAsia="宋体" w:hint="default"/>
                <w:sz w:val="18"/>
                <w:szCs w:val="18"/>
              </w:rPr>
              <w:t>公允价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3"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0.45</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51" w:right="0"/>
              <w:jc w:val="center"/>
              <w:rPr>
                <w:rFonts w:ascii="Times New Roman" w:hAnsi="Times New Roman" w:cs="Times New Roman" w:eastAsia="Times New Roman" w:hint="default"/>
                <w:sz w:val="18"/>
                <w:szCs w:val="18"/>
              </w:rPr>
            </w:pPr>
            <w:r>
              <w:rPr>
                <w:rFonts w:ascii="Times New Roman"/>
                <w:sz w:val="18"/>
              </w:rPr>
              <w:t>0.00%</w:t>
            </w:r>
          </w:p>
        </w:tc>
        <w:tc>
          <w:tcPr>
            <w:tcW w:w="674" w:type="dxa"/>
            <w:vMerge/>
            <w:tcBorders>
              <w:left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0.45</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3" w:right="71"/>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1339"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深圳市宝 通信息科 技发展有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1"/>
              <w:jc w:val="both"/>
              <w:rPr>
                <w:rFonts w:ascii="宋体" w:hAnsi="宋体" w:cs="宋体" w:eastAsia="宋体" w:hint="default"/>
                <w:sz w:val="18"/>
                <w:szCs w:val="18"/>
              </w:rPr>
            </w:pPr>
            <w:r>
              <w:rPr>
                <w:rFonts w:ascii="宋体" w:hAnsi="宋体" w:cs="宋体" w:eastAsia="宋体" w:hint="default"/>
                <w:sz w:val="18"/>
                <w:szCs w:val="18"/>
              </w:rPr>
              <w:t>实际控 制人控 制的企 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01"/>
              <w:jc w:val="left"/>
              <w:rPr>
                <w:rFonts w:ascii="宋体" w:hAnsi="宋体" w:cs="宋体" w:eastAsia="宋体" w:hint="default"/>
                <w:sz w:val="18"/>
                <w:szCs w:val="18"/>
              </w:rPr>
            </w:pPr>
            <w:r>
              <w:rPr>
                <w:rFonts w:ascii="宋体" w:hAnsi="宋体" w:cs="宋体" w:eastAsia="宋体" w:hint="default"/>
                <w:sz w:val="18"/>
                <w:szCs w:val="18"/>
              </w:rPr>
              <w:t>提供劳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维服务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03"/>
              <w:jc w:val="left"/>
              <w:rPr>
                <w:rFonts w:ascii="宋体" w:hAnsi="宋体" w:cs="宋体" w:eastAsia="宋体" w:hint="default"/>
                <w:sz w:val="18"/>
                <w:szCs w:val="18"/>
              </w:rPr>
            </w:pPr>
            <w:r>
              <w:rPr>
                <w:rFonts w:ascii="宋体" w:hAnsi="宋体" w:cs="宋体" w:eastAsia="宋体" w:hint="default"/>
                <w:sz w:val="18"/>
                <w:szCs w:val="18"/>
              </w:rPr>
              <w:t>公允价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0.03</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51" w:right="0"/>
              <w:jc w:val="center"/>
              <w:rPr>
                <w:rFonts w:ascii="Times New Roman" w:hAnsi="Times New Roman" w:cs="Times New Roman" w:eastAsia="Times New Roman" w:hint="default"/>
                <w:sz w:val="18"/>
                <w:szCs w:val="18"/>
              </w:rPr>
            </w:pPr>
            <w:r>
              <w:rPr>
                <w:rFonts w:ascii="Times New Roman"/>
                <w:sz w:val="18"/>
              </w:rPr>
              <w:t>0.00%</w:t>
            </w:r>
          </w:p>
        </w:tc>
        <w:tc>
          <w:tcPr>
            <w:tcW w:w="674" w:type="dxa"/>
            <w:vMerge/>
            <w:tcBorders>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0.03</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71"/>
              <w:jc w:val="left"/>
              <w:rPr>
                <w:rFonts w:ascii="宋体" w:hAnsi="宋体" w:cs="宋体" w:eastAsia="宋体" w:hint="default"/>
                <w:sz w:val="18"/>
                <w:szCs w:val="18"/>
              </w:rPr>
            </w:pPr>
            <w:r>
              <w:rPr>
                <w:rFonts w:ascii="宋体" w:hAnsi="宋体" w:cs="宋体" w:eastAsia="宋体" w:hint="default"/>
                <w:sz w:val="18"/>
                <w:szCs w:val="18"/>
              </w:rPr>
              <w:t>巨潮资 讯网</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7"/>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5" w:footer="980" w:top="1060" w:bottom="1160" w:left="980" w:right="0"/>
        </w:sectPr>
      </w:pPr>
    </w:p>
    <w:p>
      <w:pPr>
        <w:spacing w:line="319" w:lineRule="auto" w:before="44"/>
        <w:ind w:left="181" w:right="-19" w:firstLine="0"/>
        <w:jc w:val="left"/>
        <w:rPr>
          <w:rFonts w:ascii="宋体" w:hAnsi="宋体" w:cs="宋体" w:eastAsia="宋体" w:hint="default"/>
          <w:sz w:val="18"/>
          <w:szCs w:val="18"/>
        </w:rPr>
      </w:pPr>
      <w:r>
        <w:rPr/>
        <w:pict>
          <v:group style="position:absolute;margin-left:56.400002pt;margin-top:-.968306pt;width:479.05pt;height:556.4pt;mso-position-horizontal-relative:page;mso-position-vertical-relative:paragraph;z-index:-1244344" coordorigin="1128,-19" coordsize="9581,11128">
            <v:group style="position:absolute;left:1138;top:-10;width:791;height:2" coordorigin="1138,-10" coordsize="791,2">
              <v:shape style="position:absolute;left:1138;top:-10;width:791;height:2" coordorigin="1138,-10" coordsize="791,0" path="m1138,-10l1928,-10e" filled="false" stroked="true" strokeweight=".48pt" strokecolor="#000000">
                <v:path arrowok="t"/>
              </v:shape>
            </v:group>
            <v:group style="position:absolute;left:1937;top:-10;width:668;height:2" coordorigin="1937,-10" coordsize="668,2">
              <v:shape style="position:absolute;left:1937;top:-10;width:668;height:2" coordorigin="1937,-10" coordsize="668,0" path="m1937,-10l2604,-10e" filled="false" stroked="true" strokeweight=".48pt" strokecolor="#000000">
                <v:path arrowok="t"/>
              </v:shape>
            </v:group>
            <v:group style="position:absolute;left:2614;top:-10;width:668;height:2" coordorigin="2614,-10" coordsize="668,2">
              <v:shape style="position:absolute;left:2614;top:-10;width:668;height:2" coordorigin="2614,-10" coordsize="668,0" path="m2614,-10l3281,-10e" filled="false" stroked="true" strokeweight=".48pt" strokecolor="#000000">
                <v:path arrowok="t"/>
              </v:shape>
            </v:group>
            <v:group style="position:absolute;left:3291;top:-10;width:695;height:2" coordorigin="3291,-10" coordsize="695,2">
              <v:shape style="position:absolute;left:3291;top:-10;width:695;height:2" coordorigin="3291,-10" coordsize="695,0" path="m3291,-10l3985,-10e" filled="false" stroked="true" strokeweight=".48pt" strokecolor="#000000">
                <v:path arrowok="t"/>
              </v:shape>
            </v:group>
            <v:group style="position:absolute;left:3995;top:-10;width:670;height:2" coordorigin="3995,-10" coordsize="670,2">
              <v:shape style="position:absolute;left:3995;top:-10;width:670;height:2" coordorigin="3995,-10" coordsize="670,0" path="m3995,-10l4664,-10e" filled="false" stroked="true" strokeweight=".48pt" strokecolor="#000000">
                <v:path arrowok="t"/>
              </v:shape>
            </v:group>
            <v:group style="position:absolute;left:4674;top:-10;width:665;height:2" coordorigin="4674,-10" coordsize="665,2">
              <v:shape style="position:absolute;left:4674;top:-10;width:665;height:2" coordorigin="4674,-10" coordsize="665,0" path="m4674,-10l5339,-10e" filled="false" stroked="true" strokeweight=".48pt" strokecolor="#000000">
                <v:path arrowok="t"/>
              </v:shape>
            </v:group>
            <v:group style="position:absolute;left:5348;top:-10;width:665;height:2" coordorigin="5348,-10" coordsize="665,2">
              <v:shape style="position:absolute;left:5348;top:-10;width:665;height:2" coordorigin="5348,-10" coordsize="665,0" path="m5348,-10l6013,-10e" filled="false" stroked="true" strokeweight=".48pt" strokecolor="#000000">
                <v:path arrowok="t"/>
              </v:shape>
            </v:group>
            <v:group style="position:absolute;left:6023;top:-10;width:666;height:2" coordorigin="6023,-10" coordsize="666,2">
              <v:shape style="position:absolute;left:6023;top:-10;width:666;height:2" coordorigin="6023,-10" coordsize="666,0" path="m6023,-10l6688,-10e" filled="false" stroked="true" strokeweight=".48pt" strokecolor="#000000">
                <v:path arrowok="t"/>
              </v:shape>
            </v:group>
            <v:group style="position:absolute;left:1138;top:1327;width:791;height:2" coordorigin="1138,1327" coordsize="791,2">
              <v:shape style="position:absolute;left:1138;top:1327;width:791;height:2" coordorigin="1138,1327" coordsize="791,0" path="m1138,1327l1928,1327e" filled="false" stroked="true" strokeweight=".48pt" strokecolor="#000000">
                <v:path arrowok="t"/>
              </v:shape>
            </v:group>
            <v:group style="position:absolute;left:1937;top:1327;width:668;height:2" coordorigin="1937,1327" coordsize="668,2">
              <v:shape style="position:absolute;left:1937;top:1327;width:668;height:2" coordorigin="1937,1327" coordsize="668,0" path="m1937,1327l2604,1327e" filled="false" stroked="true" strokeweight=".48pt" strokecolor="#000000">
                <v:path arrowok="t"/>
              </v:shape>
            </v:group>
            <v:group style="position:absolute;left:2614;top:1327;width:668;height:2" coordorigin="2614,1327" coordsize="668,2">
              <v:shape style="position:absolute;left:2614;top:1327;width:668;height:2" coordorigin="2614,1327" coordsize="668,0" path="m2614,1327l3281,1327e" filled="false" stroked="true" strokeweight=".48pt" strokecolor="#000000">
                <v:path arrowok="t"/>
              </v:shape>
            </v:group>
            <v:group style="position:absolute;left:3291;top:1327;width:695;height:2" coordorigin="3291,1327" coordsize="695,2">
              <v:shape style="position:absolute;left:3291;top:1327;width:695;height:2" coordorigin="3291,1327" coordsize="695,0" path="m3291,1327l3985,1327e" filled="false" stroked="true" strokeweight=".48pt" strokecolor="#000000">
                <v:path arrowok="t"/>
              </v:shape>
            </v:group>
            <v:group style="position:absolute;left:3995;top:1327;width:670;height:2" coordorigin="3995,1327" coordsize="670,2">
              <v:shape style="position:absolute;left:3995;top:1327;width:670;height:2" coordorigin="3995,1327" coordsize="670,0" path="m3995,1327l4664,1327e" filled="false" stroked="true" strokeweight=".48pt" strokecolor="#000000">
                <v:path arrowok="t"/>
              </v:shape>
            </v:group>
            <v:group style="position:absolute;left:4674;top:1327;width:665;height:2" coordorigin="4674,1327" coordsize="665,2">
              <v:shape style="position:absolute;left:4674;top:1327;width:665;height:2" coordorigin="4674,1327" coordsize="665,0" path="m4674,1327l5339,1327e" filled="false" stroked="true" strokeweight=".48pt" strokecolor="#000000">
                <v:path arrowok="t"/>
              </v:shape>
            </v:group>
            <v:group style="position:absolute;left:5348;top:1327;width:665;height:2" coordorigin="5348,1327" coordsize="665,2">
              <v:shape style="position:absolute;left:5348;top:1327;width:665;height:2" coordorigin="5348,1327" coordsize="665,0" path="m5348,1327l6013,1327e" filled="false" stroked="true" strokeweight=".48pt" strokecolor="#000000">
                <v:path arrowok="t"/>
              </v:shape>
            </v:group>
            <v:group style="position:absolute;left:6023;top:1327;width:666;height:2" coordorigin="6023,1327" coordsize="666,2">
              <v:shape style="position:absolute;left:6023;top:1327;width:666;height:2" coordorigin="6023,1327" coordsize="666,0" path="m6023,1327l6688,1327e" filled="false" stroked="true" strokeweight=".48pt" strokecolor="#000000">
                <v:path arrowok="t"/>
              </v:shape>
            </v:group>
            <v:group style="position:absolute;left:1138;top:2667;width:791;height:2" coordorigin="1138,2667" coordsize="791,2">
              <v:shape style="position:absolute;left:1138;top:2667;width:791;height:2" coordorigin="1138,2667" coordsize="791,0" path="m1138,2667l1928,2667e" filled="false" stroked="true" strokeweight=".48pt" strokecolor="#000000">
                <v:path arrowok="t"/>
              </v:shape>
            </v:group>
            <v:group style="position:absolute;left:1937;top:2667;width:668;height:2" coordorigin="1937,2667" coordsize="668,2">
              <v:shape style="position:absolute;left:1937;top:2667;width:668;height:2" coordorigin="1937,2667" coordsize="668,0" path="m1937,2667l2604,2667e" filled="false" stroked="true" strokeweight=".48pt" strokecolor="#000000">
                <v:path arrowok="t"/>
              </v:shape>
            </v:group>
            <v:group style="position:absolute;left:2614;top:2667;width:668;height:2" coordorigin="2614,2667" coordsize="668,2">
              <v:shape style="position:absolute;left:2614;top:2667;width:668;height:2" coordorigin="2614,2667" coordsize="668,0" path="m2614,2667l3281,2667e" filled="false" stroked="true" strokeweight=".48pt" strokecolor="#000000">
                <v:path arrowok="t"/>
              </v:shape>
            </v:group>
            <v:group style="position:absolute;left:3291;top:2667;width:695;height:2" coordorigin="3291,2667" coordsize="695,2">
              <v:shape style="position:absolute;left:3291;top:2667;width:695;height:2" coordorigin="3291,2667" coordsize="695,0" path="m3291,2667l3985,2667e" filled="false" stroked="true" strokeweight=".48pt" strokecolor="#000000">
                <v:path arrowok="t"/>
              </v:shape>
            </v:group>
            <v:group style="position:absolute;left:3995;top:2667;width:670;height:2" coordorigin="3995,2667" coordsize="670,2">
              <v:shape style="position:absolute;left:3995;top:2667;width:670;height:2" coordorigin="3995,2667" coordsize="670,0" path="m3995,2667l4664,2667e" filled="false" stroked="true" strokeweight=".48pt" strokecolor="#000000">
                <v:path arrowok="t"/>
              </v:shape>
            </v:group>
            <v:group style="position:absolute;left:4674;top:2667;width:665;height:2" coordorigin="4674,2667" coordsize="665,2">
              <v:shape style="position:absolute;left:4674;top:2667;width:665;height:2" coordorigin="4674,2667" coordsize="665,0" path="m4674,2667l5339,2667e" filled="false" stroked="true" strokeweight=".48pt" strokecolor="#000000">
                <v:path arrowok="t"/>
              </v:shape>
            </v:group>
            <v:group style="position:absolute;left:5348;top:2667;width:665;height:2" coordorigin="5348,2667" coordsize="665,2">
              <v:shape style="position:absolute;left:5348;top:2667;width:665;height:2" coordorigin="5348,2667" coordsize="665,0" path="m5348,2667l6013,2667e" filled="false" stroked="true" strokeweight=".48pt" strokecolor="#000000">
                <v:path arrowok="t"/>
              </v:shape>
            </v:group>
            <v:group style="position:absolute;left:6023;top:2667;width:666;height:2" coordorigin="6023,2667" coordsize="666,2">
              <v:shape style="position:absolute;left:6023;top:2667;width:666;height:2" coordorigin="6023,2667" coordsize="666,0" path="m6023,2667l6688,2667e" filled="false" stroked="true" strokeweight=".48pt" strokecolor="#000000">
                <v:path arrowok="t"/>
              </v:shape>
            </v:group>
            <v:group style="position:absolute;left:3997;top:4011;width:670;height:313" coordorigin="3997,4011" coordsize="670,313">
              <v:shape style="position:absolute;left:3997;top:4011;width:670;height:313" coordorigin="3997,4011" coordsize="670,313" path="m3997,4323l4667,4323,4667,4011,3997,4011,3997,4323xe" filled="true" fillcolor="#ffffff" stroked="false">
                <v:path arrowok="t"/>
                <v:fill type="solid"/>
              </v:shape>
            </v:group>
            <v:group style="position:absolute;left:4008;top:4323;width:2;height:704" coordorigin="4008,4323" coordsize="2,704">
              <v:shape style="position:absolute;left:4008;top:4323;width:2;height:704" coordorigin="4008,4323" coordsize="0,704" path="m4008,4323l4008,5026e" filled="false" stroked="true" strokeweight="1.08pt" strokecolor="#ffffff">
                <v:path arrowok="t"/>
              </v:shape>
            </v:group>
            <v:group style="position:absolute;left:1138;top:4003;width:791;height:2" coordorigin="1138,4003" coordsize="791,2">
              <v:shape style="position:absolute;left:1138;top:4003;width:791;height:2" coordorigin="1138,4003" coordsize="791,0" path="m1138,4003l1928,4003e" filled="false" stroked="true" strokeweight=".48001pt" strokecolor="#000000">
                <v:path arrowok="t"/>
              </v:shape>
            </v:group>
            <v:group style="position:absolute;left:1937;top:4003;width:668;height:2" coordorigin="1937,4003" coordsize="668,2">
              <v:shape style="position:absolute;left:1937;top:4003;width:668;height:2" coordorigin="1937,4003" coordsize="668,0" path="m1937,4003l2604,4003e" filled="false" stroked="true" strokeweight=".48001pt" strokecolor="#000000">
                <v:path arrowok="t"/>
              </v:shape>
            </v:group>
            <v:group style="position:absolute;left:2614;top:4003;width:668;height:2" coordorigin="2614,4003" coordsize="668,2">
              <v:shape style="position:absolute;left:2614;top:4003;width:668;height:2" coordorigin="2614,4003" coordsize="668,0" path="m2614,4003l3281,4003e" filled="false" stroked="true" strokeweight=".48001pt" strokecolor="#000000">
                <v:path arrowok="t"/>
              </v:shape>
            </v:group>
            <v:group style="position:absolute;left:3291;top:4003;width:695;height:2" coordorigin="3291,4003" coordsize="695,2">
              <v:shape style="position:absolute;left:3291;top:4003;width:695;height:2" coordorigin="3291,4003" coordsize="695,0" path="m3291,4003l3985,4003e" filled="false" stroked="true" strokeweight=".48001pt" strokecolor="#000000">
                <v:path arrowok="t"/>
              </v:shape>
            </v:group>
            <v:group style="position:absolute;left:3995;top:4003;width:670;height:2" coordorigin="3995,4003" coordsize="670,2">
              <v:shape style="position:absolute;left:3995;top:4003;width:670;height:2" coordorigin="3995,4003" coordsize="670,0" path="m3995,4003l4664,4003e" filled="false" stroked="true" strokeweight=".48001pt" strokecolor="#000000">
                <v:path arrowok="t"/>
              </v:shape>
            </v:group>
            <v:group style="position:absolute;left:4674;top:4003;width:665;height:2" coordorigin="4674,4003" coordsize="665,2">
              <v:shape style="position:absolute;left:4674;top:4003;width:665;height:2" coordorigin="4674,4003" coordsize="665,0" path="m4674,4003l5339,4003e" filled="false" stroked="true" strokeweight=".48001pt" strokecolor="#000000">
                <v:path arrowok="t"/>
              </v:shape>
            </v:group>
            <v:group style="position:absolute;left:5348;top:4003;width:665;height:2" coordorigin="5348,4003" coordsize="665,2">
              <v:shape style="position:absolute;left:5348;top:4003;width:665;height:2" coordorigin="5348,4003" coordsize="665,0" path="m5348,4003l6013,4003e" filled="false" stroked="true" strokeweight=".48001pt" strokecolor="#000000">
                <v:path arrowok="t"/>
              </v:shape>
            </v:group>
            <v:group style="position:absolute;left:6023;top:4003;width:666;height:2" coordorigin="6023,4003" coordsize="666,2">
              <v:shape style="position:absolute;left:6023;top:4003;width:666;height:2" coordorigin="6023,4003" coordsize="666,0" path="m6023,4003l6688,4003e" filled="false" stroked="true" strokeweight=".48001pt" strokecolor="#000000">
                <v:path arrowok="t"/>
              </v:shape>
            </v:group>
            <v:group style="position:absolute;left:6697;top:4003;width:665;height:2" coordorigin="6697,4003" coordsize="665,2">
              <v:shape style="position:absolute;left:6697;top:4003;width:665;height:2" coordorigin="6697,4003" coordsize="665,0" path="m6697,4003l7362,4003e" filled="false" stroked="true" strokeweight=".48001pt" strokecolor="#000000">
                <v:path arrowok="t"/>
              </v:shape>
            </v:group>
            <v:group style="position:absolute;left:7372;top:4003;width:665;height:2" coordorigin="7372,4003" coordsize="665,2">
              <v:shape style="position:absolute;left:7372;top:4003;width:665;height:2" coordorigin="7372,4003" coordsize="665,0" path="m7372,4003l8037,4003e" filled="false" stroked="true" strokeweight=".48001pt" strokecolor="#000000">
                <v:path arrowok="t"/>
              </v:shape>
            </v:group>
            <v:group style="position:absolute;left:8046;top:4003;width:663;height:2" coordorigin="8046,4003" coordsize="663,2">
              <v:shape style="position:absolute;left:8046;top:4003;width:663;height:2" coordorigin="8046,4003" coordsize="663,0" path="m8046,4003l8709,4003e" filled="false" stroked="true" strokeweight=".48001pt" strokecolor="#000000">
                <v:path arrowok="t"/>
              </v:shape>
            </v:group>
            <v:group style="position:absolute;left:8719;top:4003;width:665;height:2" coordorigin="8719,4003" coordsize="665,2">
              <v:shape style="position:absolute;left:8719;top:4003;width:665;height:2" coordorigin="8719,4003" coordsize="665,0" path="m8719,4003l9384,4003e" filled="false" stroked="true" strokeweight=".48001pt" strokecolor="#000000">
                <v:path arrowok="t"/>
              </v:shape>
            </v:group>
            <v:group style="position:absolute;left:9393;top:4003;width:660;height:2" coordorigin="9393,4003" coordsize="660,2">
              <v:shape style="position:absolute;left:9393;top:4003;width:660;height:2" coordorigin="9393,4003" coordsize="660,0" path="m9393,4003l10053,4003e" filled="false" stroked="true" strokeweight=".48001pt" strokecolor="#000000">
                <v:path arrowok="t"/>
              </v:shape>
            </v:group>
            <v:group style="position:absolute;left:10063;top:4003;width:636;height:2" coordorigin="10063,4003" coordsize="636,2">
              <v:shape style="position:absolute;left:10063;top:4003;width:636;height:2" coordorigin="10063,4003" coordsize="636,0" path="m10063,4003l10699,4003e" filled="false" stroked="true" strokeweight=".48001pt" strokecolor="#000000">
                <v:path arrowok="t"/>
              </v:shape>
            </v:group>
            <v:group style="position:absolute;left:3997;top:5348;width:670;height:312" coordorigin="3997,5348" coordsize="670,312">
              <v:shape style="position:absolute;left:3997;top:5348;width:670;height:312" coordorigin="3997,5348" coordsize="670,312" path="m3997,5660l4667,5660,4667,5348,3997,5348,3997,5660xe" filled="true" fillcolor="#ffffff" stroked="false">
                <v:path arrowok="t"/>
                <v:fill type="solid"/>
              </v:shape>
            </v:group>
            <v:group style="position:absolute;left:4008;top:5660;width:2;height:704" coordorigin="4008,5660" coordsize="2,704">
              <v:shape style="position:absolute;left:4008;top:5660;width:2;height:704" coordorigin="4008,5660" coordsize="0,704" path="m4008,5660l4008,6363e" filled="false" stroked="true" strokeweight="1.08pt" strokecolor="#ffffff">
                <v:path arrowok="t"/>
              </v:shape>
            </v:group>
            <v:group style="position:absolute;left:1138;top:5343;width:791;height:2" coordorigin="1138,5343" coordsize="791,2">
              <v:shape style="position:absolute;left:1138;top:5343;width:791;height:2" coordorigin="1138,5343" coordsize="791,0" path="m1138,5343l1928,5343e" filled="false" stroked="true" strokeweight=".47998pt" strokecolor="#000000">
                <v:path arrowok="t"/>
              </v:shape>
            </v:group>
            <v:group style="position:absolute;left:1937;top:5343;width:668;height:2" coordorigin="1937,5343" coordsize="668,2">
              <v:shape style="position:absolute;left:1937;top:5343;width:668;height:2" coordorigin="1937,5343" coordsize="668,0" path="m1937,5343l2604,5343e" filled="false" stroked="true" strokeweight=".47998pt" strokecolor="#000000">
                <v:path arrowok="t"/>
              </v:shape>
            </v:group>
            <v:group style="position:absolute;left:2614;top:5343;width:668;height:2" coordorigin="2614,5343" coordsize="668,2">
              <v:shape style="position:absolute;left:2614;top:5343;width:668;height:2" coordorigin="2614,5343" coordsize="668,0" path="m2614,5343l3281,5343e" filled="false" stroked="true" strokeweight=".47998pt" strokecolor="#000000">
                <v:path arrowok="t"/>
              </v:shape>
            </v:group>
            <v:group style="position:absolute;left:3291;top:5343;width:695;height:2" coordorigin="3291,5343" coordsize="695,2">
              <v:shape style="position:absolute;left:3291;top:5343;width:695;height:2" coordorigin="3291,5343" coordsize="695,0" path="m3291,5343l3985,5343e" filled="false" stroked="true" strokeweight=".47998pt" strokecolor="#000000">
                <v:path arrowok="t"/>
              </v:shape>
            </v:group>
            <v:group style="position:absolute;left:3995;top:5343;width:670;height:2" coordorigin="3995,5343" coordsize="670,2">
              <v:shape style="position:absolute;left:3995;top:5343;width:670;height:2" coordorigin="3995,5343" coordsize="670,0" path="m3995,5343l4664,5343e" filled="false" stroked="true" strokeweight=".47998pt" strokecolor="#000000">
                <v:path arrowok="t"/>
              </v:shape>
            </v:group>
            <v:group style="position:absolute;left:4674;top:5343;width:665;height:2" coordorigin="4674,5343" coordsize="665,2">
              <v:shape style="position:absolute;left:4674;top:5343;width:665;height:2" coordorigin="4674,5343" coordsize="665,0" path="m4674,5343l5339,5343e" filled="false" stroked="true" strokeweight=".47998pt" strokecolor="#000000">
                <v:path arrowok="t"/>
              </v:shape>
            </v:group>
            <v:group style="position:absolute;left:5348;top:5343;width:665;height:2" coordorigin="5348,5343" coordsize="665,2">
              <v:shape style="position:absolute;left:5348;top:5343;width:665;height:2" coordorigin="5348,5343" coordsize="665,0" path="m5348,5343l6013,5343e" filled="false" stroked="true" strokeweight=".47998pt" strokecolor="#000000">
                <v:path arrowok="t"/>
              </v:shape>
            </v:group>
            <v:group style="position:absolute;left:6023;top:5343;width:666;height:2" coordorigin="6023,5343" coordsize="666,2">
              <v:shape style="position:absolute;left:6023;top:5343;width:666;height:2" coordorigin="6023,5343" coordsize="666,0" path="m6023,5343l6688,5343e" filled="false" stroked="true" strokeweight=".47998pt" strokecolor="#000000">
                <v:path arrowok="t"/>
              </v:shape>
            </v:group>
            <v:group style="position:absolute;left:3997;top:6687;width:670;height:624" coordorigin="3997,6687" coordsize="670,624">
              <v:shape style="position:absolute;left:3997;top:6687;width:670;height:624" coordorigin="3997,6687" coordsize="670,624" path="m3997,7311l4667,7311,4667,6687,3997,6687,3997,7311xe" filled="true" fillcolor="#ffffff" stroked="false">
                <v:path arrowok="t"/>
                <v:fill type="solid"/>
              </v:shape>
            </v:group>
            <v:group style="position:absolute;left:1138;top:6680;width:791;height:2" coordorigin="1138,6680" coordsize="791,2">
              <v:shape style="position:absolute;left:1138;top:6680;width:791;height:2" coordorigin="1138,6680" coordsize="791,0" path="m1138,6680l1928,6680e" filled="false" stroked="true" strokeweight=".48001pt" strokecolor="#000000">
                <v:path arrowok="t"/>
              </v:shape>
            </v:group>
            <v:group style="position:absolute;left:1937;top:6680;width:668;height:2" coordorigin="1937,6680" coordsize="668,2">
              <v:shape style="position:absolute;left:1937;top:6680;width:668;height:2" coordorigin="1937,6680" coordsize="668,0" path="m1937,6680l2604,6680e" filled="false" stroked="true" strokeweight=".48001pt" strokecolor="#000000">
                <v:path arrowok="t"/>
              </v:shape>
            </v:group>
            <v:group style="position:absolute;left:2614;top:6680;width:668;height:2" coordorigin="2614,6680" coordsize="668,2">
              <v:shape style="position:absolute;left:2614;top:6680;width:668;height:2" coordorigin="2614,6680" coordsize="668,0" path="m2614,6680l3281,6680e" filled="false" stroked="true" strokeweight=".48001pt" strokecolor="#000000">
                <v:path arrowok="t"/>
              </v:shape>
            </v:group>
            <v:group style="position:absolute;left:3291;top:6680;width:695;height:2" coordorigin="3291,6680" coordsize="695,2">
              <v:shape style="position:absolute;left:3291;top:6680;width:695;height:2" coordorigin="3291,6680" coordsize="695,0" path="m3291,6680l3985,6680e" filled="false" stroked="true" strokeweight=".48001pt" strokecolor="#000000">
                <v:path arrowok="t"/>
              </v:shape>
            </v:group>
            <v:group style="position:absolute;left:3995;top:6680;width:670;height:2" coordorigin="3995,6680" coordsize="670,2">
              <v:shape style="position:absolute;left:3995;top:6680;width:670;height:2" coordorigin="3995,6680" coordsize="670,0" path="m3995,6680l4664,6680e" filled="false" stroked="true" strokeweight=".48001pt" strokecolor="#000000">
                <v:path arrowok="t"/>
              </v:shape>
            </v:group>
            <v:group style="position:absolute;left:4674;top:6680;width:665;height:2" coordorigin="4674,6680" coordsize="665,2">
              <v:shape style="position:absolute;left:4674;top:6680;width:665;height:2" coordorigin="4674,6680" coordsize="665,0" path="m4674,6680l5339,6680e" filled="false" stroked="true" strokeweight=".48001pt" strokecolor="#000000">
                <v:path arrowok="t"/>
              </v:shape>
            </v:group>
            <v:group style="position:absolute;left:5348;top:6680;width:665;height:2" coordorigin="5348,6680" coordsize="665,2">
              <v:shape style="position:absolute;left:5348;top:6680;width:665;height:2" coordorigin="5348,6680" coordsize="665,0" path="m5348,6680l6013,6680e" filled="false" stroked="true" strokeweight=".48001pt" strokecolor="#000000">
                <v:path arrowok="t"/>
              </v:shape>
            </v:group>
            <v:group style="position:absolute;left:6023;top:6680;width:666;height:2" coordorigin="6023,6680" coordsize="666,2">
              <v:shape style="position:absolute;left:6023;top:6680;width:666;height:2" coordorigin="6023,6680" coordsize="666,0" path="m6023,6680l6688,6680e" filled="false" stroked="true" strokeweight=".48001pt" strokecolor="#000000">
                <v:path arrowok="t"/>
              </v:shape>
            </v:group>
            <v:group style="position:absolute;left:6697;top:6680;width:665;height:2" coordorigin="6697,6680" coordsize="665,2">
              <v:shape style="position:absolute;left:6697;top:6680;width:665;height:2" coordorigin="6697,6680" coordsize="665,0" path="m6697,6680l7362,6680e" filled="false" stroked="true" strokeweight=".48001pt" strokecolor="#000000">
                <v:path arrowok="t"/>
              </v:shape>
            </v:group>
            <v:group style="position:absolute;left:7372;top:6680;width:665;height:2" coordorigin="7372,6680" coordsize="665,2">
              <v:shape style="position:absolute;left:7372;top:6680;width:665;height:2" coordorigin="7372,6680" coordsize="665,0" path="m7372,6680l8037,6680e" filled="false" stroked="true" strokeweight=".48001pt" strokecolor="#000000">
                <v:path arrowok="t"/>
              </v:shape>
            </v:group>
            <v:group style="position:absolute;left:8046;top:6680;width:663;height:2" coordorigin="8046,6680" coordsize="663,2">
              <v:shape style="position:absolute;left:8046;top:6680;width:663;height:2" coordorigin="8046,6680" coordsize="663,0" path="m8046,6680l8709,6680e" filled="false" stroked="true" strokeweight=".48001pt" strokecolor="#000000">
                <v:path arrowok="t"/>
              </v:shape>
            </v:group>
            <v:group style="position:absolute;left:8719;top:6680;width:665;height:2" coordorigin="8719,6680" coordsize="665,2">
              <v:shape style="position:absolute;left:8719;top:6680;width:665;height:2" coordorigin="8719,6680" coordsize="665,0" path="m8719,6680l9384,6680e" filled="false" stroked="true" strokeweight=".48001pt" strokecolor="#000000">
                <v:path arrowok="t"/>
              </v:shape>
            </v:group>
            <v:group style="position:absolute;left:9393;top:6680;width:660;height:2" coordorigin="9393,6680" coordsize="660,2">
              <v:shape style="position:absolute;left:9393;top:6680;width:660;height:2" coordorigin="9393,6680" coordsize="660,0" path="m9393,6680l10053,6680e" filled="false" stroked="true" strokeweight=".48001pt" strokecolor="#000000">
                <v:path arrowok="t"/>
              </v:shape>
            </v:group>
            <v:group style="position:absolute;left:10063;top:6680;width:636;height:2" coordorigin="10063,6680" coordsize="636,2">
              <v:shape style="position:absolute;left:10063;top:6680;width:636;height:2" coordorigin="10063,6680" coordsize="636,0" path="m10063,6680l10699,6680e" filled="false" stroked="true" strokeweight=".48001pt" strokecolor="#000000">
                <v:path arrowok="t"/>
              </v:shape>
            </v:group>
            <v:group style="position:absolute;left:1138;top:8644;width:791;height:2" coordorigin="1138,8644" coordsize="791,2">
              <v:shape style="position:absolute;left:1138;top:8644;width:791;height:2" coordorigin="1138,8644" coordsize="791,0" path="m1138,8644l1928,8644e" filled="false" stroked="true" strokeweight=".48001pt" strokecolor="#000000">
                <v:path arrowok="t"/>
              </v:shape>
            </v:group>
            <v:group style="position:absolute;left:1937;top:8644;width:668;height:2" coordorigin="1937,8644" coordsize="668,2">
              <v:shape style="position:absolute;left:1937;top:8644;width:668;height:2" coordorigin="1937,8644" coordsize="668,0" path="m1937,8644l2604,8644e" filled="false" stroked="true" strokeweight=".48001pt" strokecolor="#000000">
                <v:path arrowok="t"/>
              </v:shape>
            </v:group>
            <v:group style="position:absolute;left:2614;top:8644;width:668;height:2" coordorigin="2614,8644" coordsize="668,2">
              <v:shape style="position:absolute;left:2614;top:8644;width:668;height:2" coordorigin="2614,8644" coordsize="668,0" path="m2614,8644l3281,8644e" filled="false" stroked="true" strokeweight=".48001pt" strokecolor="#000000">
                <v:path arrowok="t"/>
              </v:shape>
            </v:group>
            <v:group style="position:absolute;left:3291;top:8644;width:695;height:2" coordorigin="3291,8644" coordsize="695,2">
              <v:shape style="position:absolute;left:3291;top:8644;width:695;height:2" coordorigin="3291,8644" coordsize="695,0" path="m3291,8644l3985,8644e" filled="false" stroked="true" strokeweight=".48001pt" strokecolor="#000000">
                <v:path arrowok="t"/>
              </v:shape>
            </v:group>
            <v:group style="position:absolute;left:3995;top:8644;width:670;height:2" coordorigin="3995,8644" coordsize="670,2">
              <v:shape style="position:absolute;left:3995;top:8644;width:670;height:2" coordorigin="3995,8644" coordsize="670,0" path="m3995,8644l4664,8644e" filled="false" stroked="true" strokeweight=".48001pt" strokecolor="#000000">
                <v:path arrowok="t"/>
              </v:shape>
            </v:group>
            <v:group style="position:absolute;left:4674;top:8644;width:665;height:2" coordorigin="4674,8644" coordsize="665,2">
              <v:shape style="position:absolute;left:4674;top:8644;width:665;height:2" coordorigin="4674,8644" coordsize="665,0" path="m4674,8644l5339,8644e" filled="false" stroked="true" strokeweight=".48001pt" strokecolor="#000000">
                <v:path arrowok="t"/>
              </v:shape>
            </v:group>
            <v:group style="position:absolute;left:5348;top:8644;width:665;height:2" coordorigin="5348,8644" coordsize="665,2">
              <v:shape style="position:absolute;left:5348;top:8644;width:665;height:2" coordorigin="5348,8644" coordsize="665,0" path="m5348,8644l6013,8644e" filled="false" stroked="true" strokeweight=".48001pt" strokecolor="#000000">
                <v:path arrowok="t"/>
              </v:shape>
            </v:group>
            <v:group style="position:absolute;left:6023;top:8644;width:666;height:2" coordorigin="6023,8644" coordsize="666,2">
              <v:shape style="position:absolute;left:6023;top:8644;width:666;height:2" coordorigin="6023,8644" coordsize="666,0" path="m6023,8644l6688,8644e" filled="false" stroked="true" strokeweight=".48001pt" strokecolor="#000000">
                <v:path arrowok="t"/>
              </v:shape>
            </v:group>
            <v:group style="position:absolute;left:6697;top:8644;width:665;height:2" coordorigin="6697,8644" coordsize="665,2">
              <v:shape style="position:absolute;left:6697;top:8644;width:665;height:2" coordorigin="6697,8644" coordsize="665,0" path="m6697,8644l7362,8644e" filled="false" stroked="true" strokeweight=".48001pt" strokecolor="#000000">
                <v:path arrowok="t"/>
              </v:shape>
            </v:group>
            <v:group style="position:absolute;left:7372;top:8644;width:665;height:2" coordorigin="7372,8644" coordsize="665,2">
              <v:shape style="position:absolute;left:7372;top:8644;width:665;height:2" coordorigin="7372,8644" coordsize="665,0" path="m7372,8644l8037,8644e" filled="false" stroked="true" strokeweight=".48001pt" strokecolor="#000000">
                <v:path arrowok="t"/>
              </v:shape>
            </v:group>
            <v:group style="position:absolute;left:8046;top:8644;width:663;height:2" coordorigin="8046,8644" coordsize="663,2">
              <v:shape style="position:absolute;left:8046;top:8644;width:663;height:2" coordorigin="8046,8644" coordsize="663,0" path="m8046,8644l8709,8644e" filled="false" stroked="true" strokeweight=".48001pt" strokecolor="#000000">
                <v:path arrowok="t"/>
              </v:shape>
            </v:group>
            <v:group style="position:absolute;left:8719;top:8644;width:665;height:2" coordorigin="8719,8644" coordsize="665,2">
              <v:shape style="position:absolute;left:8719;top:8644;width:665;height:2" coordorigin="8719,8644" coordsize="665,0" path="m8719,8644l9384,8644e" filled="false" stroked="true" strokeweight=".48001pt" strokecolor="#000000">
                <v:path arrowok="t"/>
              </v:shape>
            </v:group>
            <v:group style="position:absolute;left:9393;top:8644;width:660;height:2" coordorigin="9393,8644" coordsize="660,2">
              <v:shape style="position:absolute;left:9393;top:8644;width:660;height:2" coordorigin="9393,8644" coordsize="660,0" path="m9393,8644l10053,8644e" filled="false" stroked="true" strokeweight=".48001pt" strokecolor="#000000">
                <v:path arrowok="t"/>
              </v:shape>
            </v:group>
            <v:group style="position:absolute;left:10063;top:8644;width:636;height:2" coordorigin="10063,8644" coordsize="636,2">
              <v:shape style="position:absolute;left:10063;top:8644;width:636;height:2" coordorigin="10063,8644" coordsize="636,0" path="m10063,8644l10699,8644e" filled="false" stroked="true" strokeweight=".48001pt" strokecolor="#000000">
                <v:path arrowok="t"/>
              </v:shape>
            </v:group>
            <v:group style="position:absolute;left:1932;top:-15;width:2;height:10000" coordorigin="1932,-15" coordsize="2,10000">
              <v:shape style="position:absolute;left:1932;top:-15;width:2;height:10000" coordorigin="1932,-15" coordsize="0,10000" path="m1932,-15l1932,9985e" filled="false" stroked="true" strokeweight=".48pt" strokecolor="#000000">
                <v:path arrowok="t"/>
              </v:shape>
            </v:group>
            <v:group style="position:absolute;left:2609;top:-15;width:2;height:10000" coordorigin="2609,-15" coordsize="2,10000">
              <v:shape style="position:absolute;left:2609;top:-15;width:2;height:10000" coordorigin="2609,-15" coordsize="0,10000" path="m2609,-15l2609,9985e" filled="false" stroked="true" strokeweight=".48pt" strokecolor="#000000">
                <v:path arrowok="t"/>
              </v:shape>
            </v:group>
            <v:group style="position:absolute;left:3286;top:-15;width:2;height:10000" coordorigin="3286,-15" coordsize="2,10000">
              <v:shape style="position:absolute;left:3286;top:-15;width:2;height:10000" coordorigin="3286,-15" coordsize="0,10000" path="m3286,-15l3286,9985e" filled="false" stroked="true" strokeweight=".48001pt" strokecolor="#000000">
                <v:path arrowok="t"/>
              </v:shape>
            </v:group>
            <v:group style="position:absolute;left:1140;top:9988;width:2845;height:156" coordorigin="1140,9988" coordsize="2845,156">
              <v:shape style="position:absolute;left:1140;top:9988;width:2845;height:156" coordorigin="1140,9988" coordsize="2845,156" path="m1140,10144l3985,10144,3985,9988,1140,9988,1140,10144xe" filled="true" fillcolor="#d2d2d2" stroked="false">
                <v:path arrowok="t"/>
                <v:fill type="solid"/>
              </v:shape>
            </v:group>
            <v:group style="position:absolute;left:1151;top:10144;width:2;height:392" coordorigin="1151,10144" coordsize="2,392">
              <v:shape style="position:absolute;left:1151;top:10144;width:2;height:392" coordorigin="1151,10144" coordsize="0,392" path="m1151,10144l1151,10535e" filled="false" stroked="true" strokeweight="1.08pt" strokecolor="#d2d2d2">
                <v:path arrowok="t"/>
              </v:shape>
            </v:group>
            <v:group style="position:absolute;left:3974;top:10144;width:2;height:392" coordorigin="3974,10144" coordsize="2,392">
              <v:shape style="position:absolute;left:3974;top:10144;width:2;height:392" coordorigin="3974,10144" coordsize="0,392" path="m3974,10144l3974,10535e" filled="false" stroked="true" strokeweight="1.08pt" strokecolor="#d2d2d2">
                <v:path arrowok="t"/>
              </v:shape>
            </v:group>
            <v:group style="position:absolute;left:1140;top:10535;width:2845;height:156" coordorigin="1140,10535" coordsize="2845,156">
              <v:shape style="position:absolute;left:1140;top:10535;width:2845;height:156" coordorigin="1140,10535" coordsize="2845,156" path="m1140,10691l3985,10691,3985,10535,1140,10535,1140,10691xe" filled="true" fillcolor="#d2d2d2" stroked="false">
                <v:path arrowok="t"/>
                <v:fill type="solid"/>
              </v:shape>
            </v:group>
            <v:group style="position:absolute;left:1162;top:10144;width:2802;height:392" coordorigin="1162,10144" coordsize="2802,392">
              <v:shape style="position:absolute;left:1162;top:10144;width:2802;height:392" coordorigin="1162,10144" coordsize="2802,392" path="m1162,10535l3963,10535,3963,10144,1162,10144,1162,10535xe" filled="true" fillcolor="#d2d2d2" stroked="false">
                <v:path arrowok="t"/>
                <v:fill type="solid"/>
              </v:shape>
            </v:group>
            <v:group style="position:absolute;left:3997;top:9988;width:670;height:156" coordorigin="3997,9988" coordsize="670,156">
              <v:shape style="position:absolute;left:3997;top:9988;width:670;height:156" coordorigin="3997,9988" coordsize="670,156" path="m3997,10144l4667,10144,4667,9988,3997,9988,3997,10144xe" filled="true" fillcolor="#d2d2d2" stroked="false">
                <v:path arrowok="t"/>
                <v:fill type="solid"/>
              </v:shape>
            </v:group>
            <v:group style="position:absolute;left:4008;top:10144;width:2;height:392" coordorigin="4008,10144" coordsize="2,392">
              <v:shape style="position:absolute;left:4008;top:10144;width:2;height:392" coordorigin="4008,10144" coordsize="0,392" path="m4008,10144l4008,10535e" filled="false" stroked="true" strokeweight="1.08pt" strokecolor="#d2d2d2">
                <v:path arrowok="t"/>
              </v:shape>
            </v:group>
            <v:group style="position:absolute;left:4655;top:10144;width:2;height:392" coordorigin="4655,10144" coordsize="2,392">
              <v:shape style="position:absolute;left:4655;top:10144;width:2;height:392" coordorigin="4655,10144" coordsize="0,392" path="m4655,10144l4655,10535e" filled="false" stroked="true" strokeweight="1.2pt" strokecolor="#d2d2d2">
                <v:path arrowok="t"/>
              </v:shape>
            </v:group>
            <v:group style="position:absolute;left:3997;top:10535;width:670;height:156" coordorigin="3997,10535" coordsize="670,156">
              <v:shape style="position:absolute;left:3997;top:10535;width:670;height:156" coordorigin="3997,10535" coordsize="670,156" path="m3997,10691l4667,10691,4667,10535,3997,10535,3997,10691xe" filled="true" fillcolor="#d2d2d2" stroked="false">
                <v:path arrowok="t"/>
                <v:fill type="solid"/>
              </v:shape>
            </v:group>
            <v:group style="position:absolute;left:4019;top:10144;width:624;height:392" coordorigin="4019,10144" coordsize="624,392">
              <v:shape style="position:absolute;left:4019;top:10144;width:624;height:392" coordorigin="4019,10144" coordsize="624,392" path="m4019,10535l4643,10535,4643,10144,4019,10144,4019,10535xe" filled="true" fillcolor="#d2d2d2" stroked="false">
                <v:path arrowok="t"/>
                <v:fill type="solid"/>
              </v:shape>
            </v:group>
            <v:group style="position:absolute;left:4676;top:9988;width:665;height:156" coordorigin="4676,9988" coordsize="665,156">
              <v:shape style="position:absolute;left:4676;top:9988;width:665;height:156" coordorigin="4676,9988" coordsize="665,156" path="m4676,10144l5341,10144,5341,9988,4676,9988,4676,10144xe" filled="true" fillcolor="#d2d2d2" stroked="false">
                <v:path arrowok="t"/>
                <v:fill type="solid"/>
              </v:shape>
            </v:group>
            <v:group style="position:absolute;left:4687;top:10144;width:2;height:392" coordorigin="4687,10144" coordsize="2,392">
              <v:shape style="position:absolute;left:4687;top:10144;width:2;height:392" coordorigin="4687,10144" coordsize="0,392" path="m4687,10144l4687,10535e" filled="false" stroked="true" strokeweight="1.08pt" strokecolor="#d2d2d2">
                <v:path arrowok="t"/>
              </v:shape>
            </v:group>
            <v:group style="position:absolute;left:5329;top:10144;width:2;height:392" coordorigin="5329,10144" coordsize="2,392">
              <v:shape style="position:absolute;left:5329;top:10144;width:2;height:392" coordorigin="5329,10144" coordsize="0,392" path="m5329,10144l5329,10535e" filled="false" stroked="true" strokeweight="1.2pt" strokecolor="#d2d2d2">
                <v:path arrowok="t"/>
              </v:shape>
            </v:group>
            <v:group style="position:absolute;left:4676;top:10535;width:665;height:156" coordorigin="4676,10535" coordsize="665,156">
              <v:shape style="position:absolute;left:4676;top:10535;width:665;height:156" coordorigin="4676,10535" coordsize="665,156" path="m4676,10691l5341,10691,5341,10535,4676,10535,4676,10691xe" filled="true" fillcolor="#d2d2d2" stroked="false">
                <v:path arrowok="t"/>
                <v:fill type="solid"/>
              </v:shape>
            </v:group>
            <v:group style="position:absolute;left:4698;top:10144;width:620;height:392" coordorigin="4698,10144" coordsize="620,392">
              <v:shape style="position:absolute;left:4698;top:10144;width:620;height:392" coordorigin="4698,10144" coordsize="620,392" path="m4698,10535l5317,10535,5317,10144,4698,10144,4698,10535xe" filled="true" fillcolor="#d2d2d2" stroked="false">
                <v:path arrowok="t"/>
                <v:fill type="solid"/>
              </v:shape>
            </v:group>
            <v:group style="position:absolute;left:6025;top:9988;width:663;height:156" coordorigin="6025,9988" coordsize="663,156">
              <v:shape style="position:absolute;left:6025;top:9988;width:663;height:156" coordorigin="6025,9988" coordsize="663,156" path="m6025,10144l6688,10144,6688,9988,6025,9988,6025,10144xe" filled="true" fillcolor="#d2d2d2" stroked="false">
                <v:path arrowok="t"/>
                <v:fill type="solid"/>
              </v:shape>
            </v:group>
            <v:group style="position:absolute;left:6036;top:10144;width:2;height:392" coordorigin="6036,10144" coordsize="2,392">
              <v:shape style="position:absolute;left:6036;top:10144;width:2;height:392" coordorigin="6036,10144" coordsize="0,392" path="m6036,10144l6036,10535e" filled="false" stroked="true" strokeweight="1.08pt" strokecolor="#d2d2d2">
                <v:path arrowok="t"/>
              </v:shape>
            </v:group>
            <v:group style="position:absolute;left:6677;top:10144;width:2;height:392" coordorigin="6677,10144" coordsize="2,392">
              <v:shape style="position:absolute;left:6677;top:10144;width:2;height:392" coordorigin="6677,10144" coordsize="0,392" path="m6677,10144l6677,10535e" filled="false" stroked="true" strokeweight="1.08pt" strokecolor="#d2d2d2">
                <v:path arrowok="t"/>
              </v:shape>
            </v:group>
            <v:group style="position:absolute;left:6025;top:10535;width:663;height:156" coordorigin="6025,10535" coordsize="663,156">
              <v:shape style="position:absolute;left:6025;top:10535;width:663;height:156" coordorigin="6025,10535" coordsize="663,156" path="m6025,10691l6688,10691,6688,10535,6025,10535,6025,10691xe" filled="true" fillcolor="#d2d2d2" stroked="false">
                <v:path arrowok="t"/>
                <v:fill type="solid"/>
              </v:shape>
            </v:group>
            <v:group style="position:absolute;left:6047;top:10144;width:620;height:392" coordorigin="6047,10144" coordsize="620,392">
              <v:shape style="position:absolute;left:6047;top:10144;width:620;height:392" coordorigin="6047,10144" coordsize="620,392" path="m6047,10535l6666,10535,6666,10144,6047,10144,6047,10535xe" filled="true" fillcolor="#d2d2d2" stroked="false">
                <v:path arrowok="t"/>
                <v:fill type="solid"/>
              </v:shape>
            </v:group>
            <v:group style="position:absolute;left:7372;top:9988;width:665;height:156" coordorigin="7372,9988" coordsize="665,156">
              <v:shape style="position:absolute;left:7372;top:9988;width:665;height:156" coordorigin="7372,9988" coordsize="665,156" path="m7372,10144l8037,10144,8037,9988,7372,9988,7372,10144xe" filled="true" fillcolor="#d2d2d2" stroked="false">
                <v:path arrowok="t"/>
                <v:fill type="solid"/>
              </v:shape>
            </v:group>
            <v:group style="position:absolute;left:7384;top:10144;width:2;height:392" coordorigin="7384,10144" coordsize="2,392">
              <v:shape style="position:absolute;left:7384;top:10144;width:2;height:392" coordorigin="7384,10144" coordsize="0,392" path="m7384,10144l7384,10535e" filled="false" stroked="true" strokeweight="1.2pt" strokecolor="#d2d2d2">
                <v:path arrowok="t"/>
              </v:shape>
            </v:group>
            <v:group style="position:absolute;left:8025;top:10144;width:2;height:392" coordorigin="8025,10144" coordsize="2,392">
              <v:shape style="position:absolute;left:8025;top:10144;width:2;height:392" coordorigin="8025,10144" coordsize="0,392" path="m8025,10144l8025,10535e" filled="false" stroked="true" strokeweight="1.2pt" strokecolor="#d2d2d2">
                <v:path arrowok="t"/>
              </v:shape>
            </v:group>
            <v:group style="position:absolute;left:7372;top:10535;width:665;height:156" coordorigin="7372,10535" coordsize="665,156">
              <v:shape style="position:absolute;left:7372;top:10535;width:665;height:156" coordorigin="7372,10535" coordsize="665,156" path="m7372,10691l8037,10691,8037,10535,7372,10535,7372,10691xe" filled="true" fillcolor="#d2d2d2" stroked="false">
                <v:path arrowok="t"/>
                <v:fill type="solid"/>
              </v:shape>
            </v:group>
            <v:group style="position:absolute;left:7396;top:10144;width:617;height:392" coordorigin="7396,10144" coordsize="617,392">
              <v:shape style="position:absolute;left:7396;top:10144;width:617;height:392" coordorigin="7396,10144" coordsize="617,392" path="m7396,10535l8013,10535,8013,10144,7396,10144,7396,10535xe" filled="true" fillcolor="#d2d2d2" stroked="false">
                <v:path arrowok="t"/>
                <v:fill type="solid"/>
              </v:shape>
            </v:group>
            <v:group style="position:absolute;left:8046;top:9988;width:666;height:156" coordorigin="8046,9988" coordsize="666,156">
              <v:shape style="position:absolute;left:8046;top:9988;width:666;height:156" coordorigin="8046,9988" coordsize="666,156" path="m8046,10144l8711,10144,8711,9988,8046,9988,8046,10144xe" filled="true" fillcolor="#d2d2d2" stroked="false">
                <v:path arrowok="t"/>
                <v:fill type="solid"/>
              </v:shape>
            </v:group>
            <v:group style="position:absolute;left:8058;top:10144;width:2;height:392" coordorigin="8058,10144" coordsize="2,392">
              <v:shape style="position:absolute;left:8058;top:10144;width:2;height:392" coordorigin="8058,10144" coordsize="0,392" path="m8058,10144l8058,10535e" filled="false" stroked="true" strokeweight="1.2pt" strokecolor="#d2d2d2">
                <v:path arrowok="t"/>
              </v:shape>
            </v:group>
            <v:group style="position:absolute;left:8700;top:10144;width:2;height:392" coordorigin="8700,10144" coordsize="2,392">
              <v:shape style="position:absolute;left:8700;top:10144;width:2;height:392" coordorigin="8700,10144" coordsize="0,392" path="m8700,10144l8700,10535e" filled="false" stroked="true" strokeweight="1.2pt" strokecolor="#d2d2d2">
                <v:path arrowok="t"/>
              </v:shape>
            </v:group>
            <v:group style="position:absolute;left:8046;top:10535;width:666;height:156" coordorigin="8046,10535" coordsize="666,156">
              <v:shape style="position:absolute;left:8046;top:10535;width:666;height:156" coordorigin="8046,10535" coordsize="666,156" path="m8046,10691l8711,10691,8711,10535,8046,10535,8046,10691xe" filled="true" fillcolor="#d2d2d2" stroked="false">
                <v:path arrowok="t"/>
                <v:fill type="solid"/>
              </v:shape>
            </v:group>
            <v:group style="position:absolute;left:8070;top:10144;width:618;height:392" coordorigin="8070,10144" coordsize="618,392">
              <v:shape style="position:absolute;left:8070;top:10144;width:618;height:392" coordorigin="8070,10144" coordsize="618,392" path="m8070,10535l8687,10535,8687,10144,8070,10144,8070,10535xe" filled="true" fillcolor="#d2d2d2" stroked="false">
                <v:path arrowok="t"/>
                <v:fill type="solid"/>
              </v:shape>
            </v:group>
            <v:group style="position:absolute;left:8721;top:9988;width:665;height:156" coordorigin="8721,9988" coordsize="665,156">
              <v:shape style="position:absolute;left:8721;top:9988;width:665;height:156" coordorigin="8721,9988" coordsize="665,156" path="m8721,10144l9386,10144,9386,9988,8721,9988,8721,10144xe" filled="true" fillcolor="#d2d2d2" stroked="false">
                <v:path arrowok="t"/>
                <v:fill type="solid"/>
              </v:shape>
            </v:group>
            <v:group style="position:absolute;left:8732;top:10144;width:2;height:392" coordorigin="8732,10144" coordsize="2,392">
              <v:shape style="position:absolute;left:8732;top:10144;width:2;height:392" coordorigin="8732,10144" coordsize="0,392" path="m8732,10144l8732,10535e" filled="false" stroked="true" strokeweight="1.08pt" strokecolor="#d2d2d2">
                <v:path arrowok="t"/>
              </v:shape>
            </v:group>
            <v:group style="position:absolute;left:9374;top:10144;width:2;height:392" coordorigin="9374,10144" coordsize="2,392">
              <v:shape style="position:absolute;left:9374;top:10144;width:2;height:392" coordorigin="9374,10144" coordsize="0,392" path="m9374,10144l9374,10535e" filled="false" stroked="true" strokeweight="1.2pt" strokecolor="#d2d2d2">
                <v:path arrowok="t"/>
              </v:shape>
            </v:group>
            <v:group style="position:absolute;left:8721;top:10535;width:665;height:156" coordorigin="8721,10535" coordsize="665,156">
              <v:shape style="position:absolute;left:8721;top:10535;width:665;height:156" coordorigin="8721,10535" coordsize="665,156" path="m8721,10691l9386,10691,9386,10535,8721,10535,8721,10691xe" filled="true" fillcolor="#d2d2d2" stroked="false">
                <v:path arrowok="t"/>
                <v:fill type="solid"/>
              </v:shape>
            </v:group>
            <v:group style="position:absolute;left:8743;top:10144;width:620;height:392" coordorigin="8743,10144" coordsize="620,392">
              <v:shape style="position:absolute;left:8743;top:10144;width:620;height:392" coordorigin="8743,10144" coordsize="620,392" path="m8743,10535l9362,10535,9362,10144,8743,10144,8743,10535xe" filled="true" fillcolor="#d2d2d2" stroked="false">
                <v:path arrowok="t"/>
                <v:fill type="solid"/>
              </v:shape>
            </v:group>
            <v:group style="position:absolute;left:9396;top:9988;width:660;height:156" coordorigin="9396,9988" coordsize="660,156">
              <v:shape style="position:absolute;left:9396;top:9988;width:660;height:156" coordorigin="9396,9988" coordsize="660,156" path="m9396,10144l10056,10144,10056,9988,9396,9988,9396,10144xe" filled="true" fillcolor="#d2d2d2" stroked="false">
                <v:path arrowok="t"/>
                <v:fill type="solid"/>
              </v:shape>
            </v:group>
            <v:group style="position:absolute;left:9406;top:10144;width:2;height:392" coordorigin="9406,10144" coordsize="2,392">
              <v:shape style="position:absolute;left:9406;top:10144;width:2;height:392" coordorigin="9406,10144" coordsize="0,392" path="m9406,10144l9406,10535e" filled="false" stroked="true" strokeweight="1.08pt" strokecolor="#d2d2d2">
                <v:path arrowok="t"/>
              </v:shape>
            </v:group>
            <v:group style="position:absolute;left:10044;top:10144;width:2;height:392" coordorigin="10044,10144" coordsize="2,392">
              <v:shape style="position:absolute;left:10044;top:10144;width:2;height:392" coordorigin="10044,10144" coordsize="0,392" path="m10044,10144l10044,10535e" filled="false" stroked="true" strokeweight="1.2pt" strokecolor="#d2d2d2">
                <v:path arrowok="t"/>
              </v:shape>
            </v:group>
            <v:group style="position:absolute;left:9396;top:10535;width:660;height:156" coordorigin="9396,10535" coordsize="660,156">
              <v:shape style="position:absolute;left:9396;top:10535;width:660;height:156" coordorigin="9396,10535" coordsize="660,156" path="m9396,10691l10056,10691,10056,10535,9396,10535,9396,10691xe" filled="true" fillcolor="#d2d2d2" stroked="false">
                <v:path arrowok="t"/>
                <v:fill type="solid"/>
              </v:shape>
            </v:group>
            <v:group style="position:absolute;left:9417;top:10144;width:615;height:392" coordorigin="9417,10144" coordsize="615,392">
              <v:shape style="position:absolute;left:9417;top:10144;width:615;height:392" coordorigin="9417,10144" coordsize="615,392" path="m9417,10535l10032,10535,10032,10144,9417,10144,9417,10535xe" filled="true" fillcolor="#d2d2d2" stroked="false">
                <v:path arrowok="t"/>
                <v:fill type="solid"/>
              </v:shape>
            </v:group>
            <v:group style="position:absolute;left:10065;top:9988;width:634;height:156" coordorigin="10065,9988" coordsize="634,156">
              <v:shape style="position:absolute;left:10065;top:9988;width:634;height:156" coordorigin="10065,9988" coordsize="634,156" path="m10065,10144l10699,10144,10699,9988,10065,9988,10065,10144xe" filled="true" fillcolor="#d2d2d2" stroked="false">
                <v:path arrowok="t"/>
                <v:fill type="solid"/>
              </v:shape>
            </v:group>
            <v:group style="position:absolute;left:10076;top:10144;width:2;height:392" coordorigin="10076,10144" coordsize="2,392">
              <v:shape style="position:absolute;left:10076;top:10144;width:2;height:392" coordorigin="10076,10144" coordsize="0,392" path="m10076,10144l10076,10535e" filled="false" stroked="true" strokeweight="1.08pt" strokecolor="#d2d2d2">
                <v:path arrowok="t"/>
              </v:shape>
            </v:group>
            <v:group style="position:absolute;left:10688;top:10144;width:2;height:392" coordorigin="10688,10144" coordsize="2,392">
              <v:shape style="position:absolute;left:10688;top:10144;width:2;height:392" coordorigin="10688,10144" coordsize="0,392" path="m10688,10144l10688,10535e" filled="false" stroked="true" strokeweight="1.08pt" strokecolor="#d2d2d2">
                <v:path arrowok="t"/>
              </v:shape>
            </v:group>
            <v:group style="position:absolute;left:10065;top:10535;width:634;height:156" coordorigin="10065,10535" coordsize="634,156">
              <v:shape style="position:absolute;left:10065;top:10535;width:634;height:156" coordorigin="10065,10535" coordsize="634,156" path="m10065,10691l10699,10691,10699,10535,10065,10535,10065,10691xe" filled="true" fillcolor="#d2d2d2" stroked="false">
                <v:path arrowok="t"/>
                <v:fill type="solid"/>
              </v:shape>
            </v:group>
            <v:group style="position:absolute;left:10087;top:10144;width:591;height:392" coordorigin="10087,10144" coordsize="591,392">
              <v:shape style="position:absolute;left:10087;top:10144;width:591;height:392" coordorigin="10087,10144" coordsize="591,392" path="m10087,10535l10677,10535,10677,10144,10087,10144,10087,10535xe" filled="true" fillcolor="#d2d2d2" stroked="false">
                <v:path arrowok="t"/>
                <v:fill type="solid"/>
              </v:shape>
            </v:group>
            <v:group style="position:absolute;left:1138;top:9980;width:791;height:2" coordorigin="1138,9980" coordsize="791,2">
              <v:shape style="position:absolute;left:1138;top:9980;width:791;height:2" coordorigin="1138,9980" coordsize="791,0" path="m1138,9980l1928,9980e" filled="false" stroked="true" strokeweight=".47998pt" strokecolor="#000000">
                <v:path arrowok="t"/>
              </v:shape>
            </v:group>
            <v:group style="position:absolute;left:1937;top:9980;width:668;height:2" coordorigin="1937,9980" coordsize="668,2">
              <v:shape style="position:absolute;left:1937;top:9980;width:668;height:2" coordorigin="1937,9980" coordsize="668,0" path="m1937,9980l2604,9980e" filled="false" stroked="true" strokeweight=".47998pt" strokecolor="#000000">
                <v:path arrowok="t"/>
              </v:shape>
            </v:group>
            <v:group style="position:absolute;left:2614;top:9980;width:668;height:2" coordorigin="2614,9980" coordsize="668,2">
              <v:shape style="position:absolute;left:2614;top:9980;width:668;height:2" coordorigin="2614,9980" coordsize="668,0" path="m2614,9980l3281,9980e" filled="false" stroked="true" strokeweight=".47998pt" strokecolor="#000000">
                <v:path arrowok="t"/>
              </v:shape>
            </v:group>
            <v:group style="position:absolute;left:3291;top:9980;width:695;height:2" coordorigin="3291,9980" coordsize="695,2">
              <v:shape style="position:absolute;left:3291;top:9980;width:695;height:2" coordorigin="3291,9980" coordsize="695,0" path="m3291,9980l3985,9980e" filled="false" stroked="true" strokeweight=".47998pt" strokecolor="#000000">
                <v:path arrowok="t"/>
              </v:shape>
            </v:group>
            <v:group style="position:absolute;left:3995;top:9980;width:670;height:2" coordorigin="3995,9980" coordsize="670,2">
              <v:shape style="position:absolute;left:3995;top:9980;width:670;height:2" coordorigin="3995,9980" coordsize="670,0" path="m3995,9980l4664,9980e" filled="false" stroked="true" strokeweight=".47998pt" strokecolor="#000000">
                <v:path arrowok="t"/>
              </v:shape>
            </v:group>
            <v:group style="position:absolute;left:4674;top:9980;width:665;height:2" coordorigin="4674,9980" coordsize="665,2">
              <v:shape style="position:absolute;left:4674;top:9980;width:665;height:2" coordorigin="4674,9980" coordsize="665,0" path="m4674,9980l5339,9980e" filled="false" stroked="true" strokeweight=".47998pt" strokecolor="#000000">
                <v:path arrowok="t"/>
              </v:shape>
            </v:group>
            <v:group style="position:absolute;left:5348;top:9980;width:665;height:2" coordorigin="5348,9980" coordsize="665,2">
              <v:shape style="position:absolute;left:5348;top:9980;width:665;height:2" coordorigin="5348,9980" coordsize="665,0" path="m5348,9980l6013,9980e" filled="false" stroked="true" strokeweight=".47998pt" strokecolor="#000000">
                <v:path arrowok="t"/>
              </v:shape>
            </v:group>
            <v:group style="position:absolute;left:6023;top:9980;width:666;height:2" coordorigin="6023,9980" coordsize="666,2">
              <v:shape style="position:absolute;left:6023;top:9980;width:666;height:2" coordorigin="6023,9980" coordsize="666,0" path="m6023,9980l6688,9980e" filled="false" stroked="true" strokeweight=".47998pt" strokecolor="#000000">
                <v:path arrowok="t"/>
              </v:shape>
            </v:group>
            <v:group style="position:absolute;left:6697;top:9980;width:665;height:2" coordorigin="6697,9980" coordsize="665,2">
              <v:shape style="position:absolute;left:6697;top:9980;width:665;height:2" coordorigin="6697,9980" coordsize="665,0" path="m6697,9980l7362,9980e" filled="false" stroked="true" strokeweight=".47998pt" strokecolor="#000000">
                <v:path arrowok="t"/>
              </v:shape>
            </v:group>
            <v:group style="position:absolute;left:7372;top:9980;width:665;height:2" coordorigin="7372,9980" coordsize="665,2">
              <v:shape style="position:absolute;left:7372;top:9980;width:665;height:2" coordorigin="7372,9980" coordsize="665,0" path="m7372,9980l8037,9980e" filled="false" stroked="true" strokeweight=".47998pt" strokecolor="#000000">
                <v:path arrowok="t"/>
              </v:shape>
            </v:group>
            <v:group style="position:absolute;left:8046;top:9980;width:663;height:2" coordorigin="8046,9980" coordsize="663,2">
              <v:shape style="position:absolute;left:8046;top:9980;width:663;height:2" coordorigin="8046,9980" coordsize="663,0" path="m8046,9980l8709,9980e" filled="false" stroked="true" strokeweight=".47998pt" strokecolor="#000000">
                <v:path arrowok="t"/>
              </v:shape>
            </v:group>
            <v:group style="position:absolute;left:8719;top:9980;width:665;height:2" coordorigin="8719,9980" coordsize="665,2">
              <v:shape style="position:absolute;left:8719;top:9980;width:665;height:2" coordorigin="8719,9980" coordsize="665,0" path="m8719,9980l9384,9980e" filled="false" stroked="true" strokeweight=".47998pt" strokecolor="#000000">
                <v:path arrowok="t"/>
              </v:shape>
            </v:group>
            <v:group style="position:absolute;left:9393;top:9980;width:660;height:2" coordorigin="9393,9980" coordsize="660,2">
              <v:shape style="position:absolute;left:9393;top:9980;width:660;height:2" coordorigin="9393,9980" coordsize="660,0" path="m9393,9980l10053,9980e" filled="false" stroked="true" strokeweight=".47998pt" strokecolor="#000000">
                <v:path arrowok="t"/>
              </v:shape>
            </v:group>
            <v:group style="position:absolute;left:10063;top:9980;width:636;height:2" coordorigin="10063,9980" coordsize="636,2">
              <v:shape style="position:absolute;left:10063;top:9980;width:636;height:2" coordorigin="10063,9980" coordsize="636,0" path="m10063,9980l10699,9980e" filled="false" stroked="true" strokeweight=".47998pt" strokecolor="#000000">
                <v:path arrowok="t"/>
              </v:shape>
            </v:group>
            <v:group style="position:absolute;left:4669;top:-15;width:2;height:10715" coordorigin="4669,-15" coordsize="2,10715">
              <v:shape style="position:absolute;left:4669;top:-15;width:2;height:10715" coordorigin="4669,-15" coordsize="0,10715" path="m4669,-15l4669,10700e" filled="false" stroked="true" strokeweight=".48pt" strokecolor="#000000">
                <v:path arrowok="t"/>
              </v:shape>
            </v:group>
            <v:group style="position:absolute;left:5343;top:-15;width:2;height:10715" coordorigin="5343,-15" coordsize="2,10715">
              <v:shape style="position:absolute;left:5343;top:-15;width:2;height:10715" coordorigin="5343,-15" coordsize="0,10715" path="m5343,-15l5343,10700e" filled="false" stroked="true" strokeweight=".47998pt" strokecolor="#000000">
                <v:path arrowok="t"/>
              </v:shape>
            </v:group>
            <v:group style="position:absolute;left:6018;top:-15;width:2;height:10715" coordorigin="6018,-15" coordsize="2,10715">
              <v:shape style="position:absolute;left:6018;top:-15;width:2;height:10715" coordorigin="6018,-15" coordsize="0,10715" path="m6018,-15l6018,10700e" filled="false" stroked="true" strokeweight=".47998pt" strokecolor="#000000">
                <v:path arrowok="t"/>
              </v:shape>
            </v:group>
            <v:group style="position:absolute;left:6693;top:-15;width:2;height:10715" coordorigin="6693,-15" coordsize="2,10715">
              <v:shape style="position:absolute;left:6693;top:-15;width:2;height:10715" coordorigin="6693,-15" coordsize="0,10715" path="m6693,-15l6693,10700e" filled="false" stroked="true" strokeweight=".48001pt" strokecolor="#000000">
                <v:path arrowok="t"/>
              </v:shape>
            </v:group>
            <v:group style="position:absolute;left:7372;top:-10;width:665;height:2" coordorigin="7372,-10" coordsize="665,2">
              <v:shape style="position:absolute;left:7372;top:-10;width:665;height:2" coordorigin="7372,-10" coordsize="665,0" path="m7372,-10l8037,-10e" filled="false" stroked="true" strokeweight=".48pt" strokecolor="#000000">
                <v:path arrowok="t"/>
              </v:shape>
            </v:group>
            <v:group style="position:absolute;left:8046;top:-10;width:663;height:2" coordorigin="8046,-10" coordsize="663,2">
              <v:shape style="position:absolute;left:8046;top:-10;width:663;height:2" coordorigin="8046,-10" coordsize="663,0" path="m8046,-10l8709,-10e" filled="false" stroked="true" strokeweight=".48pt" strokecolor="#000000">
                <v:path arrowok="t"/>
              </v:shape>
            </v:group>
            <v:group style="position:absolute;left:8719;top:-10;width:665;height:2" coordorigin="8719,-10" coordsize="665,2">
              <v:shape style="position:absolute;left:8719;top:-10;width:665;height:2" coordorigin="8719,-10" coordsize="665,0" path="m8719,-10l9384,-10e" filled="false" stroked="true" strokeweight=".48pt" strokecolor="#000000">
                <v:path arrowok="t"/>
              </v:shape>
            </v:group>
            <v:group style="position:absolute;left:9393;top:-10;width:660;height:2" coordorigin="9393,-10" coordsize="660,2">
              <v:shape style="position:absolute;left:9393;top:-10;width:660;height:2" coordorigin="9393,-10" coordsize="660,0" path="m9393,-10l10053,-10e" filled="false" stroked="true" strokeweight=".48pt" strokecolor="#000000">
                <v:path arrowok="t"/>
              </v:shape>
            </v:group>
            <v:group style="position:absolute;left:10063;top:-10;width:636;height:2" coordorigin="10063,-10" coordsize="636,2">
              <v:shape style="position:absolute;left:10063;top:-10;width:636;height:2" coordorigin="10063,-10" coordsize="636,0" path="m10063,-10l10699,-10e" filled="false" stroked="true" strokeweight=".48pt" strokecolor="#000000">
                <v:path arrowok="t"/>
              </v:shape>
            </v:group>
            <v:group style="position:absolute;left:7372;top:1327;width:665;height:2" coordorigin="7372,1327" coordsize="665,2">
              <v:shape style="position:absolute;left:7372;top:1327;width:665;height:2" coordorigin="7372,1327" coordsize="665,0" path="m7372,1327l8037,1327e" filled="false" stroked="true" strokeweight=".48pt" strokecolor="#000000">
                <v:path arrowok="t"/>
              </v:shape>
            </v:group>
            <v:group style="position:absolute;left:8046;top:1327;width:663;height:2" coordorigin="8046,1327" coordsize="663,2">
              <v:shape style="position:absolute;left:8046;top:1327;width:663;height:2" coordorigin="8046,1327" coordsize="663,0" path="m8046,1327l8709,1327e" filled="false" stroked="true" strokeweight=".48pt" strokecolor="#000000">
                <v:path arrowok="t"/>
              </v:shape>
            </v:group>
            <v:group style="position:absolute;left:8719;top:1327;width:665;height:2" coordorigin="8719,1327" coordsize="665,2">
              <v:shape style="position:absolute;left:8719;top:1327;width:665;height:2" coordorigin="8719,1327" coordsize="665,0" path="m8719,1327l9384,1327e" filled="false" stroked="true" strokeweight=".48pt" strokecolor="#000000">
                <v:path arrowok="t"/>
              </v:shape>
            </v:group>
            <v:group style="position:absolute;left:9393;top:1327;width:660;height:2" coordorigin="9393,1327" coordsize="660,2">
              <v:shape style="position:absolute;left:9393;top:1327;width:660;height:2" coordorigin="9393,1327" coordsize="660,0" path="m9393,1327l10053,1327e" filled="false" stroked="true" strokeweight=".48pt" strokecolor="#000000">
                <v:path arrowok="t"/>
              </v:shape>
            </v:group>
            <v:group style="position:absolute;left:10063;top:1327;width:636;height:2" coordorigin="10063,1327" coordsize="636,2">
              <v:shape style="position:absolute;left:10063;top:1327;width:636;height:2" coordorigin="10063,1327" coordsize="636,0" path="m10063,1327l10699,1327e" filled="false" stroked="true" strokeweight=".48pt" strokecolor="#000000">
                <v:path arrowok="t"/>
              </v:shape>
            </v:group>
            <v:group style="position:absolute;left:7372;top:2667;width:665;height:2" coordorigin="7372,2667" coordsize="665,2">
              <v:shape style="position:absolute;left:7372;top:2667;width:665;height:2" coordorigin="7372,2667" coordsize="665,0" path="m7372,2667l8037,2667e" filled="false" stroked="true" strokeweight=".48pt" strokecolor="#000000">
                <v:path arrowok="t"/>
              </v:shape>
            </v:group>
            <v:group style="position:absolute;left:8046;top:2667;width:663;height:2" coordorigin="8046,2667" coordsize="663,2">
              <v:shape style="position:absolute;left:8046;top:2667;width:663;height:2" coordorigin="8046,2667" coordsize="663,0" path="m8046,2667l8709,2667e" filled="false" stroked="true" strokeweight=".48pt" strokecolor="#000000">
                <v:path arrowok="t"/>
              </v:shape>
            </v:group>
            <v:group style="position:absolute;left:8719;top:2667;width:665;height:2" coordorigin="8719,2667" coordsize="665,2">
              <v:shape style="position:absolute;left:8719;top:2667;width:665;height:2" coordorigin="8719,2667" coordsize="665,0" path="m8719,2667l9384,2667e" filled="false" stroked="true" strokeweight=".48pt" strokecolor="#000000">
                <v:path arrowok="t"/>
              </v:shape>
            </v:group>
            <v:group style="position:absolute;left:9393;top:2667;width:660;height:2" coordorigin="9393,2667" coordsize="660,2">
              <v:shape style="position:absolute;left:9393;top:2667;width:660;height:2" coordorigin="9393,2667" coordsize="660,0" path="m9393,2667l10053,2667e" filled="false" stroked="true" strokeweight=".48pt" strokecolor="#000000">
                <v:path arrowok="t"/>
              </v:shape>
            </v:group>
            <v:group style="position:absolute;left:10063;top:2667;width:636;height:2" coordorigin="10063,2667" coordsize="636,2">
              <v:shape style="position:absolute;left:10063;top:2667;width:636;height:2" coordorigin="10063,2667" coordsize="636,0" path="m10063,2667l10699,2667e" filled="false" stroked="true" strokeweight=".48pt" strokecolor="#000000">
                <v:path arrowok="t"/>
              </v:shape>
            </v:group>
            <v:group style="position:absolute;left:7372;top:5343;width:665;height:2" coordorigin="7372,5343" coordsize="665,2">
              <v:shape style="position:absolute;left:7372;top:5343;width:665;height:2" coordorigin="7372,5343" coordsize="665,0" path="m7372,5343l8037,5343e" filled="false" stroked="true" strokeweight=".47998pt" strokecolor="#000000">
                <v:path arrowok="t"/>
              </v:shape>
            </v:group>
            <v:group style="position:absolute;left:8046;top:5343;width:663;height:2" coordorigin="8046,5343" coordsize="663,2">
              <v:shape style="position:absolute;left:8046;top:5343;width:663;height:2" coordorigin="8046,5343" coordsize="663,0" path="m8046,5343l8709,5343e" filled="false" stroked="true" strokeweight=".47998pt" strokecolor="#000000">
                <v:path arrowok="t"/>
              </v:shape>
            </v:group>
            <v:group style="position:absolute;left:8719;top:5343;width:665;height:2" coordorigin="8719,5343" coordsize="665,2">
              <v:shape style="position:absolute;left:8719;top:5343;width:665;height:2" coordorigin="8719,5343" coordsize="665,0" path="m8719,5343l9384,5343e" filled="false" stroked="true" strokeweight=".47998pt" strokecolor="#000000">
                <v:path arrowok="t"/>
              </v:shape>
            </v:group>
            <v:group style="position:absolute;left:9393;top:5343;width:660;height:2" coordorigin="9393,5343" coordsize="660,2">
              <v:shape style="position:absolute;left:9393;top:5343;width:660;height:2" coordorigin="9393,5343" coordsize="660,0" path="m9393,5343l10053,5343e" filled="false" stroked="true" strokeweight=".47998pt" strokecolor="#000000">
                <v:path arrowok="t"/>
              </v:shape>
            </v:group>
            <v:group style="position:absolute;left:10063;top:5343;width:636;height:2" coordorigin="10063,5343" coordsize="636,2">
              <v:shape style="position:absolute;left:10063;top:5343;width:636;height:2" coordorigin="10063,5343" coordsize="636,0" path="m10063,5343l10699,5343e" filled="false" stroked="true" strokeweight=".47998pt" strokecolor="#000000">
                <v:path arrowok="t"/>
              </v:shape>
            </v:group>
            <v:group style="position:absolute;left:7367;top:-15;width:2;height:10715" coordorigin="7367,-15" coordsize="2,10715">
              <v:shape style="position:absolute;left:7367;top:-15;width:2;height:10715" coordorigin="7367,-15" coordsize="0,10715" path="m7367,-15l7367,10700e" filled="false" stroked="true" strokeweight=".48001pt" strokecolor="#000000">
                <v:path arrowok="t"/>
              </v:shape>
            </v:group>
            <v:group style="position:absolute;left:8041;top:-15;width:2;height:10715" coordorigin="8041,-15" coordsize="2,10715">
              <v:shape style="position:absolute;left:8041;top:-15;width:2;height:10715" coordorigin="8041,-15" coordsize="0,10715" path="m8041,-15l8041,10700e" filled="false" stroked="true" strokeweight=".48001pt" strokecolor="#000000">
                <v:path arrowok="t"/>
              </v:shape>
            </v:group>
            <v:group style="position:absolute;left:8714;top:-15;width:2;height:10715" coordorigin="8714,-15" coordsize="2,10715">
              <v:shape style="position:absolute;left:8714;top:-15;width:2;height:10715" coordorigin="8714,-15" coordsize="0,10715" path="m8714,-15l8714,10700e" filled="false" stroked="true" strokeweight=".48001pt" strokecolor="#000000">
                <v:path arrowok="t"/>
              </v:shape>
            </v:group>
            <v:group style="position:absolute;left:9388;top:-15;width:2;height:10715" coordorigin="9388,-15" coordsize="2,10715">
              <v:shape style="position:absolute;left:9388;top:-15;width:2;height:10715" coordorigin="9388,-15" coordsize="0,10715" path="m9388,-15l9388,10700e" filled="false" stroked="true" strokeweight=".48001pt" strokecolor="#000000">
                <v:path arrowok="t"/>
              </v:shape>
            </v:group>
            <v:group style="position:absolute;left:10058;top:-15;width:2;height:10715" coordorigin="10058,-15" coordsize="2,10715">
              <v:shape style="position:absolute;left:10058;top:-15;width:2;height:10715" coordorigin="10058,-15" coordsize="0,10715" path="m10058,-15l10058,10700e" filled="false" stroked="true" strokeweight=".48001pt" strokecolor="#000000">
                <v:path arrowok="t"/>
              </v:shape>
            </v:group>
            <v:group style="position:absolute;left:1151;top:10700;width:2;height:392" coordorigin="1151,10700" coordsize="2,392">
              <v:shape style="position:absolute;left:1151;top:10700;width:2;height:392" coordorigin="1151,10700" coordsize="0,392" path="m1151,10700l1151,11092e" filled="false" stroked="true" strokeweight="1.08pt" strokecolor="#d2d2d2">
                <v:path arrowok="t"/>
              </v:shape>
            </v:group>
            <v:group style="position:absolute;left:3974;top:10700;width:2;height:392" coordorigin="3974,10700" coordsize="2,392">
              <v:shape style="position:absolute;left:3974;top:10700;width:2;height:392" coordorigin="3974,10700" coordsize="0,392" path="m3974,10700l3974,11092e" filled="false" stroked="true" strokeweight="1.08pt" strokecolor="#d2d2d2">
                <v:path arrowok="t"/>
              </v:shape>
            </v:group>
            <v:group style="position:absolute;left:1162;top:10700;width:2802;height:392" coordorigin="1162,10700" coordsize="2802,392">
              <v:shape style="position:absolute;left:1162;top:10700;width:2802;height:392" coordorigin="1162,10700" coordsize="2802,392" path="m1162,11092l3963,11092,3963,10700,1162,10700,1162,11092xe" filled="true" fillcolor="#d2d2d2" stroked="false">
                <v:path arrowok="t"/>
                <v:fill type="solid"/>
              </v:shape>
            </v:group>
            <v:group style="position:absolute;left:1138;top:10696;width:2848;height:2" coordorigin="1138,10696" coordsize="2848,2">
              <v:shape style="position:absolute;left:1138;top:10696;width:2848;height:2" coordorigin="1138,10696" coordsize="2848,0" path="m1138,10696l3985,10696e" filled="false" stroked="true" strokeweight=".47998pt" strokecolor="#000000">
                <v:path arrowok="t"/>
              </v:shape>
            </v:group>
            <v:group style="position:absolute;left:3995;top:10696;width:670;height:2" coordorigin="3995,10696" coordsize="670,2">
              <v:shape style="position:absolute;left:3995;top:10696;width:670;height:2" coordorigin="3995,10696" coordsize="670,0" path="m3995,10696l4664,10696e" filled="false" stroked="true" strokeweight=".47998pt" strokecolor="#000000">
                <v:path arrowok="t"/>
              </v:shape>
            </v:group>
            <v:group style="position:absolute;left:4674;top:10696;width:665;height:2" coordorigin="4674,10696" coordsize="665,2">
              <v:shape style="position:absolute;left:4674;top:10696;width:665;height:2" coordorigin="4674,10696" coordsize="665,0" path="m4674,10696l5339,10696e" filled="false" stroked="true" strokeweight=".47998pt" strokecolor="#000000">
                <v:path arrowok="t"/>
              </v:shape>
            </v:group>
            <v:group style="position:absolute;left:5348;top:10696;width:665;height:2" coordorigin="5348,10696" coordsize="665,2">
              <v:shape style="position:absolute;left:5348;top:10696;width:665;height:2" coordorigin="5348,10696" coordsize="665,0" path="m5348,10696l6013,10696e" filled="false" stroked="true" strokeweight=".47998pt" strokecolor="#000000">
                <v:path arrowok="t"/>
              </v:shape>
            </v:group>
            <v:group style="position:absolute;left:6023;top:10696;width:666;height:2" coordorigin="6023,10696" coordsize="666,2">
              <v:shape style="position:absolute;left:6023;top:10696;width:666;height:2" coordorigin="6023,10696" coordsize="666,0" path="m6023,10696l6688,10696e" filled="false" stroked="true" strokeweight=".47998pt" strokecolor="#000000">
                <v:path arrowok="t"/>
              </v:shape>
            </v:group>
            <v:group style="position:absolute;left:6697;top:10696;width:665;height:2" coordorigin="6697,10696" coordsize="665,2">
              <v:shape style="position:absolute;left:6697;top:10696;width:665;height:2" coordorigin="6697,10696" coordsize="665,0" path="m6697,10696l7362,10696e" filled="false" stroked="true" strokeweight=".47998pt" strokecolor="#000000">
                <v:path arrowok="t"/>
              </v:shape>
            </v:group>
            <v:group style="position:absolute;left:7372;top:10696;width:665;height:2" coordorigin="7372,10696" coordsize="665,2">
              <v:shape style="position:absolute;left:7372;top:10696;width:665;height:2" coordorigin="7372,10696" coordsize="665,0" path="m7372,10696l8037,10696e" filled="false" stroked="true" strokeweight=".47998pt" strokecolor="#000000">
                <v:path arrowok="t"/>
              </v:shape>
            </v:group>
            <v:group style="position:absolute;left:8046;top:10696;width:663;height:2" coordorigin="8046,10696" coordsize="663,2">
              <v:shape style="position:absolute;left:8046;top:10696;width:663;height:2" coordorigin="8046,10696" coordsize="663,0" path="m8046,10696l8709,10696e" filled="false" stroked="true" strokeweight=".47998pt" strokecolor="#000000">
                <v:path arrowok="t"/>
              </v:shape>
            </v:group>
            <v:group style="position:absolute;left:8719;top:10696;width:665;height:2" coordorigin="8719,10696" coordsize="665,2">
              <v:shape style="position:absolute;left:8719;top:10696;width:665;height:2" coordorigin="8719,10696" coordsize="665,0" path="m8719,10696l9384,10696e" filled="false" stroked="true" strokeweight=".47998pt" strokecolor="#000000">
                <v:path arrowok="t"/>
              </v:shape>
            </v:group>
            <v:group style="position:absolute;left:9393;top:10696;width:660;height:2" coordorigin="9393,10696" coordsize="660,2">
              <v:shape style="position:absolute;left:9393;top:10696;width:660;height:2" coordorigin="9393,10696" coordsize="660,0" path="m9393,10696l10053,10696e" filled="false" stroked="true" strokeweight=".47998pt" strokecolor="#000000">
                <v:path arrowok="t"/>
              </v:shape>
            </v:group>
            <v:group style="position:absolute;left:10063;top:10696;width:636;height:2" coordorigin="10063,10696" coordsize="636,2">
              <v:shape style="position:absolute;left:10063;top:10696;width:636;height:2" coordorigin="10063,10696" coordsize="636,0" path="m10063,10696l10699,10696e" filled="false" stroked="true" strokeweight=".47998pt" strokecolor="#000000">
                <v:path arrowok="t"/>
              </v:shape>
            </v:group>
            <v:group style="position:absolute;left:1133;top:-15;width:2;height:11119" coordorigin="1133,-15" coordsize="2,11119">
              <v:shape style="position:absolute;left:1133;top:-15;width:2;height:11119" coordorigin="1133,-15" coordsize="0,11119" path="m1133,-15l1133,11104e" filled="false" stroked="true" strokeweight=".48pt" strokecolor="#000000">
                <v:path arrowok="t"/>
              </v:shape>
            </v:group>
            <v:group style="position:absolute;left:1138;top:11099;width:2848;height:2" coordorigin="1138,11099" coordsize="2848,2">
              <v:shape style="position:absolute;left:1138;top:11099;width:2848;height:2" coordorigin="1138,11099" coordsize="2848,0" path="m1138,11099l3985,11099e" filled="false" stroked="true" strokeweight=".47998pt" strokecolor="#000000">
                <v:path arrowok="t"/>
              </v:shape>
            </v:group>
            <v:group style="position:absolute;left:3990;top:-15;width:2;height:11119" coordorigin="3990,-15" coordsize="2,11119">
              <v:shape style="position:absolute;left:3990;top:-15;width:2;height:11119" coordorigin="3990,-15" coordsize="0,11119" path="m3990,-15l3990,11104e" filled="false" stroked="true" strokeweight=".48pt" strokecolor="#000000">
                <v:path arrowok="t"/>
              </v:shape>
            </v:group>
            <v:group style="position:absolute;left:3995;top:11099;width:6705;height:2" coordorigin="3995,11099" coordsize="6705,2">
              <v:shape style="position:absolute;left:3995;top:11099;width:6705;height:2" coordorigin="3995,11099" coordsize="6705,0" path="m3995,11099l10699,11099e" filled="false" stroked="true" strokeweight=".47998pt" strokecolor="#000000">
                <v:path arrowok="t"/>
              </v:shape>
            </v:group>
            <v:group style="position:absolute;left:10704;top:-15;width:2;height:11119" coordorigin="10704,-15" coordsize="2,11119">
              <v:shape style="position:absolute;left:10704;top:-15;width:2;height:11119" coordorigin="10704,-15" coordsize="0,11119" path="m10704,-15l10704,11104e" filled="false" stroked="true" strokeweight=".47998pt" strokecolor="#000000">
                <v:path arrowok="t"/>
              </v:shape>
            </v:group>
            <w10:wrap type="none"/>
          </v:group>
        </w:pict>
      </w:r>
      <w:r>
        <w:rPr>
          <w:rFonts w:ascii="宋体" w:hAnsi="宋体" w:cs="宋体" w:eastAsia="宋体" w:hint="default"/>
          <w:sz w:val="18"/>
          <w:szCs w:val="18"/>
        </w:rPr>
        <w:t>深圳鸿德</w:t>
      </w:r>
      <w:r>
        <w:rPr>
          <w:rFonts w:ascii="宋体" w:hAnsi="宋体" w:cs="宋体" w:eastAsia="宋体" w:hint="default"/>
          <w:spacing w:val="-11"/>
          <w:sz w:val="18"/>
          <w:szCs w:val="18"/>
        </w:rPr>
        <w:t> </w:t>
      </w:r>
      <w:r>
        <w:rPr>
          <w:rFonts w:ascii="宋体" w:hAnsi="宋体" w:cs="宋体" w:eastAsia="宋体" w:hint="default"/>
          <w:sz w:val="18"/>
          <w:szCs w:val="18"/>
        </w:rPr>
        <w:t>实际控</w:t>
      </w:r>
      <w:r>
        <w:rPr>
          <w:rFonts w:ascii="宋体" w:hAnsi="宋体" w:cs="宋体" w:eastAsia="宋体" w:hint="default"/>
          <w:sz w:val="18"/>
          <w:szCs w:val="18"/>
        </w:rPr>
        <w:t> 房地产开</w:t>
      </w:r>
      <w:r>
        <w:rPr>
          <w:rFonts w:ascii="宋体" w:hAnsi="宋体" w:cs="宋体" w:eastAsia="宋体" w:hint="default"/>
          <w:spacing w:val="-11"/>
          <w:sz w:val="18"/>
          <w:szCs w:val="18"/>
        </w:rPr>
        <w:t> </w:t>
      </w:r>
      <w:r>
        <w:rPr>
          <w:rFonts w:ascii="宋体" w:hAnsi="宋体" w:cs="宋体" w:eastAsia="宋体" w:hint="default"/>
          <w:sz w:val="18"/>
          <w:szCs w:val="18"/>
        </w:rPr>
        <w:t>制人控</w:t>
      </w:r>
    </w:p>
    <w:p>
      <w:pPr>
        <w:spacing w:line="240" w:lineRule="auto" w:before="0"/>
        <w:rPr>
          <w:rFonts w:ascii="宋体" w:hAnsi="宋体" w:cs="宋体" w:eastAsia="宋体" w:hint="default"/>
          <w:sz w:val="18"/>
          <w:szCs w:val="18"/>
        </w:rPr>
      </w:pPr>
      <w:r>
        <w:rPr/>
        <w:br w:type="column"/>
      </w:r>
      <w:r>
        <w:rPr>
          <w:rFonts w:ascii="宋体"/>
          <w:sz w:val="18"/>
        </w:rPr>
      </w:r>
    </w:p>
    <w:p>
      <w:pPr>
        <w:spacing w:before="121"/>
        <w:ind w:left="96" w:right="-20" w:firstLine="0"/>
        <w:jc w:val="left"/>
        <w:rPr>
          <w:rFonts w:ascii="宋体" w:hAnsi="宋体" w:cs="宋体" w:eastAsia="宋体" w:hint="default"/>
          <w:sz w:val="18"/>
          <w:szCs w:val="18"/>
        </w:rPr>
      </w:pPr>
      <w:r>
        <w:rPr>
          <w:rFonts w:ascii="宋体" w:hAnsi="宋体" w:cs="宋体" w:eastAsia="宋体" w:hint="default"/>
          <w:sz w:val="18"/>
          <w:szCs w:val="18"/>
        </w:rPr>
        <w:t>提供劳</w:t>
      </w:r>
    </w:p>
    <w:p>
      <w:pPr>
        <w:spacing w:line="240" w:lineRule="auto" w:before="0"/>
        <w:rPr>
          <w:rFonts w:ascii="宋体" w:hAnsi="宋体" w:cs="宋体" w:eastAsia="宋体" w:hint="default"/>
          <w:sz w:val="18"/>
          <w:szCs w:val="18"/>
        </w:rPr>
      </w:pPr>
      <w:r>
        <w:rPr/>
        <w:br w:type="column"/>
      </w:r>
      <w:r>
        <w:rPr>
          <w:rFonts w:ascii="宋体"/>
          <w:sz w:val="18"/>
        </w:rPr>
      </w:r>
    </w:p>
    <w:p>
      <w:pPr>
        <w:spacing w:before="121"/>
        <w:ind w:left="96"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w:t>
      </w:r>
    </w:p>
    <w:p>
      <w:pPr>
        <w:spacing w:line="240" w:lineRule="auto" w:before="0"/>
        <w:rPr>
          <w:rFonts w:ascii="宋体" w:hAnsi="宋体" w:cs="宋体" w:eastAsia="宋体" w:hint="default"/>
          <w:sz w:val="18"/>
          <w:szCs w:val="18"/>
        </w:rPr>
      </w:pPr>
      <w:r>
        <w:rPr/>
        <w:br w:type="column"/>
      </w:r>
      <w:r>
        <w:rPr>
          <w:rFonts w:ascii="宋体"/>
          <w:sz w:val="18"/>
        </w:rPr>
      </w:r>
    </w:p>
    <w:p>
      <w:pPr>
        <w:spacing w:before="121"/>
        <w:ind w:left="128" w:right="-20" w:firstLine="0"/>
        <w:jc w:val="left"/>
        <w:rPr>
          <w:rFonts w:ascii="宋体" w:hAnsi="宋体" w:cs="宋体" w:eastAsia="宋体" w:hint="default"/>
          <w:sz w:val="18"/>
          <w:szCs w:val="18"/>
        </w:rPr>
      </w:pPr>
      <w:r>
        <w:rPr>
          <w:rFonts w:ascii="宋体" w:hAnsi="宋体" w:cs="宋体" w:eastAsia="宋体" w:hint="default"/>
          <w:sz w:val="18"/>
          <w:szCs w:val="18"/>
        </w:rPr>
        <w:t>公允价</w:t>
      </w:r>
    </w:p>
    <w:p>
      <w:pPr>
        <w:spacing w:line="240" w:lineRule="auto" w:before="0"/>
        <w:rPr>
          <w:rFonts w:ascii="宋体" w:hAnsi="宋体" w:cs="宋体" w:eastAsia="宋体" w:hint="default"/>
          <w:sz w:val="18"/>
          <w:szCs w:val="18"/>
        </w:rPr>
      </w:pPr>
      <w:r>
        <w:rPr/>
        <w:br w:type="column"/>
      </w:r>
      <w:r>
        <w:rPr>
          <w:rFonts w:ascii="宋体"/>
          <w:sz w:val="18"/>
        </w:rPr>
      </w:r>
    </w:p>
    <w:p>
      <w:pPr>
        <w:spacing w:before="121"/>
        <w:ind w:left="99" w:right="-20" w:firstLine="0"/>
        <w:jc w:val="left"/>
        <w:rPr>
          <w:rFonts w:ascii="宋体" w:hAnsi="宋体" w:cs="宋体" w:eastAsia="宋体" w:hint="default"/>
          <w:sz w:val="18"/>
          <w:szCs w:val="18"/>
        </w:rPr>
      </w:pPr>
      <w:r>
        <w:rPr>
          <w:rFonts w:ascii="宋体" w:hAnsi="宋体" w:cs="宋体" w:eastAsia="宋体" w:hint="default"/>
          <w:sz w:val="18"/>
          <w:szCs w:val="18"/>
        </w:rPr>
        <w:t>市场价</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21"/>
          <w:szCs w:val="21"/>
        </w:rPr>
      </w:pPr>
    </w:p>
    <w:p>
      <w:pPr>
        <w:tabs>
          <w:tab w:pos="704" w:val="left" w:leader="none"/>
          <w:tab w:pos="1902" w:val="left" w:leader="none"/>
          <w:tab w:pos="2577" w:val="left" w:leader="none"/>
          <w:tab w:pos="3249" w:val="left" w:leader="none"/>
        </w:tabs>
        <w:spacing w:line="212" w:lineRule="exact" w:before="0"/>
        <w:ind w:left="181" w:right="-15"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5.09</w:t>
        <w:tab/>
      </w:r>
      <w:r>
        <w:rPr>
          <w:rFonts w:ascii="Times New Roman" w:hAnsi="Times New Roman" w:cs="Times New Roman" w:eastAsia="Times New Roman" w:hint="default"/>
          <w:sz w:val="18"/>
          <w:szCs w:val="18"/>
        </w:rPr>
        <w:t>0.05%</w:t>
        <w:tab/>
      </w:r>
      <w:r>
        <w:rPr>
          <w:rFonts w:ascii="宋体" w:hAnsi="宋体" w:cs="宋体" w:eastAsia="宋体" w:hint="default"/>
          <w:sz w:val="18"/>
          <w:szCs w:val="18"/>
        </w:rPr>
        <w:t>否</w:t>
        <w:tab/>
        <w:t>现金</w:t>
        <w:tab/>
      </w:r>
      <w:r>
        <w:rPr>
          <w:rFonts w:ascii="Times New Roman" w:hAnsi="Times New Roman" w:cs="Times New Roman" w:eastAsia="Times New Roman" w:hint="default"/>
          <w:spacing w:val="-1"/>
          <w:sz w:val="18"/>
          <w:szCs w:val="18"/>
        </w:rPr>
        <w:t>5.09</w:t>
      </w:r>
    </w:p>
    <w:p>
      <w:pPr>
        <w:spacing w:before="44"/>
        <w:ind w:left="181" w:right="0"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年</w:t>
      </w:r>
    </w:p>
    <w:p>
      <w:pPr>
        <w:spacing w:before="63"/>
        <w:ind w:left="18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巨潮资</w:t>
      </w:r>
    </w:p>
    <w:p>
      <w:pPr>
        <w:spacing w:after="0"/>
        <w:jc w:val="left"/>
        <w:rPr>
          <w:rFonts w:ascii="宋体" w:hAnsi="宋体" w:cs="宋体" w:eastAsia="宋体" w:hint="default"/>
          <w:sz w:val="18"/>
          <w:szCs w:val="18"/>
        </w:rPr>
        <w:sectPr>
          <w:type w:val="continuous"/>
          <w:pgSz w:w="11910" w:h="16840"/>
          <w:pgMar w:top="1060" w:bottom="1160" w:left="980" w:right="0"/>
          <w:cols w:num="7" w:equalWidth="0">
            <w:col w:w="1522" w:space="40"/>
            <w:col w:w="637" w:space="40"/>
            <w:col w:w="632" w:space="40"/>
            <w:col w:w="669" w:space="40"/>
            <w:col w:w="640" w:space="255"/>
            <w:col w:w="3565" w:space="177"/>
            <w:col w:w="2673"/>
          </w:cols>
        </w:sectPr>
      </w:pPr>
    </w:p>
    <w:p>
      <w:pPr>
        <w:spacing w:line="180" w:lineRule="exact" w:before="0"/>
        <w:ind w:left="181" w:right="-18" w:firstLine="0"/>
        <w:jc w:val="left"/>
        <w:rPr>
          <w:rFonts w:ascii="宋体" w:hAnsi="宋体" w:cs="宋体" w:eastAsia="宋体" w:hint="default"/>
          <w:sz w:val="18"/>
          <w:szCs w:val="18"/>
        </w:rPr>
      </w:pPr>
      <w:r>
        <w:rPr>
          <w:rFonts w:ascii="宋体" w:hAnsi="宋体" w:cs="宋体" w:eastAsia="宋体" w:hint="default"/>
          <w:sz w:val="18"/>
          <w:szCs w:val="18"/>
        </w:rPr>
        <w:t>发有限公 制的企</w:t>
      </w:r>
      <w:r>
        <w:rPr>
          <w:rFonts w:ascii="宋体" w:hAnsi="宋体" w:cs="宋体" w:eastAsia="宋体" w:hint="default"/>
          <w:spacing w:val="35"/>
          <w:sz w:val="18"/>
          <w:szCs w:val="18"/>
        </w:rPr>
        <w:t> </w:t>
      </w:r>
      <w:r>
        <w:rPr>
          <w:rFonts w:ascii="宋体" w:hAnsi="宋体" w:cs="宋体" w:eastAsia="宋体" w:hint="default"/>
          <w:sz w:val="18"/>
          <w:szCs w:val="18"/>
        </w:rPr>
        <w:t>务</w:t>
      </w:r>
    </w:p>
    <w:p>
      <w:pPr>
        <w:tabs>
          <w:tab w:pos="1564" w:val="left" w:leader="none"/>
        </w:tabs>
        <w:spacing w:line="180" w:lineRule="exact" w:before="0"/>
        <w:ind w:left="18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维服务</w:t>
      </w:r>
      <w:r>
        <w:rPr>
          <w:rFonts w:ascii="宋体" w:hAnsi="宋体" w:cs="宋体" w:eastAsia="宋体" w:hint="default"/>
          <w:spacing w:val="73"/>
          <w:sz w:val="18"/>
          <w:szCs w:val="18"/>
        </w:rPr>
        <w:t> </w:t>
      </w:r>
      <w:r>
        <w:rPr>
          <w:rFonts w:ascii="宋体" w:hAnsi="宋体" w:cs="宋体" w:eastAsia="宋体" w:hint="default"/>
          <w:sz w:val="18"/>
          <w:szCs w:val="18"/>
        </w:rPr>
        <w:t>格</w:t>
        <w:tab/>
        <w:t>格</w:t>
      </w:r>
    </w:p>
    <w:p>
      <w:pPr>
        <w:tabs>
          <w:tab w:pos="851" w:val="left" w:leader="none"/>
        </w:tabs>
        <w:spacing w:line="180" w:lineRule="exact" w:before="0"/>
        <w:ind w:left="181"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日</w:t>
        <w:tab/>
        <w:t>讯网</w:t>
      </w:r>
    </w:p>
    <w:p>
      <w:pPr>
        <w:spacing w:after="0" w:line="180" w:lineRule="exact"/>
        <w:jc w:val="left"/>
        <w:rPr>
          <w:rFonts w:ascii="宋体" w:hAnsi="宋体" w:cs="宋体" w:eastAsia="宋体" w:hint="default"/>
          <w:sz w:val="18"/>
          <w:szCs w:val="18"/>
        </w:rPr>
        <w:sectPr>
          <w:type w:val="continuous"/>
          <w:pgSz w:w="11910" w:h="16840"/>
          <w:pgMar w:top="1060" w:bottom="1160" w:left="980" w:right="0"/>
          <w:cols w:num="3" w:equalWidth="0">
            <w:col w:w="1839" w:space="315"/>
            <w:col w:w="1745" w:space="4357"/>
            <w:col w:w="2674"/>
          </w:cols>
        </w:sectPr>
      </w:pPr>
    </w:p>
    <w:p>
      <w:pPr>
        <w:tabs>
          <w:tab w:pos="981" w:val="left" w:leader="none"/>
        </w:tabs>
        <w:spacing w:before="76"/>
        <w:ind w:left="181" w:right="996" w:firstLine="0"/>
        <w:jc w:val="left"/>
        <w:rPr>
          <w:rFonts w:ascii="宋体" w:hAnsi="宋体" w:cs="宋体" w:eastAsia="宋体" w:hint="default"/>
          <w:sz w:val="18"/>
          <w:szCs w:val="18"/>
        </w:rPr>
      </w:pPr>
      <w:r>
        <w:rPr>
          <w:rFonts w:ascii="宋体" w:hAnsi="宋体" w:cs="宋体" w:eastAsia="宋体" w:hint="default"/>
          <w:sz w:val="18"/>
          <w:szCs w:val="18"/>
        </w:rPr>
        <w:t>司</w:t>
        <w:tab/>
        <w:t>业</w:t>
      </w: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314" w:lineRule="auto" w:before="44"/>
        <w:ind w:left="181" w:right="-19" w:firstLine="0"/>
        <w:jc w:val="left"/>
        <w:rPr>
          <w:rFonts w:ascii="宋体" w:hAnsi="宋体" w:cs="宋体" w:eastAsia="宋体" w:hint="default"/>
          <w:sz w:val="18"/>
          <w:szCs w:val="18"/>
        </w:rPr>
      </w:pPr>
      <w:r>
        <w:rPr>
          <w:rFonts w:ascii="宋体" w:hAnsi="宋体" w:cs="宋体" w:eastAsia="宋体" w:hint="default"/>
          <w:sz w:val="18"/>
          <w:szCs w:val="18"/>
        </w:rPr>
        <w:t>贵州金沙</w:t>
      </w:r>
      <w:r>
        <w:rPr>
          <w:rFonts w:ascii="宋体" w:hAnsi="宋体" w:cs="宋体" w:eastAsia="宋体" w:hint="default"/>
          <w:spacing w:val="-11"/>
          <w:sz w:val="18"/>
          <w:szCs w:val="18"/>
        </w:rPr>
        <w:t> </w:t>
      </w:r>
      <w:r>
        <w:rPr>
          <w:rFonts w:ascii="宋体" w:hAnsi="宋体" w:cs="宋体" w:eastAsia="宋体" w:hint="default"/>
          <w:sz w:val="18"/>
          <w:szCs w:val="18"/>
        </w:rPr>
        <w:t>实际控</w:t>
      </w:r>
      <w:r>
        <w:rPr>
          <w:rFonts w:ascii="宋体" w:hAnsi="宋体" w:cs="宋体" w:eastAsia="宋体" w:hint="default"/>
          <w:sz w:val="18"/>
          <w:szCs w:val="18"/>
        </w:rPr>
        <w:t> 安底斗酒</w:t>
      </w:r>
      <w:r>
        <w:rPr>
          <w:rFonts w:ascii="宋体" w:hAnsi="宋体" w:cs="宋体" w:eastAsia="宋体" w:hint="default"/>
          <w:spacing w:val="-11"/>
          <w:sz w:val="18"/>
          <w:szCs w:val="18"/>
        </w:rPr>
        <w:t> </w:t>
      </w:r>
      <w:r>
        <w:rPr>
          <w:rFonts w:ascii="宋体" w:hAnsi="宋体" w:cs="宋体" w:eastAsia="宋体" w:hint="default"/>
          <w:sz w:val="18"/>
          <w:szCs w:val="18"/>
        </w:rPr>
        <w:t>制人控</w:t>
      </w:r>
    </w:p>
    <w:p>
      <w:pPr>
        <w:spacing w:line="240" w:lineRule="auto" w:before="0"/>
        <w:rPr>
          <w:rFonts w:ascii="宋体" w:hAnsi="宋体" w:cs="宋体" w:eastAsia="宋体" w:hint="default"/>
          <w:sz w:val="18"/>
          <w:szCs w:val="18"/>
        </w:rPr>
      </w:pPr>
      <w:r>
        <w:rPr/>
        <w:br w:type="column"/>
      </w:r>
      <w:r>
        <w:rPr>
          <w:rFonts w:ascii="宋体"/>
          <w:sz w:val="18"/>
        </w:rPr>
      </w:r>
    </w:p>
    <w:p>
      <w:pPr>
        <w:spacing w:before="121"/>
        <w:ind w:left="96" w:right="-20" w:firstLine="0"/>
        <w:jc w:val="left"/>
        <w:rPr>
          <w:rFonts w:ascii="宋体" w:hAnsi="宋体" w:cs="宋体" w:eastAsia="宋体" w:hint="default"/>
          <w:sz w:val="18"/>
          <w:szCs w:val="18"/>
        </w:rPr>
      </w:pPr>
      <w:r>
        <w:rPr>
          <w:rFonts w:ascii="宋体" w:hAnsi="宋体" w:cs="宋体" w:eastAsia="宋体" w:hint="default"/>
          <w:sz w:val="18"/>
          <w:szCs w:val="18"/>
        </w:rPr>
        <w:t>提供劳</w:t>
      </w:r>
    </w:p>
    <w:p>
      <w:pPr>
        <w:spacing w:line="240" w:lineRule="auto" w:before="0"/>
        <w:rPr>
          <w:rFonts w:ascii="宋体" w:hAnsi="宋体" w:cs="宋体" w:eastAsia="宋体" w:hint="default"/>
          <w:sz w:val="18"/>
          <w:szCs w:val="18"/>
        </w:rPr>
      </w:pPr>
      <w:r>
        <w:rPr/>
        <w:br w:type="column"/>
      </w:r>
      <w:r>
        <w:rPr>
          <w:rFonts w:ascii="宋体"/>
          <w:sz w:val="18"/>
        </w:rPr>
      </w:r>
    </w:p>
    <w:p>
      <w:pPr>
        <w:spacing w:before="121"/>
        <w:ind w:left="96"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w:t>
      </w:r>
    </w:p>
    <w:p>
      <w:pPr>
        <w:spacing w:line="240" w:lineRule="auto" w:before="0"/>
        <w:rPr>
          <w:rFonts w:ascii="宋体" w:hAnsi="宋体" w:cs="宋体" w:eastAsia="宋体" w:hint="default"/>
          <w:sz w:val="18"/>
          <w:szCs w:val="18"/>
        </w:rPr>
      </w:pPr>
      <w:r>
        <w:rPr/>
        <w:br w:type="column"/>
      </w:r>
      <w:r>
        <w:rPr>
          <w:rFonts w:ascii="宋体"/>
          <w:sz w:val="18"/>
        </w:rPr>
      </w:r>
    </w:p>
    <w:p>
      <w:pPr>
        <w:spacing w:before="121"/>
        <w:ind w:left="128" w:right="-20" w:firstLine="0"/>
        <w:jc w:val="left"/>
        <w:rPr>
          <w:rFonts w:ascii="宋体" w:hAnsi="宋体" w:cs="宋体" w:eastAsia="宋体" w:hint="default"/>
          <w:sz w:val="18"/>
          <w:szCs w:val="18"/>
        </w:rPr>
      </w:pPr>
      <w:r>
        <w:rPr>
          <w:rFonts w:ascii="宋体" w:hAnsi="宋体" w:cs="宋体" w:eastAsia="宋体" w:hint="default"/>
          <w:sz w:val="18"/>
          <w:szCs w:val="18"/>
        </w:rPr>
        <w:t>公允价</w:t>
      </w:r>
    </w:p>
    <w:p>
      <w:pPr>
        <w:spacing w:line="240" w:lineRule="auto" w:before="0"/>
        <w:rPr>
          <w:rFonts w:ascii="宋体" w:hAnsi="宋体" w:cs="宋体" w:eastAsia="宋体" w:hint="default"/>
          <w:sz w:val="18"/>
          <w:szCs w:val="18"/>
        </w:rPr>
      </w:pPr>
      <w:r>
        <w:rPr/>
        <w:br w:type="column"/>
      </w:r>
      <w:r>
        <w:rPr>
          <w:rFonts w:ascii="宋体"/>
          <w:sz w:val="18"/>
        </w:rPr>
      </w:r>
    </w:p>
    <w:p>
      <w:pPr>
        <w:spacing w:before="121"/>
        <w:ind w:left="99" w:right="-20" w:firstLine="0"/>
        <w:jc w:val="left"/>
        <w:rPr>
          <w:rFonts w:ascii="宋体" w:hAnsi="宋体" w:cs="宋体" w:eastAsia="宋体" w:hint="default"/>
          <w:sz w:val="18"/>
          <w:szCs w:val="18"/>
        </w:rPr>
      </w:pPr>
      <w:r>
        <w:rPr>
          <w:rFonts w:ascii="宋体" w:hAnsi="宋体" w:cs="宋体" w:eastAsia="宋体" w:hint="default"/>
          <w:sz w:val="18"/>
          <w:szCs w:val="18"/>
        </w:rPr>
        <w:t>市场价</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1"/>
          <w:szCs w:val="21"/>
        </w:rPr>
      </w:pPr>
    </w:p>
    <w:p>
      <w:pPr>
        <w:tabs>
          <w:tab w:pos="704" w:val="left" w:leader="none"/>
          <w:tab w:pos="1902" w:val="left" w:leader="none"/>
          <w:tab w:pos="2577" w:val="left" w:leader="none"/>
          <w:tab w:pos="3249" w:val="left" w:leader="none"/>
        </w:tabs>
        <w:spacing w:line="209" w:lineRule="exact" w:before="0"/>
        <w:ind w:left="181" w:right="-15"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1.27</w:t>
        <w:tab/>
      </w:r>
      <w:r>
        <w:rPr>
          <w:rFonts w:ascii="Times New Roman" w:hAnsi="Times New Roman" w:cs="Times New Roman" w:eastAsia="Times New Roman" w:hint="default"/>
          <w:sz w:val="18"/>
          <w:szCs w:val="18"/>
        </w:rPr>
        <w:t>0.01%</w:t>
        <w:tab/>
      </w:r>
      <w:r>
        <w:rPr>
          <w:rFonts w:ascii="宋体" w:hAnsi="宋体" w:cs="宋体" w:eastAsia="宋体" w:hint="default"/>
          <w:sz w:val="18"/>
          <w:szCs w:val="18"/>
        </w:rPr>
        <w:t>否</w:t>
        <w:tab/>
        <w:t>现金</w:t>
        <w:tab/>
      </w:r>
      <w:r>
        <w:rPr>
          <w:rFonts w:ascii="Times New Roman" w:hAnsi="Times New Roman" w:cs="Times New Roman" w:eastAsia="Times New Roman" w:hint="default"/>
          <w:spacing w:val="-1"/>
          <w:sz w:val="18"/>
          <w:szCs w:val="18"/>
        </w:rPr>
        <w:t>1.27</w:t>
      </w:r>
    </w:p>
    <w:p>
      <w:pPr>
        <w:spacing w:before="44"/>
        <w:ind w:left="181" w:right="0"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年</w:t>
      </w:r>
    </w:p>
    <w:p>
      <w:pPr>
        <w:spacing w:before="63"/>
        <w:ind w:left="18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巨潮资</w:t>
      </w:r>
    </w:p>
    <w:p>
      <w:pPr>
        <w:spacing w:after="0"/>
        <w:jc w:val="left"/>
        <w:rPr>
          <w:rFonts w:ascii="宋体" w:hAnsi="宋体" w:cs="宋体" w:eastAsia="宋体" w:hint="default"/>
          <w:sz w:val="18"/>
          <w:szCs w:val="18"/>
        </w:rPr>
        <w:sectPr>
          <w:type w:val="continuous"/>
          <w:pgSz w:w="11910" w:h="16840"/>
          <w:pgMar w:top="1060" w:bottom="1160" w:left="980" w:right="0"/>
          <w:cols w:num="7" w:equalWidth="0">
            <w:col w:w="1522" w:space="40"/>
            <w:col w:w="637" w:space="40"/>
            <w:col w:w="632" w:space="40"/>
            <w:col w:w="669" w:space="40"/>
            <w:col w:w="640" w:space="255"/>
            <w:col w:w="3565" w:space="177"/>
            <w:col w:w="2673"/>
          </w:cols>
        </w:sectPr>
      </w:pPr>
    </w:p>
    <w:p>
      <w:pPr>
        <w:spacing w:line="180" w:lineRule="exact" w:before="0"/>
        <w:ind w:left="181" w:right="-18" w:firstLine="0"/>
        <w:jc w:val="left"/>
        <w:rPr>
          <w:rFonts w:ascii="宋体" w:hAnsi="宋体" w:cs="宋体" w:eastAsia="宋体" w:hint="default"/>
          <w:sz w:val="18"/>
          <w:szCs w:val="18"/>
        </w:rPr>
      </w:pPr>
      <w:r>
        <w:rPr>
          <w:rFonts w:ascii="宋体" w:hAnsi="宋体" w:cs="宋体" w:eastAsia="宋体" w:hint="default"/>
          <w:sz w:val="18"/>
          <w:szCs w:val="18"/>
        </w:rPr>
        <w:t>酒业有限 制的企</w:t>
      </w:r>
      <w:r>
        <w:rPr>
          <w:rFonts w:ascii="宋体" w:hAnsi="宋体" w:cs="宋体" w:eastAsia="宋体" w:hint="default"/>
          <w:spacing w:val="35"/>
          <w:sz w:val="18"/>
          <w:szCs w:val="18"/>
        </w:rPr>
        <w:t> </w:t>
      </w:r>
      <w:r>
        <w:rPr>
          <w:rFonts w:ascii="宋体" w:hAnsi="宋体" w:cs="宋体" w:eastAsia="宋体" w:hint="default"/>
          <w:sz w:val="18"/>
          <w:szCs w:val="18"/>
        </w:rPr>
        <w:t>务</w:t>
      </w:r>
    </w:p>
    <w:p>
      <w:pPr>
        <w:tabs>
          <w:tab w:pos="1564" w:val="left" w:leader="none"/>
        </w:tabs>
        <w:spacing w:line="180" w:lineRule="exact" w:before="0"/>
        <w:ind w:left="18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维服务</w:t>
      </w:r>
      <w:r>
        <w:rPr>
          <w:rFonts w:ascii="宋体" w:hAnsi="宋体" w:cs="宋体" w:eastAsia="宋体" w:hint="default"/>
          <w:spacing w:val="73"/>
          <w:sz w:val="18"/>
          <w:szCs w:val="18"/>
        </w:rPr>
        <w:t> </w:t>
      </w:r>
      <w:r>
        <w:rPr>
          <w:rFonts w:ascii="宋体" w:hAnsi="宋体" w:cs="宋体" w:eastAsia="宋体" w:hint="default"/>
          <w:sz w:val="18"/>
          <w:szCs w:val="18"/>
        </w:rPr>
        <w:t>格</w:t>
        <w:tab/>
        <w:t>格</w:t>
      </w:r>
    </w:p>
    <w:p>
      <w:pPr>
        <w:tabs>
          <w:tab w:pos="851" w:val="left" w:leader="none"/>
        </w:tabs>
        <w:spacing w:line="180" w:lineRule="exact" w:before="0"/>
        <w:ind w:left="181"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日</w:t>
        <w:tab/>
        <w:t>讯网</w:t>
      </w:r>
    </w:p>
    <w:p>
      <w:pPr>
        <w:spacing w:after="0" w:line="180" w:lineRule="exact"/>
        <w:jc w:val="left"/>
        <w:rPr>
          <w:rFonts w:ascii="宋体" w:hAnsi="宋体" w:cs="宋体" w:eastAsia="宋体" w:hint="default"/>
          <w:sz w:val="18"/>
          <w:szCs w:val="18"/>
        </w:rPr>
        <w:sectPr>
          <w:type w:val="continuous"/>
          <w:pgSz w:w="11910" w:h="16840"/>
          <w:pgMar w:top="1060" w:bottom="1160" w:left="980" w:right="0"/>
          <w:cols w:num="3" w:equalWidth="0">
            <w:col w:w="1839" w:space="315"/>
            <w:col w:w="1745" w:space="4357"/>
            <w:col w:w="2674"/>
          </w:cols>
        </w:sectPr>
      </w:pPr>
    </w:p>
    <w:p>
      <w:pPr>
        <w:tabs>
          <w:tab w:pos="981" w:val="left" w:leader="none"/>
        </w:tabs>
        <w:spacing w:before="76"/>
        <w:ind w:left="181" w:right="996" w:firstLine="0"/>
        <w:jc w:val="left"/>
        <w:rPr>
          <w:rFonts w:ascii="宋体" w:hAnsi="宋体" w:cs="宋体" w:eastAsia="宋体" w:hint="default"/>
          <w:sz w:val="18"/>
          <w:szCs w:val="18"/>
        </w:rPr>
      </w:pPr>
      <w:r>
        <w:rPr>
          <w:rFonts w:ascii="宋体" w:hAnsi="宋体" w:cs="宋体" w:eastAsia="宋体" w:hint="default"/>
          <w:sz w:val="18"/>
          <w:szCs w:val="18"/>
        </w:rPr>
        <w:t>公司</w:t>
        <w:tab/>
        <w:t>业</w:t>
      </w: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316" w:lineRule="auto" w:before="44"/>
        <w:ind w:left="181" w:right="-19" w:firstLine="0"/>
        <w:jc w:val="left"/>
        <w:rPr>
          <w:rFonts w:ascii="宋体" w:hAnsi="宋体" w:cs="宋体" w:eastAsia="宋体" w:hint="default"/>
          <w:sz w:val="18"/>
          <w:szCs w:val="18"/>
        </w:rPr>
      </w:pPr>
      <w:r>
        <w:rPr>
          <w:rFonts w:ascii="宋体" w:hAnsi="宋体" w:cs="宋体" w:eastAsia="宋体" w:hint="default"/>
          <w:sz w:val="18"/>
          <w:szCs w:val="18"/>
        </w:rPr>
        <w:t>深圳市速</w:t>
      </w:r>
      <w:r>
        <w:rPr>
          <w:rFonts w:ascii="宋体" w:hAnsi="宋体" w:cs="宋体" w:eastAsia="宋体" w:hint="default"/>
          <w:spacing w:val="-11"/>
          <w:sz w:val="18"/>
          <w:szCs w:val="18"/>
        </w:rPr>
        <w:t> </w:t>
      </w:r>
      <w:r>
        <w:rPr>
          <w:rFonts w:ascii="宋体" w:hAnsi="宋体" w:cs="宋体" w:eastAsia="宋体" w:hint="default"/>
          <w:sz w:val="18"/>
          <w:szCs w:val="18"/>
        </w:rPr>
        <w:t>实际控</w:t>
      </w:r>
      <w:r>
        <w:rPr>
          <w:rFonts w:ascii="宋体" w:hAnsi="宋体" w:cs="宋体" w:eastAsia="宋体" w:hint="default"/>
          <w:sz w:val="18"/>
          <w:szCs w:val="18"/>
        </w:rPr>
        <w:t> 必拓网络</w:t>
      </w:r>
      <w:r>
        <w:rPr>
          <w:rFonts w:ascii="宋体" w:hAnsi="宋体" w:cs="宋体" w:eastAsia="宋体" w:hint="default"/>
          <w:spacing w:val="-11"/>
          <w:sz w:val="18"/>
          <w:szCs w:val="18"/>
        </w:rPr>
        <w:t> </w:t>
      </w:r>
      <w:r>
        <w:rPr>
          <w:rFonts w:ascii="宋体" w:hAnsi="宋体" w:cs="宋体" w:eastAsia="宋体" w:hint="default"/>
          <w:sz w:val="18"/>
          <w:szCs w:val="18"/>
        </w:rPr>
        <w:t>制人控</w:t>
      </w:r>
    </w:p>
    <w:p>
      <w:pPr>
        <w:spacing w:line="240" w:lineRule="auto" w:before="0"/>
        <w:rPr>
          <w:rFonts w:ascii="宋体" w:hAnsi="宋体" w:cs="宋体" w:eastAsia="宋体" w:hint="default"/>
          <w:sz w:val="18"/>
          <w:szCs w:val="18"/>
        </w:rPr>
      </w:pPr>
      <w:r>
        <w:rPr/>
        <w:br w:type="column"/>
      </w:r>
      <w:r>
        <w:rPr>
          <w:rFonts w:ascii="宋体"/>
          <w:sz w:val="18"/>
        </w:rPr>
      </w:r>
    </w:p>
    <w:p>
      <w:pPr>
        <w:spacing w:before="121"/>
        <w:ind w:left="96" w:right="-20" w:firstLine="0"/>
        <w:jc w:val="left"/>
        <w:rPr>
          <w:rFonts w:ascii="宋体" w:hAnsi="宋体" w:cs="宋体" w:eastAsia="宋体" w:hint="default"/>
          <w:sz w:val="18"/>
          <w:szCs w:val="18"/>
        </w:rPr>
      </w:pPr>
      <w:r>
        <w:rPr>
          <w:rFonts w:ascii="宋体" w:hAnsi="宋体" w:cs="宋体" w:eastAsia="宋体" w:hint="default"/>
          <w:sz w:val="18"/>
          <w:szCs w:val="18"/>
        </w:rPr>
        <w:t>提供劳</w:t>
      </w:r>
    </w:p>
    <w:p>
      <w:pPr>
        <w:spacing w:line="240" w:lineRule="auto" w:before="0"/>
        <w:rPr>
          <w:rFonts w:ascii="宋体" w:hAnsi="宋体" w:cs="宋体" w:eastAsia="宋体" w:hint="default"/>
          <w:sz w:val="18"/>
          <w:szCs w:val="18"/>
        </w:rPr>
      </w:pPr>
      <w:r>
        <w:rPr/>
        <w:br w:type="column"/>
      </w:r>
      <w:r>
        <w:rPr>
          <w:rFonts w:ascii="宋体"/>
          <w:sz w:val="18"/>
        </w:rPr>
      </w:r>
    </w:p>
    <w:p>
      <w:pPr>
        <w:spacing w:before="121"/>
        <w:ind w:left="96"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w:t>
      </w:r>
    </w:p>
    <w:p>
      <w:pPr>
        <w:spacing w:line="240" w:lineRule="auto" w:before="0"/>
        <w:rPr>
          <w:rFonts w:ascii="宋体" w:hAnsi="宋体" w:cs="宋体" w:eastAsia="宋体" w:hint="default"/>
          <w:sz w:val="18"/>
          <w:szCs w:val="18"/>
        </w:rPr>
      </w:pPr>
      <w:r>
        <w:rPr/>
        <w:br w:type="column"/>
      </w:r>
      <w:r>
        <w:rPr>
          <w:rFonts w:ascii="宋体"/>
          <w:sz w:val="18"/>
        </w:rPr>
      </w:r>
    </w:p>
    <w:p>
      <w:pPr>
        <w:spacing w:before="121"/>
        <w:ind w:left="128" w:right="-20" w:firstLine="0"/>
        <w:jc w:val="left"/>
        <w:rPr>
          <w:rFonts w:ascii="宋体" w:hAnsi="宋体" w:cs="宋体" w:eastAsia="宋体" w:hint="default"/>
          <w:sz w:val="18"/>
          <w:szCs w:val="18"/>
        </w:rPr>
      </w:pPr>
      <w:r>
        <w:rPr>
          <w:rFonts w:ascii="宋体" w:hAnsi="宋体" w:cs="宋体" w:eastAsia="宋体" w:hint="default"/>
          <w:sz w:val="18"/>
          <w:szCs w:val="18"/>
        </w:rPr>
        <w:t>公允价</w:t>
      </w:r>
    </w:p>
    <w:p>
      <w:pPr>
        <w:spacing w:line="240" w:lineRule="auto" w:before="0"/>
        <w:rPr>
          <w:rFonts w:ascii="宋体" w:hAnsi="宋体" w:cs="宋体" w:eastAsia="宋体" w:hint="default"/>
          <w:sz w:val="18"/>
          <w:szCs w:val="18"/>
        </w:rPr>
      </w:pPr>
      <w:r>
        <w:rPr/>
        <w:br w:type="column"/>
      </w:r>
      <w:r>
        <w:rPr>
          <w:rFonts w:ascii="宋体"/>
          <w:sz w:val="18"/>
        </w:rPr>
      </w:r>
    </w:p>
    <w:p>
      <w:pPr>
        <w:spacing w:before="121"/>
        <w:ind w:left="99" w:right="-20" w:firstLine="0"/>
        <w:jc w:val="left"/>
        <w:rPr>
          <w:rFonts w:ascii="宋体" w:hAnsi="宋体" w:cs="宋体" w:eastAsia="宋体" w:hint="default"/>
          <w:sz w:val="18"/>
          <w:szCs w:val="18"/>
        </w:rPr>
      </w:pPr>
      <w:r>
        <w:rPr>
          <w:rFonts w:ascii="宋体" w:hAnsi="宋体" w:cs="宋体" w:eastAsia="宋体" w:hint="default"/>
          <w:sz w:val="18"/>
          <w:szCs w:val="18"/>
        </w:rPr>
        <w:t>市场价</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2"/>
          <w:szCs w:val="12"/>
        </w:rPr>
      </w:pPr>
    </w:p>
    <w:p>
      <w:pPr>
        <w:spacing w:before="0"/>
        <w:ind w:left="171" w:right="-20" w:firstLine="0"/>
        <w:jc w:val="left"/>
        <w:rPr>
          <w:rFonts w:ascii="Times New Roman" w:hAnsi="Times New Roman" w:cs="Times New Roman" w:eastAsia="Times New Roman" w:hint="default"/>
          <w:sz w:val="18"/>
          <w:szCs w:val="18"/>
        </w:rPr>
      </w:pPr>
      <w:r>
        <w:rPr>
          <w:rFonts w:ascii="Times New Roman"/>
          <w:sz w:val="18"/>
        </w:rPr>
        <w:t>1,250.3</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6"/>
        <w:rPr>
          <w:rFonts w:ascii="Times New Roman" w:hAnsi="Times New Roman" w:cs="Times New Roman" w:eastAsia="Times New Roman" w:hint="default"/>
          <w:sz w:val="26"/>
          <w:szCs w:val="26"/>
        </w:rPr>
      </w:pPr>
    </w:p>
    <w:p>
      <w:pPr>
        <w:tabs>
          <w:tab w:pos="1366" w:val="left" w:leader="none"/>
          <w:tab w:pos="2040" w:val="left" w:leader="none"/>
          <w:tab w:pos="2713" w:val="left" w:leader="none"/>
        </w:tabs>
        <w:spacing w:line="212" w:lineRule="exact" w:before="0"/>
        <w:ind w:left="79" w:right="-19"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12.23%</w:t>
        <w:tab/>
      </w:r>
      <w:r>
        <w:rPr>
          <w:rFonts w:ascii="宋体" w:hAnsi="宋体" w:cs="宋体" w:eastAsia="宋体" w:hint="default"/>
          <w:sz w:val="18"/>
          <w:szCs w:val="18"/>
        </w:rPr>
        <w:t>否</w:t>
        <w:tab/>
        <w:t>现金</w:t>
        <w:tab/>
      </w:r>
      <w:r>
        <w:rPr>
          <w:rFonts w:ascii="Times New Roman" w:hAnsi="Times New Roman" w:cs="Times New Roman" w:eastAsia="Times New Roman" w:hint="default"/>
          <w:sz w:val="18"/>
          <w:szCs w:val="18"/>
        </w:rPr>
        <w:t>1250.34</w:t>
      </w:r>
    </w:p>
    <w:p>
      <w:pPr>
        <w:spacing w:before="44"/>
        <w:ind w:left="48" w:right="0"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年</w:t>
      </w:r>
    </w:p>
    <w:p>
      <w:pPr>
        <w:spacing w:before="63"/>
        <w:ind w:left="4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巨潮资</w:t>
      </w:r>
    </w:p>
    <w:p>
      <w:pPr>
        <w:spacing w:after="0"/>
        <w:jc w:val="left"/>
        <w:rPr>
          <w:rFonts w:ascii="宋体" w:hAnsi="宋体" w:cs="宋体" w:eastAsia="宋体" w:hint="default"/>
          <w:sz w:val="18"/>
          <w:szCs w:val="18"/>
        </w:rPr>
        <w:sectPr>
          <w:type w:val="continuous"/>
          <w:pgSz w:w="11910" w:h="16840"/>
          <w:pgMar w:top="1060" w:bottom="1160" w:left="980" w:right="0"/>
          <w:cols w:num="8" w:equalWidth="0">
            <w:col w:w="1522" w:space="40"/>
            <w:col w:w="637" w:space="40"/>
            <w:col w:w="632" w:space="40"/>
            <w:col w:w="669" w:space="40"/>
            <w:col w:w="640" w:space="40"/>
            <w:col w:w="712" w:space="40"/>
            <w:col w:w="3300" w:space="40"/>
            <w:col w:w="2538"/>
          </w:cols>
        </w:sectPr>
      </w:pPr>
    </w:p>
    <w:p>
      <w:pPr>
        <w:spacing w:line="180" w:lineRule="exact" w:before="0"/>
        <w:ind w:left="181" w:right="-18" w:firstLine="0"/>
        <w:jc w:val="left"/>
        <w:rPr>
          <w:rFonts w:ascii="宋体" w:hAnsi="宋体" w:cs="宋体" w:eastAsia="宋体" w:hint="default"/>
          <w:sz w:val="18"/>
          <w:szCs w:val="18"/>
        </w:rPr>
      </w:pPr>
      <w:r>
        <w:rPr>
          <w:rFonts w:ascii="宋体" w:hAnsi="宋体" w:cs="宋体" w:eastAsia="宋体" w:hint="default"/>
          <w:sz w:val="18"/>
          <w:szCs w:val="18"/>
        </w:rPr>
        <w:t>科技有限 制的企</w:t>
      </w:r>
      <w:r>
        <w:rPr>
          <w:rFonts w:ascii="宋体" w:hAnsi="宋体" w:cs="宋体" w:eastAsia="宋体" w:hint="default"/>
          <w:spacing w:val="35"/>
          <w:sz w:val="18"/>
          <w:szCs w:val="18"/>
        </w:rPr>
        <w:t> </w:t>
      </w:r>
      <w:r>
        <w:rPr>
          <w:rFonts w:ascii="宋体" w:hAnsi="宋体" w:cs="宋体" w:eastAsia="宋体" w:hint="default"/>
          <w:sz w:val="18"/>
          <w:szCs w:val="18"/>
        </w:rPr>
        <w:t>务</w:t>
      </w:r>
    </w:p>
    <w:p>
      <w:pPr>
        <w:tabs>
          <w:tab w:pos="1564" w:val="left" w:leader="none"/>
          <w:tab w:pos="2854" w:val="right" w:leader="none"/>
        </w:tabs>
        <w:spacing w:line="194" w:lineRule="exact" w:before="0"/>
        <w:ind w:left="181" w:right="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维服务</w:t>
      </w:r>
      <w:r>
        <w:rPr>
          <w:rFonts w:ascii="宋体" w:hAnsi="宋体" w:cs="宋体" w:eastAsia="宋体" w:hint="default"/>
          <w:spacing w:val="73"/>
          <w:sz w:val="18"/>
          <w:szCs w:val="18"/>
        </w:rPr>
        <w:t> </w:t>
      </w:r>
      <w:r>
        <w:rPr>
          <w:rFonts w:ascii="宋体" w:hAnsi="宋体" w:cs="宋体" w:eastAsia="宋体" w:hint="default"/>
          <w:sz w:val="18"/>
          <w:szCs w:val="18"/>
        </w:rPr>
        <w:t>格</w:t>
        <w:tab/>
        <w:t>格</w:t>
      </w:r>
      <w:r>
        <w:rPr>
          <w:rFonts w:ascii="Times New Roman" w:hAnsi="Times New Roman" w:cs="Times New Roman" w:eastAsia="Times New Roman" w:hint="default"/>
          <w:sz w:val="18"/>
          <w:szCs w:val="18"/>
        </w:rPr>
        <w:tab/>
        <w:t>4</w:t>
      </w:r>
    </w:p>
    <w:p>
      <w:pPr>
        <w:tabs>
          <w:tab w:pos="851" w:val="left" w:leader="none"/>
        </w:tabs>
        <w:spacing w:line="180" w:lineRule="exact" w:before="0"/>
        <w:ind w:left="181"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日</w:t>
        <w:tab/>
        <w:t>讯网</w:t>
      </w:r>
    </w:p>
    <w:p>
      <w:pPr>
        <w:spacing w:after="0" w:line="180" w:lineRule="exact"/>
        <w:jc w:val="left"/>
        <w:rPr>
          <w:rFonts w:ascii="宋体" w:hAnsi="宋体" w:cs="宋体" w:eastAsia="宋体" w:hint="default"/>
          <w:sz w:val="18"/>
          <w:szCs w:val="18"/>
        </w:rPr>
        <w:sectPr>
          <w:type w:val="continuous"/>
          <w:pgSz w:w="11910" w:h="16840"/>
          <w:pgMar w:top="1060" w:bottom="1160" w:left="980" w:right="0"/>
          <w:cols w:num="3" w:equalWidth="0">
            <w:col w:w="1839" w:space="315"/>
            <w:col w:w="2855" w:space="3247"/>
            <w:col w:w="2674"/>
          </w:cols>
        </w:sectPr>
      </w:pPr>
    </w:p>
    <w:p>
      <w:pPr>
        <w:tabs>
          <w:tab w:pos="981" w:val="left" w:leader="none"/>
        </w:tabs>
        <w:spacing w:before="63"/>
        <w:ind w:left="181" w:right="996" w:firstLine="0"/>
        <w:jc w:val="left"/>
        <w:rPr>
          <w:rFonts w:ascii="宋体" w:hAnsi="宋体" w:cs="宋体" w:eastAsia="宋体" w:hint="default"/>
          <w:sz w:val="18"/>
          <w:szCs w:val="18"/>
        </w:rPr>
      </w:pPr>
      <w:r>
        <w:rPr>
          <w:rFonts w:ascii="宋体" w:hAnsi="宋体" w:cs="宋体" w:eastAsia="宋体" w:hint="default"/>
          <w:sz w:val="18"/>
          <w:szCs w:val="18"/>
        </w:rPr>
        <w:t>公司</w:t>
        <w:tab/>
        <w:t>业</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314" w:lineRule="auto" w:before="168"/>
        <w:ind w:left="181" w:right="-19" w:firstLine="0"/>
        <w:jc w:val="left"/>
        <w:rPr>
          <w:rFonts w:ascii="宋体" w:hAnsi="宋体" w:cs="宋体" w:eastAsia="宋体" w:hint="default"/>
          <w:sz w:val="18"/>
          <w:szCs w:val="18"/>
        </w:rPr>
      </w:pPr>
      <w:r>
        <w:rPr>
          <w:rFonts w:ascii="宋体" w:hAnsi="宋体" w:cs="宋体" w:eastAsia="宋体" w:hint="default"/>
          <w:sz w:val="18"/>
          <w:szCs w:val="18"/>
        </w:rPr>
        <w:t>深圳市宝</w:t>
      </w:r>
      <w:r>
        <w:rPr>
          <w:rFonts w:ascii="宋体" w:hAnsi="宋体" w:cs="宋体" w:eastAsia="宋体" w:hint="default"/>
          <w:spacing w:val="-11"/>
          <w:sz w:val="18"/>
          <w:szCs w:val="18"/>
        </w:rPr>
        <w:t> </w:t>
      </w:r>
      <w:r>
        <w:rPr>
          <w:rFonts w:ascii="宋体" w:hAnsi="宋体" w:cs="宋体" w:eastAsia="宋体" w:hint="default"/>
          <w:sz w:val="18"/>
          <w:szCs w:val="18"/>
        </w:rPr>
        <w:t>实际控</w:t>
      </w:r>
      <w:r>
        <w:rPr>
          <w:rFonts w:ascii="宋体" w:hAnsi="宋体" w:cs="宋体" w:eastAsia="宋体" w:hint="default"/>
          <w:sz w:val="18"/>
          <w:szCs w:val="18"/>
        </w:rPr>
        <w:t> 德计算机</w:t>
      </w:r>
      <w:r>
        <w:rPr>
          <w:rFonts w:ascii="宋体" w:hAnsi="宋体" w:cs="宋体" w:eastAsia="宋体" w:hint="default"/>
          <w:spacing w:val="-11"/>
          <w:sz w:val="18"/>
          <w:szCs w:val="18"/>
        </w:rPr>
        <w:t> </w:t>
      </w:r>
      <w:r>
        <w:rPr>
          <w:rFonts w:ascii="宋体" w:hAnsi="宋体" w:cs="宋体" w:eastAsia="宋体" w:hint="default"/>
          <w:sz w:val="18"/>
          <w:szCs w:val="18"/>
        </w:rPr>
        <w:t>制人控</w:t>
      </w:r>
    </w:p>
    <w:p>
      <w:pPr>
        <w:spacing w:before="480"/>
        <w:ind w:left="96"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购买商</w:t>
      </w:r>
    </w:p>
    <w:p>
      <w:pPr>
        <w:spacing w:line="240" w:lineRule="auto" w:before="10"/>
        <w:rPr>
          <w:rFonts w:ascii="宋体" w:hAnsi="宋体" w:cs="宋体" w:eastAsia="宋体" w:hint="default"/>
          <w:sz w:val="24"/>
          <w:szCs w:val="24"/>
        </w:rPr>
      </w:pPr>
      <w:r>
        <w:rPr/>
        <w:br w:type="column"/>
      </w:r>
      <w:r>
        <w:rPr>
          <w:rFonts w:ascii="宋体"/>
          <w:sz w:val="24"/>
        </w:rPr>
      </w:r>
    </w:p>
    <w:p>
      <w:pPr>
        <w:spacing w:line="196" w:lineRule="exact" w:before="0"/>
        <w:ind w:left="96" w:right="-20" w:firstLine="0"/>
        <w:jc w:val="left"/>
        <w:rPr>
          <w:rFonts w:ascii="宋体" w:hAnsi="宋体" w:cs="宋体" w:eastAsia="宋体" w:hint="default"/>
          <w:sz w:val="18"/>
          <w:szCs w:val="18"/>
        </w:rPr>
      </w:pPr>
      <w:r>
        <w:rPr>
          <w:rFonts w:ascii="宋体" w:hAnsi="宋体" w:cs="宋体" w:eastAsia="宋体" w:hint="default"/>
          <w:sz w:val="18"/>
          <w:szCs w:val="18"/>
        </w:rPr>
        <w:t>服务器、</w:t>
      </w:r>
    </w:p>
    <w:p>
      <w:pPr>
        <w:spacing w:line="155" w:lineRule="exact" w:before="0"/>
        <w:ind w:left="800" w:right="-20" w:firstLine="0"/>
        <w:jc w:val="left"/>
        <w:rPr>
          <w:rFonts w:ascii="宋体" w:hAnsi="宋体" w:cs="宋体" w:eastAsia="宋体" w:hint="default"/>
          <w:sz w:val="18"/>
          <w:szCs w:val="18"/>
        </w:rPr>
      </w:pPr>
      <w:r>
        <w:rPr>
          <w:rFonts w:ascii="宋体" w:hAnsi="宋体" w:cs="宋体" w:eastAsia="宋体" w:hint="default"/>
          <w:sz w:val="18"/>
          <w:szCs w:val="18"/>
        </w:rPr>
        <w:t>公允价</w:t>
      </w:r>
    </w:p>
    <w:p>
      <w:pPr>
        <w:spacing w:line="171" w:lineRule="exact" w:before="0"/>
        <w:ind w:left="96" w:right="-20" w:firstLine="0"/>
        <w:jc w:val="left"/>
        <w:rPr>
          <w:rFonts w:ascii="宋体" w:hAnsi="宋体" w:cs="宋体" w:eastAsia="宋体" w:hint="default"/>
          <w:sz w:val="18"/>
          <w:szCs w:val="18"/>
        </w:rPr>
      </w:pPr>
      <w:r>
        <w:rPr>
          <w:rFonts w:ascii="宋体" w:hAnsi="宋体" w:cs="宋体" w:eastAsia="宋体" w:hint="default"/>
          <w:sz w:val="18"/>
          <w:szCs w:val="18"/>
        </w:rPr>
        <w:t>电脑及</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9"/>
        <w:rPr>
          <w:rFonts w:ascii="宋体" w:hAnsi="宋体" w:cs="宋体" w:eastAsia="宋体" w:hint="default"/>
          <w:sz w:val="18"/>
          <w:szCs w:val="18"/>
        </w:rPr>
      </w:pPr>
    </w:p>
    <w:p>
      <w:pPr>
        <w:spacing w:before="0"/>
        <w:ind w:left="99" w:right="-20" w:firstLine="0"/>
        <w:jc w:val="left"/>
        <w:rPr>
          <w:rFonts w:ascii="宋体" w:hAnsi="宋体" w:cs="宋体" w:eastAsia="宋体" w:hint="default"/>
          <w:sz w:val="18"/>
          <w:szCs w:val="18"/>
        </w:rPr>
      </w:pPr>
      <w:r>
        <w:rPr>
          <w:rFonts w:ascii="宋体" w:hAnsi="宋体" w:cs="宋体" w:eastAsia="宋体" w:hint="default"/>
          <w:sz w:val="18"/>
          <w:szCs w:val="18"/>
        </w:rPr>
        <w:t>市场价</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5"/>
          <w:szCs w:val="15"/>
        </w:rPr>
      </w:pPr>
    </w:p>
    <w:p>
      <w:pPr>
        <w:spacing w:line="167" w:lineRule="exact" w:before="0"/>
        <w:ind w:left="181" w:right="-17" w:firstLine="0"/>
        <w:jc w:val="left"/>
        <w:rPr>
          <w:rFonts w:ascii="Times New Roman" w:hAnsi="Times New Roman" w:cs="Times New Roman" w:eastAsia="Times New Roman" w:hint="default"/>
          <w:sz w:val="18"/>
          <w:szCs w:val="18"/>
        </w:rPr>
      </w:pPr>
      <w:r>
        <w:rPr>
          <w:rFonts w:ascii="Times New Roman"/>
          <w:sz w:val="18"/>
        </w:rPr>
        <w:t>171.55 </w:t>
      </w:r>
      <w:r>
        <w:rPr>
          <w:rFonts w:ascii="Times New Roman"/>
          <w:spacing w:val="29"/>
          <w:sz w:val="18"/>
        </w:rPr>
        <w:t> </w:t>
      </w:r>
      <w:r>
        <w:rPr>
          <w:rFonts w:ascii="Times New Roman"/>
          <w:sz w:val="18"/>
        </w:rPr>
        <w:t>91.25%</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9"/>
          <w:szCs w:val="19"/>
        </w:rPr>
      </w:pPr>
    </w:p>
    <w:p>
      <w:pPr>
        <w:tabs>
          <w:tab w:pos="855" w:val="left" w:leader="none"/>
          <w:tab w:pos="1528" w:val="left" w:leader="none"/>
        </w:tabs>
        <w:spacing w:line="209" w:lineRule="exact" w:before="0"/>
        <w:ind w:left="181" w:right="-14"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tab/>
        <w:t>现金</w:t>
        <w:tab/>
      </w:r>
      <w:r>
        <w:rPr>
          <w:rFonts w:ascii="Times New Roman" w:hAnsi="Times New Roman" w:cs="Times New Roman" w:eastAsia="Times New Roman" w:hint="default"/>
          <w:spacing w:val="-1"/>
          <w:sz w:val="18"/>
          <w:szCs w:val="18"/>
        </w:rPr>
        <w:t>171.55</w:t>
      </w:r>
    </w:p>
    <w:p>
      <w:pPr>
        <w:spacing w:line="240" w:lineRule="auto" w:before="7"/>
        <w:rPr>
          <w:rFonts w:ascii="Times New Roman" w:hAnsi="Times New Roman" w:cs="Times New Roman" w:eastAsia="Times New Roman" w:hint="default"/>
          <w:sz w:val="14"/>
          <w:szCs w:val="14"/>
        </w:rPr>
      </w:pPr>
      <w:r>
        <w:rPr/>
        <w:br w:type="column"/>
      </w:r>
      <w:r>
        <w:rPr>
          <w:rFonts w:ascii="Times New Roman"/>
          <w:sz w:val="14"/>
        </w:rPr>
      </w:r>
    </w:p>
    <w:p>
      <w:pPr>
        <w:spacing w:before="0"/>
        <w:ind w:left="139"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年</w:t>
      </w:r>
    </w:p>
    <w:p>
      <w:pPr>
        <w:spacing w:before="63"/>
        <w:ind w:left="139"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巨潮资</w:t>
      </w:r>
    </w:p>
    <w:p>
      <w:pPr>
        <w:spacing w:after="0"/>
        <w:jc w:val="left"/>
        <w:rPr>
          <w:rFonts w:ascii="宋体" w:hAnsi="宋体" w:cs="宋体" w:eastAsia="宋体" w:hint="default"/>
          <w:sz w:val="18"/>
          <w:szCs w:val="18"/>
        </w:rPr>
        <w:sectPr>
          <w:type w:val="continuous"/>
          <w:pgSz w:w="11910" w:h="16840"/>
          <w:pgMar w:top="1060" w:bottom="1160" w:left="980" w:right="0"/>
          <w:cols w:num="7" w:equalWidth="0">
            <w:col w:w="1522" w:space="40"/>
            <w:col w:w="637" w:space="40"/>
            <w:col w:w="1341" w:space="40"/>
            <w:col w:w="640" w:space="75"/>
            <w:col w:w="1354" w:space="547"/>
            <w:col w:w="2024" w:space="40"/>
            <w:col w:w="2630"/>
          </w:cols>
        </w:sectPr>
      </w:pPr>
    </w:p>
    <w:p>
      <w:pPr>
        <w:spacing w:line="180" w:lineRule="exact" w:before="0"/>
        <w:ind w:left="181" w:right="-19" w:firstLine="0"/>
        <w:jc w:val="left"/>
        <w:rPr>
          <w:rFonts w:ascii="宋体" w:hAnsi="宋体" w:cs="宋体" w:eastAsia="宋体" w:hint="default"/>
          <w:sz w:val="18"/>
          <w:szCs w:val="18"/>
        </w:rPr>
      </w:pPr>
      <w:r>
        <w:rPr>
          <w:rFonts w:ascii="宋体" w:hAnsi="宋体" w:cs="宋体" w:eastAsia="宋体" w:hint="default"/>
          <w:sz w:val="18"/>
          <w:szCs w:val="18"/>
        </w:rPr>
        <w:t>系统有限</w:t>
      </w:r>
      <w:r>
        <w:rPr>
          <w:rFonts w:ascii="宋体" w:hAnsi="宋体" w:cs="宋体" w:eastAsia="宋体" w:hint="default"/>
          <w:spacing w:val="-11"/>
          <w:sz w:val="18"/>
          <w:szCs w:val="18"/>
        </w:rPr>
        <w:t> </w:t>
      </w:r>
      <w:r>
        <w:rPr>
          <w:rFonts w:ascii="宋体" w:hAnsi="宋体" w:cs="宋体" w:eastAsia="宋体" w:hint="default"/>
          <w:sz w:val="18"/>
          <w:szCs w:val="18"/>
        </w:rPr>
        <w:t>制的企</w:t>
      </w:r>
    </w:p>
    <w:p>
      <w:pPr>
        <w:tabs>
          <w:tab w:pos="1477" w:val="left" w:leader="none"/>
          <w:tab w:pos="2156" w:val="left" w:leader="none"/>
        </w:tabs>
        <w:spacing w:line="158" w:lineRule="auto" w:before="16"/>
        <w:ind w:left="773" w:right="0" w:hanging="677"/>
        <w:jc w:val="left"/>
        <w:rPr>
          <w:rFonts w:ascii="宋体" w:hAnsi="宋体" w:cs="宋体" w:eastAsia="宋体" w:hint="default"/>
          <w:sz w:val="18"/>
          <w:szCs w:val="18"/>
        </w:rPr>
      </w:pPr>
      <w:r>
        <w:rPr/>
        <w:br w:type="column"/>
      </w:r>
      <w:r>
        <w:rPr>
          <w:rFonts w:ascii="宋体" w:hAnsi="宋体" w:cs="宋体" w:eastAsia="宋体" w:hint="default"/>
          <w:sz w:val="18"/>
          <w:szCs w:val="18"/>
        </w:rPr>
        <w:t>品服务</w:t>
        <w:tab/>
        <w:tab/>
        <w:t>格</w:t>
        <w:tab/>
        <w:t> 格 配件</w:t>
      </w:r>
    </w:p>
    <w:p>
      <w:pPr>
        <w:tabs>
          <w:tab w:pos="851" w:val="left" w:leader="none"/>
        </w:tabs>
        <w:spacing w:line="180" w:lineRule="exact" w:before="0"/>
        <w:ind w:left="181"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日</w:t>
        <w:tab/>
        <w:t>讯网</w:t>
      </w:r>
    </w:p>
    <w:p>
      <w:pPr>
        <w:spacing w:after="0" w:line="180" w:lineRule="exact"/>
        <w:jc w:val="left"/>
        <w:rPr>
          <w:rFonts w:ascii="宋体" w:hAnsi="宋体" w:cs="宋体" w:eastAsia="宋体" w:hint="default"/>
          <w:sz w:val="18"/>
          <w:szCs w:val="18"/>
        </w:rPr>
        <w:sectPr>
          <w:type w:val="continuous"/>
          <w:pgSz w:w="11910" w:h="16840"/>
          <w:pgMar w:top="1060" w:bottom="1160" w:left="980" w:right="0"/>
          <w:cols w:num="3" w:equalWidth="0">
            <w:col w:w="1522" w:space="40"/>
            <w:col w:w="2337" w:space="4357"/>
            <w:col w:w="2674"/>
          </w:cols>
        </w:sectPr>
      </w:pPr>
    </w:p>
    <w:p>
      <w:pPr>
        <w:tabs>
          <w:tab w:pos="981" w:val="left" w:leader="none"/>
        </w:tabs>
        <w:spacing w:line="165" w:lineRule="exact" w:before="0"/>
        <w:ind w:left="181" w:right="996" w:firstLine="0"/>
        <w:jc w:val="left"/>
        <w:rPr>
          <w:rFonts w:ascii="宋体" w:hAnsi="宋体" w:cs="宋体" w:eastAsia="宋体" w:hint="default"/>
          <w:sz w:val="18"/>
          <w:szCs w:val="18"/>
        </w:rPr>
      </w:pPr>
      <w:r>
        <w:rPr>
          <w:rFonts w:ascii="宋体" w:hAnsi="宋体" w:cs="宋体" w:eastAsia="宋体" w:hint="default"/>
          <w:sz w:val="18"/>
          <w:szCs w:val="18"/>
        </w:rPr>
        <w:t>公司</w:t>
        <w:tab/>
        <w:t>业</w:t>
      </w:r>
    </w:p>
    <w:p>
      <w:pPr>
        <w:spacing w:before="8"/>
        <w:ind w:left="2490" w:right="1105" w:firstLine="0"/>
        <w:jc w:val="center"/>
        <w:rPr>
          <w:rFonts w:ascii="Times New Roman" w:hAnsi="Times New Roman" w:cs="Times New Roman" w:eastAsia="Times New Roman" w:hint="default"/>
          <w:sz w:val="18"/>
          <w:szCs w:val="18"/>
        </w:rPr>
      </w:pPr>
      <w:r>
        <w:rPr>
          <w:rFonts w:ascii="Times New Roman"/>
          <w:sz w:val="18"/>
        </w:rPr>
        <w:t>1,000</w:t>
      </w:r>
    </w:p>
    <w:p>
      <w:pPr>
        <w:spacing w:after="0"/>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spacing w:line="188" w:lineRule="exact" w:before="0"/>
        <w:ind w:left="181" w:right="-19" w:firstLine="0"/>
        <w:jc w:val="left"/>
        <w:rPr>
          <w:rFonts w:ascii="宋体" w:hAnsi="宋体" w:cs="宋体" w:eastAsia="宋体" w:hint="default"/>
          <w:sz w:val="18"/>
          <w:szCs w:val="18"/>
        </w:rPr>
      </w:pPr>
      <w:r>
        <w:rPr>
          <w:rFonts w:ascii="宋体" w:hAnsi="宋体" w:cs="宋体" w:eastAsia="宋体" w:hint="default"/>
          <w:sz w:val="18"/>
          <w:szCs w:val="18"/>
        </w:rPr>
        <w:t>深圳市宝</w:t>
      </w:r>
      <w:r>
        <w:rPr>
          <w:rFonts w:ascii="宋体" w:hAnsi="宋体" w:cs="宋体" w:eastAsia="宋体" w:hint="default"/>
          <w:spacing w:val="-11"/>
          <w:sz w:val="18"/>
          <w:szCs w:val="18"/>
        </w:rPr>
        <w:t> </w:t>
      </w:r>
      <w:r>
        <w:rPr>
          <w:rFonts w:ascii="宋体" w:hAnsi="宋体" w:cs="宋体" w:eastAsia="宋体" w:hint="default"/>
          <w:sz w:val="18"/>
          <w:szCs w:val="18"/>
        </w:rPr>
        <w:t>实际控</w:t>
      </w:r>
    </w:p>
    <w:p>
      <w:pPr>
        <w:spacing w:before="76"/>
        <w:ind w:left="181" w:right="-19" w:firstLine="0"/>
        <w:jc w:val="left"/>
        <w:rPr>
          <w:rFonts w:ascii="宋体" w:hAnsi="宋体" w:cs="宋体" w:eastAsia="宋体" w:hint="default"/>
          <w:sz w:val="18"/>
          <w:szCs w:val="18"/>
        </w:rPr>
      </w:pPr>
      <w:r>
        <w:rPr>
          <w:rFonts w:ascii="宋体" w:hAnsi="宋体" w:cs="宋体" w:eastAsia="宋体" w:hint="default"/>
          <w:sz w:val="18"/>
          <w:szCs w:val="18"/>
        </w:rPr>
        <w:t>通信息科</w:t>
      </w:r>
      <w:r>
        <w:rPr>
          <w:rFonts w:ascii="宋体" w:hAnsi="宋体" w:cs="宋体" w:eastAsia="宋体" w:hint="default"/>
          <w:spacing w:val="-11"/>
          <w:sz w:val="18"/>
          <w:szCs w:val="18"/>
        </w:rPr>
        <w:t> </w:t>
      </w:r>
      <w:r>
        <w:rPr>
          <w:rFonts w:ascii="宋体" w:hAnsi="宋体" w:cs="宋体" w:eastAsia="宋体" w:hint="default"/>
          <w:sz w:val="18"/>
          <w:szCs w:val="18"/>
        </w:rPr>
        <w:t>制人控</w:t>
      </w:r>
    </w:p>
    <w:p>
      <w:pPr>
        <w:spacing w:line="240" w:lineRule="auto" w:before="3"/>
        <w:rPr>
          <w:rFonts w:ascii="宋体" w:hAnsi="宋体" w:cs="宋体" w:eastAsia="宋体" w:hint="default"/>
          <w:sz w:val="20"/>
          <w:szCs w:val="20"/>
        </w:rPr>
      </w:pPr>
      <w:r>
        <w:rPr/>
        <w:br w:type="column"/>
      </w:r>
      <w:r>
        <w:rPr>
          <w:rFonts w:ascii="宋体"/>
          <w:sz w:val="20"/>
        </w:rPr>
      </w:r>
    </w:p>
    <w:p>
      <w:pPr>
        <w:spacing w:before="0"/>
        <w:ind w:left="96" w:right="-20" w:firstLine="0"/>
        <w:jc w:val="left"/>
        <w:rPr>
          <w:rFonts w:ascii="宋体" w:hAnsi="宋体" w:cs="宋体" w:eastAsia="宋体" w:hint="default"/>
          <w:sz w:val="18"/>
          <w:szCs w:val="18"/>
        </w:rPr>
      </w:pPr>
      <w:r>
        <w:rPr>
          <w:rFonts w:ascii="宋体" w:hAnsi="宋体" w:cs="宋体" w:eastAsia="宋体" w:hint="default"/>
          <w:sz w:val="18"/>
          <w:szCs w:val="18"/>
        </w:rPr>
        <w:t>购买商</w:t>
      </w:r>
    </w:p>
    <w:p>
      <w:pPr>
        <w:spacing w:line="196" w:lineRule="exact" w:before="108"/>
        <w:ind w:left="96"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服务器、</w:t>
      </w:r>
    </w:p>
    <w:p>
      <w:pPr>
        <w:spacing w:line="156" w:lineRule="exact" w:before="0"/>
        <w:ind w:left="800" w:right="-20" w:firstLine="0"/>
        <w:jc w:val="left"/>
        <w:rPr>
          <w:rFonts w:ascii="宋体" w:hAnsi="宋体" w:cs="宋体" w:eastAsia="宋体" w:hint="default"/>
          <w:sz w:val="18"/>
          <w:szCs w:val="18"/>
        </w:rPr>
      </w:pPr>
      <w:r>
        <w:rPr>
          <w:rFonts w:ascii="宋体" w:hAnsi="宋体" w:cs="宋体" w:eastAsia="宋体" w:hint="default"/>
          <w:sz w:val="18"/>
          <w:szCs w:val="18"/>
        </w:rPr>
        <w:t>公允价</w:t>
      </w:r>
    </w:p>
    <w:p>
      <w:pPr>
        <w:spacing w:line="172" w:lineRule="exact" w:before="0"/>
        <w:ind w:left="96" w:right="-20" w:firstLine="0"/>
        <w:jc w:val="left"/>
        <w:rPr>
          <w:rFonts w:ascii="宋体" w:hAnsi="宋体" w:cs="宋体" w:eastAsia="宋体" w:hint="default"/>
          <w:sz w:val="18"/>
          <w:szCs w:val="18"/>
        </w:rPr>
      </w:pPr>
      <w:r>
        <w:rPr>
          <w:rFonts w:ascii="宋体" w:hAnsi="宋体" w:cs="宋体" w:eastAsia="宋体" w:hint="default"/>
          <w:sz w:val="18"/>
          <w:szCs w:val="18"/>
        </w:rPr>
        <w:t>电脑及</w:t>
      </w:r>
    </w:p>
    <w:p>
      <w:pPr>
        <w:spacing w:line="240" w:lineRule="auto" w:before="3"/>
        <w:rPr>
          <w:rFonts w:ascii="宋体" w:hAnsi="宋体" w:cs="宋体" w:eastAsia="宋体" w:hint="default"/>
          <w:sz w:val="20"/>
          <w:szCs w:val="20"/>
        </w:rPr>
      </w:pPr>
      <w:r>
        <w:rPr/>
        <w:br w:type="column"/>
      </w:r>
      <w:r>
        <w:rPr>
          <w:rFonts w:ascii="宋体"/>
          <w:sz w:val="20"/>
        </w:rPr>
      </w:r>
    </w:p>
    <w:p>
      <w:pPr>
        <w:spacing w:before="0"/>
        <w:ind w:left="99" w:right="-20" w:firstLine="0"/>
        <w:jc w:val="left"/>
        <w:rPr>
          <w:rFonts w:ascii="宋体" w:hAnsi="宋体" w:cs="宋体" w:eastAsia="宋体" w:hint="default"/>
          <w:sz w:val="18"/>
          <w:szCs w:val="18"/>
        </w:rPr>
      </w:pPr>
      <w:r>
        <w:rPr>
          <w:rFonts w:ascii="宋体" w:hAnsi="宋体" w:cs="宋体" w:eastAsia="宋体" w:hint="default"/>
          <w:sz w:val="18"/>
          <w:szCs w:val="18"/>
        </w:rPr>
        <w:t>市场价</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14"/>
          <w:szCs w:val="14"/>
        </w:rPr>
      </w:pPr>
    </w:p>
    <w:p>
      <w:pPr>
        <w:tabs>
          <w:tab w:pos="623" w:val="left" w:leader="none"/>
          <w:tab w:pos="1813" w:val="left" w:leader="none"/>
          <w:tab w:pos="2488" w:val="left" w:leader="none"/>
          <w:tab w:pos="3160" w:val="left" w:leader="none"/>
        </w:tabs>
        <w:spacing w:line="212" w:lineRule="exact" w:before="0"/>
        <w:ind w:left="181" w:right="-18"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w:t>
        <w:tab/>
      </w:r>
      <w:r>
        <w:rPr>
          <w:rFonts w:ascii="Times New Roman" w:hAnsi="Times New Roman" w:cs="Times New Roman" w:eastAsia="Times New Roman" w:hint="default"/>
          <w:spacing w:val="-2"/>
          <w:sz w:val="18"/>
          <w:szCs w:val="18"/>
        </w:rPr>
        <w:t>0.11%</w:t>
        <w:tab/>
      </w:r>
      <w:r>
        <w:rPr>
          <w:rFonts w:ascii="宋体" w:hAnsi="宋体" w:cs="宋体" w:eastAsia="宋体" w:hint="default"/>
          <w:sz w:val="18"/>
          <w:szCs w:val="18"/>
        </w:rPr>
        <w:t>否</w:t>
        <w:tab/>
        <w:t>现金</w:t>
        <w:tab/>
      </w:r>
      <w:r>
        <w:rPr>
          <w:rFonts w:ascii="Times New Roman" w:hAnsi="Times New Roman" w:cs="Times New Roman" w:eastAsia="Times New Roman" w:hint="default"/>
          <w:sz w:val="18"/>
          <w:szCs w:val="18"/>
        </w:rPr>
        <w:t>0.2</w:t>
      </w:r>
    </w:p>
    <w:p>
      <w:pPr>
        <w:spacing w:line="202" w:lineRule="exact" w:before="0"/>
        <w:ind w:left="181" w:right="0"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年</w:t>
      </w:r>
    </w:p>
    <w:p>
      <w:pPr>
        <w:spacing w:before="63"/>
        <w:ind w:left="18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巨潮资</w:t>
      </w:r>
    </w:p>
    <w:p>
      <w:pPr>
        <w:spacing w:after="0"/>
        <w:jc w:val="left"/>
        <w:rPr>
          <w:rFonts w:ascii="宋体" w:hAnsi="宋体" w:cs="宋体" w:eastAsia="宋体" w:hint="default"/>
          <w:sz w:val="18"/>
          <w:szCs w:val="18"/>
        </w:rPr>
        <w:sectPr>
          <w:type w:val="continuous"/>
          <w:pgSz w:w="11910" w:h="16840"/>
          <w:pgMar w:top="1060" w:bottom="1160" w:left="980" w:right="0"/>
          <w:cols w:num="6" w:equalWidth="0">
            <w:col w:w="1522" w:space="40"/>
            <w:col w:w="637" w:space="40"/>
            <w:col w:w="1341" w:space="40"/>
            <w:col w:w="640" w:space="343"/>
            <w:col w:w="3388" w:space="266"/>
            <w:col w:w="2673"/>
          </w:cols>
        </w:sectPr>
      </w:pPr>
    </w:p>
    <w:p>
      <w:pPr>
        <w:spacing w:line="180" w:lineRule="exact" w:before="0"/>
        <w:ind w:left="181" w:right="-19" w:firstLine="0"/>
        <w:jc w:val="left"/>
        <w:rPr>
          <w:rFonts w:ascii="宋体" w:hAnsi="宋体" w:cs="宋体" w:eastAsia="宋体" w:hint="default"/>
          <w:sz w:val="18"/>
          <w:szCs w:val="18"/>
        </w:rPr>
      </w:pPr>
      <w:r>
        <w:rPr>
          <w:rFonts w:ascii="宋体" w:hAnsi="宋体" w:cs="宋体" w:eastAsia="宋体" w:hint="default"/>
          <w:sz w:val="18"/>
          <w:szCs w:val="18"/>
        </w:rPr>
        <w:t>技发展有</w:t>
      </w:r>
      <w:r>
        <w:rPr>
          <w:rFonts w:ascii="宋体" w:hAnsi="宋体" w:cs="宋体" w:eastAsia="宋体" w:hint="default"/>
          <w:spacing w:val="-11"/>
          <w:sz w:val="18"/>
          <w:szCs w:val="18"/>
        </w:rPr>
        <w:t> </w:t>
      </w:r>
      <w:r>
        <w:rPr>
          <w:rFonts w:ascii="宋体" w:hAnsi="宋体" w:cs="宋体" w:eastAsia="宋体" w:hint="default"/>
          <w:sz w:val="18"/>
          <w:szCs w:val="18"/>
        </w:rPr>
        <w:t>制的企</w:t>
      </w:r>
    </w:p>
    <w:p>
      <w:pPr>
        <w:tabs>
          <w:tab w:pos="1477" w:val="left" w:leader="none"/>
          <w:tab w:pos="2156" w:val="left" w:leader="none"/>
        </w:tabs>
        <w:spacing w:line="158" w:lineRule="auto" w:before="16"/>
        <w:ind w:left="773" w:right="0" w:hanging="677"/>
        <w:jc w:val="left"/>
        <w:rPr>
          <w:rFonts w:ascii="宋体" w:hAnsi="宋体" w:cs="宋体" w:eastAsia="宋体" w:hint="default"/>
          <w:sz w:val="18"/>
          <w:szCs w:val="18"/>
        </w:rPr>
      </w:pPr>
      <w:r>
        <w:rPr/>
        <w:br w:type="column"/>
      </w:r>
      <w:r>
        <w:rPr>
          <w:rFonts w:ascii="宋体" w:hAnsi="宋体" w:cs="宋体" w:eastAsia="宋体" w:hint="default"/>
          <w:sz w:val="18"/>
          <w:szCs w:val="18"/>
        </w:rPr>
        <w:t>品服务</w:t>
        <w:tab/>
        <w:tab/>
        <w:t>格</w:t>
        <w:tab/>
        <w:t> 格 配件</w:t>
      </w:r>
    </w:p>
    <w:p>
      <w:pPr>
        <w:tabs>
          <w:tab w:pos="851" w:val="left" w:leader="none"/>
        </w:tabs>
        <w:spacing w:line="180" w:lineRule="exact" w:before="0"/>
        <w:ind w:left="181"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日</w:t>
        <w:tab/>
        <w:t>讯网</w:t>
      </w:r>
    </w:p>
    <w:p>
      <w:pPr>
        <w:spacing w:after="0" w:line="180" w:lineRule="exact"/>
        <w:jc w:val="left"/>
        <w:rPr>
          <w:rFonts w:ascii="宋体" w:hAnsi="宋体" w:cs="宋体" w:eastAsia="宋体" w:hint="default"/>
          <w:sz w:val="18"/>
          <w:szCs w:val="18"/>
        </w:rPr>
        <w:sectPr>
          <w:type w:val="continuous"/>
          <w:pgSz w:w="11910" w:h="16840"/>
          <w:pgMar w:top="1060" w:bottom="1160" w:left="980" w:right="0"/>
          <w:cols w:num="3" w:equalWidth="0">
            <w:col w:w="1522" w:space="40"/>
            <w:col w:w="2337" w:space="4357"/>
            <w:col w:w="2674"/>
          </w:cols>
        </w:sectPr>
      </w:pPr>
    </w:p>
    <w:p>
      <w:pPr>
        <w:tabs>
          <w:tab w:pos="981" w:val="left" w:leader="none"/>
        </w:tabs>
        <w:spacing w:line="165" w:lineRule="exact" w:before="0"/>
        <w:ind w:left="181" w:right="996" w:firstLine="0"/>
        <w:jc w:val="left"/>
        <w:rPr>
          <w:rFonts w:ascii="宋体" w:hAnsi="宋体" w:cs="宋体" w:eastAsia="宋体" w:hint="default"/>
          <w:sz w:val="18"/>
          <w:szCs w:val="18"/>
        </w:rPr>
      </w:pPr>
      <w:r>
        <w:rPr>
          <w:rFonts w:ascii="宋体" w:hAnsi="宋体" w:cs="宋体" w:eastAsia="宋体" w:hint="default"/>
          <w:sz w:val="18"/>
          <w:szCs w:val="18"/>
        </w:rPr>
        <w:t>限公司</w:t>
        <w:tab/>
        <w:t>业</w:t>
      </w: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0"/>
        <w:rPr>
          <w:rFonts w:ascii="宋体" w:hAnsi="宋体" w:cs="宋体" w:eastAsia="宋体" w:hint="default"/>
          <w:sz w:val="18"/>
          <w:szCs w:val="18"/>
        </w:rPr>
      </w:pPr>
    </w:p>
    <w:p>
      <w:pPr>
        <w:spacing w:line="316" w:lineRule="auto" w:before="121"/>
        <w:ind w:left="181" w:right="0" w:firstLine="0"/>
        <w:jc w:val="both"/>
        <w:rPr>
          <w:rFonts w:ascii="宋体" w:hAnsi="宋体" w:cs="宋体" w:eastAsia="宋体" w:hint="default"/>
          <w:sz w:val="18"/>
          <w:szCs w:val="18"/>
        </w:rPr>
      </w:pPr>
      <w:r>
        <w:rPr>
          <w:rFonts w:ascii="宋体" w:hAnsi="宋体" w:cs="宋体" w:eastAsia="宋体" w:hint="default"/>
          <w:sz w:val="18"/>
          <w:szCs w:val="18"/>
        </w:rPr>
        <w:t>深圳市宝</w:t>
      </w:r>
      <w:r>
        <w:rPr>
          <w:rFonts w:ascii="宋体" w:hAnsi="宋体" w:cs="宋体" w:eastAsia="宋体" w:hint="default"/>
          <w:spacing w:val="-11"/>
          <w:sz w:val="18"/>
          <w:szCs w:val="18"/>
        </w:rPr>
        <w:t> </w:t>
      </w:r>
      <w:r>
        <w:rPr>
          <w:rFonts w:ascii="宋体" w:hAnsi="宋体" w:cs="宋体" w:eastAsia="宋体" w:hint="default"/>
          <w:sz w:val="18"/>
          <w:szCs w:val="18"/>
        </w:rPr>
        <w:t>实际控</w:t>
      </w:r>
      <w:r>
        <w:rPr>
          <w:rFonts w:ascii="宋体" w:hAnsi="宋体" w:cs="宋体" w:eastAsia="宋体" w:hint="default"/>
          <w:sz w:val="18"/>
          <w:szCs w:val="18"/>
        </w:rPr>
        <w:t> 德计算机</w:t>
      </w:r>
      <w:r>
        <w:rPr>
          <w:rFonts w:ascii="宋体" w:hAnsi="宋体" w:cs="宋体" w:eastAsia="宋体" w:hint="default"/>
          <w:spacing w:val="-11"/>
          <w:sz w:val="18"/>
          <w:szCs w:val="18"/>
        </w:rPr>
        <w:t> </w:t>
      </w:r>
      <w:r>
        <w:rPr>
          <w:rFonts w:ascii="宋体" w:hAnsi="宋体" w:cs="宋体" w:eastAsia="宋体" w:hint="default"/>
          <w:sz w:val="18"/>
          <w:szCs w:val="18"/>
        </w:rPr>
        <w:t>制人控</w:t>
      </w:r>
      <w:r>
        <w:rPr>
          <w:rFonts w:ascii="宋体" w:hAnsi="宋体" w:cs="宋体" w:eastAsia="宋体" w:hint="default"/>
          <w:sz w:val="18"/>
          <w:szCs w:val="18"/>
        </w:rPr>
        <w:t> 系统有限</w:t>
      </w:r>
      <w:r>
        <w:rPr>
          <w:rFonts w:ascii="宋体" w:hAnsi="宋体" w:cs="宋体" w:eastAsia="宋体" w:hint="default"/>
          <w:spacing w:val="-11"/>
          <w:sz w:val="18"/>
          <w:szCs w:val="18"/>
        </w:rPr>
        <w:t> </w:t>
      </w:r>
      <w:r>
        <w:rPr>
          <w:rFonts w:ascii="宋体" w:hAnsi="宋体" w:cs="宋体" w:eastAsia="宋体" w:hint="default"/>
          <w:sz w:val="18"/>
          <w:szCs w:val="18"/>
        </w:rPr>
        <w:t>制的企</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spacing w:line="316" w:lineRule="auto" w:before="0"/>
        <w:ind w:left="96" w:right="-20" w:firstLine="0"/>
        <w:jc w:val="left"/>
        <w:rPr>
          <w:rFonts w:ascii="宋体" w:hAnsi="宋体" w:cs="宋体" w:eastAsia="宋体" w:hint="default"/>
          <w:sz w:val="18"/>
          <w:szCs w:val="18"/>
        </w:rPr>
      </w:pPr>
      <w:r>
        <w:rPr>
          <w:rFonts w:ascii="宋体" w:hAnsi="宋体" w:cs="宋体" w:eastAsia="宋体" w:hint="default"/>
          <w:sz w:val="18"/>
          <w:szCs w:val="18"/>
        </w:rPr>
        <w:t>出售商 品服务</w:t>
      </w:r>
    </w:p>
    <w:p>
      <w:pPr>
        <w:spacing w:line="314" w:lineRule="auto" w:before="44"/>
        <w:ind w:left="96" w:right="504" w:firstLine="0"/>
        <w:jc w:val="left"/>
        <w:rPr>
          <w:rFonts w:ascii="宋体" w:hAnsi="宋体" w:cs="宋体" w:eastAsia="宋体" w:hint="default"/>
          <w:sz w:val="18"/>
          <w:szCs w:val="18"/>
        </w:rPr>
      </w:pPr>
      <w:r>
        <w:rPr/>
        <w:br w:type="column"/>
      </w:r>
      <w:r>
        <w:rPr>
          <w:rFonts w:ascii="宋体" w:hAnsi="宋体" w:cs="宋体" w:eastAsia="宋体" w:hint="default"/>
          <w:sz w:val="18"/>
          <w:szCs w:val="18"/>
        </w:rPr>
        <w:t>服务器、 电脑及</w:t>
      </w:r>
    </w:p>
    <w:p>
      <w:pPr>
        <w:spacing w:line="316" w:lineRule="auto" w:before="23"/>
        <w:ind w:left="96" w:right="-19" w:firstLine="0"/>
        <w:jc w:val="left"/>
        <w:rPr>
          <w:rFonts w:ascii="宋体" w:hAnsi="宋体" w:cs="宋体" w:eastAsia="宋体" w:hint="default"/>
          <w:sz w:val="18"/>
          <w:szCs w:val="18"/>
        </w:rPr>
      </w:pPr>
      <w:r>
        <w:rPr>
          <w:rFonts w:ascii="宋体" w:hAnsi="宋体" w:cs="宋体" w:eastAsia="宋体" w:hint="default"/>
          <w:spacing w:val="-18"/>
          <w:sz w:val="18"/>
          <w:szCs w:val="18"/>
        </w:rPr>
        <w:t>配件、软</w:t>
      </w:r>
      <w:r>
        <w:rPr>
          <w:rFonts w:ascii="宋体" w:hAnsi="宋体" w:cs="宋体" w:eastAsia="宋体" w:hint="default"/>
          <w:spacing w:val="-35"/>
          <w:sz w:val="18"/>
          <w:szCs w:val="18"/>
        </w:rPr>
        <w:t> </w:t>
      </w:r>
      <w:r>
        <w:rPr>
          <w:rFonts w:ascii="宋体" w:hAnsi="宋体" w:cs="宋体" w:eastAsia="宋体" w:hint="default"/>
          <w:sz w:val="18"/>
          <w:szCs w:val="18"/>
        </w:rPr>
        <w:t>公允价</w:t>
      </w:r>
      <w:r>
        <w:rPr>
          <w:rFonts w:ascii="宋体" w:hAnsi="宋体" w:cs="宋体" w:eastAsia="宋体" w:hint="default"/>
          <w:sz w:val="18"/>
          <w:szCs w:val="18"/>
        </w:rPr>
        <w:t> </w:t>
      </w:r>
      <w:r>
        <w:rPr>
          <w:rFonts w:ascii="宋体" w:hAnsi="宋体" w:cs="宋体" w:eastAsia="宋体" w:hint="default"/>
          <w:spacing w:val="-18"/>
          <w:sz w:val="18"/>
          <w:szCs w:val="18"/>
        </w:rPr>
        <w:t>件、相关</w:t>
      </w:r>
      <w:r>
        <w:rPr>
          <w:rFonts w:ascii="宋体" w:hAnsi="宋体" w:cs="宋体" w:eastAsia="宋体" w:hint="default"/>
          <w:spacing w:val="-35"/>
          <w:sz w:val="18"/>
          <w:szCs w:val="18"/>
        </w:rPr>
        <w:t> </w:t>
      </w:r>
      <w:r>
        <w:rPr>
          <w:rFonts w:ascii="宋体" w:hAnsi="宋体" w:cs="宋体" w:eastAsia="宋体" w:hint="default"/>
          <w:sz w:val="18"/>
          <w:szCs w:val="18"/>
        </w:rPr>
        <w:t>格</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spacing w:line="316" w:lineRule="auto" w:before="0"/>
        <w:ind w:left="99" w:right="-20" w:firstLine="0"/>
        <w:jc w:val="left"/>
        <w:rPr>
          <w:rFonts w:ascii="宋体" w:hAnsi="宋体" w:cs="宋体" w:eastAsia="宋体" w:hint="default"/>
          <w:sz w:val="18"/>
          <w:szCs w:val="18"/>
        </w:rPr>
      </w:pPr>
      <w:r>
        <w:rPr>
          <w:rFonts w:ascii="宋体" w:hAnsi="宋体" w:cs="宋体" w:eastAsia="宋体" w:hint="default"/>
          <w:sz w:val="18"/>
          <w:szCs w:val="18"/>
        </w:rPr>
        <w:t>市场价 格</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tabs>
          <w:tab w:pos="704" w:val="left" w:leader="none"/>
          <w:tab w:pos="1573" w:val="left" w:leader="none"/>
          <w:tab w:pos="2577" w:val="left" w:leader="none"/>
          <w:tab w:pos="3249" w:val="left" w:leader="none"/>
        </w:tabs>
        <w:spacing w:before="118"/>
        <w:ind w:left="181" w:right="-15"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9.27</w:t>
        <w:tab/>
      </w:r>
      <w:r>
        <w:rPr>
          <w:rFonts w:ascii="Times New Roman" w:hAnsi="Times New Roman" w:cs="Times New Roman" w:eastAsia="Times New Roman" w:hint="default"/>
          <w:sz w:val="18"/>
          <w:szCs w:val="18"/>
        </w:rPr>
        <w:t>2.37%</w:t>
        <w:tab/>
        <w:t>300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否</w:t>
        <w:tab/>
        <w:t>现金</w:t>
        <w:tab/>
      </w:r>
      <w:r>
        <w:rPr>
          <w:rFonts w:ascii="Times New Roman" w:hAnsi="Times New Roman" w:cs="Times New Roman" w:eastAsia="Times New Roman" w:hint="default"/>
          <w:spacing w:val="-1"/>
          <w:sz w:val="18"/>
          <w:szCs w:val="18"/>
        </w:rPr>
        <w:t>9.27</w:t>
      </w:r>
    </w:p>
    <w:p>
      <w:pPr>
        <w:spacing w:before="44"/>
        <w:ind w:left="181" w:right="0"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年</w:t>
      </w:r>
    </w:p>
    <w:p>
      <w:pPr>
        <w:spacing w:before="60"/>
        <w:ind w:left="181"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26</w:t>
      </w:r>
    </w:p>
    <w:p>
      <w:pPr>
        <w:tabs>
          <w:tab w:pos="851" w:val="left" w:leader="none"/>
        </w:tabs>
        <w:spacing w:line="316" w:lineRule="auto" w:before="65"/>
        <w:ind w:left="851" w:right="1277" w:hanging="670"/>
        <w:jc w:val="left"/>
        <w:rPr>
          <w:rFonts w:ascii="宋体" w:hAnsi="宋体" w:cs="宋体" w:eastAsia="宋体" w:hint="default"/>
          <w:sz w:val="18"/>
          <w:szCs w:val="18"/>
        </w:rPr>
      </w:pPr>
      <w:r>
        <w:rPr>
          <w:rFonts w:ascii="宋体" w:hAnsi="宋体" w:cs="宋体" w:eastAsia="宋体" w:hint="default"/>
          <w:sz w:val="18"/>
          <w:szCs w:val="18"/>
        </w:rPr>
        <w:t>日</w:t>
        <w:tab/>
        <w:t>巨潮资 讯网</w:t>
      </w:r>
    </w:p>
    <w:p>
      <w:pPr>
        <w:spacing w:after="0" w:line="316" w:lineRule="auto"/>
        <w:jc w:val="left"/>
        <w:rPr>
          <w:rFonts w:ascii="宋体" w:hAnsi="宋体" w:cs="宋体" w:eastAsia="宋体" w:hint="default"/>
          <w:sz w:val="18"/>
          <w:szCs w:val="18"/>
        </w:rPr>
        <w:sectPr>
          <w:type w:val="continuous"/>
          <w:pgSz w:w="11910" w:h="16840"/>
          <w:pgMar w:top="1060" w:bottom="1160" w:left="980" w:right="0"/>
          <w:cols w:num="6" w:equalWidth="0">
            <w:col w:w="1522" w:space="40"/>
            <w:col w:w="637" w:space="40"/>
            <w:col w:w="1341" w:space="40"/>
            <w:col w:w="640" w:space="255"/>
            <w:col w:w="3565" w:space="177"/>
            <w:col w:w="2673"/>
          </w:cols>
        </w:sectPr>
      </w:pPr>
    </w:p>
    <w:p>
      <w:pPr>
        <w:tabs>
          <w:tab w:pos="981" w:val="left" w:leader="none"/>
        </w:tabs>
        <w:spacing w:before="19"/>
        <w:ind w:left="181" w:right="-20" w:firstLine="0"/>
        <w:jc w:val="left"/>
        <w:rPr>
          <w:rFonts w:ascii="宋体" w:hAnsi="宋体" w:cs="宋体" w:eastAsia="宋体" w:hint="default"/>
          <w:sz w:val="18"/>
          <w:szCs w:val="18"/>
        </w:rPr>
      </w:pPr>
      <w:r>
        <w:rPr>
          <w:rFonts w:ascii="宋体" w:hAnsi="宋体" w:cs="宋体" w:eastAsia="宋体" w:hint="default"/>
          <w:sz w:val="18"/>
          <w:szCs w:val="18"/>
        </w:rPr>
        <w:t>公司</w:t>
        <w:tab/>
        <w:t>业</w:t>
      </w:r>
    </w:p>
    <w:p>
      <w:pPr>
        <w:spacing w:line="316" w:lineRule="auto" w:before="19"/>
        <w:ind w:left="181" w:right="8032" w:firstLine="0"/>
        <w:jc w:val="left"/>
        <w:rPr>
          <w:rFonts w:ascii="宋体" w:hAnsi="宋体" w:cs="宋体" w:eastAsia="宋体" w:hint="default"/>
          <w:sz w:val="18"/>
          <w:szCs w:val="18"/>
        </w:rPr>
      </w:pPr>
      <w:r>
        <w:rPr/>
        <w:br w:type="column"/>
      </w:r>
      <w:r>
        <w:rPr>
          <w:rFonts w:ascii="宋体" w:hAnsi="宋体" w:cs="宋体" w:eastAsia="宋体" w:hint="default"/>
          <w:sz w:val="18"/>
          <w:szCs w:val="18"/>
        </w:rPr>
        <w:t>运维服 务</w:t>
      </w:r>
    </w:p>
    <w:p>
      <w:pPr>
        <w:spacing w:after="0" w:line="316" w:lineRule="auto"/>
        <w:jc w:val="left"/>
        <w:rPr>
          <w:rFonts w:ascii="宋体" w:hAnsi="宋体" w:cs="宋体" w:eastAsia="宋体" w:hint="default"/>
          <w:sz w:val="18"/>
          <w:szCs w:val="18"/>
        </w:rPr>
        <w:sectPr>
          <w:type w:val="continuous"/>
          <w:pgSz w:w="11910" w:h="16840"/>
          <w:pgMar w:top="1060" w:bottom="1160" w:left="980" w:right="0"/>
          <w:cols w:num="2" w:equalWidth="0">
            <w:col w:w="1162" w:space="991"/>
            <w:col w:w="8777"/>
          </w:cols>
        </w:sectPr>
      </w:pPr>
    </w:p>
    <w:p>
      <w:pPr>
        <w:spacing w:line="316" w:lineRule="auto" w:before="110"/>
        <w:ind w:left="181" w:right="-19" w:firstLine="0"/>
        <w:jc w:val="left"/>
        <w:rPr>
          <w:rFonts w:ascii="宋体" w:hAnsi="宋体" w:cs="宋体" w:eastAsia="宋体" w:hint="default"/>
          <w:sz w:val="18"/>
          <w:szCs w:val="18"/>
        </w:rPr>
      </w:pPr>
      <w:r>
        <w:rPr>
          <w:rFonts w:ascii="宋体" w:hAnsi="宋体" w:cs="宋体" w:eastAsia="宋体" w:hint="default"/>
          <w:sz w:val="18"/>
          <w:szCs w:val="18"/>
        </w:rPr>
        <w:t>深圳市恒</w:t>
      </w:r>
      <w:r>
        <w:rPr>
          <w:rFonts w:ascii="宋体" w:hAnsi="宋体" w:cs="宋体" w:eastAsia="宋体" w:hint="default"/>
          <w:spacing w:val="-11"/>
          <w:sz w:val="18"/>
          <w:szCs w:val="18"/>
        </w:rPr>
        <w:t> </w:t>
      </w:r>
      <w:r>
        <w:rPr>
          <w:rFonts w:ascii="宋体" w:hAnsi="宋体" w:cs="宋体" w:eastAsia="宋体" w:hint="default"/>
          <w:sz w:val="18"/>
          <w:szCs w:val="18"/>
        </w:rPr>
        <w:t>实际控</w:t>
      </w:r>
      <w:r>
        <w:rPr>
          <w:rFonts w:ascii="宋体" w:hAnsi="宋体" w:cs="宋体" w:eastAsia="宋体" w:hint="default"/>
          <w:sz w:val="18"/>
          <w:szCs w:val="18"/>
        </w:rPr>
        <w:t> 德小额贷</w:t>
      </w:r>
      <w:r>
        <w:rPr>
          <w:rFonts w:ascii="宋体" w:hAnsi="宋体" w:cs="宋体" w:eastAsia="宋体" w:hint="default"/>
          <w:spacing w:val="-11"/>
          <w:sz w:val="18"/>
          <w:szCs w:val="18"/>
        </w:rPr>
        <w:t> </w:t>
      </w:r>
      <w:r>
        <w:rPr>
          <w:rFonts w:ascii="宋体" w:hAnsi="宋体" w:cs="宋体" w:eastAsia="宋体" w:hint="default"/>
          <w:sz w:val="18"/>
          <w:szCs w:val="18"/>
        </w:rPr>
        <w:t>制人控</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14"/>
          <w:szCs w:val="14"/>
        </w:rPr>
      </w:pPr>
    </w:p>
    <w:p>
      <w:pPr>
        <w:spacing w:before="0"/>
        <w:ind w:left="96" w:right="-20" w:firstLine="0"/>
        <w:jc w:val="left"/>
        <w:rPr>
          <w:rFonts w:ascii="宋体" w:hAnsi="宋体" w:cs="宋体" w:eastAsia="宋体" w:hint="default"/>
          <w:sz w:val="18"/>
          <w:szCs w:val="18"/>
        </w:rPr>
      </w:pPr>
      <w:r>
        <w:rPr>
          <w:rFonts w:ascii="宋体" w:hAnsi="宋体" w:cs="宋体" w:eastAsia="宋体" w:hint="default"/>
          <w:sz w:val="18"/>
          <w:szCs w:val="18"/>
        </w:rPr>
        <w:t>出售商</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14"/>
          <w:szCs w:val="14"/>
        </w:rPr>
      </w:pPr>
    </w:p>
    <w:p>
      <w:pPr>
        <w:spacing w:before="0"/>
        <w:ind w:left="96" w:right="-20" w:firstLine="0"/>
        <w:jc w:val="left"/>
        <w:rPr>
          <w:rFonts w:ascii="宋体" w:hAnsi="宋体" w:cs="宋体" w:eastAsia="宋体" w:hint="default"/>
          <w:sz w:val="18"/>
          <w:szCs w:val="18"/>
        </w:rPr>
      </w:pPr>
      <w:r>
        <w:rPr>
          <w:rFonts w:ascii="宋体" w:hAnsi="宋体" w:cs="宋体" w:eastAsia="宋体" w:hint="default"/>
          <w:sz w:val="18"/>
          <w:szCs w:val="18"/>
        </w:rPr>
        <w:t>信息数</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14"/>
          <w:szCs w:val="14"/>
        </w:rPr>
      </w:pPr>
    </w:p>
    <w:p>
      <w:pPr>
        <w:spacing w:before="0"/>
        <w:ind w:left="123" w:right="-20" w:firstLine="0"/>
        <w:jc w:val="left"/>
        <w:rPr>
          <w:rFonts w:ascii="宋体" w:hAnsi="宋体" w:cs="宋体" w:eastAsia="宋体" w:hint="default"/>
          <w:sz w:val="18"/>
          <w:szCs w:val="18"/>
        </w:rPr>
      </w:pPr>
      <w:r>
        <w:rPr>
          <w:rFonts w:ascii="宋体" w:hAnsi="宋体" w:cs="宋体" w:eastAsia="宋体" w:hint="default"/>
          <w:sz w:val="18"/>
          <w:szCs w:val="18"/>
        </w:rPr>
        <w:t>公允价</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14"/>
          <w:szCs w:val="14"/>
        </w:rPr>
      </w:pPr>
    </w:p>
    <w:p>
      <w:pPr>
        <w:spacing w:before="0"/>
        <w:ind w:left="99" w:right="-20" w:firstLine="0"/>
        <w:jc w:val="left"/>
        <w:rPr>
          <w:rFonts w:ascii="宋体" w:hAnsi="宋体" w:cs="宋体" w:eastAsia="宋体" w:hint="default"/>
          <w:sz w:val="18"/>
          <w:szCs w:val="18"/>
        </w:rPr>
      </w:pPr>
      <w:r>
        <w:rPr>
          <w:rFonts w:ascii="宋体" w:hAnsi="宋体" w:cs="宋体" w:eastAsia="宋体" w:hint="default"/>
          <w:sz w:val="18"/>
          <w:szCs w:val="18"/>
        </w:rPr>
        <w:t>市场价</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169" w:lineRule="exact" w:before="149"/>
        <w:ind w:left="181" w:right="-18" w:firstLine="0"/>
        <w:jc w:val="left"/>
        <w:rPr>
          <w:rFonts w:ascii="Times New Roman" w:hAnsi="Times New Roman" w:cs="Times New Roman" w:eastAsia="Times New Roman" w:hint="default"/>
          <w:sz w:val="18"/>
          <w:szCs w:val="18"/>
        </w:rPr>
      </w:pPr>
      <w:r>
        <w:rPr>
          <w:rFonts w:ascii="Times New Roman"/>
          <w:sz w:val="18"/>
        </w:rPr>
        <w:t>10.85</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4"/>
        <w:rPr>
          <w:rFonts w:ascii="Times New Roman" w:hAnsi="Times New Roman" w:cs="Times New Roman" w:eastAsia="Times New Roman" w:hint="default"/>
          <w:sz w:val="22"/>
          <w:szCs w:val="22"/>
        </w:rPr>
      </w:pPr>
    </w:p>
    <w:p>
      <w:pPr>
        <w:spacing w:before="0"/>
        <w:ind w:left="139" w:right="-20" w:firstLine="0"/>
        <w:jc w:val="left"/>
        <w:rPr>
          <w:rFonts w:ascii="Times New Roman" w:hAnsi="Times New Roman" w:cs="Times New Roman" w:eastAsia="Times New Roman" w:hint="default"/>
          <w:sz w:val="18"/>
          <w:szCs w:val="18"/>
        </w:rPr>
      </w:pPr>
      <w:r>
        <w:rPr>
          <w:rFonts w:ascii="Times New Roman"/>
          <w:sz w:val="18"/>
        </w:rPr>
        <w:t>100.00</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4"/>
          <w:szCs w:val="14"/>
        </w:rPr>
      </w:pPr>
    </w:p>
    <w:p>
      <w:pPr>
        <w:tabs>
          <w:tab w:pos="1184" w:val="left" w:leader="none"/>
          <w:tab w:pos="1857" w:val="left" w:leader="none"/>
        </w:tabs>
        <w:spacing w:line="212" w:lineRule="exact" w:before="0"/>
        <w:ind w:left="181" w:right="-19"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否</w:t>
        <w:tab/>
        <w:t>现金</w:t>
        <w:tab/>
      </w:r>
      <w:r>
        <w:rPr>
          <w:rFonts w:ascii="Times New Roman" w:hAnsi="Times New Roman" w:cs="Times New Roman" w:eastAsia="Times New Roman" w:hint="default"/>
          <w:sz w:val="18"/>
          <w:szCs w:val="18"/>
        </w:rPr>
        <w:t>10.85</w:t>
      </w:r>
    </w:p>
    <w:p>
      <w:pPr>
        <w:spacing w:before="110"/>
        <w:ind w:left="181" w:right="0"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年</w:t>
      </w:r>
    </w:p>
    <w:p>
      <w:pPr>
        <w:spacing w:before="63"/>
        <w:ind w:left="18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巨潮资</w:t>
      </w:r>
    </w:p>
    <w:p>
      <w:pPr>
        <w:spacing w:after="0"/>
        <w:jc w:val="left"/>
        <w:rPr>
          <w:rFonts w:ascii="宋体" w:hAnsi="宋体" w:cs="宋体" w:eastAsia="宋体" w:hint="default"/>
          <w:sz w:val="18"/>
          <w:szCs w:val="18"/>
        </w:rPr>
        <w:sectPr>
          <w:type w:val="continuous"/>
          <w:pgSz w:w="11910" w:h="16840"/>
          <w:pgMar w:top="1060" w:bottom="1160" w:left="980" w:right="0"/>
          <w:cols w:num="9" w:equalWidth="0">
            <w:col w:w="1522" w:space="40"/>
            <w:col w:w="637" w:space="40"/>
            <w:col w:w="637" w:space="40"/>
            <w:col w:w="664" w:space="40"/>
            <w:col w:w="640" w:space="163"/>
            <w:col w:w="589" w:space="40"/>
            <w:col w:w="635" w:space="221"/>
            <w:col w:w="2264" w:space="86"/>
            <w:col w:w="2672"/>
          </w:cols>
        </w:sectPr>
      </w:pPr>
    </w:p>
    <w:p>
      <w:pPr>
        <w:spacing w:line="180" w:lineRule="exact" w:before="0"/>
        <w:ind w:left="181" w:right="-19" w:firstLine="0"/>
        <w:jc w:val="left"/>
        <w:rPr>
          <w:rFonts w:ascii="宋体" w:hAnsi="宋体" w:cs="宋体" w:eastAsia="宋体" w:hint="default"/>
          <w:sz w:val="18"/>
          <w:szCs w:val="18"/>
        </w:rPr>
      </w:pPr>
      <w:r>
        <w:rPr>
          <w:rFonts w:ascii="宋体" w:hAnsi="宋体" w:cs="宋体" w:eastAsia="宋体" w:hint="default"/>
          <w:sz w:val="18"/>
          <w:szCs w:val="18"/>
        </w:rPr>
        <w:t>款有限公</w:t>
      </w:r>
      <w:r>
        <w:rPr>
          <w:rFonts w:ascii="宋体" w:hAnsi="宋体" w:cs="宋体" w:eastAsia="宋体" w:hint="default"/>
          <w:spacing w:val="-11"/>
          <w:sz w:val="18"/>
          <w:szCs w:val="18"/>
        </w:rPr>
        <w:t> </w:t>
      </w:r>
      <w:r>
        <w:rPr>
          <w:rFonts w:ascii="宋体" w:hAnsi="宋体" w:cs="宋体" w:eastAsia="宋体" w:hint="default"/>
          <w:sz w:val="18"/>
          <w:szCs w:val="18"/>
        </w:rPr>
        <w:t>制的企</w:t>
      </w:r>
    </w:p>
    <w:p>
      <w:pPr>
        <w:spacing w:line="180" w:lineRule="exact" w:before="0"/>
        <w:ind w:left="96"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品服务</w:t>
      </w:r>
    </w:p>
    <w:p>
      <w:pPr>
        <w:tabs>
          <w:tab w:pos="1479" w:val="left" w:leader="none"/>
          <w:tab w:pos="3296" w:val="left" w:leader="none"/>
        </w:tabs>
        <w:spacing w:line="194" w:lineRule="exact" w:before="0"/>
        <w:ind w:left="96" w:right="-19"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据服务</w:t>
      </w:r>
      <w:r>
        <w:rPr>
          <w:rFonts w:ascii="宋体" w:hAnsi="宋体" w:cs="宋体" w:eastAsia="宋体" w:hint="default"/>
          <w:spacing w:val="73"/>
          <w:sz w:val="18"/>
          <w:szCs w:val="18"/>
        </w:rPr>
        <w:t> </w:t>
      </w:r>
      <w:r>
        <w:rPr>
          <w:rFonts w:ascii="宋体" w:hAnsi="宋体" w:cs="宋体" w:eastAsia="宋体" w:hint="default"/>
          <w:sz w:val="18"/>
          <w:szCs w:val="18"/>
        </w:rPr>
        <w:t>格</w:t>
        <w:tab/>
        <w:t>格</w:t>
        <w:tab/>
      </w:r>
      <w:r>
        <w:rPr>
          <w:rFonts w:ascii="Times New Roman" w:hAnsi="Times New Roman" w:cs="Times New Roman" w:eastAsia="Times New Roman" w:hint="default"/>
          <w:sz w:val="18"/>
          <w:szCs w:val="18"/>
        </w:rPr>
        <w:t>%</w:t>
      </w:r>
    </w:p>
    <w:p>
      <w:pPr>
        <w:tabs>
          <w:tab w:pos="851" w:val="left" w:leader="none"/>
        </w:tabs>
        <w:spacing w:line="180" w:lineRule="exact" w:before="0"/>
        <w:ind w:left="181"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日</w:t>
        <w:tab/>
        <w:t>讯网</w:t>
      </w:r>
    </w:p>
    <w:p>
      <w:pPr>
        <w:spacing w:after="0" w:line="180" w:lineRule="exact"/>
        <w:jc w:val="left"/>
        <w:rPr>
          <w:rFonts w:ascii="宋体" w:hAnsi="宋体" w:cs="宋体" w:eastAsia="宋体" w:hint="default"/>
          <w:sz w:val="18"/>
          <w:szCs w:val="18"/>
        </w:rPr>
        <w:sectPr>
          <w:type w:val="continuous"/>
          <w:pgSz w:w="11910" w:h="16840"/>
          <w:pgMar w:top="1060" w:bottom="1160" w:left="980" w:right="0"/>
          <w:cols w:num="4" w:equalWidth="0">
            <w:col w:w="1522" w:space="40"/>
            <w:col w:w="637" w:space="40"/>
            <w:col w:w="3447" w:space="2570"/>
            <w:col w:w="2674"/>
          </w:cols>
        </w:sectPr>
      </w:pPr>
    </w:p>
    <w:p>
      <w:pPr>
        <w:tabs>
          <w:tab w:pos="981" w:val="left" w:leader="none"/>
        </w:tabs>
        <w:spacing w:before="63"/>
        <w:ind w:left="181" w:right="996" w:firstLine="0"/>
        <w:jc w:val="left"/>
        <w:rPr>
          <w:rFonts w:ascii="宋体" w:hAnsi="宋体" w:cs="宋体" w:eastAsia="宋体" w:hint="default"/>
          <w:sz w:val="18"/>
          <w:szCs w:val="18"/>
        </w:rPr>
      </w:pPr>
      <w:r>
        <w:rPr>
          <w:rFonts w:ascii="宋体" w:hAnsi="宋体" w:cs="宋体" w:eastAsia="宋体" w:hint="default"/>
          <w:sz w:val="18"/>
          <w:szCs w:val="18"/>
        </w:rPr>
        <w:t>司</w:t>
        <w:tab/>
        <w:t>业</w:t>
      </w:r>
    </w:p>
    <w:p>
      <w:pPr>
        <w:spacing w:line="240" w:lineRule="auto" w:before="2"/>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type w:val="continuous"/>
          <w:pgSz w:w="11910" w:h="16840"/>
          <w:pgMar w:top="1060" w:bottom="1160" w:left="980" w:right="0"/>
        </w:sectPr>
      </w:pPr>
    </w:p>
    <w:p>
      <w:pPr>
        <w:spacing w:line="240" w:lineRule="auto" w:before="7"/>
        <w:rPr>
          <w:rFonts w:ascii="宋体" w:hAnsi="宋体" w:cs="宋体" w:eastAsia="宋体" w:hint="default"/>
          <w:sz w:val="14"/>
          <w:szCs w:val="14"/>
        </w:rPr>
      </w:pPr>
    </w:p>
    <w:p>
      <w:pPr>
        <w:tabs>
          <w:tab w:pos="3290" w:val="left" w:leader="none"/>
          <w:tab w:pos="3964" w:val="left" w:leader="none"/>
        </w:tabs>
        <w:spacing w:before="0"/>
        <w:ind w:left="181" w:right="-19"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z w:val="18"/>
          <w:szCs w:val="18"/>
        </w:rPr>
        <w:t>--</w:t>
        <w:tab/>
        <w:t>--</w:t>
      </w:r>
    </w:p>
    <w:p>
      <w:pPr>
        <w:spacing w:before="76"/>
        <w:ind w:left="0" w:right="0" w:firstLine="0"/>
        <w:jc w:val="right"/>
        <w:rPr>
          <w:rFonts w:ascii="Times New Roman" w:hAnsi="Times New Roman" w:cs="Times New Roman" w:eastAsia="Times New Roman" w:hint="default"/>
          <w:sz w:val="18"/>
          <w:szCs w:val="18"/>
        </w:rPr>
      </w:pPr>
      <w:r>
        <w:rPr>
          <w:spacing w:val="-1"/>
        </w:rPr>
        <w:br w:type="column"/>
      </w:r>
      <w:r>
        <w:rPr>
          <w:rFonts w:ascii="Times New Roman"/>
          <w:spacing w:val="-1"/>
          <w:sz w:val="18"/>
        </w:rPr>
        <w:t>2,929.3</w:t>
      </w:r>
    </w:p>
    <w:p>
      <w:pPr>
        <w:spacing w:before="102"/>
        <w:ind w:left="0" w:right="1" w:firstLine="0"/>
        <w:jc w:val="right"/>
        <w:rPr>
          <w:rFonts w:ascii="Times New Roman" w:hAnsi="Times New Roman" w:cs="Times New Roman" w:eastAsia="Times New Roman" w:hint="default"/>
          <w:sz w:val="18"/>
          <w:szCs w:val="18"/>
        </w:rPr>
      </w:pPr>
      <w:r>
        <w:rPr>
          <w:rFonts w:ascii="Times New Roman"/>
          <w:sz w:val="18"/>
        </w:rPr>
        <w:t>8</w:t>
      </w:r>
    </w:p>
    <w:p>
      <w:pPr>
        <w:spacing w:line="240" w:lineRule="auto" w:before="3"/>
        <w:rPr>
          <w:rFonts w:ascii="Times New Roman" w:hAnsi="Times New Roman" w:cs="Times New Roman" w:eastAsia="Times New Roman" w:hint="default"/>
          <w:sz w:val="20"/>
          <w:szCs w:val="20"/>
        </w:rPr>
      </w:pPr>
      <w:r>
        <w:rPr/>
        <w:br w:type="column"/>
      </w:r>
      <w:r>
        <w:rPr>
          <w:rFonts w:ascii="Times New Roman"/>
          <w:sz w:val="20"/>
        </w:rPr>
      </w:r>
    </w:p>
    <w:p>
      <w:pPr>
        <w:tabs>
          <w:tab w:pos="819" w:val="left" w:leader="none"/>
          <w:tab w:pos="1530" w:val="left" w:leader="none"/>
          <w:tab w:pos="2204" w:val="left" w:leader="none"/>
          <w:tab w:pos="2877" w:val="left" w:leader="none"/>
          <w:tab w:pos="3551" w:val="left" w:leader="none"/>
          <w:tab w:pos="4206" w:val="left" w:leader="none"/>
        </w:tabs>
        <w:spacing w:before="0"/>
        <w:ind w:left="181" w:right="0" w:firstLine="0"/>
        <w:jc w:val="left"/>
        <w:rPr>
          <w:rFonts w:ascii="Times New Roman" w:hAnsi="Times New Roman" w:cs="Times New Roman" w:eastAsia="Times New Roman" w:hint="default"/>
          <w:sz w:val="18"/>
          <w:szCs w:val="18"/>
        </w:rPr>
      </w:pPr>
      <w:r>
        <w:rPr>
          <w:rFonts w:ascii="Times New Roman"/>
          <w:sz w:val="18"/>
        </w:rPr>
        <w:t>--</w:t>
        <w:tab/>
        <w:t>5,800</w:t>
        <w:tab/>
        <w:t>--</w:t>
        <w:tab/>
        <w:t>--</w:t>
        <w:tab/>
        <w:t>--</w:t>
        <w:tab/>
        <w:t>--</w:t>
        <w:tab/>
        <w:t>--</w:t>
      </w:r>
    </w:p>
    <w:p>
      <w:pPr>
        <w:spacing w:after="0"/>
        <w:jc w:val="left"/>
        <w:rPr>
          <w:rFonts w:ascii="Times New Roman" w:hAnsi="Times New Roman" w:cs="Times New Roman" w:eastAsia="Times New Roman" w:hint="default"/>
          <w:sz w:val="18"/>
          <w:szCs w:val="18"/>
        </w:rPr>
        <w:sectPr>
          <w:type w:val="continuous"/>
          <w:pgSz w:w="11910" w:h="16840"/>
          <w:pgMar w:top="1060" w:bottom="1160" w:left="980" w:right="0"/>
          <w:cols w:num="3" w:equalWidth="0">
            <w:col w:w="4086" w:space="202"/>
            <w:col w:w="723" w:space="123"/>
            <w:col w:w="5796"/>
          </w:cols>
        </w:sectPr>
      </w:pPr>
    </w:p>
    <w:p>
      <w:pPr>
        <w:spacing w:line="240" w:lineRule="auto" w:before="6"/>
        <w:rPr>
          <w:rFonts w:ascii="Times New Roman" w:hAnsi="Times New Roman" w:cs="Times New Roman" w:eastAsia="Times New Roman" w:hint="default"/>
          <w:sz w:val="9"/>
          <w:szCs w:val="9"/>
        </w:rPr>
      </w:pPr>
    </w:p>
    <w:p>
      <w:pPr>
        <w:tabs>
          <w:tab w:pos="3038" w:val="left" w:leader="none"/>
        </w:tabs>
        <w:spacing w:before="44"/>
        <w:ind w:left="181" w:right="996" w:firstLine="0"/>
        <w:jc w:val="left"/>
        <w:rPr>
          <w:rFonts w:ascii="宋体" w:hAnsi="宋体" w:cs="宋体" w:eastAsia="宋体" w:hint="default"/>
          <w:sz w:val="18"/>
          <w:szCs w:val="18"/>
        </w:rPr>
      </w:pPr>
      <w:r>
        <w:rPr>
          <w:rFonts w:ascii="宋体" w:hAnsi="宋体" w:cs="宋体" w:eastAsia="宋体" w:hint="default"/>
          <w:sz w:val="18"/>
          <w:szCs w:val="18"/>
        </w:rPr>
        <w:t>大额销货退回的详细情况</w:t>
        <w:tab/>
        <w:t>无</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56"/>
        <w:gridCol w:w="6714"/>
      </w:tblGrid>
      <w:tr>
        <w:trPr>
          <w:trHeight w:val="4770" w:hRule="exact"/>
        </w:trPr>
        <w:tc>
          <w:tcPr>
            <w:tcW w:w="2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z w:val="18"/>
                <w:szCs w:val="18"/>
              </w:rPr>
              <w:t> 实际履行情况（如有）</w:t>
            </w:r>
          </w:p>
        </w:tc>
        <w:tc>
          <w:tcPr>
            <w:tcW w:w="671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49"/>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年向关联人提供的房屋租赁服务实际交易金额为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918.19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万元，由于对房租预 计单价存在偏差等因素，故此项关联交易额少于预计额度。</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年接受关联人提 供的房屋租赁服务实际交易金额为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496.09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万元，由于对房租预计单价存在偏差等因 素，故此项关联交易额少于预计额度。</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年向关联人采购机柜及宽带租赁服务 等的实际交易金额为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59.31 </w:t>
            </w:r>
            <w:r>
              <w:rPr>
                <w:rFonts w:ascii="宋体" w:hAnsi="宋体" w:cs="宋体" w:eastAsia="宋体" w:hint="default"/>
                <w:sz w:val="18"/>
                <w:szCs w:val="18"/>
              </w:rPr>
              <w:t>万元，由于公司对上述资源进行调整，故此项关联交易额 少于预计额度。</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年向关联人提供机柜及宽带租赁服务等的实际交易金额为 </w:t>
            </w:r>
            <w:r>
              <w:rPr>
                <w:rFonts w:ascii="Times New Roman" w:hAnsi="Times New Roman" w:cs="Times New Roman" w:eastAsia="Times New Roman" w:hint="default"/>
                <w:sz w:val="18"/>
                <w:szCs w:val="18"/>
              </w:rPr>
              <w:t>1,263.92 </w:t>
            </w:r>
            <w:r>
              <w:rPr>
                <w:rFonts w:ascii="宋体" w:hAnsi="宋体" w:cs="宋体" w:eastAsia="宋体" w:hint="default"/>
                <w:sz w:val="18"/>
                <w:szCs w:val="18"/>
              </w:rPr>
              <w:t>万元，由于客户结算进度调整，故此项关联交易额多于预计额度。</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年向关联人采购服务器、电脑及其他配件、软件、相关运维服务等的实际交易金额为 </w:t>
            </w:r>
            <w:r>
              <w:rPr>
                <w:rFonts w:ascii="Times New Roman" w:hAnsi="Times New Roman" w:cs="Times New Roman" w:eastAsia="Times New Roman" w:hint="default"/>
                <w:sz w:val="18"/>
                <w:szCs w:val="18"/>
              </w:rPr>
              <w:t>171.75 </w:t>
            </w:r>
            <w:r>
              <w:rPr>
                <w:rFonts w:ascii="宋体" w:hAnsi="宋体" w:cs="宋体" w:eastAsia="宋体" w:hint="default"/>
                <w:sz w:val="18"/>
                <w:szCs w:val="18"/>
              </w:rPr>
              <w:t>万元，由于项目进度调整，故此项关联交易额少于预计额度。</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年向关</w:t>
            </w:r>
          </w:p>
          <w:p>
            <w:pPr>
              <w:pStyle w:val="TableParagraph"/>
              <w:spacing w:line="304" w:lineRule="auto" w:before="11"/>
              <w:ind w:left="23" w:right="17"/>
              <w:jc w:val="left"/>
              <w:rPr>
                <w:rFonts w:ascii="宋体" w:hAnsi="宋体" w:cs="宋体" w:eastAsia="宋体" w:hint="default"/>
                <w:sz w:val="18"/>
                <w:szCs w:val="18"/>
              </w:rPr>
            </w:pPr>
            <w:r>
              <w:rPr>
                <w:rFonts w:ascii="宋体" w:hAnsi="宋体" w:cs="宋体" w:eastAsia="宋体" w:hint="default"/>
                <w:sz w:val="18"/>
                <w:szCs w:val="18"/>
              </w:rPr>
              <w:t>联人销售服务器、电脑及其他配件、软件、相关运维服务等的实际交易金额为</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9.27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万 元，由于销售模式调整公司直接向终端非关联客户销售，故此项关联交易额少于预计 额度。</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年向关联人提供金融信息咨询服务等的实际交易金额为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10.85 </w:t>
            </w:r>
            <w:r>
              <w:rPr>
                <w:rFonts w:ascii="宋体" w:hAnsi="宋体" w:cs="宋体" w:eastAsia="宋体" w:hint="default"/>
                <w:sz w:val="18"/>
                <w:szCs w:val="18"/>
              </w:rPr>
              <w:t>元，由 于项目进度调整，故此项关联交易额少于预计额度。</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年向关联人提供主题乐 园建设开发、创意设计服务等的实际交易金额为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万元，由于项目进度调整，故此项 关联交易额少于预计额度。</w:t>
            </w:r>
          </w:p>
        </w:tc>
      </w:tr>
      <w:tr>
        <w:trPr>
          <w:trHeight w:val="715" w:hRule="exact"/>
        </w:trPr>
        <w:tc>
          <w:tcPr>
            <w:tcW w:w="2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Heading2"/>
        <w:spacing w:line="240" w:lineRule="auto" w:before="39"/>
        <w:ind w:right="996"/>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348" w:lineRule="auto" w:before="135"/>
        <w:ind w:left="152" w:right="4994"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不适用 公司报告期未发生资产或股权收购、出售的关联交易。 </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、共同对外投资的关联交易</w:t>
      </w:r>
      <w:r>
        <w:rPr>
          <w:rFonts w:ascii="宋体" w:hAnsi="宋体" w:cs="宋体" w:eastAsia="宋体" w:hint="default"/>
          <w:sz w:val="24"/>
          <w:szCs w:val="24"/>
        </w:rPr>
      </w:r>
    </w:p>
    <w:p>
      <w:pPr>
        <w:spacing w:line="348" w:lineRule="auto" w:before="16"/>
        <w:ind w:left="152" w:right="5954"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不适用 公司报告期未发生共同对外投资的关联交易。 </w:t>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、关联债权债务往来</w:t>
      </w:r>
      <w:r>
        <w:rPr>
          <w:rFonts w:ascii="宋体" w:hAnsi="宋体" w:cs="宋体" w:eastAsia="宋体" w:hint="default"/>
          <w:sz w:val="24"/>
          <w:szCs w:val="24"/>
        </w:rPr>
      </w:r>
    </w:p>
    <w:p>
      <w:pPr>
        <w:pStyle w:val="Heading3"/>
        <w:spacing w:line="338" w:lineRule="auto" w:before="16"/>
        <w:ind w:right="69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是否存在非经营性关联债权债务往来</w:t>
      </w:r>
    </w:p>
    <w:p>
      <w:pPr>
        <w:spacing w:line="348" w:lineRule="auto" w:before="55"/>
        <w:ind w:left="152" w:right="5714"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是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否 公司报告期不存在非经营性关联债权债务往来。 </w:t>
      </w: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、其他重大关联交易</w:t>
      </w:r>
      <w:r>
        <w:rPr>
          <w:rFonts w:ascii="宋体" w:hAnsi="宋体" w:cs="宋体" w:eastAsia="宋体" w:hint="default"/>
          <w:sz w:val="24"/>
          <w:szCs w:val="24"/>
        </w:rPr>
      </w:r>
    </w:p>
    <w:p>
      <w:pPr>
        <w:pStyle w:val="Heading3"/>
        <w:spacing w:line="240" w:lineRule="auto" w:before="16"/>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pStyle w:val="Heading3"/>
        <w:spacing w:line="338" w:lineRule="auto" w:before="136"/>
        <w:ind w:right="1132" w:firstLine="480"/>
        <w:jc w:val="both"/>
        <w:rPr>
          <w:rFonts w:ascii="Times New Roman" w:hAnsi="Times New Roman" w:cs="Times New Roman" w:eastAsia="Times New Roman" w:hint="default"/>
        </w:rPr>
      </w:pPr>
      <w:r>
        <w:rPr>
          <w:spacing w:val="-1"/>
        </w:rPr>
        <w:t>（</w:t>
      </w:r>
      <w:r>
        <w:rPr>
          <w:rFonts w:ascii="Times New Roman" w:hAnsi="Times New Roman" w:cs="Times New Roman" w:eastAsia="Times New Roman" w:hint="default"/>
          <w:spacing w:val="-1"/>
        </w:rPr>
        <w:t>1</w:t>
      </w:r>
      <w:r>
        <w:rPr>
          <w:spacing w:val="-1"/>
        </w:rPr>
        <w:t>）深圳中青宝互动网络股份有限公司（以下简称</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中青宝</w:t>
      </w:r>
      <w:r>
        <w:rPr>
          <w:rFonts w:ascii="Times New Roman" w:hAnsi="Times New Roman" w:cs="Times New Roman" w:eastAsia="Times New Roman" w:hint="default"/>
          <w:spacing w:val="-1"/>
        </w:rPr>
        <w:t>”</w:t>
      </w:r>
      <w:r>
        <w:rPr>
          <w:spacing w:val="-1"/>
        </w:rPr>
        <w:t>）的控股子公司深</w:t>
      </w:r>
      <w:r>
        <w:rPr/>
        <w:t> </w:t>
      </w:r>
      <w:r>
        <w:rPr>
          <w:spacing w:val="-5"/>
        </w:rPr>
        <w:t>圳游嘻宝创业投资企业（有限合伙）（以下简称</w:t>
      </w:r>
      <w:r>
        <w:rPr>
          <w:rFonts w:ascii="Times New Roman" w:hAnsi="Times New Roman" w:cs="Times New Roman" w:eastAsia="Times New Roman" w:hint="default"/>
          <w:spacing w:val="-5"/>
        </w:rPr>
        <w:t>“</w:t>
      </w:r>
      <w:r>
        <w:rPr>
          <w:spacing w:val="-5"/>
        </w:rPr>
        <w:t>游嘻宝</w:t>
      </w:r>
      <w:r>
        <w:rPr>
          <w:rFonts w:ascii="Times New Roman" w:hAnsi="Times New Roman" w:cs="Times New Roman" w:eastAsia="Times New Roman" w:hint="default"/>
          <w:spacing w:val="-5"/>
        </w:rPr>
        <w:t>”</w:t>
      </w:r>
      <w:r>
        <w:rPr>
          <w:spacing w:val="-5"/>
        </w:rPr>
        <w:t>）与北京海云捷迅科技有限公司（以</w:t>
      </w:r>
      <w:r>
        <w:rPr>
          <w:spacing w:val="-87"/>
        </w:rPr>
        <w:t> </w:t>
      </w:r>
      <w:r>
        <w:rPr>
          <w:spacing w:val="-87"/>
        </w:rPr>
      </w:r>
      <w:r>
        <w:rPr/>
        <w:t>下简称</w:t>
      </w:r>
      <w:r>
        <w:rPr>
          <w:rFonts w:ascii="Times New Roman" w:hAnsi="Times New Roman" w:cs="Times New Roman" w:eastAsia="Times New Roman" w:hint="default"/>
        </w:rPr>
        <w:t>“</w:t>
      </w:r>
      <w:r>
        <w:rPr/>
        <w:t>海云捷迅</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标的公司</w:t>
      </w:r>
      <w:r>
        <w:rPr>
          <w:rFonts w:ascii="Times New Roman" w:hAnsi="Times New Roman" w:cs="Times New Roman" w:eastAsia="Times New Roman" w:hint="default"/>
        </w:rPr>
        <w:t>”</w:t>
      </w:r>
      <w:r>
        <w:rPr/>
        <w:t>）的股东北京海云华宇企业管理中心（有限合伙）（以下简</w:t>
      </w:r>
      <w:r>
        <w:rPr>
          <w:spacing w:val="-44"/>
        </w:rPr>
        <w:t> </w:t>
      </w:r>
      <w:r>
        <w:rPr>
          <w:spacing w:val="-44"/>
        </w:rPr>
      </w:r>
      <w:r>
        <w:rPr/>
        <w:t>称</w:t>
      </w:r>
      <w:r>
        <w:rPr>
          <w:rFonts w:ascii="Times New Roman" w:hAnsi="Times New Roman" w:cs="Times New Roman" w:eastAsia="Times New Roman" w:hint="default"/>
        </w:rPr>
        <w:t>“</w:t>
      </w:r>
      <w:r>
        <w:rPr/>
        <w:t>交易对方</w:t>
      </w:r>
      <w:r>
        <w:rPr>
          <w:rFonts w:ascii="Times New Roman" w:hAnsi="Times New Roman" w:cs="Times New Roman" w:eastAsia="Times New Roman" w:hint="default"/>
        </w:rPr>
        <w:t>”</w:t>
      </w:r>
      <w:r>
        <w:rPr/>
        <w:t>）签订了《北京海云捷迅科技有限公司股权转让协议》，游嘻宝通过向交易对</w:t>
      </w:r>
      <w:r>
        <w:rPr>
          <w:spacing w:val="-65"/>
        </w:rPr>
        <w:t> </w:t>
      </w:r>
      <w:r>
        <w:rPr>
          <w:spacing w:val="-65"/>
        </w:rPr>
      </w:r>
      <w:r>
        <w:rPr>
          <w:spacing w:val="-2"/>
        </w:rPr>
        <w:t>方支付现金的方式购买其持有的海云捷迅</w:t>
      </w:r>
      <w:r>
        <w:rPr>
          <w:rFonts w:ascii="Times New Roman" w:hAnsi="Times New Roman" w:cs="Times New Roman" w:eastAsia="Times New Roman" w:hint="default"/>
          <w:spacing w:val="-2"/>
        </w:rPr>
        <w:t>2.632%</w:t>
      </w:r>
      <w:r>
        <w:rPr>
          <w:spacing w:val="-2"/>
        </w:rPr>
        <w:t>股权。经交易各方协商同意，海云捷迅</w:t>
      </w:r>
      <w:r>
        <w:rPr>
          <w:rFonts w:ascii="Times New Roman" w:hAnsi="Times New Roman" w:cs="Times New Roman" w:eastAsia="Times New Roman" w:hint="default"/>
          <w:spacing w:val="-2"/>
        </w:rPr>
        <w:t>100%</w:t>
      </w:r>
    </w:p>
    <w:p>
      <w:pPr>
        <w:spacing w:after="0" w:line="338" w:lineRule="auto"/>
        <w:jc w:val="both"/>
        <w:rPr>
          <w:rFonts w:ascii="Times New Roman" w:hAnsi="Times New Roman" w:cs="Times New Roman" w:eastAsia="Times New Roman" w:hint="default"/>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pStyle w:val="Heading3"/>
        <w:spacing w:line="338" w:lineRule="auto" w:before="181"/>
        <w:ind w:right="996"/>
        <w:jc w:val="left"/>
      </w:pPr>
      <w:r>
        <w:rPr>
          <w:spacing w:val="3"/>
        </w:rPr>
        <w:t>股权价值确定为人民币</w:t>
      </w:r>
      <w:r>
        <w:rPr>
          <w:rFonts w:ascii="Times New Roman" w:hAnsi="Times New Roman" w:cs="Times New Roman" w:eastAsia="Times New Roman" w:hint="default"/>
          <w:spacing w:val="3"/>
        </w:rPr>
        <w:t>54,000</w:t>
      </w:r>
      <w:r>
        <w:rPr>
          <w:spacing w:val="3"/>
        </w:rPr>
        <w:t>万元，游嘻宝本次交易的</w:t>
      </w:r>
      <w:r>
        <w:rPr>
          <w:rFonts w:ascii="Times New Roman" w:hAnsi="Times New Roman" w:cs="Times New Roman" w:eastAsia="Times New Roman" w:hint="default"/>
          <w:spacing w:val="3"/>
        </w:rPr>
        <w:t>2.632%</w:t>
      </w:r>
      <w:r>
        <w:rPr>
          <w:spacing w:val="3"/>
        </w:rPr>
        <w:t>股权对价为人民币</w:t>
      </w:r>
      <w:r>
        <w:rPr>
          <w:rFonts w:ascii="Times New Roman" w:hAnsi="Times New Roman" w:cs="Times New Roman" w:eastAsia="Times New Roman" w:hint="default"/>
          <w:spacing w:val="3"/>
        </w:rPr>
        <w:t>1,421.28</w:t>
      </w:r>
      <w:r>
        <w:rPr>
          <w:spacing w:val="3"/>
        </w:rPr>
        <w:t>万</w:t>
      </w:r>
      <w:r>
        <w:rPr>
          <w:spacing w:val="-94"/>
        </w:rPr>
        <w:t> </w:t>
      </w:r>
      <w:r>
        <w:rPr/>
        <w:t>元。</w:t>
      </w:r>
    </w:p>
    <w:p>
      <w:pPr>
        <w:pStyle w:val="Heading3"/>
        <w:spacing w:line="338" w:lineRule="auto" w:before="55"/>
        <w:ind w:right="1129" w:firstLine="480"/>
        <w:jc w:val="both"/>
      </w:pPr>
      <w:r>
        <w:rPr/>
        <w:t>宝德科技集团股份有限公司（以下简称</w:t>
      </w:r>
      <w:r>
        <w:rPr>
          <w:rFonts w:ascii="Times New Roman" w:hAnsi="Times New Roman" w:cs="Times New Roman" w:eastAsia="Times New Roman" w:hint="default"/>
        </w:rPr>
        <w:t>“</w:t>
      </w:r>
      <w:r>
        <w:rPr/>
        <w:t>宝德科技</w:t>
      </w:r>
      <w:r>
        <w:rPr>
          <w:rFonts w:ascii="Times New Roman" w:hAnsi="Times New Roman" w:cs="Times New Roman" w:eastAsia="Times New Roman" w:hint="default"/>
        </w:rPr>
        <w:t>”</w:t>
      </w:r>
      <w:r>
        <w:rPr/>
        <w:t>）为中青宝的股东之一，现持有中青 宝</w:t>
      </w:r>
      <w:r>
        <w:rPr>
          <w:rFonts w:ascii="Times New Roman" w:hAnsi="Times New Roman" w:cs="Times New Roman" w:eastAsia="Times New Roman" w:hint="default"/>
        </w:rPr>
        <w:t>15.03%</w:t>
      </w:r>
      <w:r>
        <w:rPr/>
        <w:t>的股权，公司董事张云霞女士任海云捷迅董事，根据《深圳证券交易所创业板股票</w:t>
      </w:r>
      <w:r>
        <w:rPr>
          <w:spacing w:val="-108"/>
        </w:rPr>
        <w:t> </w:t>
      </w:r>
      <w:r>
        <w:rPr>
          <w:spacing w:val="-108"/>
        </w:rPr>
      </w:r>
      <w:r>
        <w:rPr/>
        <w:t>上市规则》、《公司章程》等规定，海云捷迅属于中青宝的关联法人。</w:t>
      </w:r>
    </w:p>
    <w:p>
      <w:pPr>
        <w:pStyle w:val="Heading3"/>
        <w:spacing w:line="343" w:lineRule="auto" w:before="55"/>
        <w:ind w:right="1130" w:firstLine="480"/>
        <w:jc w:val="both"/>
      </w:pPr>
      <w:r>
        <w:rPr>
          <w:spacing w:val="-2"/>
        </w:rPr>
        <w:t>（</w:t>
      </w:r>
      <w:r>
        <w:rPr>
          <w:rFonts w:ascii="Times New Roman" w:hAnsi="Times New Roman" w:cs="Times New Roman" w:eastAsia="Times New Roman" w:hint="default"/>
          <w:spacing w:val="-2"/>
        </w:rPr>
        <w:t>2</w:t>
      </w:r>
      <w:r>
        <w:rPr>
          <w:spacing w:val="-2"/>
        </w:rPr>
        <w:t>）深圳市宝腾互联科技有限公司（以下简称</w:t>
      </w:r>
      <w:r>
        <w:rPr>
          <w:rFonts w:ascii="Times New Roman" w:hAnsi="Times New Roman" w:cs="Times New Roman" w:eastAsia="Times New Roman" w:hint="default"/>
          <w:spacing w:val="-2"/>
        </w:rPr>
        <w:t>“</w:t>
      </w:r>
      <w:r>
        <w:rPr>
          <w:spacing w:val="-2"/>
        </w:rPr>
        <w:t>宝腾互联</w:t>
      </w:r>
      <w:r>
        <w:rPr>
          <w:rFonts w:ascii="Times New Roman" w:hAnsi="Times New Roman" w:cs="Times New Roman" w:eastAsia="Times New Roman" w:hint="default"/>
          <w:spacing w:val="-2"/>
        </w:rPr>
        <w:t>”</w:t>
      </w:r>
      <w:r>
        <w:rPr>
          <w:spacing w:val="-2"/>
        </w:rPr>
        <w:t>）为深圳中青宝互动网络股份</w:t>
      </w:r>
      <w:r>
        <w:rPr/>
        <w:t> </w:t>
      </w:r>
      <w:r>
        <w:rPr>
          <w:spacing w:val="-4"/>
        </w:rPr>
        <w:t>有限公司（以下简称</w:t>
      </w:r>
      <w:r>
        <w:rPr>
          <w:rFonts w:ascii="Times New Roman" w:hAnsi="Times New Roman" w:cs="Times New Roman" w:eastAsia="Times New Roman" w:hint="default"/>
          <w:spacing w:val="-4"/>
        </w:rPr>
        <w:t>“</w:t>
      </w:r>
      <w:r>
        <w:rPr>
          <w:spacing w:val="-4"/>
        </w:rPr>
        <w:t>中青宝</w:t>
      </w:r>
      <w:r>
        <w:rPr>
          <w:rFonts w:ascii="Times New Roman" w:hAnsi="Times New Roman" w:cs="Times New Roman" w:eastAsia="Times New Roman" w:hint="default"/>
          <w:spacing w:val="-4"/>
        </w:rPr>
        <w:t>”</w:t>
      </w:r>
      <w:r>
        <w:rPr>
          <w:spacing w:val="-4"/>
        </w:rPr>
        <w:t>或</w:t>
      </w:r>
      <w:r>
        <w:rPr>
          <w:rFonts w:ascii="Times New Roman" w:hAnsi="Times New Roman" w:cs="Times New Roman" w:eastAsia="Times New Roman" w:hint="default"/>
          <w:spacing w:val="-4"/>
        </w:rPr>
        <w:t>“</w:t>
      </w:r>
      <w:r>
        <w:rPr>
          <w:spacing w:val="-4"/>
        </w:rPr>
        <w:t>公司</w:t>
      </w:r>
      <w:r>
        <w:rPr>
          <w:rFonts w:ascii="Times New Roman" w:hAnsi="Times New Roman" w:cs="Times New Roman" w:eastAsia="Times New Roman" w:hint="default"/>
          <w:spacing w:val="-4"/>
        </w:rPr>
        <w:t>”</w:t>
      </w:r>
      <w:r>
        <w:rPr>
          <w:spacing w:val="-4"/>
        </w:rPr>
        <w:t>）的全资子公司。贵州金沙安底斗酒酒业有限公司（以</w:t>
      </w:r>
      <w:r>
        <w:rPr>
          <w:spacing w:val="-94"/>
        </w:rPr>
        <w:t> </w:t>
      </w:r>
      <w:r>
        <w:rPr>
          <w:spacing w:val="-94"/>
        </w:rPr>
      </w:r>
      <w:r>
        <w:rPr/>
        <w:t>下简称</w:t>
      </w:r>
      <w:r>
        <w:rPr>
          <w:rFonts w:ascii="Times New Roman" w:hAnsi="Times New Roman" w:cs="Times New Roman" w:eastAsia="Times New Roman" w:hint="default"/>
        </w:rPr>
        <w:t>“</w:t>
      </w:r>
      <w:r>
        <w:rPr/>
        <w:t>斗酒酒业</w:t>
      </w:r>
      <w:r>
        <w:rPr>
          <w:rFonts w:ascii="Times New Roman" w:hAnsi="Times New Roman" w:cs="Times New Roman" w:eastAsia="Times New Roman" w:hint="default"/>
        </w:rPr>
        <w:t>”</w:t>
      </w:r>
      <w:r>
        <w:rPr/>
        <w:t>）为公司控股股东深圳市宝德投资控股有限公司（以下简称</w:t>
      </w:r>
      <w:r>
        <w:rPr>
          <w:rFonts w:ascii="Times New Roman" w:hAnsi="Times New Roman" w:cs="Times New Roman" w:eastAsia="Times New Roman" w:hint="default"/>
        </w:rPr>
        <w:t>“</w:t>
      </w:r>
      <w:r>
        <w:rPr/>
        <w:t>宝德控股</w:t>
      </w:r>
      <w:r>
        <w:rPr>
          <w:rFonts w:ascii="Times New Roman" w:hAnsi="Times New Roman" w:cs="Times New Roman" w:eastAsia="Times New Roman" w:hint="default"/>
        </w:rPr>
        <w:t>”</w:t>
      </w:r>
      <w:r>
        <w:rPr/>
        <w:t>）</w:t>
      </w:r>
      <w:r>
        <w:rPr>
          <w:spacing w:val="-45"/>
        </w:rPr>
        <w:t> </w:t>
      </w:r>
      <w:r>
        <w:rPr/>
        <w:t>全资子公司，为公司董事长李瑞杰先生控制的公司，根据《深圳证券交易所创业板股票上市</w:t>
      </w:r>
      <w:r>
        <w:rPr>
          <w:spacing w:val="-91"/>
        </w:rPr>
        <w:t> </w:t>
      </w:r>
      <w:r>
        <w:rPr>
          <w:spacing w:val="-91"/>
        </w:rPr>
      </w:r>
      <w:r>
        <w:rPr/>
        <w:t>规则》相关规定，斗酒酒业为公司关联法人。</w:t>
      </w:r>
    </w:p>
    <w:p>
      <w:pPr>
        <w:pStyle w:val="Heading3"/>
        <w:spacing w:line="338" w:lineRule="auto" w:before="50"/>
        <w:ind w:right="1127" w:firstLine="480"/>
        <w:jc w:val="both"/>
      </w:pP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12</w:t>
      </w:r>
      <w:r>
        <w:rPr/>
        <w:t>日召开第四届董事会第三十一次会议，第四届监事会第二十二次会 </w:t>
      </w:r>
      <w:r>
        <w:rPr>
          <w:spacing w:val="-2"/>
        </w:rPr>
        <w:t>议审议通过《关于全资子公司与关联法人就</w:t>
      </w:r>
      <w:r>
        <w:rPr>
          <w:rFonts w:ascii="Times New Roman" w:hAnsi="Times New Roman" w:cs="Times New Roman" w:eastAsia="Times New Roman" w:hint="default"/>
          <w:spacing w:val="-2"/>
        </w:rPr>
        <w:t>“</w:t>
      </w:r>
      <w:r>
        <w:rPr>
          <w:spacing w:val="-2"/>
        </w:rPr>
        <w:t>区块链</w:t>
      </w:r>
      <w:r>
        <w:rPr>
          <w:rFonts w:ascii="Times New Roman" w:hAnsi="Times New Roman" w:cs="Times New Roman" w:eastAsia="Times New Roman" w:hint="default"/>
          <w:spacing w:val="-2"/>
        </w:rPr>
        <w:t>+</w:t>
      </w:r>
      <w:r>
        <w:rPr>
          <w:spacing w:val="-2"/>
        </w:rPr>
        <w:t>智能酒厂</w:t>
      </w:r>
      <w:r>
        <w:rPr>
          <w:rFonts w:ascii="Times New Roman" w:hAnsi="Times New Roman" w:cs="Times New Roman" w:eastAsia="Times New Roman" w:hint="default"/>
          <w:spacing w:val="-2"/>
        </w:rPr>
        <w:t>”</w:t>
      </w:r>
      <w:r>
        <w:rPr>
          <w:spacing w:val="-2"/>
        </w:rPr>
        <w:t>项目签订软件开发合同暨关联</w:t>
      </w:r>
      <w:r>
        <w:rPr>
          <w:spacing w:val="-106"/>
        </w:rPr>
        <w:t> </w:t>
      </w:r>
      <w:r>
        <w:rPr>
          <w:spacing w:val="-106"/>
        </w:rPr>
      </w:r>
      <w:r>
        <w:rPr/>
        <w:t>交易的议案》，宝腾互联与斗酒酒业针对</w:t>
      </w:r>
      <w:r>
        <w:rPr>
          <w:rFonts w:ascii="Times New Roman" w:hAnsi="Times New Roman" w:cs="Times New Roman" w:eastAsia="Times New Roman" w:hint="default"/>
        </w:rPr>
        <w:t>“</w:t>
      </w:r>
      <w:r>
        <w:rPr/>
        <w:t>区块链</w:t>
      </w:r>
      <w:r>
        <w:rPr>
          <w:rFonts w:ascii="Times New Roman" w:hAnsi="Times New Roman" w:cs="Times New Roman" w:eastAsia="Times New Roman" w:hint="default"/>
        </w:rPr>
        <w:t>+</w:t>
      </w:r>
      <w:r>
        <w:rPr/>
        <w:t>智能酒厂</w:t>
      </w:r>
      <w:r>
        <w:rPr>
          <w:rFonts w:ascii="Times New Roman" w:hAnsi="Times New Roman" w:cs="Times New Roman" w:eastAsia="Times New Roman" w:hint="default"/>
        </w:rPr>
        <w:t>”</w:t>
      </w:r>
      <w:r>
        <w:rPr/>
        <w:t>项目签订《</w:t>
      </w:r>
      <w:r>
        <w:rPr>
          <w:rFonts w:ascii="Times New Roman" w:hAnsi="Times New Roman" w:cs="Times New Roman" w:eastAsia="Times New Roman" w:hint="default"/>
        </w:rPr>
        <w:t>“</w:t>
      </w:r>
      <w:r>
        <w:rPr/>
        <w:t>区块链</w:t>
      </w:r>
      <w:r>
        <w:rPr>
          <w:rFonts w:ascii="Times New Roman" w:hAnsi="Times New Roman" w:cs="Times New Roman" w:eastAsia="Times New Roman" w:hint="default"/>
        </w:rPr>
        <w:t>+</w:t>
      </w:r>
      <w:r>
        <w:rPr/>
        <w:t>智能酒厂</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项目软件开发合同》。斗酒酒业通过支付人民币</w:t>
      </w:r>
      <w:r>
        <w:rPr>
          <w:rFonts w:ascii="Times New Roman" w:hAnsi="Times New Roman" w:cs="Times New Roman" w:eastAsia="Times New Roman" w:hint="default"/>
        </w:rPr>
        <w:t>4,000,000</w:t>
      </w:r>
      <w:r>
        <w:rPr/>
        <w:t>元软件服务业务。</w:t>
      </w:r>
    </w:p>
    <w:p>
      <w:pPr>
        <w:pStyle w:val="Heading3"/>
        <w:spacing w:line="240" w:lineRule="auto" w:before="27"/>
        <w:ind w:left="633" w:right="996"/>
        <w:jc w:val="left"/>
      </w:pPr>
      <w:r>
        <w:rPr/>
        <w:t>重大关联交易临时报告披露网站相关查询</w:t>
      </w:r>
    </w:p>
    <w:p>
      <w:pPr>
        <w:spacing w:line="240" w:lineRule="auto" w:before="1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59"/>
        <w:gridCol w:w="2650"/>
        <w:gridCol w:w="3461"/>
      </w:tblGrid>
      <w:tr>
        <w:trPr>
          <w:trHeight w:val="401"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9"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8"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6"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3"/>
              <w:jc w:val="left"/>
              <w:rPr>
                <w:rFonts w:ascii="宋体" w:hAnsi="宋体" w:cs="宋体" w:eastAsia="宋体" w:hint="default"/>
                <w:sz w:val="18"/>
                <w:szCs w:val="18"/>
              </w:rPr>
            </w:pPr>
            <w:r>
              <w:rPr>
                <w:rFonts w:ascii="宋体" w:hAnsi="宋体" w:cs="宋体" w:eastAsia="宋体" w:hint="default"/>
                <w:sz w:val="18"/>
                <w:szCs w:val="18"/>
              </w:rPr>
              <w:t>关于控股子公司购买股权暨与关联方共同 投资的公告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5"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关于全资子公司与关联法人签订软件开发 合同暨关联交易的公告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1"/>
        <w:rPr>
          <w:rFonts w:ascii="宋体" w:hAnsi="宋体" w:cs="宋体" w:eastAsia="宋体" w:hint="default"/>
          <w:sz w:val="18"/>
          <w:szCs w:val="18"/>
        </w:rPr>
      </w:pPr>
    </w:p>
    <w:p>
      <w:pPr>
        <w:pStyle w:val="Heading2"/>
        <w:spacing w:line="240" w:lineRule="auto" w:before="26"/>
        <w:ind w:right="996"/>
        <w:jc w:val="left"/>
        <w:rPr>
          <w:b w:val="0"/>
          <w:bCs w:val="0"/>
        </w:rPr>
      </w:pPr>
      <w:r>
        <w:rPr/>
        <w:t>十六、重大合同及其履行情况</w:t>
      </w:r>
      <w:r>
        <w:rPr>
          <w:b w:val="0"/>
          <w:bCs w:val="0"/>
        </w:rPr>
      </w:r>
    </w:p>
    <w:p>
      <w:pPr>
        <w:spacing w:line="240" w:lineRule="auto" w:before="8"/>
        <w:rPr>
          <w:rFonts w:ascii="宋体" w:hAnsi="宋体" w:cs="宋体" w:eastAsia="宋体" w:hint="default"/>
          <w:b/>
          <w:bCs/>
          <w:sz w:val="28"/>
          <w:szCs w:val="28"/>
        </w:rPr>
      </w:pPr>
    </w:p>
    <w:p>
      <w:pPr>
        <w:pStyle w:val="Heading2"/>
        <w:spacing w:line="240" w:lineRule="auto"/>
        <w:ind w:right="996"/>
        <w:jc w:val="left"/>
        <w:rPr>
          <w:b w:val="0"/>
          <w:bCs w:val="0"/>
        </w:rPr>
      </w:pPr>
      <w:r>
        <w:rPr>
          <w:rFonts w:ascii="Times New Roman" w:hAnsi="Times New Roman" w:cs="Times New Roman" w:eastAsia="Times New Roman" w:hint="default"/>
        </w:rPr>
        <w:t>1</w:t>
      </w:r>
      <w:r>
        <w:rPr/>
        <w:t>、托管、承包、租赁事项情况</w:t>
      </w:r>
      <w:r>
        <w:rPr>
          <w:b w:val="0"/>
          <w:bCs w:val="0"/>
        </w:rPr>
      </w:r>
    </w:p>
    <w:p>
      <w:pPr>
        <w:pStyle w:val="Heading2"/>
        <w:spacing w:line="240" w:lineRule="auto" w:before="135"/>
        <w:ind w:right="996"/>
        <w:jc w:val="left"/>
        <w:rPr>
          <w:b w:val="0"/>
          <w:bCs w:val="0"/>
        </w:rPr>
      </w:pPr>
      <w:r>
        <w:rPr/>
        <w:t>（</w:t>
      </w:r>
      <w:r>
        <w:rPr>
          <w:rFonts w:ascii="Times New Roman" w:hAnsi="Times New Roman" w:cs="Times New Roman" w:eastAsia="Times New Roman" w:hint="default"/>
        </w:rPr>
        <w:t>1</w:t>
      </w:r>
      <w:r>
        <w:rPr/>
        <w:t>）托管情况</w:t>
      </w:r>
      <w:r>
        <w:rPr>
          <w:b w:val="0"/>
          <w:bCs w:val="0"/>
        </w:rPr>
      </w:r>
    </w:p>
    <w:p>
      <w:pPr>
        <w:pStyle w:val="Heading3"/>
        <w:spacing w:line="338" w:lineRule="auto" w:before="135"/>
        <w:ind w:right="7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公司报告期不存在托管情况。</w:t>
      </w:r>
    </w:p>
    <w:p>
      <w:pPr>
        <w:pStyle w:val="Heading2"/>
        <w:spacing w:line="240" w:lineRule="auto" w:before="56"/>
        <w:ind w:right="996"/>
        <w:jc w:val="left"/>
        <w:rPr>
          <w:b w:val="0"/>
          <w:bCs w:val="0"/>
        </w:rPr>
      </w:pPr>
      <w:r>
        <w:rPr/>
        <w:t>（</w:t>
      </w:r>
      <w:r>
        <w:rPr>
          <w:rFonts w:ascii="Times New Roman" w:hAnsi="Times New Roman" w:cs="Times New Roman" w:eastAsia="Times New Roman" w:hint="default"/>
        </w:rPr>
        <w:t>2</w:t>
      </w:r>
      <w:r>
        <w:rPr/>
        <w:t>）承包情况</w:t>
      </w:r>
      <w:r>
        <w:rPr>
          <w:b w:val="0"/>
          <w:bCs w:val="0"/>
        </w:rPr>
      </w:r>
    </w:p>
    <w:p>
      <w:pPr>
        <w:pStyle w:val="Heading3"/>
        <w:spacing w:line="338" w:lineRule="auto" w:before="135"/>
        <w:ind w:right="7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公司报告期不存在承包情况。</w:t>
      </w:r>
    </w:p>
    <w:p>
      <w:pPr>
        <w:pStyle w:val="Heading2"/>
        <w:spacing w:line="240" w:lineRule="auto" w:before="55"/>
        <w:ind w:right="996"/>
        <w:jc w:val="left"/>
        <w:rPr>
          <w:b w:val="0"/>
          <w:bCs w:val="0"/>
        </w:rPr>
      </w:pPr>
      <w:r>
        <w:rPr/>
        <w:t>（</w:t>
      </w:r>
      <w:r>
        <w:rPr>
          <w:rFonts w:ascii="Times New Roman" w:hAnsi="Times New Roman" w:cs="Times New Roman" w:eastAsia="Times New Roman" w:hint="default"/>
        </w:rPr>
        <w:t>3</w:t>
      </w:r>
      <w:r>
        <w:rPr/>
        <w:t>）租赁情况</w:t>
      </w:r>
      <w:r>
        <w:rPr>
          <w:b w:val="0"/>
          <w:bCs w:val="0"/>
        </w:rPr>
      </w:r>
    </w:p>
    <w:p>
      <w:pPr>
        <w:pStyle w:val="Heading3"/>
        <w:spacing w:line="240" w:lineRule="auto" w:before="135"/>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spacing w:after="0" w:line="240" w:lineRule="auto"/>
        <w:jc w:val="left"/>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pStyle w:val="Heading3"/>
        <w:spacing w:line="240" w:lineRule="auto" w:before="26"/>
        <w:ind w:right="996"/>
        <w:jc w:val="left"/>
      </w:pPr>
      <w:r>
        <w:rPr/>
        <w:t>公司报告期不存在租赁情况。</w:t>
      </w:r>
    </w:p>
    <w:p>
      <w:pPr>
        <w:pStyle w:val="Heading2"/>
        <w:spacing w:line="240" w:lineRule="auto" w:before="154"/>
        <w:ind w:right="996"/>
        <w:jc w:val="left"/>
        <w:rPr>
          <w:b w:val="0"/>
          <w:bCs w:val="0"/>
        </w:rPr>
      </w:pPr>
      <w:r>
        <w:rPr>
          <w:rFonts w:ascii="Times New Roman" w:hAnsi="Times New Roman" w:cs="Times New Roman" w:eastAsia="Times New Roman" w:hint="default"/>
        </w:rPr>
        <w:t>2</w:t>
      </w:r>
      <w:r>
        <w:rPr/>
        <w:t>、重大担保</w:t>
      </w:r>
      <w:r>
        <w:rPr>
          <w:b w:val="0"/>
          <w:bCs w:val="0"/>
        </w:rPr>
      </w:r>
    </w:p>
    <w:p>
      <w:pPr>
        <w:spacing w:line="348" w:lineRule="auto" w:before="135"/>
        <w:ind w:left="152" w:right="702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不适用 公司报告期不存在担保情况。 </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、委托他人进行现金资产管理情况</w:t>
      </w:r>
      <w:r>
        <w:rPr>
          <w:rFonts w:ascii="宋体" w:hAnsi="宋体" w:cs="宋体" w:eastAsia="宋体" w:hint="default"/>
          <w:sz w:val="24"/>
          <w:szCs w:val="24"/>
        </w:rPr>
      </w:r>
    </w:p>
    <w:p>
      <w:pPr>
        <w:pStyle w:val="Heading2"/>
        <w:spacing w:line="240" w:lineRule="auto" w:before="16"/>
        <w:ind w:right="996"/>
        <w:jc w:val="left"/>
        <w:rPr>
          <w:b w:val="0"/>
          <w:bCs w:val="0"/>
        </w:rPr>
      </w:pPr>
      <w:r>
        <w:rPr/>
        <w:t>（</w:t>
      </w:r>
      <w:r>
        <w:rPr>
          <w:rFonts w:ascii="Times New Roman" w:hAnsi="Times New Roman" w:cs="Times New Roman" w:eastAsia="Times New Roman" w:hint="default"/>
        </w:rPr>
        <w:t>1</w:t>
      </w:r>
      <w:r>
        <w:rPr/>
        <w:t>）委托理财情况</w:t>
      </w:r>
      <w:r>
        <w:rPr>
          <w:b w:val="0"/>
          <w:bCs w:val="0"/>
        </w:rPr>
      </w:r>
    </w:p>
    <w:p>
      <w:pPr>
        <w:pStyle w:val="Heading3"/>
        <w:spacing w:line="338" w:lineRule="auto" w:before="135"/>
        <w:ind w:right="83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报告期内委托理财概况</w:t>
      </w:r>
    </w:p>
    <w:p>
      <w:pPr>
        <w:spacing w:before="6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0"/>
        <w:gridCol w:w="1911"/>
        <w:gridCol w:w="1846"/>
      </w:tblGrid>
      <w:tr>
        <w:trPr>
          <w:trHeight w:val="403"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Heading3"/>
        <w:spacing w:line="240" w:lineRule="auto" w:before="39"/>
        <w:ind w:right="996"/>
        <w:jc w:val="left"/>
      </w:pPr>
      <w:r>
        <w:rPr/>
        <w:t>单项金额重大或安全性较低、流动性较差、不保本的高风险委托理财具体情况</w:t>
      </w:r>
    </w:p>
    <w:p>
      <w:pPr>
        <w:pStyle w:val="Heading3"/>
        <w:spacing w:line="338" w:lineRule="auto" w:before="154"/>
        <w:ind w:right="4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委托理财出现预期无法收回本金或存在其他可能导致减值的情形</w:t>
      </w:r>
    </w:p>
    <w:p>
      <w:pPr>
        <w:pStyle w:val="Heading3"/>
        <w:spacing w:line="240" w:lineRule="auto" w:before="55"/>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pStyle w:val="Heading2"/>
        <w:spacing w:line="240" w:lineRule="auto" w:before="135"/>
        <w:ind w:right="996"/>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348" w:lineRule="auto" w:before="136"/>
        <w:ind w:left="152" w:right="7634"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不适用 公司报告期不存在委托贷款。 </w:t>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、其他重大合同</w:t>
      </w:r>
      <w:r>
        <w:rPr>
          <w:rFonts w:ascii="宋体" w:hAnsi="宋体" w:cs="宋体" w:eastAsia="宋体" w:hint="default"/>
          <w:sz w:val="24"/>
          <w:szCs w:val="24"/>
        </w:rPr>
      </w:r>
    </w:p>
    <w:p>
      <w:pPr>
        <w:pStyle w:val="Heading3"/>
        <w:spacing w:line="338" w:lineRule="auto" w:before="16"/>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公司报告期不存在其他重大合同。</w:t>
      </w:r>
    </w:p>
    <w:p>
      <w:pPr>
        <w:spacing w:line="240" w:lineRule="auto" w:before="4"/>
        <w:rPr>
          <w:rFonts w:ascii="宋体" w:hAnsi="宋体" w:cs="宋体" w:eastAsia="宋体" w:hint="default"/>
          <w:sz w:val="21"/>
          <w:szCs w:val="21"/>
        </w:rPr>
      </w:pPr>
    </w:p>
    <w:p>
      <w:pPr>
        <w:pStyle w:val="Heading2"/>
        <w:spacing w:line="240" w:lineRule="auto"/>
        <w:ind w:right="996"/>
        <w:jc w:val="left"/>
        <w:rPr>
          <w:b w:val="0"/>
          <w:bCs w:val="0"/>
        </w:rPr>
      </w:pPr>
      <w:r>
        <w:rPr/>
        <w:t>十七、社会责任情况</w:t>
      </w:r>
      <w:r>
        <w:rPr>
          <w:b w:val="0"/>
          <w:bCs w:val="0"/>
        </w:rPr>
      </w:r>
    </w:p>
    <w:p>
      <w:pPr>
        <w:spacing w:line="240" w:lineRule="auto" w:before="8"/>
        <w:rPr>
          <w:rFonts w:ascii="宋体" w:hAnsi="宋体" w:cs="宋体" w:eastAsia="宋体" w:hint="default"/>
          <w:b/>
          <w:bCs/>
          <w:sz w:val="28"/>
          <w:szCs w:val="28"/>
        </w:rPr>
      </w:pPr>
    </w:p>
    <w:p>
      <w:pPr>
        <w:pStyle w:val="Heading2"/>
        <w:spacing w:line="338" w:lineRule="auto"/>
        <w:ind w:right="8465"/>
        <w:jc w:val="left"/>
        <w:rPr>
          <w:rFonts w:ascii="宋体" w:hAnsi="宋体" w:cs="宋体" w:eastAsia="宋体" w:hint="default"/>
          <w:b w:val="0"/>
          <w:bCs w:val="0"/>
        </w:rPr>
      </w:pPr>
      <w:r>
        <w:rPr>
          <w:rFonts w:ascii="Times New Roman" w:hAnsi="Times New Roman" w:cs="Times New Roman" w:eastAsia="Times New Roman" w:hint="default"/>
        </w:rPr>
        <w:t>1</w:t>
      </w:r>
      <w:r>
        <w:rPr/>
        <w:t>、履行社会责任情况</w:t>
      </w:r>
      <w:r>
        <w:rPr>
          <w:w w:val="99"/>
        </w:rPr>
        <w:t> </w:t>
      </w:r>
      <w:r>
        <w:rPr>
          <w:rFonts w:ascii="宋体" w:hAnsi="宋体" w:cs="宋体" w:eastAsia="宋体" w:hint="default"/>
          <w:b w:val="0"/>
          <w:bCs w:val="0"/>
        </w:rPr>
        <w:t>无</w:t>
      </w:r>
    </w:p>
    <w:p>
      <w:pPr>
        <w:spacing w:line="345" w:lineRule="auto" w:before="55"/>
        <w:ind w:left="152" w:right="4034"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、履行精准扶贫社会责任情况</w:t>
      </w:r>
      <w:r>
        <w:rPr>
          <w:rFonts w:ascii="宋体" w:hAnsi="宋体" w:cs="宋体" w:eastAsia="宋体" w:hint="default"/>
          <w:b/>
          <w:bCs/>
          <w:w w:val="99"/>
          <w:sz w:val="24"/>
          <w:szCs w:val="24"/>
        </w:rPr>
        <w:t> </w:t>
      </w:r>
      <w:r>
        <w:rPr>
          <w:rFonts w:ascii="宋体" w:hAnsi="宋体" w:cs="宋体" w:eastAsia="宋体" w:hint="default"/>
          <w:sz w:val="24"/>
          <w:szCs w:val="24"/>
        </w:rPr>
        <w:t>公司报告期暂未开展精准扶贫工作，也暂无后续精准扶贫计划。 </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、环境保护相关的情况</w:t>
      </w:r>
      <w:r>
        <w:rPr>
          <w:rFonts w:ascii="宋体" w:hAnsi="宋体" w:cs="宋体" w:eastAsia="宋体" w:hint="default"/>
          <w:b/>
          <w:bCs/>
          <w:w w:val="99"/>
          <w:sz w:val="24"/>
          <w:szCs w:val="24"/>
        </w:rPr>
        <w:t> </w:t>
      </w:r>
      <w:r>
        <w:rPr>
          <w:rFonts w:ascii="宋体" w:hAnsi="宋体" w:cs="宋体" w:eastAsia="宋体" w:hint="default"/>
          <w:sz w:val="24"/>
          <w:szCs w:val="24"/>
        </w:rPr>
        <w:t>上市公司及其子公司是否属于环境保护部门公布的重点排污单位</w:t>
      </w:r>
    </w:p>
    <w:p>
      <w:pPr>
        <w:spacing w:after="0" w:line="345" w:lineRule="auto"/>
        <w:jc w:val="left"/>
        <w:rPr>
          <w:rFonts w:ascii="宋体" w:hAnsi="宋体" w:cs="宋体" w:eastAsia="宋体" w:hint="default"/>
          <w:sz w:val="24"/>
          <w:szCs w:val="24"/>
        </w:rPr>
        <w:sectPr>
          <w:pgSz w:w="11910" w:h="16840"/>
          <w:pgMar w:header="745" w:footer="980" w:top="1060" w:bottom="1160" w:left="980" w:right="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spacing w:line="528" w:lineRule="auto" w:before="26"/>
        <w:ind w:left="140" w:right="11187" w:firstLine="0"/>
        <w:jc w:val="left"/>
        <w:rPr>
          <w:rFonts w:ascii="宋体" w:hAnsi="宋体" w:cs="宋体" w:eastAsia="宋体" w:hint="default"/>
          <w:sz w:val="24"/>
          <w:szCs w:val="24"/>
        </w:rPr>
      </w:pPr>
      <w:r>
        <w:rPr>
          <w:rFonts w:ascii="宋体" w:hAnsi="宋体" w:cs="宋体" w:eastAsia="宋体" w:hint="default"/>
          <w:sz w:val="24"/>
          <w:szCs w:val="24"/>
        </w:rPr>
        <w:t>不适用 </w:t>
      </w:r>
      <w:r>
        <w:rPr>
          <w:rFonts w:ascii="宋体" w:hAnsi="宋体" w:cs="宋体" w:eastAsia="宋体" w:hint="default"/>
          <w:b/>
          <w:bCs/>
          <w:sz w:val="24"/>
          <w:szCs w:val="24"/>
        </w:rPr>
        <w:t>十八、其他重大事项的说明</w:t>
      </w:r>
      <w:r>
        <w:rPr>
          <w:rFonts w:ascii="宋体" w:hAnsi="宋体" w:cs="宋体" w:eastAsia="宋体" w:hint="default"/>
          <w:sz w:val="24"/>
          <w:szCs w:val="24"/>
        </w:rPr>
      </w:r>
    </w:p>
    <w:p>
      <w:pPr>
        <w:pStyle w:val="Heading3"/>
        <w:spacing w:line="240" w:lineRule="auto" w:before="89"/>
        <w:ind w:left="140" w:right="1118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pStyle w:val="Heading2"/>
        <w:spacing w:line="240" w:lineRule="auto" w:before="136"/>
        <w:ind w:left="140" w:right="11187"/>
        <w:jc w:val="left"/>
        <w:rPr>
          <w:b w:val="0"/>
          <w:bCs w:val="0"/>
        </w:rPr>
      </w:pPr>
      <w:r>
        <w:rPr>
          <w:rFonts w:ascii="Times New Roman" w:hAnsi="Times New Roman" w:cs="Times New Roman" w:eastAsia="Times New Roman" w:hint="default"/>
        </w:rPr>
        <w:t>1.</w:t>
      </w:r>
      <w:r>
        <w:rPr/>
        <w:t>分部信息</w:t>
      </w:r>
      <w:r>
        <w:rPr>
          <w:b w:val="0"/>
          <w:bCs w:val="0"/>
        </w:rPr>
      </w:r>
    </w:p>
    <w:p>
      <w:pPr>
        <w:pStyle w:val="Heading3"/>
        <w:spacing w:line="348" w:lineRule="auto" w:before="135"/>
        <w:ind w:left="140" w:right="134" w:firstLine="480"/>
        <w:jc w:val="both"/>
      </w:pPr>
      <w:r>
        <w:rPr>
          <w:spacing w:val="-2"/>
        </w:rPr>
        <w:t>根据本公司的内部组织结构、管理要求及内部报告制度，本公司的经营业务划分为</w:t>
      </w:r>
      <w:r>
        <w:rPr>
          <w:rFonts w:ascii="Times New Roman" w:hAnsi="Times New Roman" w:cs="Times New Roman" w:eastAsia="Times New Roman" w:hint="default"/>
          <w:spacing w:val="-2"/>
        </w:rPr>
        <w:t>3</w:t>
      </w:r>
      <w:r>
        <w:rPr>
          <w:spacing w:val="-2"/>
        </w:rPr>
        <w:t>个报告分部，这些报告分部是以经营分部为基</w:t>
      </w:r>
      <w:r>
        <w:rPr/>
        <w:t> 础确定的。本公司的管理层定期评价这些报告分部的经营成果，以决定向其分配资源及评价其业绩。本公司各个报告分部经营的主要</w:t>
      </w:r>
      <w:r>
        <w:rPr>
          <w:spacing w:val="-89"/>
        </w:rPr>
        <w:t> </w:t>
      </w:r>
      <w:r>
        <w:rPr>
          <w:spacing w:val="-89"/>
        </w:rPr>
      </w:r>
      <w:r>
        <w:rPr/>
        <w:t>业务分别为网络游戏业务、云服务业务和科技文旅业务。</w:t>
      </w:r>
    </w:p>
    <w:p>
      <w:pPr>
        <w:pStyle w:val="Heading3"/>
        <w:spacing w:line="338" w:lineRule="auto" w:before="46"/>
        <w:ind w:left="620" w:right="0"/>
        <w:jc w:val="left"/>
      </w:pPr>
      <w:r>
        <w:rPr/>
        <w:t>（</w:t>
      </w:r>
      <w:r>
        <w:rPr>
          <w:rFonts w:ascii="Times New Roman" w:hAnsi="Times New Roman" w:cs="Times New Roman" w:eastAsia="Times New Roman" w:hint="default"/>
        </w:rPr>
        <w:t>1</w:t>
      </w:r>
      <w:r>
        <w:rPr/>
        <w:t>）报告分部的确定依据与会计政策 分部报告信息根据各分部向管理层报告时采用的会计政策及计量标准披露，这些计量基础与编制财务报表时的会计与计量基础保</w:t>
      </w:r>
    </w:p>
    <w:p>
      <w:pPr>
        <w:pStyle w:val="Heading3"/>
        <w:spacing w:line="240" w:lineRule="auto" w:before="56"/>
        <w:ind w:left="140" w:right="11187"/>
        <w:jc w:val="left"/>
      </w:pPr>
      <w:r>
        <w:rPr/>
        <w:t>持一致。</w:t>
      </w:r>
    </w:p>
    <w:p>
      <w:pPr>
        <w:pStyle w:val="Heading3"/>
        <w:spacing w:line="240" w:lineRule="auto" w:before="154"/>
        <w:ind w:left="620" w:right="0"/>
        <w:jc w:val="left"/>
      </w:pPr>
      <w:r>
        <w:rPr/>
        <w:t>（</w:t>
      </w:r>
      <w:r>
        <w:rPr>
          <w:rFonts w:ascii="Times New Roman" w:hAnsi="Times New Roman" w:cs="Times New Roman" w:eastAsia="Times New Roman" w:hint="default"/>
        </w:rPr>
        <w:t>2</w:t>
      </w:r>
      <w:r>
        <w:rPr/>
        <w:t>）本年度报告分部的财务信息</w:t>
      </w:r>
    </w:p>
    <w:p>
      <w:pPr>
        <w:spacing w:line="240" w:lineRule="auto" w:before="5"/>
        <w:rPr>
          <w:rFonts w:ascii="宋体" w:hAnsi="宋体" w:cs="宋体" w:eastAsia="宋体" w:hint="default"/>
          <w:sz w:val="7"/>
          <w:szCs w:val="7"/>
        </w:rPr>
      </w:pPr>
    </w:p>
    <w:tbl>
      <w:tblPr>
        <w:tblW w:w="0" w:type="auto"/>
        <w:jc w:val="left"/>
        <w:tblInd w:w="562" w:type="dxa"/>
        <w:tblLayout w:type="fixed"/>
        <w:tblCellMar>
          <w:top w:w="0" w:type="dxa"/>
          <w:left w:w="0" w:type="dxa"/>
          <w:bottom w:w="0" w:type="dxa"/>
          <w:right w:w="0" w:type="dxa"/>
        </w:tblCellMar>
        <w:tblLook w:val="01E0"/>
      </w:tblPr>
      <w:tblGrid>
        <w:gridCol w:w="3631"/>
        <w:gridCol w:w="1959"/>
        <w:gridCol w:w="1959"/>
        <w:gridCol w:w="1961"/>
        <w:gridCol w:w="1700"/>
        <w:gridCol w:w="1894"/>
      </w:tblGrid>
      <w:tr>
        <w:trPr>
          <w:trHeight w:val="343" w:hRule="exact"/>
        </w:trPr>
        <w:tc>
          <w:tcPr>
            <w:tcW w:w="3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72" w:right="0"/>
              <w:jc w:val="left"/>
              <w:rPr>
                <w:rFonts w:ascii="宋体" w:hAnsi="宋体" w:cs="宋体" w:eastAsia="宋体" w:hint="default"/>
                <w:sz w:val="20"/>
                <w:szCs w:val="20"/>
              </w:rPr>
            </w:pPr>
            <w:r>
              <w:rPr>
                <w:rFonts w:ascii="宋体" w:hAnsi="宋体" w:cs="宋体" w:eastAsia="宋体" w:hint="default"/>
                <w:b/>
                <w:bCs/>
                <w:sz w:val="20"/>
                <w:szCs w:val="20"/>
              </w:rPr>
              <w:t>网络游戏分部</w:t>
            </w:r>
            <w:r>
              <w:rPr>
                <w:rFonts w:ascii="宋体" w:hAnsi="宋体" w:cs="宋体" w:eastAsia="宋体" w:hint="default"/>
                <w:sz w:val="20"/>
                <w:szCs w:val="20"/>
              </w:rPr>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72" w:right="0"/>
              <w:jc w:val="left"/>
              <w:rPr>
                <w:rFonts w:ascii="宋体" w:hAnsi="宋体" w:cs="宋体" w:eastAsia="宋体" w:hint="default"/>
                <w:sz w:val="20"/>
                <w:szCs w:val="20"/>
              </w:rPr>
            </w:pPr>
            <w:r>
              <w:rPr>
                <w:rFonts w:ascii="宋体" w:hAnsi="宋体" w:cs="宋体" w:eastAsia="宋体" w:hint="default"/>
                <w:b/>
                <w:bCs/>
                <w:sz w:val="20"/>
                <w:szCs w:val="20"/>
              </w:rPr>
              <w:t>云服务分部</w:t>
            </w:r>
            <w:r>
              <w:rPr>
                <w:rFonts w:ascii="宋体" w:hAnsi="宋体" w:cs="宋体" w:eastAsia="宋体" w:hint="default"/>
                <w:sz w:val="20"/>
                <w:szCs w:val="20"/>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74" w:right="0"/>
              <w:jc w:val="left"/>
              <w:rPr>
                <w:rFonts w:ascii="宋体" w:hAnsi="宋体" w:cs="宋体" w:eastAsia="宋体" w:hint="default"/>
                <w:sz w:val="20"/>
                <w:szCs w:val="20"/>
              </w:rPr>
            </w:pPr>
            <w:r>
              <w:rPr>
                <w:rFonts w:ascii="宋体" w:hAnsi="宋体" w:cs="宋体" w:eastAsia="宋体" w:hint="default"/>
                <w:b/>
                <w:bCs/>
                <w:sz w:val="20"/>
                <w:szCs w:val="20"/>
              </w:rPr>
              <w:t>科技文旅分部</w:t>
            </w:r>
            <w:r>
              <w:rPr>
                <w:rFonts w:ascii="宋体" w:hAnsi="宋体" w:cs="宋体" w:eastAsia="宋体" w:hint="default"/>
                <w:sz w:val="20"/>
                <w:szCs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b/>
                <w:bCs/>
                <w:sz w:val="20"/>
                <w:szCs w:val="20"/>
              </w:rPr>
              <w:t>抵销</w:t>
            </w:r>
            <w:r>
              <w:rPr>
                <w:rFonts w:ascii="宋体" w:hAnsi="宋体" w:cs="宋体" w:eastAsia="宋体" w:hint="default"/>
                <w:sz w:val="20"/>
                <w:szCs w:val="20"/>
              </w:rPr>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r>
      <w:tr>
        <w:trPr>
          <w:trHeight w:val="341" w:hRule="exact"/>
        </w:trPr>
        <w:tc>
          <w:tcPr>
            <w:tcW w:w="3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279,502,248.82</w:t>
            </w:r>
            <w:r>
              <w:rPr>
                <w:rFonts w:ascii="Times New Roman"/>
                <w:sz w:val="20"/>
              </w:rPr>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
              <w:jc w:val="right"/>
              <w:rPr>
                <w:rFonts w:ascii="Times New Roman" w:hAnsi="Times New Roman" w:cs="Times New Roman" w:eastAsia="Times New Roman" w:hint="default"/>
                <w:sz w:val="20"/>
                <w:szCs w:val="20"/>
              </w:rPr>
            </w:pPr>
            <w:r>
              <w:rPr>
                <w:rFonts w:ascii="Times New Roman"/>
                <w:w w:val="95"/>
                <w:sz w:val="20"/>
              </w:rPr>
              <w:t>187,362,609.90</w:t>
            </w:r>
            <w:r>
              <w:rPr>
                <w:rFonts w:ascii="Times New Roman"/>
                <w:sz w:val="20"/>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2,643,289.32</w:t>
            </w:r>
            <w:r>
              <w:rPr>
                <w:rFonts w:ascii="Times New Roman"/>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-681,834.54</w:t>
            </w:r>
            <w:r>
              <w:rPr>
                <w:rFonts w:ascii="Times New Roman"/>
                <w:sz w:val="20"/>
              </w:rPr>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b/>
                <w:w w:val="95"/>
                <w:sz w:val="20"/>
              </w:rPr>
              <w:t>468,826,313.50</w:t>
            </w:r>
            <w:r>
              <w:rPr>
                <w:rFonts w:ascii="Times New Roman"/>
                <w:sz w:val="20"/>
              </w:rPr>
            </w:r>
          </w:p>
        </w:tc>
      </w:tr>
      <w:tr>
        <w:trPr>
          <w:trHeight w:val="343" w:hRule="exact"/>
        </w:trPr>
        <w:tc>
          <w:tcPr>
            <w:tcW w:w="3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其中：对外交易收入</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279,502,248.82</w:t>
            </w:r>
            <w:r>
              <w:rPr>
                <w:rFonts w:ascii="Times New Roman"/>
                <w:sz w:val="20"/>
              </w:rPr>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
              <w:jc w:val="right"/>
              <w:rPr>
                <w:rFonts w:ascii="Times New Roman" w:hAnsi="Times New Roman" w:cs="Times New Roman" w:eastAsia="Times New Roman" w:hint="default"/>
                <w:sz w:val="20"/>
                <w:szCs w:val="20"/>
              </w:rPr>
            </w:pPr>
            <w:r>
              <w:rPr>
                <w:rFonts w:ascii="Times New Roman"/>
                <w:w w:val="95"/>
                <w:sz w:val="20"/>
              </w:rPr>
              <w:t>186,680,775.36</w:t>
            </w:r>
            <w:r>
              <w:rPr>
                <w:rFonts w:ascii="Times New Roman"/>
                <w:sz w:val="20"/>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2,643,289.32</w:t>
            </w:r>
            <w:r>
              <w:rPr>
                <w:rFonts w:ascii="Times New Roman"/>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b/>
                <w:w w:val="95"/>
                <w:sz w:val="20"/>
              </w:rPr>
              <w:t>468,826,313.50</w:t>
            </w:r>
            <w:r>
              <w:rPr>
                <w:rFonts w:ascii="Times New Roman"/>
                <w:sz w:val="20"/>
              </w:rPr>
            </w:r>
          </w:p>
        </w:tc>
      </w:tr>
      <w:tr>
        <w:trPr>
          <w:trHeight w:val="341" w:hRule="exact"/>
        </w:trPr>
        <w:tc>
          <w:tcPr>
            <w:tcW w:w="3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604" w:right="0"/>
              <w:jc w:val="left"/>
              <w:rPr>
                <w:rFonts w:ascii="宋体" w:hAnsi="宋体" w:cs="宋体" w:eastAsia="宋体" w:hint="default"/>
                <w:sz w:val="20"/>
                <w:szCs w:val="20"/>
              </w:rPr>
            </w:pPr>
            <w:r>
              <w:rPr>
                <w:rFonts w:ascii="宋体" w:hAnsi="宋体" w:cs="宋体" w:eastAsia="宋体" w:hint="default"/>
                <w:sz w:val="20"/>
                <w:szCs w:val="20"/>
              </w:rPr>
              <w:t>分部间交易收入</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681,834.54</w:t>
            </w:r>
            <w:r>
              <w:rPr>
                <w:rFonts w:ascii="Times New Roman"/>
                <w:sz w:val="20"/>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-681,834.54</w:t>
            </w:r>
            <w:r>
              <w:rPr>
                <w:rFonts w:ascii="Times New Roman"/>
                <w:sz w:val="20"/>
              </w:rPr>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344" w:hRule="exact"/>
        </w:trPr>
        <w:tc>
          <w:tcPr>
            <w:tcW w:w="3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 w:right="0"/>
              <w:jc w:val="left"/>
              <w:rPr>
                <w:rFonts w:ascii="宋体" w:hAnsi="宋体" w:cs="宋体" w:eastAsia="宋体" w:hint="default"/>
                <w:sz w:val="20"/>
                <w:szCs w:val="20"/>
              </w:rPr>
            </w:pPr>
            <w:r>
              <w:rPr>
                <w:rFonts w:ascii="宋体" w:hAnsi="宋体" w:cs="宋体" w:eastAsia="宋体" w:hint="default"/>
                <w:sz w:val="20"/>
                <w:szCs w:val="20"/>
              </w:rPr>
              <w:t>营业成本</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w w:val="95"/>
                <w:sz w:val="20"/>
              </w:rPr>
              <w:t>129,706,770.07</w:t>
            </w:r>
            <w:r>
              <w:rPr>
                <w:rFonts w:ascii="Times New Roman"/>
                <w:sz w:val="20"/>
              </w:rPr>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right"/>
              <w:rPr>
                <w:rFonts w:ascii="Times New Roman" w:hAnsi="Times New Roman" w:cs="Times New Roman" w:eastAsia="Times New Roman" w:hint="default"/>
                <w:sz w:val="20"/>
                <w:szCs w:val="20"/>
              </w:rPr>
            </w:pPr>
            <w:r>
              <w:rPr>
                <w:rFonts w:ascii="Times New Roman"/>
                <w:w w:val="95"/>
                <w:sz w:val="20"/>
              </w:rPr>
              <w:t>112,025,974.21</w:t>
            </w:r>
            <w:r>
              <w:rPr>
                <w:rFonts w:ascii="Times New Roman"/>
                <w:sz w:val="20"/>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w w:val="95"/>
                <w:sz w:val="20"/>
              </w:rPr>
              <w:t>7,306,500.60</w:t>
            </w:r>
            <w:r>
              <w:rPr>
                <w:rFonts w:ascii="Times New Roman"/>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w w:val="95"/>
                <w:sz w:val="20"/>
              </w:rPr>
              <w:t>-536,129.25</w:t>
            </w:r>
            <w:r>
              <w:rPr>
                <w:rFonts w:ascii="Times New Roman"/>
                <w:sz w:val="20"/>
              </w:rPr>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b/>
                <w:w w:val="95"/>
                <w:sz w:val="20"/>
              </w:rPr>
              <w:t>248,503,115.63</w:t>
            </w:r>
            <w:r>
              <w:rPr>
                <w:rFonts w:ascii="Times New Roman"/>
                <w:sz w:val="20"/>
              </w:rPr>
            </w:r>
          </w:p>
        </w:tc>
      </w:tr>
      <w:tr>
        <w:trPr>
          <w:trHeight w:val="341" w:hRule="exact"/>
        </w:trPr>
        <w:tc>
          <w:tcPr>
            <w:tcW w:w="3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税金及附加</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584,094.74</w:t>
            </w:r>
            <w:r>
              <w:rPr>
                <w:rFonts w:ascii="Times New Roman"/>
                <w:sz w:val="20"/>
              </w:rPr>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92,895.07</w:t>
            </w:r>
            <w:r>
              <w:rPr>
                <w:rFonts w:ascii="Times New Roman"/>
                <w:sz w:val="20"/>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-21,854.68</w:t>
            </w:r>
            <w:r>
              <w:rPr>
                <w:rFonts w:ascii="Times New Roman"/>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b/>
                <w:w w:val="95"/>
                <w:sz w:val="20"/>
              </w:rPr>
              <w:t>655,135.13</w:t>
            </w:r>
            <w:r>
              <w:rPr>
                <w:rFonts w:ascii="Times New Roman"/>
                <w:sz w:val="20"/>
              </w:rPr>
            </w:r>
          </w:p>
        </w:tc>
      </w:tr>
      <w:tr>
        <w:trPr>
          <w:trHeight w:val="341" w:hRule="exact"/>
        </w:trPr>
        <w:tc>
          <w:tcPr>
            <w:tcW w:w="3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期间费用</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133,991,298.91</w:t>
            </w:r>
            <w:r>
              <w:rPr>
                <w:rFonts w:ascii="Times New Roman"/>
                <w:sz w:val="20"/>
              </w:rPr>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6,927,750.95</w:t>
            </w:r>
            <w:r>
              <w:rPr>
                <w:rFonts w:ascii="Times New Roman"/>
                <w:sz w:val="20"/>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10,373,870.73</w:t>
            </w:r>
            <w:r>
              <w:rPr>
                <w:rFonts w:ascii="Times New Roman"/>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-97,592.08</w:t>
            </w:r>
            <w:r>
              <w:rPr>
                <w:rFonts w:ascii="Times New Roman"/>
                <w:sz w:val="20"/>
              </w:rPr>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b/>
                <w:w w:val="95"/>
                <w:sz w:val="20"/>
              </w:rPr>
              <w:t>151,195,328.51</w:t>
            </w:r>
            <w:r>
              <w:rPr>
                <w:rFonts w:ascii="Times New Roman"/>
                <w:sz w:val="20"/>
              </w:rPr>
            </w:r>
          </w:p>
        </w:tc>
      </w:tr>
      <w:tr>
        <w:trPr>
          <w:trHeight w:val="343" w:hRule="exact"/>
        </w:trPr>
        <w:tc>
          <w:tcPr>
            <w:tcW w:w="3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分部利润总额（亏损总额）</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14,673,876.39</w:t>
            </w:r>
            <w:r>
              <w:rPr>
                <w:rFonts w:ascii="Times New Roman"/>
                <w:sz w:val="20"/>
              </w:rPr>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55,207,444.42</w:t>
            </w:r>
            <w:r>
              <w:rPr>
                <w:rFonts w:ascii="Times New Roman"/>
                <w:sz w:val="20"/>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-16,643,739.39</w:t>
            </w:r>
            <w:r>
              <w:rPr>
                <w:rFonts w:ascii="Times New Roman"/>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w w:val="95"/>
                <w:sz w:val="20"/>
              </w:rPr>
              <w:t>2,636,358.15</w:t>
            </w:r>
            <w:r>
              <w:rPr>
                <w:rFonts w:ascii="Times New Roman"/>
                <w:sz w:val="20"/>
              </w:rPr>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
              <w:jc w:val="right"/>
              <w:rPr>
                <w:rFonts w:ascii="Times New Roman" w:hAnsi="Times New Roman" w:cs="Times New Roman" w:eastAsia="Times New Roman" w:hint="default"/>
                <w:sz w:val="20"/>
                <w:szCs w:val="20"/>
              </w:rPr>
            </w:pPr>
            <w:r>
              <w:rPr>
                <w:rFonts w:ascii="Times New Roman"/>
                <w:b/>
                <w:w w:val="95"/>
                <w:sz w:val="20"/>
              </w:rPr>
              <w:t>55,873,939.57</w:t>
            </w:r>
            <w:r>
              <w:rPr>
                <w:rFonts w:ascii="Times New Roman"/>
                <w:sz w:val="20"/>
              </w:rPr>
            </w:r>
          </w:p>
        </w:tc>
      </w:tr>
      <w:tr>
        <w:trPr>
          <w:trHeight w:val="341" w:hRule="exact"/>
        </w:trPr>
        <w:tc>
          <w:tcPr>
            <w:tcW w:w="3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资产总额</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spacing w:val="-1"/>
                <w:sz w:val="20"/>
              </w:rPr>
              <w:t>1,288,494,165.18</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
              <w:jc w:val="right"/>
              <w:rPr>
                <w:rFonts w:ascii="Times New Roman" w:hAnsi="Times New Roman" w:cs="Times New Roman" w:eastAsia="Times New Roman" w:hint="default"/>
                <w:sz w:val="20"/>
                <w:szCs w:val="20"/>
              </w:rPr>
            </w:pPr>
            <w:r>
              <w:rPr>
                <w:rFonts w:ascii="Times New Roman"/>
                <w:w w:val="95"/>
                <w:sz w:val="20"/>
              </w:rPr>
              <w:t>416,886,225.08</w:t>
            </w:r>
            <w:r>
              <w:rPr>
                <w:rFonts w:ascii="Times New Roman"/>
                <w:sz w:val="20"/>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552,416,029.00</w:t>
            </w:r>
            <w:r>
              <w:rPr>
                <w:rFonts w:ascii="Times New Roman"/>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
              <w:jc w:val="right"/>
              <w:rPr>
                <w:rFonts w:ascii="Times New Roman" w:hAnsi="Times New Roman" w:cs="Times New Roman" w:eastAsia="Times New Roman" w:hint="default"/>
                <w:sz w:val="20"/>
                <w:szCs w:val="20"/>
              </w:rPr>
            </w:pPr>
            <w:r>
              <w:rPr>
                <w:rFonts w:ascii="Times New Roman"/>
                <w:w w:val="95"/>
                <w:sz w:val="20"/>
              </w:rPr>
              <w:t>-818,496,556.84</w:t>
            </w:r>
            <w:r>
              <w:rPr>
                <w:rFonts w:ascii="Times New Roman"/>
                <w:sz w:val="20"/>
              </w:rPr>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b/>
                <w:spacing w:val="-1"/>
                <w:sz w:val="20"/>
              </w:rPr>
              <w:t>1,439,299,862.42</w:t>
            </w:r>
            <w:r>
              <w:rPr>
                <w:rFonts w:ascii="Times New Roman"/>
                <w:spacing w:val="-1"/>
                <w:sz w:val="20"/>
              </w:rPr>
            </w:r>
          </w:p>
        </w:tc>
      </w:tr>
      <w:tr>
        <w:trPr>
          <w:trHeight w:val="343" w:hRule="exact"/>
        </w:trPr>
        <w:tc>
          <w:tcPr>
            <w:tcW w:w="3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负债总额</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217,972,393.20</w:t>
            </w:r>
            <w:r>
              <w:rPr>
                <w:rFonts w:ascii="Times New Roman"/>
                <w:sz w:val="20"/>
              </w:rPr>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w w:val="95"/>
                <w:sz w:val="20"/>
              </w:rPr>
              <w:t>132,638,888.77</w:t>
            </w:r>
            <w:r>
              <w:rPr>
                <w:rFonts w:ascii="Times New Roman"/>
                <w:sz w:val="20"/>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490,176,933.05</w:t>
            </w:r>
            <w:r>
              <w:rPr>
                <w:rFonts w:ascii="Times New Roman"/>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w w:val="95"/>
                <w:sz w:val="20"/>
              </w:rPr>
              <w:t>-244,492,182.35</w:t>
            </w:r>
            <w:r>
              <w:rPr>
                <w:rFonts w:ascii="Times New Roman"/>
                <w:sz w:val="20"/>
              </w:rPr>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
              <w:jc w:val="right"/>
              <w:rPr>
                <w:rFonts w:ascii="Times New Roman" w:hAnsi="Times New Roman" w:cs="Times New Roman" w:eastAsia="Times New Roman" w:hint="default"/>
                <w:sz w:val="20"/>
                <w:szCs w:val="20"/>
              </w:rPr>
            </w:pPr>
            <w:r>
              <w:rPr>
                <w:rFonts w:ascii="Times New Roman"/>
                <w:b/>
                <w:w w:val="95"/>
                <w:sz w:val="20"/>
              </w:rPr>
              <w:t>596,296,032.67</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headerReference w:type="default" r:id="rId23"/>
          <w:footerReference w:type="default" r:id="rId24"/>
          <w:pgSz w:w="16840" w:h="11910" w:orient="landscape"/>
          <w:pgMar w:header="867" w:footer="980" w:top="1060" w:bottom="1160" w:left="1300" w:right="1300"/>
          <w:pgNumType w:start="63"/>
        </w:sectPr>
      </w:pPr>
    </w:p>
    <w:p>
      <w:pPr>
        <w:spacing w:line="240" w:lineRule="auto" w:before="11"/>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56"/>
        <w:gridCol w:w="3631"/>
        <w:gridCol w:w="1959"/>
        <w:gridCol w:w="1959"/>
        <w:gridCol w:w="1961"/>
        <w:gridCol w:w="1700"/>
        <w:gridCol w:w="1894"/>
        <w:gridCol w:w="458"/>
      </w:tblGrid>
      <w:tr>
        <w:trPr>
          <w:trHeight w:val="358" w:hRule="exact"/>
        </w:trPr>
        <w:tc>
          <w:tcPr>
            <w:tcW w:w="456" w:type="dxa"/>
            <w:vMerge w:val="restart"/>
            <w:tcBorders>
              <w:top w:val="single" w:sz="6" w:space="0" w:color="000000"/>
              <w:left w:val="nil" w:sz="6" w:space="0" w:color="auto"/>
              <w:right w:val="single" w:sz="4" w:space="0" w:color="000000"/>
            </w:tcBorders>
          </w:tcPr>
          <w:p>
            <w:pPr/>
          </w:p>
        </w:tc>
        <w:tc>
          <w:tcPr>
            <w:tcW w:w="363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b/>
                <w:bCs/>
                <w:sz w:val="20"/>
                <w:szCs w:val="20"/>
              </w:rPr>
              <w:t>补充信息：</w:t>
            </w:r>
            <w:r>
              <w:rPr>
                <w:rFonts w:ascii="宋体" w:hAnsi="宋体" w:cs="宋体" w:eastAsia="宋体" w:hint="default"/>
                <w:sz w:val="20"/>
                <w:szCs w:val="20"/>
              </w:rPr>
            </w:r>
          </w:p>
        </w:tc>
        <w:tc>
          <w:tcPr>
            <w:tcW w:w="1959" w:type="dxa"/>
            <w:tcBorders>
              <w:top w:val="single" w:sz="15" w:space="0" w:color="000000"/>
              <w:left w:val="single" w:sz="4" w:space="0" w:color="000000"/>
              <w:bottom w:val="single" w:sz="4" w:space="0" w:color="000000"/>
              <w:right w:val="single" w:sz="4" w:space="0" w:color="000000"/>
            </w:tcBorders>
          </w:tcPr>
          <w:p>
            <w:pPr/>
          </w:p>
        </w:tc>
        <w:tc>
          <w:tcPr>
            <w:tcW w:w="1959" w:type="dxa"/>
            <w:tcBorders>
              <w:top w:val="single" w:sz="15" w:space="0" w:color="000000"/>
              <w:left w:val="single" w:sz="4" w:space="0" w:color="000000"/>
              <w:bottom w:val="single" w:sz="4" w:space="0" w:color="000000"/>
              <w:right w:val="single" w:sz="4" w:space="0" w:color="000000"/>
            </w:tcBorders>
          </w:tcPr>
          <w:p>
            <w:pPr/>
          </w:p>
        </w:tc>
        <w:tc>
          <w:tcPr>
            <w:tcW w:w="1961" w:type="dxa"/>
            <w:tcBorders>
              <w:top w:val="single" w:sz="15" w:space="0" w:color="000000"/>
              <w:left w:val="single" w:sz="4" w:space="0" w:color="000000"/>
              <w:bottom w:val="single" w:sz="4" w:space="0" w:color="000000"/>
              <w:right w:val="single" w:sz="4" w:space="0" w:color="000000"/>
            </w:tcBorders>
          </w:tcPr>
          <w:p>
            <w:pPr/>
          </w:p>
        </w:tc>
        <w:tc>
          <w:tcPr>
            <w:tcW w:w="1700" w:type="dxa"/>
            <w:tcBorders>
              <w:top w:val="single" w:sz="15" w:space="0" w:color="000000"/>
              <w:left w:val="single" w:sz="4" w:space="0" w:color="000000"/>
              <w:bottom w:val="single" w:sz="4" w:space="0" w:color="000000"/>
              <w:right w:val="single" w:sz="4" w:space="0" w:color="000000"/>
            </w:tcBorders>
          </w:tcPr>
          <w:p>
            <w:pPr/>
          </w:p>
        </w:tc>
        <w:tc>
          <w:tcPr>
            <w:tcW w:w="1894" w:type="dxa"/>
            <w:tcBorders>
              <w:top w:val="single" w:sz="15" w:space="0" w:color="000000"/>
              <w:left w:val="single" w:sz="4" w:space="0" w:color="000000"/>
              <w:bottom w:val="single" w:sz="4" w:space="0" w:color="000000"/>
              <w:right w:val="single" w:sz="4" w:space="0" w:color="000000"/>
            </w:tcBorders>
          </w:tcPr>
          <w:p>
            <w:pPr/>
          </w:p>
        </w:tc>
        <w:tc>
          <w:tcPr>
            <w:tcW w:w="458" w:type="dxa"/>
            <w:vMerge w:val="restart"/>
            <w:tcBorders>
              <w:top w:val="single" w:sz="6" w:space="0" w:color="000000"/>
              <w:left w:val="single" w:sz="4" w:space="0" w:color="000000"/>
              <w:right w:val="nil" w:sz="6" w:space="0" w:color="auto"/>
            </w:tcBorders>
          </w:tcPr>
          <w:p>
            <w:pPr/>
          </w:p>
        </w:tc>
      </w:tr>
      <w:tr>
        <w:trPr>
          <w:trHeight w:val="341" w:hRule="exact"/>
        </w:trPr>
        <w:tc>
          <w:tcPr>
            <w:tcW w:w="456" w:type="dxa"/>
            <w:vMerge/>
            <w:tcBorders>
              <w:left w:val="nil" w:sz="6" w:space="0" w:color="auto"/>
              <w:right w:val="single" w:sz="4" w:space="0" w:color="000000"/>
            </w:tcBorders>
          </w:tcPr>
          <w:p>
            <w:pPr/>
          </w:p>
        </w:tc>
        <w:tc>
          <w:tcPr>
            <w:tcW w:w="3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资本性支出</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42,574,984.79</w:t>
            </w:r>
            <w:r>
              <w:rPr>
                <w:rFonts w:ascii="Times New Roman"/>
                <w:sz w:val="20"/>
              </w:rPr>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
              <w:jc w:val="right"/>
              <w:rPr>
                <w:rFonts w:ascii="Times New Roman" w:hAnsi="Times New Roman" w:cs="Times New Roman" w:eastAsia="Times New Roman" w:hint="default"/>
                <w:sz w:val="20"/>
                <w:szCs w:val="20"/>
              </w:rPr>
            </w:pPr>
            <w:r>
              <w:rPr>
                <w:rFonts w:ascii="Times New Roman"/>
                <w:w w:val="95"/>
                <w:sz w:val="20"/>
              </w:rPr>
              <w:t>115,276,369.37</w:t>
            </w:r>
            <w:r>
              <w:rPr>
                <w:rFonts w:ascii="Times New Roman"/>
                <w:sz w:val="20"/>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1,614,511.89</w:t>
            </w:r>
            <w:r>
              <w:rPr>
                <w:rFonts w:ascii="Times New Roman"/>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b/>
                <w:w w:val="95"/>
                <w:sz w:val="20"/>
              </w:rPr>
              <w:t>159,465,866.05</w:t>
            </w:r>
            <w:r>
              <w:rPr>
                <w:rFonts w:ascii="Times New Roman"/>
                <w:sz w:val="20"/>
              </w:rPr>
            </w:r>
          </w:p>
        </w:tc>
        <w:tc>
          <w:tcPr>
            <w:tcW w:w="458" w:type="dxa"/>
            <w:vMerge/>
            <w:tcBorders>
              <w:left w:val="single" w:sz="4" w:space="0" w:color="000000"/>
              <w:right w:val="nil" w:sz="6" w:space="0" w:color="auto"/>
            </w:tcBorders>
          </w:tcPr>
          <w:p>
            <w:pPr/>
          </w:p>
        </w:tc>
      </w:tr>
      <w:tr>
        <w:trPr>
          <w:trHeight w:val="343" w:hRule="exact"/>
        </w:trPr>
        <w:tc>
          <w:tcPr>
            <w:tcW w:w="456" w:type="dxa"/>
            <w:vMerge/>
            <w:tcBorders>
              <w:left w:val="nil" w:sz="6" w:space="0" w:color="auto"/>
              <w:right w:val="single" w:sz="4" w:space="0" w:color="000000"/>
            </w:tcBorders>
          </w:tcPr>
          <w:p>
            <w:pPr/>
          </w:p>
        </w:tc>
        <w:tc>
          <w:tcPr>
            <w:tcW w:w="3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当期确认的减值损失</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9,284,946.04</w:t>
            </w:r>
            <w:r>
              <w:rPr>
                <w:rFonts w:ascii="Times New Roman"/>
                <w:sz w:val="20"/>
              </w:rPr>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w w:val="95"/>
                <w:sz w:val="20"/>
              </w:rPr>
              <w:t>-2,482,090.51</w:t>
            </w:r>
            <w:r>
              <w:rPr>
                <w:rFonts w:ascii="Times New Roman"/>
                <w:sz w:val="20"/>
              </w:rPr>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
              <w:jc w:val="right"/>
              <w:rPr>
                <w:rFonts w:ascii="Times New Roman" w:hAnsi="Times New Roman" w:cs="Times New Roman" w:eastAsia="Times New Roman" w:hint="default"/>
                <w:sz w:val="20"/>
                <w:szCs w:val="20"/>
              </w:rPr>
            </w:pPr>
            <w:r>
              <w:rPr>
                <w:rFonts w:ascii="Times New Roman"/>
                <w:b/>
                <w:w w:val="95"/>
                <w:sz w:val="20"/>
              </w:rPr>
              <w:t>6,802,855.53</w:t>
            </w:r>
            <w:r>
              <w:rPr>
                <w:rFonts w:ascii="Times New Roman"/>
                <w:sz w:val="20"/>
              </w:rPr>
            </w:r>
          </w:p>
        </w:tc>
        <w:tc>
          <w:tcPr>
            <w:tcW w:w="458" w:type="dxa"/>
            <w:vMerge/>
            <w:tcBorders>
              <w:left w:val="single" w:sz="4" w:space="0" w:color="000000"/>
              <w:right w:val="nil" w:sz="6" w:space="0" w:color="auto"/>
            </w:tcBorders>
          </w:tcPr>
          <w:p>
            <w:pPr/>
          </w:p>
        </w:tc>
      </w:tr>
      <w:tr>
        <w:trPr>
          <w:trHeight w:val="341" w:hRule="exact"/>
        </w:trPr>
        <w:tc>
          <w:tcPr>
            <w:tcW w:w="456" w:type="dxa"/>
            <w:vMerge/>
            <w:tcBorders>
              <w:left w:val="nil" w:sz="6" w:space="0" w:color="auto"/>
              <w:right w:val="single" w:sz="4" w:space="0" w:color="000000"/>
            </w:tcBorders>
          </w:tcPr>
          <w:p>
            <w:pPr/>
          </w:p>
        </w:tc>
        <w:tc>
          <w:tcPr>
            <w:tcW w:w="3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其中：商誉减值分摊</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1,244,196.08</w:t>
            </w:r>
            <w:r>
              <w:rPr>
                <w:rFonts w:ascii="Times New Roman"/>
                <w:sz w:val="20"/>
              </w:rPr>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b/>
                <w:w w:val="95"/>
                <w:sz w:val="20"/>
              </w:rPr>
              <w:t>1,244,196.08</w:t>
            </w:r>
            <w:r>
              <w:rPr>
                <w:rFonts w:ascii="Times New Roman"/>
                <w:sz w:val="20"/>
              </w:rPr>
            </w:r>
          </w:p>
        </w:tc>
        <w:tc>
          <w:tcPr>
            <w:tcW w:w="458" w:type="dxa"/>
            <w:vMerge/>
            <w:tcBorders>
              <w:left w:val="single" w:sz="4" w:space="0" w:color="000000"/>
              <w:right w:val="nil" w:sz="6" w:space="0" w:color="auto"/>
            </w:tcBorders>
          </w:tcPr>
          <w:p>
            <w:pPr/>
          </w:p>
        </w:tc>
      </w:tr>
      <w:tr>
        <w:trPr>
          <w:trHeight w:val="343" w:hRule="exact"/>
        </w:trPr>
        <w:tc>
          <w:tcPr>
            <w:tcW w:w="456" w:type="dxa"/>
            <w:vMerge/>
            <w:tcBorders>
              <w:left w:val="nil" w:sz="6" w:space="0" w:color="auto"/>
              <w:right w:val="single" w:sz="4" w:space="0" w:color="000000"/>
            </w:tcBorders>
          </w:tcPr>
          <w:p>
            <w:pPr/>
          </w:p>
        </w:tc>
        <w:tc>
          <w:tcPr>
            <w:tcW w:w="3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折旧和摊销费用</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22,609,630.50</w:t>
            </w:r>
            <w:r>
              <w:rPr>
                <w:rFonts w:ascii="Times New Roman"/>
                <w:sz w:val="20"/>
              </w:rPr>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17,588,679.94</w:t>
            </w:r>
            <w:r>
              <w:rPr>
                <w:rFonts w:ascii="Times New Roman"/>
                <w:sz w:val="20"/>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1,256,615.63</w:t>
            </w:r>
            <w:r>
              <w:rPr>
                <w:rFonts w:ascii="Times New Roman"/>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-484,740.46</w:t>
            </w:r>
            <w:r>
              <w:rPr>
                <w:rFonts w:ascii="Times New Roman"/>
                <w:sz w:val="20"/>
              </w:rPr>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
              <w:jc w:val="right"/>
              <w:rPr>
                <w:rFonts w:ascii="Times New Roman" w:hAnsi="Times New Roman" w:cs="Times New Roman" w:eastAsia="Times New Roman" w:hint="default"/>
                <w:sz w:val="20"/>
                <w:szCs w:val="20"/>
              </w:rPr>
            </w:pPr>
            <w:r>
              <w:rPr>
                <w:rFonts w:ascii="Times New Roman"/>
                <w:b/>
                <w:w w:val="95"/>
                <w:sz w:val="20"/>
              </w:rPr>
              <w:t>40,970,185.61</w:t>
            </w:r>
            <w:r>
              <w:rPr>
                <w:rFonts w:ascii="Times New Roman"/>
                <w:sz w:val="20"/>
              </w:rPr>
            </w:r>
          </w:p>
        </w:tc>
        <w:tc>
          <w:tcPr>
            <w:tcW w:w="458" w:type="dxa"/>
            <w:vMerge/>
            <w:tcBorders>
              <w:left w:val="single" w:sz="4" w:space="0" w:color="000000"/>
              <w:right w:val="nil" w:sz="6" w:space="0" w:color="auto"/>
            </w:tcBorders>
          </w:tcPr>
          <w:p>
            <w:pPr/>
          </w:p>
        </w:tc>
      </w:tr>
      <w:tr>
        <w:trPr>
          <w:trHeight w:val="343" w:hRule="exact"/>
        </w:trPr>
        <w:tc>
          <w:tcPr>
            <w:tcW w:w="456" w:type="dxa"/>
            <w:vMerge/>
            <w:tcBorders>
              <w:left w:val="nil" w:sz="6" w:space="0" w:color="auto"/>
              <w:bottom w:val="nil" w:sz="6" w:space="0" w:color="auto"/>
              <w:right w:val="single" w:sz="4" w:space="0" w:color="000000"/>
            </w:tcBorders>
          </w:tcPr>
          <w:p>
            <w:pPr/>
          </w:p>
        </w:tc>
        <w:tc>
          <w:tcPr>
            <w:tcW w:w="3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减值损失、折旧和摊销以外的非现金费用</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7,295,699.08</w:t>
            </w:r>
            <w:r>
              <w:rPr>
                <w:rFonts w:ascii="Times New Roman"/>
                <w:sz w:val="20"/>
              </w:rPr>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119,153.18</w:t>
            </w:r>
            <w:r>
              <w:rPr>
                <w:rFonts w:ascii="Times New Roman"/>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b/>
                <w:w w:val="95"/>
                <w:sz w:val="20"/>
              </w:rPr>
              <w:t>7,414,852.26</w:t>
            </w:r>
            <w:r>
              <w:rPr>
                <w:rFonts w:ascii="Times New Roman"/>
                <w:sz w:val="20"/>
              </w:rPr>
            </w:r>
          </w:p>
        </w:tc>
        <w:tc>
          <w:tcPr>
            <w:tcW w:w="458" w:type="dxa"/>
            <w:vMerge/>
            <w:tcBorders>
              <w:left w:val="single" w:sz="4" w:space="0" w:color="000000"/>
              <w:bottom w:val="nil" w:sz="6" w:space="0" w:color="auto"/>
              <w:right w:val="nil" w:sz="6" w:space="0" w:color="auto"/>
            </w:tcBorders>
          </w:tcPr>
          <w:p>
            <w:pPr/>
          </w:p>
        </w:tc>
      </w:tr>
    </w:tbl>
    <w:p>
      <w:pPr>
        <w:pStyle w:val="Heading2"/>
        <w:spacing w:line="240" w:lineRule="auto" w:before="36"/>
        <w:ind w:left="140" w:right="11187"/>
        <w:jc w:val="left"/>
        <w:rPr>
          <w:b w:val="0"/>
          <w:bCs w:val="0"/>
        </w:rPr>
      </w:pPr>
      <w:r>
        <w:rPr>
          <w:rFonts w:ascii="Times New Roman" w:hAnsi="Times New Roman" w:cs="Times New Roman" w:eastAsia="Times New Roman" w:hint="default"/>
        </w:rPr>
        <w:t>2.</w:t>
      </w:r>
      <w:r>
        <w:rPr/>
        <w:t>转让成都卓杭股权收益</w:t>
      </w:r>
      <w:r>
        <w:rPr>
          <w:b w:val="0"/>
          <w:bCs w:val="0"/>
        </w:rPr>
      </w:r>
    </w:p>
    <w:p>
      <w:pPr>
        <w:pStyle w:val="Heading3"/>
        <w:spacing w:line="338" w:lineRule="auto" w:before="136"/>
        <w:ind w:left="140" w:right="137" w:firstLine="480"/>
        <w:jc w:val="both"/>
      </w:pPr>
      <w:r>
        <w:rPr>
          <w:rFonts w:ascii="Times New Roman" w:hAnsi="Times New Roman" w:cs="Times New Roman" w:eastAsia="Times New Roman" w:hint="default"/>
        </w:rPr>
        <w:t>2019</w:t>
      </w:r>
      <w:r>
        <w:rPr/>
        <w:t>年中青宝子公司游嘻宝与成都卓杭网络科技股份有限公司（以下简称“成都卓杭”）签订股份回购协议，协议约定成都卓杭 以每股</w:t>
      </w:r>
      <w:r>
        <w:rPr>
          <w:rFonts w:ascii="Times New Roman" w:hAnsi="Times New Roman" w:cs="Times New Roman" w:eastAsia="Times New Roman" w:hint="default"/>
        </w:rPr>
        <w:t>45.38</w:t>
      </w:r>
      <w:r>
        <w:rPr/>
        <w:t>元为回购对价，回购游嘻宝持有的成都卓杭</w:t>
      </w:r>
      <w:r>
        <w:rPr>
          <w:rFonts w:ascii="Times New Roman" w:hAnsi="Times New Roman" w:cs="Times New Roman" w:eastAsia="Times New Roman" w:hint="default"/>
        </w:rPr>
        <w:t>7.4747%</w:t>
      </w:r>
      <w:r>
        <w:rPr/>
        <w:t>股份合计</w:t>
      </w:r>
      <w:r>
        <w:rPr>
          <w:rFonts w:ascii="Times New Roman" w:hAnsi="Times New Roman" w:cs="Times New Roman" w:eastAsia="Times New Roman" w:hint="default"/>
        </w:rPr>
        <w:t>1,366,107</w:t>
      </w:r>
      <w:r>
        <w:rPr/>
        <w:t>股股份，回购总价款为</w:t>
      </w:r>
      <w:r>
        <w:rPr>
          <w:rFonts w:ascii="Times New Roman" w:hAnsi="Times New Roman" w:cs="Times New Roman" w:eastAsia="Times New Roman" w:hint="default"/>
        </w:rPr>
        <w:t>6,200</w:t>
      </w:r>
      <w:r>
        <w:rPr/>
        <w:t>万元，游嘻宝账面股权</w:t>
      </w:r>
      <w:r>
        <w:rPr>
          <w:spacing w:val="-109"/>
        </w:rPr>
        <w:t> </w:t>
      </w:r>
      <w:r>
        <w:rPr/>
        <w:t>价值为</w:t>
      </w:r>
      <w:r>
        <w:rPr>
          <w:rFonts w:ascii="Times New Roman" w:hAnsi="Times New Roman" w:cs="Times New Roman" w:eastAsia="Times New Roman" w:hint="default"/>
        </w:rPr>
        <w:t>1,980.86</w:t>
      </w:r>
      <w:r>
        <w:rPr/>
        <w:t>万元，确认投资收益</w:t>
      </w:r>
      <w:r>
        <w:rPr>
          <w:rFonts w:ascii="Times New Roman" w:hAnsi="Times New Roman" w:cs="Times New Roman" w:eastAsia="Times New Roman" w:hint="default"/>
        </w:rPr>
        <w:t>4,219.14</w:t>
      </w:r>
      <w:r>
        <w:rPr/>
        <w:t>万元。</w:t>
      </w:r>
    </w:p>
    <w:p>
      <w:pPr>
        <w:spacing w:after="0" w:line="338" w:lineRule="auto"/>
        <w:jc w:val="both"/>
        <w:sectPr>
          <w:pgSz w:w="16840" w:h="11910" w:orient="landscape"/>
          <w:pgMar w:header="867" w:footer="980" w:top="1060" w:bottom="1160" w:left="130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spacing w:line="338" w:lineRule="auto" w:before="26"/>
        <w:ind w:left="633" w:right="996" w:hanging="4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宝腾互联业绩承诺完成情况</w:t>
      </w:r>
      <w:r>
        <w:rPr>
          <w:rFonts w:ascii="宋体" w:hAnsi="宋体" w:cs="宋体" w:eastAsia="宋体" w:hint="default"/>
          <w:b/>
          <w:bCs/>
          <w:w w:val="99"/>
          <w:sz w:val="24"/>
          <w:szCs w:val="24"/>
        </w:rPr>
        <w:t> </w:t>
      </w:r>
      <w:r>
        <w:rPr>
          <w:rFonts w:ascii="宋体" w:hAnsi="宋体" w:cs="宋体" w:eastAsia="宋体" w:hint="default"/>
          <w:sz w:val="24"/>
          <w:szCs w:val="24"/>
        </w:rPr>
        <w:t>根据本公司</w:t>
      </w:r>
      <w:r>
        <w:rPr>
          <w:rFonts w:ascii="Times New Roman" w:hAnsi="Times New Roman" w:cs="Times New Roman" w:eastAsia="Times New Roman" w:hint="default"/>
          <w:sz w:val="24"/>
          <w:szCs w:val="24"/>
        </w:rPr>
        <w:t>2016</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16</w:t>
      </w:r>
      <w:r>
        <w:rPr>
          <w:rFonts w:ascii="宋体" w:hAnsi="宋体" w:cs="宋体" w:eastAsia="宋体" w:hint="default"/>
          <w:sz w:val="24"/>
          <w:szCs w:val="24"/>
        </w:rPr>
        <w:t>日第一次临时股东大会决议、宝德科技集团股份有限公司（以</w:t>
      </w:r>
    </w:p>
    <w:p>
      <w:pPr>
        <w:pStyle w:val="Heading3"/>
        <w:spacing w:line="340" w:lineRule="auto" w:before="27"/>
        <w:ind w:right="1100"/>
        <w:jc w:val="both"/>
      </w:pPr>
      <w:r>
        <w:rPr>
          <w:spacing w:val="-2"/>
        </w:rPr>
        <w:t>下简称“宝德科技”）</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26</w:t>
      </w:r>
      <w:r>
        <w:rPr>
          <w:spacing w:val="-2"/>
        </w:rPr>
        <w:t>日临时股东大会决议、《支付现金购买资产协议》及《盈</w:t>
      </w:r>
      <w:r>
        <w:rPr>
          <w:spacing w:val="-118"/>
        </w:rPr>
        <w:t> </w:t>
      </w:r>
      <w:r>
        <w:rPr>
          <w:spacing w:val="-118"/>
        </w:rPr>
      </w:r>
      <w:r>
        <w:rPr>
          <w:spacing w:val="5"/>
        </w:rPr>
        <w:t>利预测补偿协议》，本公司以</w:t>
      </w:r>
      <w:r>
        <w:rPr>
          <w:rFonts w:ascii="Times New Roman" w:hAnsi="Times New Roman" w:cs="Times New Roman" w:eastAsia="Times New Roman" w:hint="default"/>
          <w:spacing w:val="5"/>
        </w:rPr>
        <w:t>50,000.00</w:t>
      </w:r>
      <w:r>
        <w:rPr>
          <w:spacing w:val="5"/>
        </w:rPr>
        <w:t>万元受让宝腾互联原股东宝德科技持有的宝腾互联</w:t>
      </w:r>
      <w:r>
        <w:rPr>
          <w:spacing w:val="-93"/>
        </w:rPr>
        <w:t> </w:t>
      </w:r>
      <w:r>
        <w:rPr>
          <w:spacing w:val="-93"/>
        </w:rPr>
      </w:r>
      <w:r>
        <w:rPr>
          <w:rFonts w:ascii="Times New Roman" w:hAnsi="Times New Roman" w:cs="Times New Roman" w:eastAsia="Times New Roman" w:hint="default"/>
        </w:rPr>
        <w:t>100.00%</w:t>
      </w:r>
      <w:r>
        <w:rPr/>
        <w:t>股权。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日，宝腾互联已办理完成章程变更备案等相关工商登记手续。同</w:t>
      </w:r>
      <w:r>
        <w:rPr>
          <w:spacing w:val="-109"/>
        </w:rPr>
        <w:t> </w:t>
      </w:r>
      <w:r>
        <w:rPr>
          <w:spacing w:val="-109"/>
        </w:rPr>
      </w:r>
      <w:r>
        <w:rPr>
          <w:spacing w:val="29"/>
        </w:rPr>
        <w:t>时宝德科技承诺宝腾互联盈利补偿期间（</w:t>
      </w:r>
      <w:r>
        <w:rPr>
          <w:spacing w:val="-8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8"/>
        </w:rPr>
        <w:t> </w:t>
      </w:r>
      <w:r>
        <w:rPr>
          <w:spacing w:val="20"/>
        </w:rPr>
        <w:t>年度、</w:t>
      </w:r>
      <w:r>
        <w:rPr>
          <w:spacing w:val="-8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8"/>
        </w:rPr>
        <w:t> </w:t>
      </w:r>
      <w:r>
        <w:rPr>
          <w:spacing w:val="20"/>
        </w:rPr>
        <w:t>年度、</w:t>
      </w:r>
      <w:r>
        <w:rPr>
          <w:spacing w:val="-8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8"/>
        </w:rPr>
        <w:t> </w:t>
      </w:r>
      <w:r>
        <w:rPr>
          <w:spacing w:val="25"/>
        </w:rPr>
        <w:t>年度）业绩为</w:t>
      </w:r>
      <w:r>
        <w:rPr>
          <w:spacing w:val="-118"/>
        </w:rPr>
        <w:t> </w:t>
      </w:r>
      <w:r>
        <w:rPr>
          <w:rFonts w:ascii="Times New Roman" w:hAnsi="Times New Roman" w:cs="Times New Roman" w:eastAsia="Times New Roman" w:hint="default"/>
        </w:rPr>
        <w:t>110,361,605.80</w:t>
      </w:r>
      <w:r>
        <w:rPr/>
        <w:t>元，如宝腾互联在盈利补偿期间最终结束后的实际净利润数未能达到承诺的净 利润预测数，宝德科技将以现金形式对本公司进行补偿。补偿的现金价款的计算公式如下：</w:t>
      </w:r>
      <w:r>
        <w:rPr>
          <w:spacing w:val="-88"/>
        </w:rPr>
        <w:t> </w:t>
      </w:r>
      <w:r>
        <w:rPr>
          <w:spacing w:val="-88"/>
        </w:rPr>
      </w:r>
      <w:r>
        <w:rPr>
          <w:spacing w:val="-3"/>
        </w:rPr>
        <w:t>盈利补偿期间最终结束后需补偿的现金价款</w:t>
      </w:r>
      <w:r>
        <w:rPr>
          <w:rFonts w:ascii="Times New Roman" w:hAnsi="Times New Roman" w:cs="Times New Roman" w:eastAsia="Times New Roman" w:hint="default"/>
          <w:spacing w:val="-3"/>
        </w:rPr>
        <w:t>=</w:t>
      </w:r>
      <w:r>
        <w:rPr>
          <w:spacing w:val="-3"/>
        </w:rPr>
        <w:t>（盈利补偿期间的净利润预测数－截至盈利补偿</w:t>
      </w:r>
      <w:r>
        <w:rPr>
          <w:spacing w:val="-94"/>
        </w:rPr>
        <w:t> </w:t>
      </w:r>
      <w:r>
        <w:rPr>
          <w:spacing w:val="-94"/>
        </w:rPr>
      </w:r>
      <w:r>
        <w:rPr/>
        <w:t>期间期末累积实现净利润数）÷盈利补偿期间的净利润预测数×交易价格</w:t>
      </w:r>
    </w:p>
    <w:p>
      <w:pPr>
        <w:pStyle w:val="Heading3"/>
        <w:spacing w:line="338" w:lineRule="auto" w:before="53"/>
        <w:ind w:right="1132" w:firstLine="480"/>
        <w:jc w:val="both"/>
      </w:pPr>
      <w:r>
        <w:rPr/>
        <w:t>宝腾互联盈利补偿期间（</w:t>
      </w:r>
      <w:r>
        <w:rPr>
          <w:rFonts w:ascii="Times New Roman" w:hAnsi="Times New Roman" w:cs="Times New Roman" w:eastAsia="Times New Roman" w:hint="default"/>
        </w:rPr>
        <w:t>2017</w:t>
      </w:r>
      <w:r>
        <w:rPr/>
        <w:t>年度、</w:t>
      </w:r>
      <w:r>
        <w:rPr>
          <w:rFonts w:ascii="Times New Roman" w:hAnsi="Times New Roman" w:cs="Times New Roman" w:eastAsia="Times New Roman" w:hint="default"/>
        </w:rPr>
        <w:t>2018</w:t>
      </w:r>
      <w:r>
        <w:rPr/>
        <w:t>年度、</w:t>
      </w:r>
      <w:r>
        <w:rPr>
          <w:rFonts w:ascii="Times New Roman" w:hAnsi="Times New Roman" w:cs="Times New Roman" w:eastAsia="Times New Roman" w:hint="default"/>
        </w:rPr>
        <w:t>2019</w:t>
      </w:r>
      <w:r>
        <w:rPr/>
        <w:t>年度）经审计的累计实现的扣非后 净利润为</w:t>
      </w:r>
      <w:r>
        <w:rPr>
          <w:rFonts w:ascii="Times New Roman" w:hAnsi="Times New Roman" w:cs="Times New Roman" w:eastAsia="Times New Roman" w:hint="default"/>
        </w:rPr>
        <w:t>102,809,871.60</w:t>
      </w:r>
      <w:r>
        <w:rPr/>
        <w:t>元，与承诺业绩</w:t>
      </w:r>
      <w:r>
        <w:rPr>
          <w:rFonts w:ascii="Times New Roman" w:hAnsi="Times New Roman" w:cs="Times New Roman" w:eastAsia="Times New Roman" w:hint="default"/>
        </w:rPr>
        <w:t>110,361,605.80</w:t>
      </w:r>
      <w:r>
        <w:rPr/>
        <w:t>元的差异为</w:t>
      </w:r>
      <w:r>
        <w:rPr>
          <w:rFonts w:ascii="Times New Roman" w:hAnsi="Times New Roman" w:cs="Times New Roman" w:eastAsia="Times New Roman" w:hint="default"/>
        </w:rPr>
        <w:t>7,551,734.20</w:t>
      </w:r>
      <w:r>
        <w:rPr/>
        <w:t>元。根据《盈</w:t>
      </w:r>
      <w:r>
        <w:rPr>
          <w:spacing w:val="-36"/>
        </w:rPr>
        <w:t> </w:t>
      </w:r>
      <w:r>
        <w:rPr>
          <w:spacing w:val="-36"/>
        </w:rPr>
      </w:r>
      <w:r>
        <w:rPr/>
        <w:t>利预测补偿协议》计算，宝德科技应补偿中青宝</w:t>
      </w:r>
      <w:r>
        <w:rPr>
          <w:rFonts w:ascii="Times New Roman" w:hAnsi="Times New Roman" w:cs="Times New Roman" w:eastAsia="Times New Roman" w:hint="default"/>
        </w:rPr>
        <w:t>34,213,593.35</w:t>
      </w:r>
      <w:r>
        <w:rPr/>
        <w:t>元。本公司实际应付股权转让</w:t>
      </w:r>
      <w:r>
        <w:rPr>
          <w:spacing w:val="-35"/>
        </w:rPr>
        <w:t> </w:t>
      </w:r>
      <w:r>
        <w:rPr>
          <w:spacing w:val="-35"/>
        </w:rPr>
      </w:r>
      <w:r>
        <w:rPr/>
        <w:t>款余款为</w:t>
      </w:r>
      <w:r>
        <w:rPr>
          <w:rFonts w:ascii="Times New Roman" w:hAnsi="Times New Roman" w:cs="Times New Roman" w:eastAsia="Times New Roman" w:hint="default"/>
        </w:rPr>
        <w:t>88,137,512.49</w:t>
      </w:r>
      <w:r>
        <w:rPr/>
        <w:t>元。</w:t>
      </w:r>
    </w:p>
    <w:p>
      <w:pPr>
        <w:pStyle w:val="Heading3"/>
        <w:spacing w:line="338" w:lineRule="auto" w:before="27"/>
        <w:ind w:right="1124" w:firstLine="480"/>
        <w:jc w:val="both"/>
      </w:pPr>
      <w:r>
        <w:rPr>
          <w:spacing w:val="3"/>
        </w:rPr>
        <w:t>本公司已根据信永中和会计师事务所（特殊普通合伙）于 </w:t>
      </w:r>
      <w:r>
        <w:rPr>
          <w:rFonts w:ascii="Times New Roman" w:hAnsi="Times New Roman" w:cs="Times New Roman" w:eastAsia="Times New Roman" w:hint="default"/>
        </w:rPr>
        <w:t>2020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15</w:t>
      </w:r>
      <w:r>
        <w:rPr>
          <w:rFonts w:ascii="Times New Roman" w:hAnsi="Times New Roman" w:cs="Times New Roman" w:eastAsia="Times New Roman" w:hint="default"/>
          <w:spacing w:val="48"/>
        </w:rPr>
        <w:t> </w:t>
      </w:r>
      <w:r>
        <w:rPr>
          <w:spacing w:val="4"/>
        </w:rPr>
        <w:t>日出具的 </w:t>
      </w:r>
      <w:r>
        <w:rPr>
          <w:rFonts w:ascii="Times New Roman" w:hAnsi="Times New Roman" w:cs="Times New Roman" w:eastAsia="Times New Roman" w:hint="default"/>
        </w:rPr>
        <w:t>XYZH/2020SZA30019 </w:t>
      </w:r>
      <w:r>
        <w:rPr>
          <w:spacing w:val="-5"/>
        </w:rPr>
        <w:t>号《关于深圳市宝腾互联科技有限公司 </w:t>
      </w:r>
      <w:r>
        <w:rPr>
          <w:rFonts w:ascii="Times New Roman" w:hAnsi="Times New Roman" w:cs="Times New Roman" w:eastAsia="Times New Roman" w:hint="default"/>
        </w:rPr>
        <w:t>2019 </w:t>
      </w:r>
      <w:r>
        <w:rPr/>
        <w:t>年度实际净</w:t>
      </w:r>
      <w:r>
        <w:rPr>
          <w:spacing w:val="19"/>
        </w:rPr>
        <w:t> </w:t>
      </w:r>
      <w:r>
        <w:rPr/>
        <w:t>利润的专项 </w:t>
      </w:r>
      <w:r>
        <w:rPr>
          <w:spacing w:val="-5"/>
        </w:rPr>
        <w:t>审核报告》，本公司已于</w:t>
      </w:r>
      <w:r>
        <w:rPr>
          <w:rFonts w:ascii="Times New Roman" w:hAnsi="Times New Roman" w:cs="Times New Roman" w:eastAsia="Times New Roman" w:hint="default"/>
          <w:spacing w:val="-5"/>
        </w:rPr>
        <w:t>2020</w:t>
      </w:r>
      <w:r>
        <w:rPr>
          <w:spacing w:val="-5"/>
        </w:rPr>
        <w:t>年</w:t>
      </w:r>
      <w:r>
        <w:rPr>
          <w:rFonts w:ascii="Times New Roman" w:hAnsi="Times New Roman" w:cs="Times New Roman" w:eastAsia="Times New Roman" w:hint="default"/>
          <w:spacing w:val="-5"/>
        </w:rPr>
        <w:t>1</w:t>
      </w:r>
      <w:r>
        <w:rPr>
          <w:spacing w:val="-5"/>
        </w:rPr>
        <w:t>月向宝德科技支付股权转让款余款</w:t>
      </w:r>
      <w:r>
        <w:rPr>
          <w:rFonts w:ascii="Times New Roman" w:hAnsi="Times New Roman" w:cs="Times New Roman" w:eastAsia="Times New Roman" w:hint="default"/>
          <w:spacing w:val="-5"/>
        </w:rPr>
        <w:t>88,137,512.49</w:t>
      </w:r>
      <w:r>
        <w:rPr>
          <w:spacing w:val="-5"/>
        </w:rPr>
        <w:t>元。截止</w:t>
      </w:r>
      <w:r>
        <w:rPr>
          <w:rFonts w:ascii="Times New Roman" w:hAnsi="Times New Roman" w:cs="Times New Roman" w:eastAsia="Times New Roman" w:hint="default"/>
          <w:spacing w:val="-5"/>
        </w:rPr>
        <w:t>2020</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日，本公司已向宝德科技累计支付股权转让款</w:t>
      </w:r>
      <w:r>
        <w:rPr>
          <w:rFonts w:ascii="Times New Roman" w:hAnsi="Times New Roman" w:cs="Times New Roman" w:eastAsia="Times New Roman" w:hint="default"/>
        </w:rPr>
        <w:t>465,786,406.65</w:t>
      </w:r>
      <w:r>
        <w:rPr/>
        <w:t>元，股转转让款已支付</w:t>
      </w:r>
      <w:r>
        <w:rPr>
          <w:spacing w:val="-34"/>
        </w:rPr>
        <w:t> </w:t>
      </w:r>
      <w:r>
        <w:rPr>
          <w:spacing w:val="-34"/>
        </w:rPr>
      </w:r>
      <w:r>
        <w:rPr/>
        <w:t>完毕。</w:t>
      </w:r>
    </w:p>
    <w:p>
      <w:pPr>
        <w:pStyle w:val="Heading2"/>
        <w:spacing w:line="240" w:lineRule="auto" w:before="55"/>
        <w:ind w:right="0"/>
        <w:jc w:val="both"/>
        <w:rPr>
          <w:b w:val="0"/>
          <w:bCs w:val="0"/>
        </w:rPr>
      </w:pPr>
      <w:r>
        <w:rPr>
          <w:rFonts w:ascii="Times New Roman" w:hAnsi="Times New Roman" w:cs="Times New Roman" w:eastAsia="Times New Roman" w:hint="default"/>
        </w:rPr>
        <w:t>4.</w:t>
      </w:r>
      <w:r>
        <w:rPr/>
        <w:t>上海美峰已完成工商变更登记</w:t>
      </w:r>
      <w:r>
        <w:rPr>
          <w:b w:val="0"/>
          <w:bCs w:val="0"/>
        </w:rPr>
      </w:r>
    </w:p>
    <w:p>
      <w:pPr>
        <w:pStyle w:val="Heading3"/>
        <w:spacing w:line="338" w:lineRule="auto" w:before="135"/>
        <w:ind w:right="999" w:firstLine="480"/>
        <w:jc w:val="left"/>
      </w:pP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25</w:t>
      </w:r>
      <w:r>
        <w:rPr>
          <w:spacing w:val="-3"/>
        </w:rPr>
        <w:t>日本公司将持有的上海美峰</w:t>
      </w:r>
      <w:r>
        <w:rPr>
          <w:rFonts w:ascii="Times New Roman" w:hAnsi="Times New Roman" w:cs="Times New Roman" w:eastAsia="Times New Roman" w:hint="default"/>
          <w:spacing w:val="-3"/>
        </w:rPr>
        <w:t>71.6334%</w:t>
      </w:r>
      <w:r>
        <w:rPr>
          <w:spacing w:val="-3"/>
        </w:rPr>
        <w:t>的股权、本公司应收上海美峰原股东李</w:t>
      </w:r>
      <w:r>
        <w:rPr/>
        <w:t> </w:t>
      </w:r>
      <w:r>
        <w:rPr>
          <w:spacing w:val="2"/>
        </w:rPr>
        <w:t>杰等的业绩补偿款以及上海美峰的债权一并转让给前海宝德，转让价款为</w:t>
      </w:r>
      <w:r>
        <w:rPr>
          <w:rFonts w:ascii="Times New Roman" w:hAnsi="Times New Roman" w:cs="Times New Roman" w:eastAsia="Times New Roman" w:hint="default"/>
          <w:spacing w:val="2"/>
        </w:rPr>
        <w:t>2.50</w:t>
      </w:r>
      <w:r>
        <w:rPr>
          <w:spacing w:val="2"/>
        </w:rPr>
        <w:t>亿元。截止本</w:t>
      </w:r>
      <w:r>
        <w:rPr>
          <w:spacing w:val="-118"/>
        </w:rPr>
        <w:t> </w:t>
      </w:r>
      <w:r>
        <w:rPr>
          <w:spacing w:val="-3"/>
        </w:rPr>
        <w:t>财务报告批准日，本公司已收到前海宝德全部股权及债权转让款</w:t>
      </w:r>
      <w:r>
        <w:rPr>
          <w:rFonts w:ascii="Times New Roman" w:hAnsi="Times New Roman" w:cs="Times New Roman" w:eastAsia="Times New Roman" w:hint="default"/>
          <w:spacing w:val="-3"/>
        </w:rPr>
        <w:t>2.50</w:t>
      </w:r>
      <w:r>
        <w:rPr>
          <w:spacing w:val="-3"/>
        </w:rPr>
        <w:t>亿元， </w:t>
      </w:r>
      <w:r>
        <w:rPr>
          <w:rFonts w:ascii="Times New Roman" w:hAnsi="Times New Roman" w:cs="Times New Roman" w:eastAsia="Times New Roman" w:hint="default"/>
        </w:rPr>
        <w:t>2020</w:t>
      </w:r>
      <w:r>
        <w:rPr/>
        <w:t>年</w:t>
      </w:r>
      <w:r>
        <w:rPr>
          <w:spacing w:val="-37"/>
        </w:rPr>
        <w:t> </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10</w:t>
      </w:r>
      <w:r>
        <w:rPr/>
        <w:t>日， 上海美峰已完成工商变更登记。</w:t>
      </w:r>
    </w:p>
    <w:p>
      <w:pPr>
        <w:pStyle w:val="Heading2"/>
        <w:spacing w:line="240" w:lineRule="auto" w:before="56"/>
        <w:ind w:right="0"/>
        <w:jc w:val="both"/>
        <w:rPr>
          <w:b w:val="0"/>
          <w:bCs w:val="0"/>
        </w:rPr>
      </w:pPr>
      <w:r>
        <w:rPr>
          <w:rFonts w:ascii="Times New Roman" w:hAnsi="Times New Roman" w:cs="Times New Roman" w:eastAsia="Times New Roman" w:hint="default"/>
        </w:rPr>
        <w:t>5.</w:t>
      </w:r>
      <w:r>
        <w:rPr/>
        <w:t>收购深圳苏摩少数股东股权</w:t>
      </w:r>
      <w:r>
        <w:rPr>
          <w:b w:val="0"/>
          <w:bCs w:val="0"/>
        </w:rPr>
      </w:r>
    </w:p>
    <w:p>
      <w:pPr>
        <w:pStyle w:val="Heading3"/>
        <w:spacing w:line="338" w:lineRule="auto" w:before="135"/>
        <w:ind w:right="1131" w:firstLine="480"/>
        <w:jc w:val="both"/>
      </w:pPr>
      <w:r>
        <w:rPr>
          <w:rFonts w:ascii="Times New Roman" w:hAnsi="Times New Roman" w:cs="Times New Roman" w:eastAsia="Times New Roman" w:hint="default"/>
          <w:spacing w:val="-8"/>
        </w:rPr>
        <w:t>2018</w:t>
      </w:r>
      <w:r>
        <w:rPr>
          <w:spacing w:val="-8"/>
        </w:rPr>
        <w:t>年</w:t>
      </w:r>
      <w:r>
        <w:rPr>
          <w:rFonts w:ascii="Times New Roman" w:hAnsi="Times New Roman" w:cs="Times New Roman" w:eastAsia="Times New Roman" w:hint="default"/>
          <w:spacing w:val="-8"/>
        </w:rPr>
        <w:t>10</w:t>
      </w:r>
      <w:r>
        <w:rPr>
          <w:spacing w:val="-8"/>
        </w:rPr>
        <w:t>月</w:t>
      </w:r>
      <w:r>
        <w:rPr>
          <w:rFonts w:ascii="Times New Roman" w:hAnsi="Times New Roman" w:cs="Times New Roman" w:eastAsia="Times New Roman" w:hint="default"/>
          <w:spacing w:val="-8"/>
        </w:rPr>
        <w:t>8</w:t>
      </w:r>
      <w:r>
        <w:rPr>
          <w:spacing w:val="-8"/>
        </w:rPr>
        <w:t>日，本公司与陈雷、郝聃、姚君林、深圳市腾讯计算机系统有限公司签订《股</w:t>
      </w:r>
      <w:r>
        <w:rPr/>
        <w:t> </w:t>
      </w:r>
      <w:r>
        <w:rPr>
          <w:spacing w:val="-4"/>
        </w:rPr>
        <w:t>权转让协议》，以</w:t>
      </w:r>
      <w:r>
        <w:rPr>
          <w:rFonts w:ascii="Times New Roman" w:hAnsi="Times New Roman" w:cs="Times New Roman" w:eastAsia="Times New Roman" w:hint="default"/>
          <w:spacing w:val="-4"/>
        </w:rPr>
        <w:t>4,900.00</w:t>
      </w:r>
      <w:r>
        <w:rPr>
          <w:spacing w:val="-4"/>
        </w:rPr>
        <w:t>万元收购深圳苏摩</w:t>
      </w:r>
      <w:r>
        <w:rPr>
          <w:rFonts w:ascii="Times New Roman" w:hAnsi="Times New Roman" w:cs="Times New Roman" w:eastAsia="Times New Roman" w:hint="default"/>
          <w:spacing w:val="-4"/>
        </w:rPr>
        <w:t>49%</w:t>
      </w:r>
      <w:r>
        <w:rPr>
          <w:spacing w:val="-4"/>
        </w:rPr>
        <w:t>的股权，其中陈雷转让</w:t>
      </w:r>
      <w:r>
        <w:rPr>
          <w:rFonts w:ascii="Times New Roman" w:hAnsi="Times New Roman" w:cs="Times New Roman" w:eastAsia="Times New Roman" w:hint="default"/>
          <w:spacing w:val="-4"/>
        </w:rPr>
        <w:t>36.24%</w:t>
      </w:r>
      <w:r>
        <w:rPr>
          <w:spacing w:val="-4"/>
        </w:rPr>
        <w:t>，价款</w:t>
      </w:r>
      <w:r>
        <w:rPr>
          <w:rFonts w:ascii="Times New Roman" w:hAnsi="Times New Roman" w:cs="Times New Roman" w:eastAsia="Times New Roman" w:hint="default"/>
          <w:spacing w:val="-4"/>
        </w:rPr>
        <w:t>3,624.00</w:t>
      </w:r>
      <w:r>
        <w:rPr>
          <w:rFonts w:ascii="Times New Roman" w:hAnsi="Times New Roman" w:cs="Times New Roman" w:eastAsia="Times New Roman" w:hint="default"/>
          <w:spacing w:val="-30"/>
        </w:rPr>
        <w:t> </w:t>
      </w:r>
      <w:r>
        <w:rPr>
          <w:spacing w:val="-2"/>
        </w:rPr>
        <w:t>万元；郝聃转让</w:t>
      </w:r>
      <w:r>
        <w:rPr>
          <w:rFonts w:ascii="Times New Roman" w:hAnsi="Times New Roman" w:cs="Times New Roman" w:eastAsia="Times New Roman" w:hint="default"/>
          <w:spacing w:val="-2"/>
        </w:rPr>
        <w:t>4.16%</w:t>
      </w:r>
      <w:r>
        <w:rPr>
          <w:spacing w:val="-2"/>
        </w:rPr>
        <w:t>，价款</w:t>
      </w:r>
      <w:r>
        <w:rPr>
          <w:rFonts w:ascii="Times New Roman" w:hAnsi="Times New Roman" w:cs="Times New Roman" w:eastAsia="Times New Roman" w:hint="default"/>
          <w:spacing w:val="-2"/>
        </w:rPr>
        <w:t>416.00</w:t>
      </w:r>
      <w:r>
        <w:rPr>
          <w:spacing w:val="-2"/>
        </w:rPr>
        <w:t>万元；姚君林转让</w:t>
      </w:r>
      <w:r>
        <w:rPr>
          <w:rFonts w:ascii="Times New Roman" w:hAnsi="Times New Roman" w:cs="Times New Roman" w:eastAsia="Times New Roman" w:hint="default"/>
          <w:spacing w:val="-2"/>
        </w:rPr>
        <w:t>1.25%</w:t>
      </w:r>
      <w:r>
        <w:rPr>
          <w:spacing w:val="-2"/>
        </w:rPr>
        <w:t>，价款</w:t>
      </w:r>
      <w:r>
        <w:rPr>
          <w:rFonts w:ascii="Times New Roman" w:hAnsi="Times New Roman" w:cs="Times New Roman" w:eastAsia="Times New Roman" w:hint="default"/>
          <w:spacing w:val="-2"/>
        </w:rPr>
        <w:t>125</w:t>
      </w:r>
      <w:r>
        <w:rPr>
          <w:spacing w:val="-2"/>
        </w:rPr>
        <w:t>万元；深圳市腾讯计算</w:t>
      </w:r>
      <w:r>
        <w:rPr>
          <w:spacing w:val="-82"/>
        </w:rPr>
        <w:t> </w:t>
      </w:r>
      <w:r>
        <w:rPr>
          <w:spacing w:val="-82"/>
        </w:rPr>
      </w:r>
      <w:r>
        <w:rPr/>
        <w:t>机系统有限公司转让</w:t>
      </w:r>
      <w:r>
        <w:rPr>
          <w:rFonts w:ascii="Times New Roman" w:hAnsi="Times New Roman" w:cs="Times New Roman" w:eastAsia="Times New Roman" w:hint="default"/>
        </w:rPr>
        <w:t>7.35%</w:t>
      </w:r>
      <w:r>
        <w:rPr/>
        <w:t>，价款</w:t>
      </w:r>
      <w:r>
        <w:rPr>
          <w:rFonts w:ascii="Times New Roman" w:hAnsi="Times New Roman" w:cs="Times New Roman" w:eastAsia="Times New Roman" w:hint="default"/>
        </w:rPr>
        <w:t>735.00</w:t>
      </w:r>
      <w:r>
        <w:rPr/>
        <w:t>万元。股权转让后，本公司持有深圳苏摩</w:t>
      </w:r>
      <w:r>
        <w:rPr>
          <w:rFonts w:ascii="Times New Roman" w:hAnsi="Times New Roman" w:cs="Times New Roman" w:eastAsia="Times New Roman" w:hint="default"/>
        </w:rPr>
        <w:t>100%</w:t>
      </w:r>
      <w:r>
        <w:rPr/>
        <w:t>股权</w:t>
      </w:r>
    </w:p>
    <w:p>
      <w:pPr>
        <w:spacing w:after="0" w:line="338" w:lineRule="auto"/>
        <w:jc w:val="both"/>
        <w:sectPr>
          <w:headerReference w:type="default" r:id="rId25"/>
          <w:footerReference w:type="default" r:id="rId26"/>
          <w:pgSz w:w="11910" w:h="16840"/>
          <w:pgMar w:header="877" w:footer="980" w:top="1060" w:bottom="1160" w:left="980" w:right="0"/>
          <w:pgNumType w:start="65"/>
        </w:sectPr>
      </w:pPr>
    </w:p>
    <w:p>
      <w:pPr>
        <w:spacing w:line="240" w:lineRule="auto" w:before="7"/>
        <w:rPr>
          <w:rFonts w:ascii="宋体" w:hAnsi="宋体" w:cs="宋体" w:eastAsia="宋体" w:hint="default"/>
          <w:sz w:val="25"/>
          <w:szCs w:val="25"/>
        </w:rPr>
      </w:pPr>
    </w:p>
    <w:p>
      <w:pPr>
        <w:pStyle w:val="Heading3"/>
        <w:spacing w:line="348" w:lineRule="auto" w:before="26"/>
        <w:ind w:right="1134" w:firstLine="480"/>
        <w:jc w:val="both"/>
      </w:pPr>
      <w:r>
        <w:rPr/>
        <w:t>《股权转让协议》约定，创始股东承诺目标公司</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2020</w:t>
      </w:r>
      <w:r>
        <w:rPr/>
        <w:t>年度扣除非经营性损 益后净利润分别不低于人民币</w:t>
      </w:r>
      <w:r>
        <w:rPr>
          <w:rFonts w:ascii="Times New Roman" w:hAnsi="Times New Roman" w:cs="Times New Roman" w:eastAsia="Times New Roman" w:hint="default"/>
        </w:rPr>
        <w:t>600</w:t>
      </w:r>
      <w:r>
        <w:rPr/>
        <w:t>万元、</w:t>
      </w:r>
      <w:r>
        <w:rPr>
          <w:rFonts w:ascii="Times New Roman" w:hAnsi="Times New Roman" w:cs="Times New Roman" w:eastAsia="Times New Roman" w:hint="default"/>
        </w:rPr>
        <w:t>950</w:t>
      </w:r>
      <w:r>
        <w:rPr/>
        <w:t>万元、</w:t>
      </w:r>
      <w:r>
        <w:rPr>
          <w:rFonts w:ascii="Times New Roman" w:hAnsi="Times New Roman" w:cs="Times New Roman" w:eastAsia="Times New Roman" w:hint="default"/>
        </w:rPr>
        <w:t>1100</w:t>
      </w:r>
      <w:r>
        <w:rPr/>
        <w:t>万元。同时约定若创始股东中任何一</w:t>
      </w:r>
      <w:r>
        <w:rPr>
          <w:spacing w:val="-90"/>
        </w:rPr>
        <w:t> </w:t>
      </w:r>
      <w:r>
        <w:rPr>
          <w:spacing w:val="-90"/>
        </w:rPr>
      </w:r>
      <w:r>
        <w:rPr/>
        <w:t>方在业绩补偿期内离开公司，受让方无需向创始股东支付剩余股权转让款，并提前结束对赌</w:t>
      </w:r>
      <w:r>
        <w:rPr>
          <w:spacing w:val="-91"/>
        </w:rPr>
        <w:t> </w:t>
      </w:r>
      <w:r>
        <w:rPr>
          <w:spacing w:val="-91"/>
        </w:rPr>
      </w:r>
      <w:r>
        <w:rPr/>
        <w:t>约定，但标的股权仍归本公司所有，无需返还给创始股东，创始股东已获得的股权转让款亦</w:t>
      </w:r>
      <w:r>
        <w:rPr>
          <w:spacing w:val="-91"/>
        </w:rPr>
        <w:t> </w:t>
      </w:r>
      <w:r>
        <w:rPr>
          <w:spacing w:val="-91"/>
        </w:rPr>
      </w:r>
      <w:r>
        <w:rPr/>
        <w:t>无需退回。</w:t>
      </w:r>
    </w:p>
    <w:p>
      <w:pPr>
        <w:pStyle w:val="Heading3"/>
        <w:spacing w:line="240" w:lineRule="auto" w:before="46"/>
        <w:ind w:left="633" w:right="996"/>
        <w:jc w:val="left"/>
      </w:pPr>
      <w:r>
        <w:rPr/>
        <w:t>根据协议，中青宝已于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月支付创始股东第一期转让款合计</w:t>
      </w:r>
      <w:r>
        <w:rPr>
          <w:rFonts w:ascii="Times New Roman" w:hAnsi="Times New Roman" w:cs="Times New Roman" w:eastAsia="Times New Roman" w:hint="default"/>
        </w:rPr>
        <w:t>1,470</w:t>
      </w:r>
      <w:r>
        <w:rPr/>
        <w:t>万元，深圳苏摩</w:t>
      </w:r>
    </w:p>
    <w:p>
      <w:pPr>
        <w:pStyle w:val="Heading3"/>
        <w:spacing w:line="240" w:lineRule="auto" w:before="135"/>
        <w:ind w:right="996"/>
        <w:jc w:val="left"/>
      </w:pPr>
      <w:r>
        <w:rPr>
          <w:rFonts w:ascii="Times New Roman" w:hAnsi="Times New Roman" w:cs="Times New Roman" w:eastAsia="Times New Roman" w:hint="default"/>
          <w:spacing w:val="5"/>
        </w:rPr>
        <w:t>2018</w:t>
      </w:r>
      <w:r>
        <w:rPr>
          <w:spacing w:val="5"/>
        </w:rPr>
        <w:t>年度、</w:t>
      </w:r>
      <w:r>
        <w:rPr>
          <w:rFonts w:ascii="Times New Roman" w:hAnsi="Times New Roman" w:cs="Times New Roman" w:eastAsia="Times New Roman" w:hint="default"/>
          <w:spacing w:val="5"/>
        </w:rPr>
        <w:t>2019</w:t>
      </w:r>
      <w:r>
        <w:rPr>
          <w:spacing w:val="5"/>
        </w:rPr>
        <w:t>年度经有证券期货从业资格的会计师事务所所审计的扣非后净利润分别为</w:t>
      </w:r>
    </w:p>
    <w:p>
      <w:pPr>
        <w:pStyle w:val="Heading3"/>
        <w:spacing w:line="338" w:lineRule="auto" w:before="135"/>
        <w:ind w:right="996"/>
        <w:jc w:val="left"/>
      </w:pPr>
      <w:r>
        <w:rPr>
          <w:rFonts w:ascii="Times New Roman" w:hAnsi="Times New Roman" w:cs="Times New Roman" w:eastAsia="Times New Roman" w:hint="default"/>
        </w:rPr>
        <w:t>378.18</w:t>
      </w:r>
      <w:r>
        <w:rPr/>
        <w:t>万元及</w:t>
      </w:r>
      <w:r>
        <w:rPr>
          <w:rFonts w:ascii="Times New Roman" w:hAnsi="Times New Roman" w:cs="Times New Roman" w:eastAsia="Times New Roman" w:hint="default"/>
        </w:rPr>
        <w:t>319.54</w:t>
      </w:r>
      <w:r>
        <w:rPr/>
        <w:t>万元，未达到业绩承诺，同时</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日，创始股东陈雷离职，根据</w:t>
      </w:r>
      <w:r>
        <w:rPr>
          <w:spacing w:val="-85"/>
        </w:rPr>
        <w:t> </w:t>
      </w:r>
      <w:r>
        <w:rPr>
          <w:spacing w:val="-85"/>
        </w:rPr>
      </w:r>
      <w:r>
        <w:rPr/>
        <w:t>协议，股权转让余款</w:t>
      </w:r>
      <w:r>
        <w:rPr>
          <w:rFonts w:ascii="Times New Roman" w:hAnsi="Times New Roman" w:cs="Times New Roman" w:eastAsia="Times New Roman" w:hint="default"/>
        </w:rPr>
        <w:t>3,430</w:t>
      </w:r>
      <w:r>
        <w:rPr/>
        <w:t>万元无需支付。</w:t>
      </w:r>
    </w:p>
    <w:p>
      <w:pPr>
        <w:pStyle w:val="Heading2"/>
        <w:spacing w:line="499" w:lineRule="auto" w:before="27"/>
        <w:ind w:right="2030"/>
        <w:jc w:val="left"/>
        <w:rPr>
          <w:b w:val="0"/>
          <w:bCs w:val="0"/>
        </w:rPr>
      </w:pPr>
      <w:r>
        <w:rPr>
          <w:rFonts w:ascii="Times New Roman" w:hAnsi="Times New Roman" w:cs="Times New Roman" w:eastAsia="Times New Roman" w:hint="default"/>
        </w:rPr>
        <w:t>6.</w:t>
      </w:r>
      <w:r>
        <w:rPr/>
        <w:t>除上述重要事项外，截至</w:t>
      </w:r>
      <w:r>
        <w:rPr>
          <w:spacing w:val="-5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60"/>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日，本公司无需披露的其他重要事项。</w:t>
      </w:r>
      <w:r>
        <w:rPr>
          <w:w w:val="99"/>
        </w:rPr>
        <w:t> </w:t>
      </w:r>
      <w:r>
        <w:rPr/>
        <w:t>十九、公司子公司重大事项</w:t>
      </w:r>
      <w:r>
        <w:rPr>
          <w:b w:val="0"/>
          <w:bCs w:val="0"/>
        </w:rPr>
      </w:r>
    </w:p>
    <w:p>
      <w:pPr>
        <w:pStyle w:val="Heading3"/>
        <w:spacing w:line="240" w:lineRule="auto" w:before="118"/>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spacing w:after="0" w:line="240"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left="3045" w:right="996"/>
        <w:jc w:val="left"/>
        <w:rPr>
          <w:b w:val="0"/>
          <w:bCs w:val="0"/>
        </w:rPr>
      </w:pPr>
      <w:bookmarkStart w:name="_bookmark5" w:id="6"/>
      <w:bookmarkEnd w:id="6"/>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996"/>
        <w:jc w:val="left"/>
        <w:rPr>
          <w:b w:val="0"/>
          <w:bCs w:val="0"/>
        </w:rPr>
      </w:pPr>
      <w:r>
        <w:rPr/>
        <w:t>一、股份变动情况</w:t>
      </w:r>
      <w:r>
        <w:rPr>
          <w:b w:val="0"/>
          <w:bCs w:val="0"/>
        </w:rPr>
      </w:r>
    </w:p>
    <w:p>
      <w:pPr>
        <w:spacing w:line="240" w:lineRule="auto" w:before="11"/>
        <w:rPr>
          <w:rFonts w:ascii="宋体" w:hAnsi="宋体" w:cs="宋体" w:eastAsia="宋体" w:hint="default"/>
          <w:b/>
          <w:bCs/>
          <w:sz w:val="28"/>
          <w:szCs w:val="28"/>
        </w:rPr>
      </w:pPr>
    </w:p>
    <w:p>
      <w:pPr>
        <w:pStyle w:val="Heading2"/>
        <w:spacing w:line="240" w:lineRule="auto"/>
        <w:ind w:right="996"/>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0"/>
        <w:rPr>
          <w:rFonts w:ascii="宋体" w:hAnsi="宋体" w:cs="宋体" w:eastAsia="宋体" w:hint="default"/>
          <w:b/>
          <w:bCs/>
          <w:sz w:val="7"/>
          <w:szCs w:val="7"/>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4"/>
        <w:gridCol w:w="823"/>
        <w:gridCol w:w="823"/>
        <w:gridCol w:w="821"/>
        <w:gridCol w:w="823"/>
        <w:gridCol w:w="821"/>
        <w:gridCol w:w="824"/>
        <w:gridCol w:w="794"/>
        <w:gridCol w:w="792"/>
      </w:tblGrid>
      <w:tr>
        <w:trPr>
          <w:trHeight w:val="40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tcBorders>
              <w:left w:val="single" w:sz="4" w:space="0" w:color="000000"/>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4,667,443</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1.76%</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431,700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-1,468,50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-1,036,80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3,630,643</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1.38%</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4,667,443</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1.76%</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408,700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-1,468,50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-1,059,80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3,607,643</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1.37%</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4,667,443</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1.76%</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408,700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-1,468,50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-1,059,80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3,607,643</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1.37%</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91"/>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91"/>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260,041,1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98.24%</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260,041,1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57</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98.62%</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260,041,1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98.24%</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260,041,1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57</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98.62%</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264,708,6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431,700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-1,468,50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-1,036,80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263,671,8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pStyle w:val="Heading3"/>
        <w:spacing w:line="240" w:lineRule="auto" w:before="39"/>
        <w:ind w:right="996"/>
        <w:jc w:val="left"/>
      </w:pPr>
      <w:r>
        <w:rPr/>
        <w:t>股份变动的原因</w:t>
      </w:r>
    </w:p>
    <w:p>
      <w:pPr>
        <w:pStyle w:val="Heading3"/>
        <w:spacing w:line="338" w:lineRule="auto" w:before="154"/>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股份变动的批准情况</w:t>
      </w:r>
    </w:p>
    <w:p>
      <w:pPr>
        <w:pStyle w:val="Heading3"/>
        <w:spacing w:line="240" w:lineRule="auto" w:before="55"/>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after="0" w:line="240" w:lineRule="auto"/>
        <w:jc w:val="left"/>
        <w:sectPr>
          <w:pgSz w:w="11910" w:h="16840"/>
          <w:pgMar w:header="877" w:footer="980" w:top="1100" w:bottom="1160" w:left="980" w:right="0"/>
        </w:sectPr>
      </w:pPr>
    </w:p>
    <w:p>
      <w:pPr>
        <w:spacing w:line="240" w:lineRule="auto" w:before="7"/>
        <w:rPr>
          <w:rFonts w:ascii="宋体" w:hAnsi="宋体" w:cs="宋体" w:eastAsia="宋体" w:hint="default"/>
          <w:sz w:val="25"/>
          <w:szCs w:val="25"/>
        </w:rPr>
      </w:pPr>
    </w:p>
    <w:p>
      <w:pPr>
        <w:pStyle w:val="Heading3"/>
        <w:spacing w:line="338" w:lineRule="auto" w:before="26"/>
        <w:ind w:right="1131" w:firstLine="480"/>
        <w:jc w:val="both"/>
      </w:pP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3</w:t>
      </w:r>
      <w:r>
        <w:rPr>
          <w:spacing w:val="-3"/>
        </w:rPr>
        <w:t>日，公司召开了第四届董事会第二十四次（临时）会议和第四届监事会第</w:t>
      </w:r>
      <w:r>
        <w:rPr/>
        <w:t> </w:t>
      </w:r>
      <w:r>
        <w:rPr>
          <w:spacing w:val="-2"/>
        </w:rPr>
        <w:t>十五次（临时）会议并于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15</w:t>
      </w:r>
      <w:r>
        <w:rPr>
          <w:spacing w:val="-2"/>
        </w:rPr>
        <w:t>日召开了</w:t>
      </w:r>
      <w:r>
        <w:rPr>
          <w:rFonts w:ascii="Times New Roman" w:hAnsi="Times New Roman" w:cs="Times New Roman" w:eastAsia="Times New Roman" w:hint="default"/>
          <w:spacing w:val="-2"/>
        </w:rPr>
        <w:t>2018</w:t>
      </w:r>
      <w:r>
        <w:rPr>
          <w:spacing w:val="-2"/>
        </w:rPr>
        <w:t>年年度股东大会审议通过了《关于回购注</w:t>
      </w:r>
      <w:r>
        <w:rPr>
          <w:spacing w:val="-112"/>
        </w:rPr>
        <w:t> </w:t>
      </w:r>
      <w:r>
        <w:rPr>
          <w:spacing w:val="-112"/>
        </w:rPr>
      </w:r>
      <w:r>
        <w:rPr/>
        <w:t>销部分限制性股票的议案》，同意回购注销已获授但尚未解锁的限制性股票共</w:t>
      </w:r>
      <w:r>
        <w:rPr>
          <w:rFonts w:ascii="Times New Roman" w:hAnsi="Times New Roman" w:cs="Times New Roman" w:eastAsia="Times New Roman" w:hint="default"/>
        </w:rPr>
        <w:t>1,468,500</w:t>
      </w:r>
      <w:r>
        <w:rPr/>
        <w:t>股，</w:t>
      </w:r>
      <w:r>
        <w:rPr>
          <w:spacing w:val="-88"/>
        </w:rPr>
        <w:t> </w:t>
      </w:r>
      <w:r>
        <w:rPr/>
        <w:t>回购价格为</w:t>
      </w:r>
      <w:r>
        <w:rPr>
          <w:rFonts w:ascii="Times New Roman" w:hAnsi="Times New Roman" w:cs="Times New Roman" w:eastAsia="Times New Roman" w:hint="default"/>
        </w:rPr>
        <w:t>6.20</w:t>
      </w:r>
      <w:r>
        <w:rPr/>
        <w:t>元</w:t>
      </w:r>
      <w:r>
        <w:rPr>
          <w:rFonts w:ascii="Times New Roman" w:hAnsi="Times New Roman" w:cs="Times New Roman" w:eastAsia="Times New Roman" w:hint="default"/>
        </w:rPr>
        <w:t>/</w:t>
      </w:r>
      <w:r>
        <w:rPr/>
        <w:t>股加银行同期存款利息。本次回购注销完成后，公司总股本由</w:t>
      </w:r>
      <w:r>
        <w:rPr>
          <w:rFonts w:ascii="Times New Roman" w:hAnsi="Times New Roman" w:cs="Times New Roman" w:eastAsia="Times New Roman" w:hint="default"/>
        </w:rPr>
        <w:t>264,708,600</w:t>
      </w:r>
      <w:r>
        <w:rPr>
          <w:rFonts w:ascii="Times New Roman" w:hAnsi="Times New Roman" w:cs="Times New Roman" w:eastAsia="Times New Roman" w:hint="default"/>
          <w:spacing w:val="-31"/>
        </w:rPr>
        <w:t> </w:t>
      </w:r>
      <w:r>
        <w:rPr/>
        <w:t>股减至</w:t>
      </w:r>
      <w:r>
        <w:rPr>
          <w:rFonts w:ascii="Times New Roman" w:hAnsi="Times New Roman" w:cs="Times New Roman" w:eastAsia="Times New Roman" w:hint="default"/>
        </w:rPr>
        <w:t>263,240,100</w:t>
      </w:r>
      <w:r>
        <w:rPr/>
        <w:t>股。</w:t>
      </w:r>
    </w:p>
    <w:p>
      <w:pPr>
        <w:pStyle w:val="Heading3"/>
        <w:spacing w:line="338" w:lineRule="auto" w:before="27"/>
        <w:ind w:right="1102" w:firstLine="48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25</w:t>
      </w:r>
      <w:r>
        <w:rPr/>
        <w:t>日，公司召开第四届董事会第二十六次会议及第四届监事会第十七次会 议，审议通过了《关于调整公司</w:t>
      </w:r>
      <w:r>
        <w:rPr>
          <w:rFonts w:ascii="Times New Roman" w:hAnsi="Times New Roman" w:cs="Times New Roman" w:eastAsia="Times New Roman" w:hint="default"/>
        </w:rPr>
        <w:t>2018</w:t>
      </w:r>
      <w:r>
        <w:rPr/>
        <w:t>年限制性股票激励计划预留授予限制性股票授予价格的</w:t>
      </w:r>
      <w:r>
        <w:rPr>
          <w:spacing w:val="-89"/>
        </w:rPr>
        <w:t> </w:t>
      </w:r>
      <w:r>
        <w:rPr>
          <w:spacing w:val="-89"/>
        </w:rPr>
      </w:r>
      <w:r>
        <w:rPr/>
        <w:t>议案》、《关于向激励对象授予预留限制性股票的议案》，鉴于公司</w:t>
      </w:r>
      <w:r>
        <w:rPr>
          <w:spacing w:val="1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0"/>
        </w:rPr>
        <w:t> </w:t>
      </w:r>
      <w:r>
        <w:rPr/>
        <w:t>年限制性股票激</w:t>
      </w:r>
      <w:r>
        <w:rPr>
          <w:spacing w:val="-117"/>
        </w:rPr>
        <w:t> </w:t>
      </w:r>
      <w:r>
        <w:rPr>
          <w:spacing w:val="-117"/>
        </w:rPr>
      </w:r>
      <w:r>
        <w:rPr>
          <w:spacing w:val="-2"/>
        </w:rPr>
        <w:t>励计划预留部分股份的授予条件已成就，公司董事会同意以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25</w:t>
      </w:r>
      <w:r>
        <w:rPr>
          <w:spacing w:val="-2"/>
        </w:rPr>
        <w:t>日作为限制性股票的</w:t>
      </w:r>
      <w:r>
        <w:rPr>
          <w:spacing w:val="-113"/>
        </w:rPr>
        <w:t> </w:t>
      </w:r>
      <w:r>
        <w:rPr/>
        <w:t>授予日，向符合条件的</w:t>
      </w:r>
      <w:r>
        <w:rPr>
          <w:rFonts w:ascii="Times New Roman" w:hAnsi="Times New Roman" w:cs="Times New Roman" w:eastAsia="Times New Roman" w:hint="default"/>
        </w:rPr>
        <w:t>14</w:t>
      </w:r>
      <w:r>
        <w:rPr/>
        <w:t>名激励对象授予</w:t>
      </w:r>
      <w:r>
        <w:rPr>
          <w:rFonts w:ascii="Times New Roman" w:hAnsi="Times New Roman" w:cs="Times New Roman" w:eastAsia="Times New Roman" w:hint="default"/>
        </w:rPr>
        <w:t>70.77</w:t>
      </w:r>
      <w:r>
        <w:rPr/>
        <w:t>万股预留限制性股票，授予价格为</w:t>
      </w:r>
      <w:r>
        <w:rPr>
          <w:rFonts w:ascii="Times New Roman" w:hAnsi="Times New Roman" w:cs="Times New Roman" w:eastAsia="Times New Roman" w:hint="default"/>
        </w:rPr>
        <w:t>6.18</w:t>
      </w:r>
      <w:r>
        <w:rPr/>
        <w:t>元</w:t>
      </w:r>
      <w:r>
        <w:rPr>
          <w:rFonts w:ascii="Times New Roman" w:hAnsi="Times New Roman" w:cs="Times New Roman" w:eastAsia="Times New Roman" w:hint="default"/>
        </w:rPr>
        <w:t>/</w:t>
      </w:r>
      <w:r>
        <w:rPr/>
        <w:t>股。 </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25</w:t>
      </w:r>
      <w:r>
        <w:rPr>
          <w:spacing w:val="-2"/>
        </w:rPr>
        <w:t>日，公司召开第四届董事会第二十七次会议及第四届监事会第十八次会议，审议</w:t>
      </w:r>
      <w:r>
        <w:rPr>
          <w:spacing w:val="-115"/>
        </w:rPr>
        <w:t> </w:t>
      </w:r>
      <w:r>
        <w:rPr>
          <w:spacing w:val="-115"/>
        </w:rPr>
      </w:r>
      <w:r>
        <w:rPr/>
        <w:t>通过了《关于调整</w:t>
      </w:r>
      <w:r>
        <w:rPr>
          <w:rFonts w:ascii="Times New Roman" w:hAnsi="Times New Roman" w:cs="Times New Roman" w:eastAsia="Times New Roman" w:hint="default"/>
        </w:rPr>
        <w:t>2018</w:t>
      </w:r>
      <w:r>
        <w:rPr/>
        <w:t>年限制性股票激励计划预留授予激励对象名单、授予数量的议案》，</w:t>
      </w:r>
      <w:r>
        <w:rPr>
          <w:spacing w:val="-91"/>
        </w:rPr>
        <w:t> </w:t>
      </w:r>
      <w:r>
        <w:rPr>
          <w:spacing w:val="-91"/>
        </w:rPr>
      </w:r>
      <w:r>
        <w:rPr/>
        <w:t>本次激励计划预留授予的激励对象由</w:t>
      </w:r>
      <w:r>
        <w:rPr>
          <w:rFonts w:ascii="Times New Roman" w:hAnsi="Times New Roman" w:cs="Times New Roman" w:eastAsia="Times New Roman" w:hint="default"/>
        </w:rPr>
        <w:t>14</w:t>
      </w:r>
      <w:r>
        <w:rPr/>
        <w:t>名调整为</w:t>
      </w:r>
      <w:r>
        <w:rPr>
          <w:rFonts w:ascii="Times New Roman" w:hAnsi="Times New Roman" w:cs="Times New Roman" w:eastAsia="Times New Roman" w:hint="default"/>
        </w:rPr>
        <w:t>12</w:t>
      </w:r>
      <w:r>
        <w:rPr/>
        <w:t>名，本次激励计划拟授予的预留限制性股</w:t>
      </w:r>
      <w:r>
        <w:rPr>
          <w:spacing w:val="-89"/>
        </w:rPr>
        <w:t> </w:t>
      </w:r>
      <w:r>
        <w:rPr>
          <w:spacing w:val="-89"/>
        </w:rPr>
      </w:r>
      <w:r>
        <w:rPr>
          <w:spacing w:val="3"/>
        </w:rPr>
        <w:t>票数量由</w:t>
      </w:r>
      <w:r>
        <w:rPr>
          <w:rFonts w:ascii="Times New Roman" w:hAnsi="Times New Roman" w:cs="Times New Roman" w:eastAsia="Times New Roman" w:hint="default"/>
          <w:spacing w:val="3"/>
        </w:rPr>
        <w:t>70.77</w:t>
      </w:r>
      <w:r>
        <w:rPr>
          <w:spacing w:val="3"/>
        </w:rPr>
        <w:t>万股调整为</w:t>
      </w:r>
      <w:r>
        <w:rPr>
          <w:rFonts w:ascii="Times New Roman" w:hAnsi="Times New Roman" w:cs="Times New Roman" w:eastAsia="Times New Roman" w:hint="default"/>
          <w:spacing w:val="3"/>
        </w:rPr>
        <w:t>43.17</w:t>
      </w:r>
      <w:r>
        <w:rPr>
          <w:spacing w:val="3"/>
        </w:rPr>
        <w:t>万股。本次授予预留限制性股票事项完成后，公司总股本由</w:t>
      </w:r>
      <w:r>
        <w:rPr>
          <w:spacing w:val="-112"/>
        </w:rPr>
        <w:t> </w:t>
      </w:r>
      <w:r>
        <w:rPr>
          <w:spacing w:val="-112"/>
        </w:rPr>
      </w:r>
      <w:r>
        <w:rPr>
          <w:rFonts w:ascii="Times New Roman" w:hAnsi="Times New Roman" w:cs="Times New Roman" w:eastAsia="Times New Roman" w:hint="default"/>
        </w:rPr>
        <w:t>263,240,100</w:t>
      </w:r>
      <w:r>
        <w:rPr/>
        <w:t>股增加至</w:t>
      </w:r>
      <w:r>
        <w:rPr>
          <w:rFonts w:ascii="Times New Roman" w:hAnsi="Times New Roman" w:cs="Times New Roman" w:eastAsia="Times New Roman" w:hint="default"/>
        </w:rPr>
        <w:t>263,671,800</w:t>
      </w:r>
      <w:r>
        <w:rPr/>
        <w:t>股。</w:t>
      </w:r>
    </w:p>
    <w:p>
      <w:pPr>
        <w:pStyle w:val="Heading3"/>
        <w:spacing w:line="345" w:lineRule="auto" w:before="27"/>
        <w:ind w:right="1104" w:firstLine="48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23</w:t>
      </w:r>
      <w:r>
        <w:rPr/>
        <w:t>日，公司召开第四届董事会第二十九次会议及第四届监事会第二十次会 议，审议通过了《关于调整限制性股票回购价格的议案》、《关于回购注销部分限制性股票</w:t>
      </w:r>
      <w:r>
        <w:rPr>
          <w:spacing w:val="-91"/>
        </w:rPr>
        <w:t> </w:t>
      </w:r>
      <w:r>
        <w:rPr>
          <w:spacing w:val="-91"/>
        </w:rPr>
      </w:r>
      <w:r>
        <w:rPr>
          <w:spacing w:val="-3"/>
        </w:rPr>
        <w:t>的议案》，</w:t>
      </w:r>
      <w:r>
        <w:rPr>
          <w:rFonts w:ascii="Times New Roman" w:hAnsi="Times New Roman" w:cs="Times New Roman" w:eastAsia="Times New Roman" w:hint="default"/>
          <w:spacing w:val="-3"/>
        </w:rPr>
        <w:t>6</w:t>
      </w:r>
      <w:r>
        <w:rPr>
          <w:spacing w:val="-3"/>
        </w:rPr>
        <w:t>名激励对象因个人原因离职已不符合激励条件，其已获授但尚未解除限售的限制</w:t>
      </w:r>
      <w:r>
        <w:rPr>
          <w:spacing w:val="-80"/>
        </w:rPr>
        <w:t> </w:t>
      </w:r>
      <w:r>
        <w:rPr>
          <w:spacing w:val="-80"/>
        </w:rPr>
      </w:r>
      <w:r>
        <w:rPr/>
        <w:t>性股票不得解除限售，由公司回购注销。据此，公司董事会同意回购注销上述人员已获授但</w:t>
      </w:r>
      <w:r>
        <w:rPr>
          <w:spacing w:val="-91"/>
        </w:rPr>
        <w:t> </w:t>
      </w:r>
      <w:r>
        <w:rPr>
          <w:spacing w:val="-91"/>
        </w:rPr>
      </w:r>
      <w:r>
        <w:rPr/>
        <w:t>尚未解除限售的限制性股票共</w:t>
      </w:r>
      <w:r>
        <w:rPr>
          <w:rFonts w:ascii="Times New Roman" w:hAnsi="Times New Roman" w:cs="Times New Roman" w:eastAsia="Times New Roman" w:hint="default"/>
        </w:rPr>
        <w:t>402,500</w:t>
      </w:r>
      <w:r>
        <w:rPr/>
        <w:t>股，回购价格为</w:t>
      </w:r>
      <w:r>
        <w:rPr>
          <w:rFonts w:ascii="Times New Roman" w:hAnsi="Times New Roman" w:cs="Times New Roman" w:eastAsia="Times New Roman" w:hint="default"/>
        </w:rPr>
        <w:t>6.18</w:t>
      </w:r>
      <w:r>
        <w:rPr/>
        <w:t>元</w:t>
      </w:r>
      <w:r>
        <w:rPr>
          <w:rFonts w:ascii="Times New Roman" w:hAnsi="Times New Roman" w:cs="Times New Roman" w:eastAsia="Times New Roman" w:hint="default"/>
        </w:rPr>
        <w:t>/</w:t>
      </w:r>
      <w:r>
        <w:rPr/>
        <w:t>股加上银行同期存款利息之和。 本次回购注销完成后，公司总股本由</w:t>
      </w:r>
      <w:r>
        <w:rPr>
          <w:rFonts w:ascii="Times New Roman" w:hAnsi="Times New Roman" w:cs="Times New Roman" w:eastAsia="Times New Roman" w:hint="default"/>
        </w:rPr>
        <w:t>263,671,800</w:t>
      </w:r>
      <w:r>
        <w:rPr/>
        <w:t>股减至</w:t>
      </w:r>
      <w:r>
        <w:rPr>
          <w:rFonts w:ascii="Times New Roman" w:hAnsi="Times New Roman" w:cs="Times New Roman" w:eastAsia="Times New Roman" w:hint="default"/>
        </w:rPr>
        <w:t>263,269,300</w:t>
      </w:r>
      <w:r>
        <w:rPr/>
        <w:t>股。</w:t>
      </w:r>
    </w:p>
    <w:p>
      <w:pPr>
        <w:pStyle w:val="Heading3"/>
        <w:spacing w:line="240" w:lineRule="auto" w:before="19"/>
        <w:ind w:right="996"/>
        <w:jc w:val="left"/>
      </w:pPr>
      <w:r>
        <w:rPr/>
        <w:t>股份变动的过户情况</w:t>
      </w:r>
    </w:p>
    <w:p>
      <w:pPr>
        <w:pStyle w:val="Heading3"/>
        <w:spacing w:line="240" w:lineRule="auto" w:before="154"/>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pStyle w:val="Heading3"/>
        <w:spacing w:line="338" w:lineRule="auto" w:before="135"/>
        <w:ind w:right="1873"/>
        <w:jc w:val="left"/>
      </w:pPr>
      <w:r>
        <w:rPr/>
        <w:t>公司尚未在中国证券登记结算有限公司办理</w:t>
      </w:r>
      <w:r>
        <w:rPr>
          <w:spacing w:val="-59"/>
        </w:rPr>
        <w:t> </w:t>
      </w:r>
      <w:r>
        <w:rPr>
          <w:rFonts w:ascii="Times New Roman" w:hAnsi="Times New Roman" w:cs="Times New Roman" w:eastAsia="Times New Roman" w:hint="default"/>
        </w:rPr>
        <w:t>2019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23 </w:t>
      </w:r>
      <w:r>
        <w:rPr/>
        <w:t>日审议的回购注销业务。 股份回购的实施进展情况</w:t>
      </w:r>
    </w:p>
    <w:p>
      <w:pPr>
        <w:pStyle w:val="Heading3"/>
        <w:spacing w:line="338" w:lineRule="auto" w:before="56"/>
        <w:ind w:right="5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采用集中竞价方式减持回购股份的实施进展情况</w:t>
      </w:r>
    </w:p>
    <w:p>
      <w:pPr>
        <w:pStyle w:val="Heading3"/>
        <w:spacing w:line="338" w:lineRule="auto" w:before="55"/>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股份变动对最近一年和最近一期基本每股收益和稀释每股收益、归属于公司普通股股东的每</w:t>
      </w:r>
    </w:p>
    <w:p>
      <w:pPr>
        <w:spacing w:after="0" w:line="338" w:lineRule="auto"/>
        <w:jc w:val="left"/>
        <w:sectPr>
          <w:pgSz w:w="11910" w:h="16840"/>
          <w:pgMar w:header="877" w:footer="980" w:top="1100" w:bottom="1160" w:left="980" w:right="0"/>
        </w:sectPr>
      </w:pPr>
    </w:p>
    <w:p>
      <w:pPr>
        <w:spacing w:line="240" w:lineRule="auto" w:before="7"/>
        <w:rPr>
          <w:rFonts w:ascii="宋体" w:hAnsi="宋体" w:cs="宋体" w:eastAsia="宋体" w:hint="default"/>
          <w:sz w:val="25"/>
          <w:szCs w:val="25"/>
        </w:rPr>
      </w:pPr>
    </w:p>
    <w:p>
      <w:pPr>
        <w:pStyle w:val="Heading3"/>
        <w:spacing w:line="240" w:lineRule="auto" w:before="26"/>
        <w:ind w:right="996"/>
        <w:jc w:val="left"/>
      </w:pPr>
      <w:r>
        <w:rPr/>
        <w:t>股净资产等财务指标的影响</w:t>
      </w:r>
    </w:p>
    <w:p>
      <w:pPr>
        <w:pStyle w:val="Heading3"/>
        <w:spacing w:line="338" w:lineRule="auto" w:before="154"/>
        <w:ind w:right="54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公司认为必要或证券监管机构要求披露的其他内容</w:t>
      </w:r>
    </w:p>
    <w:p>
      <w:pPr>
        <w:pStyle w:val="Heading3"/>
        <w:spacing w:line="240" w:lineRule="auto" w:before="55"/>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pStyle w:val="Heading2"/>
        <w:spacing w:line="240" w:lineRule="auto" w:before="135"/>
        <w:ind w:right="996"/>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0"/>
        <w:rPr>
          <w:rFonts w:ascii="宋体" w:hAnsi="宋体" w:cs="宋体" w:eastAsia="宋体" w:hint="default"/>
          <w:b/>
          <w:bCs/>
          <w:sz w:val="7"/>
          <w:szCs w:val="7"/>
        </w:rPr>
      </w:pPr>
    </w:p>
    <w:p>
      <w:pPr>
        <w:spacing w:before="44"/>
        <w:ind w:left="152" w:right="9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before="44"/>
        <w:ind w:left="0" w:right="1140" w:firstLine="0"/>
        <w:jc w:val="right"/>
        <w:rPr>
          <w:rFonts w:ascii="宋体" w:hAnsi="宋体" w:cs="宋体" w:eastAsia="宋体" w:hint="default"/>
          <w:sz w:val="18"/>
          <w:szCs w:val="18"/>
        </w:rPr>
      </w:pPr>
      <w:r>
        <w:rPr/>
        <w:pict>
          <v:shape style="position:absolute;margin-left:56.400002pt;margin-top:-138.998291pt;width:479.15pt;height:531.35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08"/>
                    <w:gridCol w:w="1489"/>
                    <w:gridCol w:w="1488"/>
                    <w:gridCol w:w="1488"/>
                    <w:gridCol w:w="1488"/>
                    <w:gridCol w:w="1203"/>
                    <w:gridCol w:w="1205"/>
                  </w:tblGrid>
                  <w:tr>
                    <w:trPr>
                      <w:trHeight w:val="713"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50" w:right="10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50" w:right="106"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3"/>
                          <w:jc w:val="right"/>
                          <w:rPr>
                            <w:rFonts w:ascii="宋体" w:hAnsi="宋体" w:cs="宋体" w:eastAsia="宋体" w:hint="default"/>
                            <w:sz w:val="18"/>
                            <w:szCs w:val="18"/>
                          </w:rPr>
                        </w:pPr>
                        <w:r>
                          <w:rPr>
                            <w:rFonts w:ascii="宋体" w:hAnsi="宋体" w:cs="宋体" w:eastAsia="宋体" w:hint="default"/>
                            <w:sz w:val="18"/>
                            <w:szCs w:val="18"/>
                          </w:rPr>
                          <w:t>限售原因</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6" w:right="55" w:hanging="449"/>
                          <w:jc w:val="left"/>
                          <w:rPr>
                            <w:rFonts w:ascii="宋体" w:hAnsi="宋体" w:cs="宋体" w:eastAsia="宋体" w:hint="default"/>
                            <w:sz w:val="18"/>
                            <w:szCs w:val="18"/>
                          </w:rPr>
                        </w:pPr>
                        <w:r>
                          <w:rPr>
                            <w:rFonts w:ascii="宋体" w:hAnsi="宋体" w:cs="宋体" w:eastAsia="宋体" w:hint="default"/>
                            <w:sz w:val="18"/>
                            <w:szCs w:val="18"/>
                          </w:rPr>
                          <w:t>拟解除限售日 期</w:t>
                        </w:r>
                      </w:p>
                    </w:tc>
                  </w:tr>
                  <w:tr>
                    <w:trPr>
                      <w:trHeight w:val="716"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833,943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833,943</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67"/>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每年解除限售</w:t>
                        </w:r>
                      </w:p>
                      <w:p>
                        <w:pPr>
                          <w:pStyle w:val="TableParagraph"/>
                          <w:spacing w:line="240" w:lineRule="auto" w:before="117"/>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713"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王立</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163,500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163,500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67"/>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每年解除限售</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3212"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张思群</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42,000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1"/>
                          <w:ind w:left="23" w:right="87"/>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限制性股票满 足解锁条件 </w:t>
                        </w:r>
                        <w:r>
                          <w:rPr>
                            <w:rFonts w:ascii="宋体" w:hAnsi="宋体" w:cs="宋体" w:eastAsia="宋体" w:hint="default"/>
                            <w:spacing w:val="-9"/>
                            <w:sz w:val="18"/>
                            <w:szCs w:val="18"/>
                          </w:rPr>
                          <w:t>后，按照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Times New Roman" w:hAnsi="Times New Roman" w:cs="Times New Roman" w:eastAsia="Times New Roman" w:hint="default"/>
                            <w:spacing w:val="-6"/>
                            <w:sz w:val="18"/>
                            <w:szCs w:val="18"/>
                          </w:rPr>
                          <w:t>30%</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40%</w:t>
                        </w:r>
                        <w:r>
                          <w:rPr>
                            <w:rFonts w:ascii="宋体" w:hAnsi="宋体" w:cs="宋体" w:eastAsia="宋体" w:hint="default"/>
                            <w:spacing w:val="-6"/>
                            <w:sz w:val="18"/>
                            <w:szCs w:val="18"/>
                          </w:rPr>
                          <w:t>比例</w:t>
                        </w:r>
                        <w:r>
                          <w:rPr>
                            <w:rFonts w:ascii="宋体" w:hAnsi="宋体" w:cs="宋体" w:eastAsia="宋体" w:hint="default"/>
                            <w:sz w:val="18"/>
                            <w:szCs w:val="18"/>
                          </w:rPr>
                          <w:t> 分三年解锁。 在公司担任高 管的任期内， 每年可解锁其 持有公司股票 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3209"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文毅</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70,000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3" w:right="87"/>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限制性股票满 足解锁条件 </w:t>
                        </w:r>
                        <w:r>
                          <w:rPr>
                            <w:rFonts w:ascii="宋体" w:hAnsi="宋体" w:cs="宋体" w:eastAsia="宋体" w:hint="default"/>
                            <w:spacing w:val="-9"/>
                            <w:sz w:val="18"/>
                            <w:szCs w:val="18"/>
                          </w:rPr>
                          <w:t>后，按照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Times New Roman" w:hAnsi="Times New Roman" w:cs="Times New Roman" w:eastAsia="Times New Roman" w:hint="default"/>
                            <w:spacing w:val="-6"/>
                            <w:sz w:val="18"/>
                            <w:szCs w:val="18"/>
                          </w:rPr>
                          <w:t>30%</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40%</w:t>
                        </w:r>
                        <w:r>
                          <w:rPr>
                            <w:rFonts w:ascii="宋体" w:hAnsi="宋体" w:cs="宋体" w:eastAsia="宋体" w:hint="default"/>
                            <w:spacing w:val="-6"/>
                            <w:sz w:val="18"/>
                            <w:szCs w:val="18"/>
                          </w:rPr>
                          <w:t>比例</w:t>
                        </w:r>
                        <w:r>
                          <w:rPr>
                            <w:rFonts w:ascii="宋体" w:hAnsi="宋体" w:cs="宋体" w:eastAsia="宋体" w:hint="default"/>
                            <w:sz w:val="18"/>
                            <w:szCs w:val="18"/>
                          </w:rPr>
                          <w:t> 分三年解锁。 在公司担任高 管的任期内， 每年可解锁其 持有公司股票 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1651"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43"/>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年限制性 股票首次授予 部分激励对象 及预留授予部 分激励对象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3,510,000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988,800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2,521,200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3" w:right="87"/>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限制性股票满 足解锁条件 </w:t>
                        </w:r>
                        <w:r>
                          <w:rPr>
                            <w:rFonts w:ascii="宋体" w:hAnsi="宋体" w:cs="宋体" w:eastAsia="宋体" w:hint="default"/>
                            <w:spacing w:val="-9"/>
                            <w:sz w:val="18"/>
                            <w:szCs w:val="18"/>
                          </w:rPr>
                          <w:t>后，按照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Times New Roman" w:hAnsi="Times New Roman" w:cs="Times New Roman" w:eastAsia="Times New Roman" w:hint="default"/>
                            <w:spacing w:val="-6"/>
                            <w:sz w:val="18"/>
                            <w:szCs w:val="18"/>
                          </w:rPr>
                          <w:t>30%</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40%</w:t>
                        </w:r>
                        <w:r>
                          <w:rPr>
                            <w:rFonts w:ascii="宋体" w:hAnsi="宋体" w:cs="宋体" w:eastAsia="宋体" w:hint="default"/>
                            <w:spacing w:val="-6"/>
                            <w:sz w:val="18"/>
                            <w:szCs w:val="18"/>
                          </w:rPr>
                          <w:t>比例</w:t>
                        </w:r>
                        <w:r>
                          <w:rPr>
                            <w:rFonts w:ascii="宋体" w:hAnsi="宋体" w:cs="宋体" w:eastAsia="宋体" w:hint="default"/>
                            <w:sz w:val="18"/>
                            <w:szCs w:val="18"/>
                          </w:rPr>
                          <w:t> 分三年解锁。</w:t>
                        </w:r>
                      </w:p>
                    </w:tc>
                  </w:tr>
                  <w:tr>
                    <w:trPr>
                      <w:trHeight w:val="403"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4,667,443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1,036,800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3,630,643</w:t>
                        </w: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4"/>
          <w:szCs w:val="24"/>
        </w:rPr>
      </w:pPr>
    </w:p>
    <w:p>
      <w:pPr>
        <w:spacing w:before="44"/>
        <w:ind w:left="0" w:right="11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before="44"/>
        <w:ind w:left="0" w:right="11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80"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996"/>
        <w:jc w:val="left"/>
        <w:rPr>
          <w:b w:val="0"/>
          <w:bCs w:val="0"/>
        </w:rPr>
      </w:pPr>
      <w:r>
        <w:rPr/>
        <w:t>二、证券发行与上市情况</w:t>
      </w:r>
      <w:r>
        <w:rPr>
          <w:b w:val="0"/>
          <w:bCs w:val="0"/>
        </w:rPr>
      </w:r>
    </w:p>
    <w:p>
      <w:pPr>
        <w:spacing w:line="240" w:lineRule="auto" w:before="11"/>
        <w:rPr>
          <w:rFonts w:ascii="宋体" w:hAnsi="宋体" w:cs="宋体" w:eastAsia="宋体" w:hint="default"/>
          <w:b/>
          <w:bCs/>
          <w:sz w:val="28"/>
          <w:szCs w:val="28"/>
        </w:rPr>
      </w:pPr>
    </w:p>
    <w:p>
      <w:pPr>
        <w:pStyle w:val="Heading2"/>
        <w:spacing w:line="240" w:lineRule="auto"/>
        <w:ind w:right="996"/>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pStyle w:val="Heading3"/>
        <w:spacing w:line="240" w:lineRule="auto" w:before="135"/>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pStyle w:val="Heading2"/>
        <w:spacing w:line="240" w:lineRule="auto" w:before="135"/>
        <w:ind w:right="996"/>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pStyle w:val="Heading3"/>
        <w:spacing w:line="240" w:lineRule="auto" w:before="135"/>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pStyle w:val="Heading2"/>
        <w:spacing w:line="240" w:lineRule="auto" w:before="135"/>
        <w:ind w:right="996"/>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499" w:lineRule="auto" w:before="135"/>
        <w:ind w:left="152" w:right="6899"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三、股东和实际控制人情况</w:t>
      </w:r>
      <w:r>
        <w:rPr>
          <w:rFonts w:ascii="宋体" w:hAnsi="宋体" w:cs="宋体" w:eastAsia="宋体" w:hint="default"/>
          <w:sz w:val="24"/>
          <w:szCs w:val="24"/>
        </w:rPr>
      </w:r>
    </w:p>
    <w:p>
      <w:pPr>
        <w:pStyle w:val="Heading2"/>
        <w:spacing w:line="240" w:lineRule="auto" w:before="116"/>
        <w:ind w:right="996"/>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宋体" w:hAnsi="宋体" w:cs="宋体" w:eastAsia="宋体" w:hint="default"/>
          <w:b/>
          <w:bCs/>
          <w:sz w:val="7"/>
          <w:szCs w:val="7"/>
        </w:rPr>
      </w:pPr>
    </w:p>
    <w:p>
      <w:pPr>
        <w:spacing w:before="44"/>
        <w:ind w:left="0" w:right="1131" w:firstLine="0"/>
        <w:jc w:val="right"/>
        <w:rPr>
          <w:rFonts w:ascii="宋体" w:hAnsi="宋体" w:cs="宋体" w:eastAsia="宋体" w:hint="default"/>
          <w:sz w:val="18"/>
          <w:szCs w:val="18"/>
        </w:rPr>
      </w:pPr>
      <w:r>
        <w:rPr/>
        <w:pict>
          <v:group style="position:absolute;margin-left:329.709991pt;margin-top:70.6717pt;width:52.6pt;height:31.2pt;mso-position-horizontal-relative:page;mso-position-vertical-relative:paragraph;z-index:-1244272" coordorigin="6594,1413" coordsize="1052,624">
            <v:shape style="position:absolute;left:6594;top:1413;width:1052;height:624" coordorigin="6594,1413" coordsize="1052,624" path="m6594,2037l7645,2037,7645,1413,6594,1413,6594,2037xe" filled="true" fillcolor="#ffffff" stroked="false">
              <v:path arrowok="t"/>
              <v:fill type="solid"/>
            </v:shape>
            <w10:wrap type="none"/>
          </v:group>
        </w:pict>
      </w: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0"/>
        <w:gridCol w:w="1204"/>
        <w:gridCol w:w="918"/>
        <w:gridCol w:w="1075"/>
        <w:gridCol w:w="1052"/>
        <w:gridCol w:w="1075"/>
        <w:gridCol w:w="920"/>
        <w:gridCol w:w="1063"/>
        <w:gridCol w:w="1064"/>
      </w:tblGrid>
      <w:tr>
        <w:trPr>
          <w:trHeight w:val="163" w:hRule="exact"/>
        </w:trPr>
        <w:tc>
          <w:tcPr>
            <w:tcW w:w="1200" w:type="dxa"/>
            <w:vMerge w:val="restart"/>
            <w:tcBorders>
              <w:top w:val="single" w:sz="4" w:space="0" w:color="000000"/>
              <w:left w:val="single" w:sz="4" w:space="0" w:color="000000"/>
              <w:right w:val="single" w:sz="4" w:space="0" w:color="000000"/>
            </w:tcBorders>
            <w:shd w:val="clear" w:color="auto" w:fill="D2D2D2"/>
          </w:tcPr>
          <w:p>
            <w:pPr/>
          </w:p>
        </w:tc>
        <w:tc>
          <w:tcPr>
            <w:tcW w:w="1204" w:type="dxa"/>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64" w:right="0"/>
              <w:jc w:val="left"/>
              <w:rPr>
                <w:rFonts w:ascii="Times New Roman" w:hAnsi="Times New Roman" w:cs="Times New Roman" w:eastAsia="Times New Roman" w:hint="default"/>
                <w:sz w:val="18"/>
                <w:szCs w:val="18"/>
              </w:rPr>
            </w:pPr>
            <w:r>
              <w:rPr>
                <w:rFonts w:ascii="Times New Roman"/>
                <w:sz w:val="18"/>
              </w:rPr>
              <w:t>46,737</w:t>
            </w:r>
          </w:p>
        </w:tc>
        <w:tc>
          <w:tcPr>
            <w:tcW w:w="91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7" w:right="168"/>
              <w:jc w:val="both"/>
              <w:rPr>
                <w:rFonts w:ascii="宋体" w:hAnsi="宋体" w:cs="宋体" w:eastAsia="宋体" w:hint="default"/>
                <w:sz w:val="18"/>
                <w:szCs w:val="18"/>
              </w:rPr>
            </w:pPr>
            <w:r>
              <w:rPr>
                <w:rFonts w:ascii="宋体" w:hAnsi="宋体" w:cs="宋体" w:eastAsia="宋体" w:hint="default"/>
                <w:sz w:val="18"/>
                <w:szCs w:val="18"/>
              </w:rPr>
              <w:t>年度报告 披露日前 上一月末 普通股股 东总数</w:t>
            </w:r>
          </w:p>
        </w:tc>
        <w:tc>
          <w:tcPr>
            <w:tcW w:w="1075" w:type="dxa"/>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35" w:right="0"/>
              <w:jc w:val="left"/>
              <w:rPr>
                <w:rFonts w:ascii="Times New Roman" w:hAnsi="Times New Roman" w:cs="Times New Roman" w:eastAsia="Times New Roman" w:hint="default"/>
                <w:sz w:val="18"/>
                <w:szCs w:val="18"/>
              </w:rPr>
            </w:pPr>
            <w:r>
              <w:rPr>
                <w:rFonts w:ascii="Times New Roman"/>
                <w:sz w:val="18"/>
              </w:rPr>
              <w:t>41,550</w:t>
            </w:r>
          </w:p>
        </w:tc>
        <w:tc>
          <w:tcPr>
            <w:tcW w:w="10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8" w:right="122"/>
              <w:jc w:val="both"/>
              <w:rPr>
                <w:rFonts w:ascii="宋体" w:hAnsi="宋体" w:cs="宋体" w:eastAsia="宋体" w:hint="default"/>
                <w:sz w:val="18"/>
                <w:szCs w:val="18"/>
              </w:rPr>
            </w:pPr>
            <w:r>
              <w:rPr>
                <w:rFonts w:ascii="宋体" w:hAnsi="宋体" w:cs="宋体" w:eastAsia="宋体" w:hint="default"/>
                <w:sz w:val="18"/>
                <w:szCs w:val="18"/>
              </w:rPr>
              <w:t>报告期末表 决权恢复的 优先股股东 总数（如有</w:t>
            </w:r>
          </w:p>
          <w:p>
            <w:pPr>
              <w:pStyle w:val="TableParagraph"/>
              <w:spacing w:line="240" w:lineRule="auto" w:before="19"/>
              <w:ind w:left="18"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75" w:type="dxa"/>
            <w:vMerge w:val="restart"/>
            <w:tcBorders>
              <w:top w:val="single" w:sz="4" w:space="0" w:color="000000"/>
              <w:left w:val="single" w:sz="12"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60"/>
              <w:ind w:left="-146" w:right="0"/>
              <w:jc w:val="left"/>
              <w:rPr>
                <w:rFonts w:ascii="宋体" w:hAnsi="宋体" w:cs="宋体" w:eastAsia="宋体" w:hint="default"/>
                <w:sz w:val="18"/>
                <w:szCs w:val="18"/>
              </w:rPr>
            </w:pPr>
            <w:r>
              <w:rPr>
                <w:rFonts w:ascii="宋体" w:hAnsi="宋体" w:cs="宋体" w:eastAsia="宋体" w:hint="default"/>
                <w:sz w:val="18"/>
                <w:szCs w:val="18"/>
              </w:rPr>
              <w:t>）</w:t>
            </w:r>
          </w:p>
        </w:tc>
        <w:tc>
          <w:tcPr>
            <w:tcW w:w="198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12"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1204" w:type="dxa"/>
            <w:vMerge/>
            <w:tcBorders>
              <w:left w:val="single" w:sz="10" w:space="0" w:color="D2D2D2"/>
              <w:right w:val="single" w:sz="10" w:space="0" w:color="D2D2D2"/>
            </w:tcBorders>
          </w:tcPr>
          <w:p>
            <w:pPr/>
          </w:p>
        </w:tc>
        <w:tc>
          <w:tcPr>
            <w:tcW w:w="918" w:type="dxa"/>
            <w:vMerge/>
            <w:tcBorders>
              <w:left w:val="single" w:sz="4" w:space="0" w:color="000000"/>
              <w:right w:val="single" w:sz="4" w:space="0" w:color="000000"/>
            </w:tcBorders>
            <w:shd w:val="clear" w:color="auto" w:fill="D2D2D2"/>
          </w:tcPr>
          <w:p>
            <w:pPr/>
          </w:p>
        </w:tc>
        <w:tc>
          <w:tcPr>
            <w:tcW w:w="1075" w:type="dxa"/>
            <w:vMerge/>
            <w:tcBorders>
              <w:left w:val="single" w:sz="10" w:space="0" w:color="D2D2D2"/>
              <w:right w:val="single" w:sz="13" w:space="0" w:color="D2D2D2"/>
            </w:tcBorders>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12" w:space="0" w:color="D2D2D2"/>
              <w:right w:val="single" w:sz="9" w:space="0" w:color="D2D2D2"/>
            </w:tcBorders>
          </w:tcPr>
          <w:p>
            <w:pPr/>
          </w:p>
        </w:tc>
        <w:tc>
          <w:tcPr>
            <w:tcW w:w="198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7" w:right="65"/>
              <w:jc w:val="left"/>
              <w:rPr>
                <w:rFonts w:ascii="宋体" w:hAnsi="宋体" w:cs="宋体" w:eastAsia="宋体" w:hint="default"/>
                <w:sz w:val="18"/>
                <w:szCs w:val="18"/>
              </w:rPr>
            </w:pPr>
            <w:r>
              <w:rPr>
                <w:rFonts w:ascii="宋体" w:hAnsi="宋体" w:cs="宋体" w:eastAsia="宋体" w:hint="default"/>
                <w:sz w:val="18"/>
                <w:szCs w:val="18"/>
              </w:rPr>
              <w:t>年度报告披露日前上一 月末表决权恢复的优先 </w:t>
            </w:r>
            <w:r>
              <w:rPr>
                <w:rFonts w:ascii="宋体" w:hAnsi="宋体" w:cs="宋体" w:eastAsia="宋体" w:hint="default"/>
                <w:spacing w:val="-9"/>
                <w:sz w:val="18"/>
                <w:szCs w:val="18"/>
              </w:rPr>
              <w:t>股股东总数（如有）（参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4" w:type="dxa"/>
            <w:vMerge/>
            <w:tcBorders>
              <w:left w:val="single" w:sz="9" w:space="0" w:color="D2D2D2"/>
              <w:right w:val="single" w:sz="4" w:space="0" w:color="000000"/>
            </w:tcBorders>
          </w:tcPr>
          <w:p>
            <w:pPr/>
          </w:p>
        </w:tc>
      </w:tr>
      <w:tr>
        <w:trPr>
          <w:trHeight w:val="703" w:hRule="exact"/>
        </w:trPr>
        <w:tc>
          <w:tcPr>
            <w:tcW w:w="12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4" w:type="dxa"/>
            <w:vMerge/>
            <w:tcBorders>
              <w:left w:val="single" w:sz="10" w:space="0" w:color="D2D2D2"/>
              <w:right w:val="single" w:sz="10" w:space="0" w:color="D2D2D2"/>
            </w:tcBorders>
          </w:tcPr>
          <w:p>
            <w:pPr/>
          </w:p>
        </w:tc>
        <w:tc>
          <w:tcPr>
            <w:tcW w:w="918" w:type="dxa"/>
            <w:vMerge/>
            <w:tcBorders>
              <w:left w:val="single" w:sz="4" w:space="0" w:color="000000"/>
              <w:right w:val="single" w:sz="4" w:space="0" w:color="000000"/>
            </w:tcBorders>
            <w:shd w:val="clear" w:color="auto" w:fill="D2D2D2"/>
          </w:tcPr>
          <w:p>
            <w:pPr/>
          </w:p>
        </w:tc>
        <w:tc>
          <w:tcPr>
            <w:tcW w:w="1075" w:type="dxa"/>
            <w:vMerge/>
            <w:tcBorders>
              <w:left w:val="single" w:sz="10" w:space="0" w:color="D2D2D2"/>
              <w:right w:val="single" w:sz="13" w:space="0" w:color="D2D2D2"/>
            </w:tcBorders>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12" w:space="0" w:color="D2D2D2"/>
              <w:right w:val="single" w:sz="9" w:space="0" w:color="D2D2D2"/>
            </w:tcBorders>
          </w:tcPr>
          <w:p>
            <w:pPr/>
          </w:p>
        </w:tc>
        <w:tc>
          <w:tcPr>
            <w:tcW w:w="1984" w:type="dxa"/>
            <w:gridSpan w:val="2"/>
            <w:vMerge/>
            <w:tcBorders>
              <w:left w:val="single" w:sz="4" w:space="0" w:color="000000"/>
              <w:right w:val="single" w:sz="4" w:space="0" w:color="000000"/>
            </w:tcBorders>
            <w:shd w:val="clear" w:color="auto" w:fill="D2D2D2"/>
          </w:tcPr>
          <w:p>
            <w:pPr/>
          </w:p>
        </w:tc>
        <w:tc>
          <w:tcPr>
            <w:tcW w:w="1064" w:type="dxa"/>
            <w:vMerge/>
            <w:tcBorders>
              <w:left w:val="single" w:sz="9" w:space="0" w:color="D2D2D2"/>
              <w:right w:val="single" w:sz="4" w:space="0" w:color="000000"/>
            </w:tcBorders>
          </w:tcPr>
          <w:p>
            <w:pPr/>
          </w:p>
        </w:tc>
      </w:tr>
      <w:tr>
        <w:trPr>
          <w:trHeight w:val="312" w:hRule="exact"/>
        </w:trPr>
        <w:tc>
          <w:tcPr>
            <w:tcW w:w="1200" w:type="dxa"/>
            <w:vMerge w:val="restart"/>
            <w:tcBorders>
              <w:top w:val="nil" w:sz="6" w:space="0" w:color="auto"/>
              <w:left w:val="single" w:sz="4" w:space="0" w:color="000000"/>
              <w:right w:val="single" w:sz="4" w:space="0" w:color="000000"/>
            </w:tcBorders>
            <w:shd w:val="clear" w:color="auto" w:fill="D2D2D2"/>
          </w:tcPr>
          <w:p>
            <w:pPr/>
          </w:p>
        </w:tc>
        <w:tc>
          <w:tcPr>
            <w:tcW w:w="1204" w:type="dxa"/>
            <w:vMerge/>
            <w:tcBorders>
              <w:left w:val="single" w:sz="10" w:space="0" w:color="D2D2D2"/>
              <w:right w:val="single" w:sz="10" w:space="0" w:color="D2D2D2"/>
            </w:tcBorders>
          </w:tcPr>
          <w:p>
            <w:pPr/>
          </w:p>
        </w:tc>
        <w:tc>
          <w:tcPr>
            <w:tcW w:w="918" w:type="dxa"/>
            <w:vMerge/>
            <w:tcBorders>
              <w:left w:val="single" w:sz="4" w:space="0" w:color="000000"/>
              <w:right w:val="single" w:sz="4" w:space="0" w:color="000000"/>
            </w:tcBorders>
            <w:shd w:val="clear" w:color="auto" w:fill="D2D2D2"/>
          </w:tcPr>
          <w:p>
            <w:pPr/>
          </w:p>
        </w:tc>
        <w:tc>
          <w:tcPr>
            <w:tcW w:w="1075" w:type="dxa"/>
            <w:vMerge/>
            <w:tcBorders>
              <w:left w:val="single" w:sz="10" w:space="0" w:color="D2D2D2"/>
              <w:right w:val="single" w:sz="13" w:space="0" w:color="D2D2D2"/>
            </w:tcBorders>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12" w:space="0" w:color="D2D2D2"/>
              <w:right w:val="single" w:sz="9" w:space="0" w:color="D2D2D2"/>
            </w:tcBorders>
          </w:tcPr>
          <w:p>
            <w:pPr/>
          </w:p>
        </w:tc>
        <w:tc>
          <w:tcPr>
            <w:tcW w:w="1984" w:type="dxa"/>
            <w:gridSpan w:val="2"/>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9" w:space="0" w:color="D2D2D2"/>
              <w:right w:val="single" w:sz="4" w:space="0" w:color="000000"/>
            </w:tcBorders>
          </w:tcPr>
          <w:p>
            <w:pPr/>
          </w:p>
        </w:tc>
      </w:tr>
      <w:tr>
        <w:trPr>
          <w:trHeight w:val="166"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1204" w:type="dxa"/>
            <w:vMerge/>
            <w:tcBorders>
              <w:left w:val="single" w:sz="10" w:space="0" w:color="D2D2D2"/>
              <w:bottom w:val="single" w:sz="4" w:space="0" w:color="000000"/>
              <w:right w:val="single" w:sz="10" w:space="0" w:color="D2D2D2"/>
            </w:tcBorders>
          </w:tcPr>
          <w:p>
            <w:pPr/>
          </w:p>
        </w:tc>
        <w:tc>
          <w:tcPr>
            <w:tcW w:w="918" w:type="dxa"/>
            <w:vMerge/>
            <w:tcBorders>
              <w:left w:val="single" w:sz="4" w:space="0" w:color="000000"/>
              <w:bottom w:val="single" w:sz="4" w:space="0" w:color="000000"/>
              <w:right w:val="single" w:sz="4" w:space="0" w:color="000000"/>
            </w:tcBorders>
            <w:shd w:val="clear" w:color="auto" w:fill="D2D2D2"/>
          </w:tcPr>
          <w:p>
            <w:pPr/>
          </w:p>
        </w:tc>
        <w:tc>
          <w:tcPr>
            <w:tcW w:w="1075" w:type="dxa"/>
            <w:vMerge/>
            <w:tcBorders>
              <w:left w:val="single" w:sz="10" w:space="0" w:color="D2D2D2"/>
              <w:bottom w:val="single" w:sz="4" w:space="0" w:color="000000"/>
              <w:right w:val="single" w:sz="13" w:space="0" w:color="D2D2D2"/>
            </w:tcBorders>
          </w:tcPr>
          <w:p>
            <w:pPr/>
          </w:p>
        </w:tc>
        <w:tc>
          <w:tcPr>
            <w:tcW w:w="1052" w:type="dxa"/>
            <w:vMerge/>
            <w:tcBorders>
              <w:left w:val="single" w:sz="4" w:space="0" w:color="000000"/>
              <w:bottom w:val="single" w:sz="4" w:space="0" w:color="000000"/>
              <w:right w:val="single" w:sz="4" w:space="0" w:color="000000"/>
            </w:tcBorders>
            <w:shd w:val="clear" w:color="auto" w:fill="D2D2D2"/>
          </w:tcPr>
          <w:p>
            <w:pPr/>
          </w:p>
        </w:tc>
        <w:tc>
          <w:tcPr>
            <w:tcW w:w="1075" w:type="dxa"/>
            <w:vMerge/>
            <w:tcBorders>
              <w:left w:val="single" w:sz="12" w:space="0" w:color="D2D2D2"/>
              <w:bottom w:val="single" w:sz="4" w:space="0" w:color="000000"/>
              <w:right w:val="single" w:sz="9" w:space="0" w:color="D2D2D2"/>
            </w:tcBorders>
          </w:tcPr>
          <w:p>
            <w:pPr/>
          </w:p>
        </w:tc>
        <w:tc>
          <w:tcPr>
            <w:tcW w:w="198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9" w:space="0" w:color="D2D2D2"/>
              <w:bottom w:val="single" w:sz="4" w:space="0" w:color="000000"/>
              <w:right w:val="single" w:sz="4" w:space="0" w:color="000000"/>
            </w:tcBorders>
          </w:tcPr>
          <w:p>
            <w:pPr/>
          </w:p>
        </w:tc>
      </w:tr>
      <w:tr>
        <w:trPr>
          <w:trHeight w:val="39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8" w:hRule="exact"/>
        </w:trPr>
        <w:tc>
          <w:tcPr>
            <w:tcW w:w="1200" w:type="dxa"/>
            <w:vMerge w:val="restart"/>
            <w:tcBorders>
              <w:top w:val="single" w:sz="4" w:space="0" w:color="000000"/>
              <w:left w:val="single" w:sz="4" w:space="0" w:color="000000"/>
              <w:right w:val="single" w:sz="4" w:space="0" w:color="000000"/>
            </w:tcBorders>
            <w:shd w:val="clear" w:color="auto" w:fill="D2D2D2"/>
          </w:tcPr>
          <w:p>
            <w:pPr/>
          </w:p>
        </w:tc>
        <w:tc>
          <w:tcPr>
            <w:tcW w:w="1204" w:type="dxa"/>
            <w:vMerge w:val="restart"/>
            <w:tcBorders>
              <w:top w:val="single" w:sz="4" w:space="0" w:color="000000"/>
              <w:left w:val="single" w:sz="4" w:space="0" w:color="000000"/>
              <w:right w:val="single" w:sz="4" w:space="0" w:color="000000"/>
            </w:tcBorders>
            <w:shd w:val="clear" w:color="auto" w:fill="D2D2D2"/>
          </w:tcPr>
          <w:p>
            <w:pPr/>
          </w:p>
        </w:tc>
        <w:tc>
          <w:tcPr>
            <w:tcW w:w="918" w:type="dxa"/>
            <w:vMerge w:val="restart"/>
            <w:tcBorders>
              <w:top w:val="single" w:sz="4" w:space="0" w:color="000000"/>
              <w:left w:val="single" w:sz="4" w:space="0" w:color="000000"/>
              <w:right w:val="single" w:sz="4" w:space="0" w:color="000000"/>
            </w:tcBorders>
            <w:shd w:val="clear" w:color="auto" w:fill="D2D2D2"/>
          </w:tcPr>
          <w:p>
            <w:pPr/>
          </w:p>
        </w:tc>
        <w:tc>
          <w:tcPr>
            <w:tcW w:w="10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82" w:right="80"/>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2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92" w:right="96"/>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1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30"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1204" w:type="dxa"/>
            <w:vMerge/>
            <w:tcBorders>
              <w:left w:val="single" w:sz="4" w:space="0" w:color="000000"/>
              <w:bottom w:val="nil" w:sz="6" w:space="0" w:color="auto"/>
              <w:right w:val="single" w:sz="4" w:space="0" w:color="000000"/>
            </w:tcBorders>
            <w:shd w:val="clear" w:color="auto" w:fill="D2D2D2"/>
          </w:tcPr>
          <w:p>
            <w:pPr/>
          </w:p>
        </w:tc>
        <w:tc>
          <w:tcPr>
            <w:tcW w:w="918" w:type="dxa"/>
            <w:vMerge/>
            <w:tcBorders>
              <w:left w:val="single" w:sz="4" w:space="0" w:color="000000"/>
              <w:bottom w:val="nil" w:sz="6" w:space="0" w:color="auto"/>
              <w:right w:val="single" w:sz="4" w:space="0" w:color="000000"/>
            </w:tcBorders>
            <w:shd w:val="clear" w:color="auto" w:fill="D2D2D2"/>
          </w:tcPr>
          <w:p>
            <w:pPr/>
          </w:p>
        </w:tc>
        <w:tc>
          <w:tcPr>
            <w:tcW w:w="107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62" w:right="80"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70" w:right="69"/>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075" w:type="dxa"/>
            <w:vMerge/>
            <w:tcBorders>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2127" w:type="dxa"/>
            <w:gridSpan w:val="2"/>
            <w:vMerge/>
            <w:tcBorders>
              <w:left w:val="single" w:sz="4" w:space="0" w:color="000000"/>
              <w:right w:val="single" w:sz="4" w:space="0" w:color="000000"/>
            </w:tcBorders>
            <w:shd w:val="clear" w:color="auto" w:fill="D2D2D2"/>
          </w:tcPr>
          <w:p>
            <w:pPr/>
          </w:p>
        </w:tc>
      </w:tr>
      <w:tr>
        <w:trPr>
          <w:trHeight w:val="139" w:hRule="exact"/>
        </w:trPr>
        <w:tc>
          <w:tcPr>
            <w:tcW w:w="12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75"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2127" w:type="dxa"/>
            <w:gridSpan w:val="2"/>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1204" w:type="dxa"/>
            <w:vMerge/>
            <w:tcBorders>
              <w:left w:val="single" w:sz="4" w:space="0" w:color="000000"/>
              <w:bottom w:val="nil" w:sz="6" w:space="0" w:color="auto"/>
              <w:right w:val="single" w:sz="4" w:space="0" w:color="000000"/>
            </w:tcBorders>
            <w:shd w:val="clear" w:color="auto" w:fill="D2D2D2"/>
          </w:tcPr>
          <w:p>
            <w:pPr/>
          </w:p>
        </w:tc>
        <w:tc>
          <w:tcPr>
            <w:tcW w:w="918" w:type="dxa"/>
            <w:vMerge/>
            <w:tcBorders>
              <w:left w:val="single" w:sz="4" w:space="0" w:color="000000"/>
              <w:bottom w:val="nil" w:sz="6" w:space="0" w:color="auto"/>
              <w:right w:val="single" w:sz="4" w:space="0" w:color="000000"/>
            </w:tcBorders>
            <w:shd w:val="clear" w:color="auto" w:fill="D2D2D2"/>
          </w:tcPr>
          <w:p>
            <w:pPr/>
          </w:p>
        </w:tc>
        <w:tc>
          <w:tcPr>
            <w:tcW w:w="1075"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171"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351"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200" w:type="dxa"/>
            <w:vMerge w:val="restart"/>
            <w:tcBorders>
              <w:top w:val="nil" w:sz="6" w:space="0" w:color="auto"/>
              <w:left w:val="single" w:sz="4" w:space="0" w:color="000000"/>
              <w:right w:val="single" w:sz="4" w:space="0" w:color="000000"/>
            </w:tcBorders>
            <w:shd w:val="clear" w:color="auto" w:fill="D2D2D2"/>
          </w:tcPr>
          <w:p>
            <w:pPr/>
          </w:p>
        </w:tc>
        <w:tc>
          <w:tcPr>
            <w:tcW w:w="1204" w:type="dxa"/>
            <w:vMerge w:val="restart"/>
            <w:tcBorders>
              <w:top w:val="nil" w:sz="6" w:space="0" w:color="auto"/>
              <w:left w:val="single" w:sz="4" w:space="0" w:color="000000"/>
              <w:right w:val="single" w:sz="4" w:space="0" w:color="000000"/>
            </w:tcBorders>
            <w:shd w:val="clear" w:color="auto" w:fill="D2D2D2"/>
          </w:tcPr>
          <w:p>
            <w:pPr/>
          </w:p>
        </w:tc>
        <w:tc>
          <w:tcPr>
            <w:tcW w:w="918" w:type="dxa"/>
            <w:vMerge w:val="restart"/>
            <w:tcBorders>
              <w:top w:val="nil" w:sz="6" w:space="0" w:color="auto"/>
              <w:left w:val="single" w:sz="4" w:space="0" w:color="000000"/>
              <w:right w:val="single" w:sz="4" w:space="0" w:color="000000"/>
            </w:tcBorders>
            <w:shd w:val="clear" w:color="auto" w:fill="D2D2D2"/>
          </w:tcPr>
          <w:p>
            <w:pPr/>
          </w:p>
        </w:tc>
        <w:tc>
          <w:tcPr>
            <w:tcW w:w="1075"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1075" w:type="dxa"/>
            <w:vMerge/>
            <w:tcBorders>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r>
      <w:tr>
        <w:trPr>
          <w:trHeight w:val="161"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1204" w:type="dxa"/>
            <w:vMerge/>
            <w:tcBorders>
              <w:left w:val="single" w:sz="4" w:space="0" w:color="000000"/>
              <w:bottom w:val="single" w:sz="4" w:space="0" w:color="000000"/>
              <w:right w:val="single" w:sz="4" w:space="0" w:color="000000"/>
            </w:tcBorders>
            <w:shd w:val="clear" w:color="auto" w:fill="D2D2D2"/>
          </w:tcPr>
          <w:p>
            <w:pPr/>
          </w:p>
        </w:tc>
        <w:tc>
          <w:tcPr>
            <w:tcW w:w="918" w:type="dxa"/>
            <w:vMerge/>
            <w:tcBorders>
              <w:left w:val="single" w:sz="4" w:space="0" w:color="000000"/>
              <w:bottom w:val="single" w:sz="4" w:space="0" w:color="000000"/>
              <w:right w:val="single" w:sz="4" w:space="0" w:color="000000"/>
            </w:tcBorders>
            <w:shd w:val="clear" w:color="auto" w:fill="D2D2D2"/>
          </w:tcPr>
          <w:p>
            <w:pPr/>
          </w:p>
        </w:tc>
        <w:tc>
          <w:tcPr>
            <w:tcW w:w="10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5" w:type="dxa"/>
            <w:vMerge/>
            <w:tcBorders>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both"/>
              <w:rPr>
                <w:rFonts w:ascii="宋体" w:hAnsi="宋体" w:cs="宋体" w:eastAsia="宋体" w:hint="default"/>
                <w:sz w:val="18"/>
                <w:szCs w:val="18"/>
              </w:rPr>
            </w:pPr>
            <w:r>
              <w:rPr>
                <w:rFonts w:ascii="宋体" w:hAnsi="宋体" w:cs="宋体" w:eastAsia="宋体" w:hint="default"/>
                <w:sz w:val="18"/>
                <w:szCs w:val="18"/>
              </w:rPr>
              <w:t>深圳市宝德投 资控股有限公 司</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85"/>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27.37%</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72,163,262</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 w:right="0"/>
              <w:jc w:val="left"/>
              <w:rPr>
                <w:rFonts w:ascii="Times New Roman" w:hAnsi="Times New Roman" w:cs="Times New Roman" w:eastAsia="Times New Roman" w:hint="default"/>
                <w:sz w:val="18"/>
                <w:szCs w:val="18"/>
              </w:rPr>
            </w:pPr>
            <w:r>
              <w:rPr>
                <w:rFonts w:ascii="Times New Roman"/>
                <w:sz w:val="18"/>
              </w:rPr>
              <w:t>-550000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72,163,262</w:t>
            </w:r>
          </w:p>
        </w:tc>
        <w:tc>
          <w:tcPr>
            <w:tcW w:w="1063" w:type="dxa"/>
            <w:tcBorders>
              <w:top w:val="single" w:sz="44" w:space="0" w:color="D2D2D2"/>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4" w:type="dxa"/>
            <w:tcBorders>
              <w:top w:val="single" w:sz="44" w:space="0" w:color="D2D2D2"/>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221" w:right="0"/>
              <w:jc w:val="left"/>
              <w:rPr>
                <w:rFonts w:ascii="Times New Roman" w:hAnsi="Times New Roman" w:cs="Times New Roman" w:eastAsia="Times New Roman" w:hint="default"/>
                <w:sz w:val="18"/>
                <w:szCs w:val="18"/>
              </w:rPr>
            </w:pPr>
            <w:r>
              <w:rPr>
                <w:rFonts w:ascii="Times New Roman"/>
                <w:sz w:val="18"/>
              </w:rPr>
              <w:t>65,300,000</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宝德科技集团 股份有限公司</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85"/>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12.59%</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33,183,400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 w:right="0"/>
              <w:jc w:val="left"/>
              <w:rPr>
                <w:rFonts w:ascii="Times New Roman" w:hAnsi="Times New Roman" w:cs="Times New Roman" w:eastAsia="Times New Roman" w:hint="default"/>
                <w:sz w:val="18"/>
                <w:szCs w:val="18"/>
              </w:rPr>
            </w:pPr>
            <w:r>
              <w:rPr>
                <w:rFonts w:ascii="Times New Roman"/>
                <w:sz w:val="18"/>
              </w:rPr>
              <w:t>-6596600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33,183,400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蓝萍</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2.00%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5,270,000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5270000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乌鲁木齐南博 股权投资管理 合伙企业（有 限合伙）</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6" w:right="85"/>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0.37%</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972,428</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8" w:right="0"/>
              <w:jc w:val="left"/>
              <w:rPr>
                <w:rFonts w:ascii="Times New Roman" w:hAnsi="Times New Roman" w:cs="Times New Roman" w:eastAsia="Times New Roman" w:hint="default"/>
                <w:sz w:val="18"/>
                <w:szCs w:val="18"/>
              </w:rPr>
            </w:pPr>
            <w:r>
              <w:rPr>
                <w:rFonts w:ascii="Times New Roman"/>
                <w:sz w:val="18"/>
              </w:rPr>
              <w:t>-76300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972,428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郭振忠</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0.32%</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847,945</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-28100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847,945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0.32%</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833,943</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 w:right="0"/>
              <w:jc w:val="left"/>
              <w:rPr>
                <w:rFonts w:ascii="Times New Roman" w:hAnsi="Times New Roman" w:cs="Times New Roman" w:eastAsia="Times New Roman" w:hint="default"/>
                <w:sz w:val="18"/>
                <w:szCs w:val="18"/>
              </w:rPr>
            </w:pPr>
            <w:r>
              <w:rPr>
                <w:rFonts w:ascii="Times New Roman"/>
                <w:sz w:val="18"/>
              </w:rPr>
              <w:t>-277981</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833,943</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金岩</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0.28%</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732,600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732,600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谢征昊</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0.25%</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666,500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 w:right="0"/>
              <w:jc w:val="left"/>
              <w:rPr>
                <w:rFonts w:ascii="Times New Roman" w:hAnsi="Times New Roman" w:cs="Times New Roman" w:eastAsia="Times New Roman" w:hint="default"/>
                <w:sz w:val="18"/>
                <w:szCs w:val="18"/>
              </w:rPr>
            </w:pPr>
            <w:r>
              <w:rPr>
                <w:rFonts w:ascii="Times New Roman"/>
                <w:sz w:val="18"/>
              </w:rPr>
              <w:t>666500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z w:val="18"/>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666,500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李杰</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0.23%</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601,900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601900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601,900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200"/>
        <w:gridCol w:w="1192"/>
        <w:gridCol w:w="935"/>
        <w:gridCol w:w="1063"/>
        <w:gridCol w:w="1064"/>
        <w:gridCol w:w="1063"/>
        <w:gridCol w:w="926"/>
        <w:gridCol w:w="1069"/>
        <w:gridCol w:w="1058"/>
      </w:tblGrid>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李梅</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7" w:right="0"/>
              <w:jc w:val="left"/>
              <w:rPr>
                <w:rFonts w:ascii="Times New Roman" w:hAnsi="Times New Roman" w:cs="Times New Roman" w:eastAsia="Times New Roman" w:hint="default"/>
                <w:sz w:val="18"/>
                <w:szCs w:val="18"/>
              </w:rPr>
            </w:pPr>
            <w:r>
              <w:rPr>
                <w:rFonts w:ascii="Times New Roman"/>
                <w:sz w:val="18"/>
              </w:rPr>
              <w:t>0.22%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6" w:right="0"/>
              <w:jc w:val="left"/>
              <w:rPr>
                <w:rFonts w:ascii="Times New Roman" w:hAnsi="Times New Roman" w:cs="Times New Roman" w:eastAsia="Times New Roman" w:hint="default"/>
                <w:sz w:val="18"/>
                <w:szCs w:val="18"/>
              </w:rPr>
            </w:pPr>
            <w:r>
              <w:rPr>
                <w:rFonts w:ascii="Times New Roman"/>
                <w:sz w:val="18"/>
              </w:rPr>
              <w:t>593,200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-13000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9" w:right="0"/>
              <w:jc w:val="left"/>
              <w:rPr>
                <w:rFonts w:ascii="Times New Roman" w:hAnsi="Times New Roman" w:cs="Times New Roman" w:eastAsia="Times New Roman" w:hint="default"/>
                <w:sz w:val="18"/>
                <w:szCs w:val="18"/>
              </w:rPr>
            </w:pPr>
            <w:r>
              <w:rPr>
                <w:rFonts w:ascii="Times New Roman"/>
                <w:sz w:val="18"/>
              </w:rPr>
              <w:t>593,200</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6"/>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w:t>
            </w:r>
          </w:p>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w:t>
            </w:r>
          </w:p>
        </w:tc>
        <w:tc>
          <w:tcPr>
            <w:tcW w:w="7178" w:type="dxa"/>
            <w:gridSpan w:val="7"/>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8"/>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178" w:type="dxa"/>
            <w:gridSpan w:val="7"/>
            <w:tcBorders>
              <w:top w:val="single" w:sz="4" w:space="0" w:color="000000"/>
              <w:left w:val="single" w:sz="12" w:space="0" w:color="D2D2D2"/>
              <w:bottom w:val="single" w:sz="4" w:space="0" w:color="000000"/>
              <w:right w:val="single" w:sz="4" w:space="0" w:color="000000"/>
            </w:tcBorders>
          </w:tcPr>
          <w:p>
            <w:pPr>
              <w:pStyle w:val="TableParagraph"/>
              <w:spacing w:line="300" w:lineRule="auto" w:before="49"/>
              <w:ind w:left="18" w:right="175"/>
              <w:jc w:val="left"/>
              <w:rPr>
                <w:rFonts w:ascii="宋体" w:hAnsi="宋体" w:cs="宋体" w:eastAsia="宋体" w:hint="default"/>
                <w:sz w:val="18"/>
                <w:szCs w:val="18"/>
              </w:rPr>
            </w:pPr>
            <w:r>
              <w:rPr>
                <w:rFonts w:ascii="宋体" w:hAnsi="宋体" w:cs="宋体" w:eastAsia="宋体" w:hint="default"/>
                <w:sz w:val="18"/>
                <w:szCs w:val="18"/>
              </w:rPr>
              <w:t>股东深圳市宝德投资控股有限公司和宝德科技集团股份有限公司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最终</w:t>
            </w:r>
            <w:r>
              <w:rPr>
                <w:rFonts w:ascii="Times New Roman" w:hAnsi="Times New Roman" w:cs="Times New Roman" w:eastAsia="Times New Roman" w:hint="default"/>
                <w:sz w:val="18"/>
                <w:szCs w:val="18"/>
              </w:rPr>
              <w:t>)</w:t>
            </w:r>
            <w:r>
              <w:rPr>
                <w:rFonts w:ascii="宋体" w:hAnsi="宋体" w:cs="宋体" w:eastAsia="宋体" w:hint="default"/>
                <w:sz w:val="18"/>
                <w:szCs w:val="18"/>
              </w:rPr>
              <w:t>实际控制人均为李 瑞杰、张云霞夫妇。</w:t>
            </w:r>
          </w:p>
        </w:tc>
      </w:tr>
      <w:tr>
        <w:trPr>
          <w:trHeight w:val="402"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39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5051"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1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9"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239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5051"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74"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12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93" w:type="dxa"/>
            <w:gridSpan w:val="2"/>
            <w:vMerge/>
            <w:tcBorders>
              <w:left w:val="single" w:sz="4" w:space="0" w:color="000000"/>
              <w:bottom w:val="nil" w:sz="6" w:space="0" w:color="auto"/>
              <w:right w:val="single" w:sz="4" w:space="0" w:color="000000"/>
            </w:tcBorders>
            <w:shd w:val="clear" w:color="auto" w:fill="D2D2D2"/>
          </w:tcPr>
          <w:p>
            <w:pPr/>
          </w:p>
        </w:tc>
        <w:tc>
          <w:tcPr>
            <w:tcW w:w="5051" w:type="dxa"/>
            <w:gridSpan w:val="5"/>
            <w:vMerge/>
            <w:tcBorders>
              <w:left w:val="single" w:sz="4" w:space="0" w:color="000000"/>
              <w:bottom w:val="nil" w:sz="6" w:space="0" w:color="auto"/>
              <w:right w:val="single" w:sz="4" w:space="0" w:color="000000"/>
            </w:tcBorders>
            <w:shd w:val="clear" w:color="auto" w:fill="D2D2D2"/>
          </w:tcPr>
          <w:p>
            <w:pPr/>
          </w:p>
        </w:tc>
        <w:tc>
          <w:tcPr>
            <w:tcW w:w="10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71"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39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5051"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069" w:type="dxa"/>
            <w:vMerge/>
            <w:tcBorders>
              <w:left w:val="single" w:sz="4" w:space="0" w:color="000000"/>
              <w:bottom w:val="single" w:sz="4" w:space="0" w:color="000000"/>
              <w:right w:val="single" w:sz="4" w:space="0" w:color="000000"/>
            </w:tcBorders>
            <w:shd w:val="clear" w:color="auto" w:fill="D2D2D2"/>
          </w:tcPr>
          <w:p>
            <w:pPr/>
          </w:p>
        </w:tc>
        <w:tc>
          <w:tcPr>
            <w:tcW w:w="105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深圳市宝德投资控股有限公司</w:t>
            </w:r>
          </w:p>
        </w:tc>
        <w:tc>
          <w:tcPr>
            <w:tcW w:w="505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72,163,262</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72,163,262</w:t>
            </w:r>
          </w:p>
        </w:tc>
      </w:tr>
      <w:tr>
        <w:trPr>
          <w:trHeight w:val="716" w:hRule="exact"/>
        </w:trPr>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宝德科技集团股份有限公司</w:t>
            </w:r>
          </w:p>
        </w:tc>
        <w:tc>
          <w:tcPr>
            <w:tcW w:w="505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33,183,400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33,183,400</w:t>
            </w:r>
          </w:p>
        </w:tc>
      </w:tr>
      <w:tr>
        <w:trPr>
          <w:trHeight w:val="713" w:hRule="exact"/>
        </w:trPr>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蓝萍</w:t>
            </w:r>
          </w:p>
        </w:tc>
        <w:tc>
          <w:tcPr>
            <w:tcW w:w="505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5,270,000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5,270,000</w:t>
            </w:r>
          </w:p>
        </w:tc>
      </w:tr>
      <w:tr>
        <w:trPr>
          <w:trHeight w:val="715" w:hRule="exact"/>
        </w:trPr>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
              <w:jc w:val="left"/>
              <w:rPr>
                <w:rFonts w:ascii="宋体" w:hAnsi="宋体" w:cs="宋体" w:eastAsia="宋体" w:hint="default"/>
                <w:sz w:val="18"/>
                <w:szCs w:val="18"/>
              </w:rPr>
            </w:pPr>
            <w:r>
              <w:rPr>
                <w:rFonts w:ascii="宋体" w:hAnsi="宋体" w:cs="宋体" w:eastAsia="宋体" w:hint="default"/>
                <w:sz w:val="18"/>
                <w:szCs w:val="18"/>
              </w:rPr>
              <w:t>乌鲁木齐南博股权投资管理合 伙企业（有限合伙）</w:t>
            </w:r>
          </w:p>
        </w:tc>
        <w:tc>
          <w:tcPr>
            <w:tcW w:w="505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972,428</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972,428</w:t>
            </w:r>
          </w:p>
        </w:tc>
      </w:tr>
      <w:tr>
        <w:trPr>
          <w:trHeight w:val="713" w:hRule="exact"/>
        </w:trPr>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郭振忠</w:t>
            </w:r>
          </w:p>
        </w:tc>
        <w:tc>
          <w:tcPr>
            <w:tcW w:w="505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847,945</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847,945</w:t>
            </w:r>
          </w:p>
        </w:tc>
      </w:tr>
      <w:tr>
        <w:trPr>
          <w:trHeight w:val="715" w:hRule="exact"/>
        </w:trPr>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金岩</w:t>
            </w:r>
          </w:p>
        </w:tc>
        <w:tc>
          <w:tcPr>
            <w:tcW w:w="505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732,600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732,600</w:t>
            </w:r>
          </w:p>
        </w:tc>
      </w:tr>
      <w:tr>
        <w:trPr>
          <w:trHeight w:val="713" w:hRule="exact"/>
        </w:trPr>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谢征昊</w:t>
            </w:r>
          </w:p>
        </w:tc>
        <w:tc>
          <w:tcPr>
            <w:tcW w:w="505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666,500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666,500</w:t>
            </w:r>
          </w:p>
        </w:tc>
      </w:tr>
      <w:tr>
        <w:trPr>
          <w:trHeight w:val="715" w:hRule="exact"/>
        </w:trPr>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李杰</w:t>
            </w:r>
          </w:p>
        </w:tc>
        <w:tc>
          <w:tcPr>
            <w:tcW w:w="505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601,900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601,900</w:t>
            </w:r>
          </w:p>
        </w:tc>
      </w:tr>
      <w:tr>
        <w:trPr>
          <w:trHeight w:val="713" w:hRule="exact"/>
        </w:trPr>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李梅</w:t>
            </w:r>
          </w:p>
        </w:tc>
        <w:tc>
          <w:tcPr>
            <w:tcW w:w="505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593,200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593,200</w:t>
            </w:r>
          </w:p>
        </w:tc>
      </w:tr>
      <w:tr>
        <w:trPr>
          <w:trHeight w:val="715" w:hRule="exact"/>
        </w:trPr>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朱婷婷</w:t>
            </w:r>
          </w:p>
        </w:tc>
        <w:tc>
          <w:tcPr>
            <w:tcW w:w="505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429,700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429,700</w:t>
            </w:r>
          </w:p>
        </w:tc>
      </w:tr>
      <w:tr>
        <w:trPr>
          <w:trHeight w:val="1340" w:hRule="exact"/>
        </w:trPr>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间</w:t>
            </w:r>
            <w:r>
              <w:rPr>
                <w:rFonts w:ascii="宋体" w:hAnsi="宋体" w:cs="宋体" w:eastAsia="宋体" w:hint="default"/>
                <w:spacing w:val="-89"/>
                <w:sz w:val="18"/>
                <w:szCs w:val="18"/>
              </w:rPr>
              <w:t>，</w:t>
            </w: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w:t>
            </w:r>
          </w:p>
          <w:p>
            <w:pPr>
              <w:pStyle w:val="TableParagraph"/>
              <w:spacing w:line="300" w:lineRule="auto" w:before="63"/>
              <w:ind w:left="24" w:right="104"/>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 关系或一致行动的说明</w:t>
            </w:r>
          </w:p>
        </w:tc>
        <w:tc>
          <w:tcPr>
            <w:tcW w:w="717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4"/>
              <w:ind w:left="29" w:right="175"/>
              <w:jc w:val="left"/>
              <w:rPr>
                <w:rFonts w:ascii="Times New Roman" w:hAnsi="Times New Roman" w:cs="Times New Roman" w:eastAsia="Times New Roman" w:hint="default"/>
                <w:sz w:val="18"/>
                <w:szCs w:val="18"/>
              </w:rPr>
            </w:pPr>
            <w:r>
              <w:rPr>
                <w:rFonts w:ascii="宋体" w:hAnsi="宋体" w:cs="宋体" w:eastAsia="宋体" w:hint="default"/>
                <w:sz w:val="18"/>
                <w:szCs w:val="18"/>
              </w:rPr>
              <w:t>股东深圳市宝德投资控股有限公司和宝德科技集团股份有限公司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最终</w:t>
            </w:r>
            <w:r>
              <w:rPr>
                <w:rFonts w:ascii="Times New Roman" w:hAnsi="Times New Roman" w:cs="Times New Roman" w:eastAsia="Times New Roman" w:hint="default"/>
                <w:sz w:val="18"/>
                <w:szCs w:val="18"/>
              </w:rPr>
              <w:t>)</w:t>
            </w:r>
            <w:r>
              <w:rPr>
                <w:rFonts w:ascii="宋体" w:hAnsi="宋体" w:cs="宋体" w:eastAsia="宋体" w:hint="default"/>
                <w:sz w:val="18"/>
                <w:szCs w:val="18"/>
              </w:rPr>
              <w:t>实际控制人均为李 瑞杰、张云霞夫妇</w:t>
            </w:r>
            <w:r>
              <w:rPr>
                <w:rFonts w:ascii="Times New Roman" w:hAnsi="Times New Roman" w:cs="Times New Roman" w:eastAsia="Times New Roman" w:hint="default"/>
                <w:sz w:val="18"/>
                <w:szCs w:val="18"/>
              </w:rPr>
              <w:t>.</w:t>
            </w:r>
          </w:p>
        </w:tc>
      </w:tr>
    </w:tbl>
    <w:p>
      <w:pPr>
        <w:spacing w:after="0" w:line="300" w:lineRule="auto"/>
        <w:jc w:val="lef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6"/>
          <w:szCs w:val="16"/>
        </w:rPr>
      </w:pPr>
    </w:p>
    <w:p>
      <w:pPr>
        <w:spacing w:before="44"/>
        <w:ind w:left="0" w:right="1136" w:firstLine="0"/>
        <w:jc w:val="right"/>
        <w:rPr>
          <w:rFonts w:ascii="宋体" w:hAnsi="宋体" w:cs="宋体" w:eastAsia="宋体" w:hint="default"/>
          <w:sz w:val="18"/>
          <w:szCs w:val="18"/>
        </w:rPr>
      </w:pPr>
      <w:r>
        <w:rPr/>
        <w:pict>
          <v:shape style="position:absolute;margin-left:56.459999pt;margin-top:-16.348295pt;width:479.2pt;height:176.7pt;mso-position-horizontal-relative:page;mso-position-vertical-relative:paragraph;z-index:1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7"/>
                    <w:gridCol w:w="7173"/>
                  </w:tblGrid>
                  <w:tr>
                    <w:trPr>
                      <w:trHeight w:val="3524"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参与融资融券业务股东情况说 </w:t>
                        </w:r>
                        <w:r>
                          <w:rPr>
                            <w:rFonts w:ascii="宋体" w:hAnsi="宋体" w:cs="宋体" w:eastAsia="宋体" w:hint="default"/>
                            <w:spacing w:val="-11"/>
                            <w:sz w:val="18"/>
                            <w:szCs w:val="18"/>
                          </w:rPr>
                          <w:t>明（如有）（参见注</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7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、股东深圳市宝德投资控股有限公司通过普通证券账户持有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65,300,000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股，通过民生证券</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股份有限公司客户信用交易担保证券账户持有</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股</w:t>
                        </w:r>
                        <w:r>
                          <w:rPr>
                            <w:rFonts w:ascii="宋体" w:hAnsi="宋体" w:cs="宋体" w:eastAsia="宋体" w:hint="default"/>
                            <w:spacing w:val="-89"/>
                            <w:sz w:val="18"/>
                            <w:szCs w:val="18"/>
                          </w:rPr>
                          <w:t>，</w:t>
                        </w:r>
                        <w:r>
                          <w:rPr>
                            <w:rFonts w:ascii="宋体" w:hAnsi="宋体" w:cs="宋体" w:eastAsia="宋体" w:hint="default"/>
                            <w:sz w:val="18"/>
                            <w:szCs w:val="18"/>
                          </w:rPr>
                          <w:t>实际合计持有</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72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r>
                          <w:rPr>
                            <w:rFonts w:ascii="宋体" w:hAnsi="宋体" w:cs="宋体" w:eastAsia="宋体" w:hint="default"/>
                            <w:spacing w:val="-89"/>
                            <w:sz w:val="18"/>
                            <w:szCs w:val="18"/>
                          </w:rPr>
                          <w:t>。</w:t>
                        </w:r>
                        <w:r>
                          <w:rPr>
                            <w:rFonts w:ascii="Times New Roman" w:hAnsi="Times New Roman" w:cs="Times New Roman" w:eastAsia="Times New Roman" w:hint="default"/>
                            <w:sz w:val="18"/>
                            <w:szCs w:val="18"/>
                          </w:rPr>
                          <w:t>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股东宝德科技集团股份有限公司通过普通证券账户持有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5,330,000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股，通过渤海证券股份有</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限公司客户信用交易担保证券账户持有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27,853,400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33,183,400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3</w:t>
                        </w:r>
                        <w:r>
                          <w:rPr>
                            <w:rFonts w:ascii="宋体" w:hAnsi="宋体" w:cs="宋体" w:eastAsia="宋体" w:hint="default"/>
                            <w:sz w:val="18"/>
                            <w:szCs w:val="18"/>
                          </w:rPr>
                          <w:t>、股</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东蓝萍通过普通证券账户持有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85"/>
                            <w:sz w:val="18"/>
                            <w:szCs w:val="18"/>
                          </w:rPr>
                          <w:t>，</w:t>
                        </w:r>
                        <w:r>
                          <w:rPr>
                            <w:rFonts w:ascii="宋体" w:hAnsi="宋体" w:cs="宋体" w:eastAsia="宋体" w:hint="default"/>
                            <w:sz w:val="18"/>
                            <w:szCs w:val="18"/>
                          </w:rPr>
                          <w:t>通过民生证券股份有限</w:t>
                        </w:r>
                        <w:r>
                          <w:rPr>
                            <w:rFonts w:ascii="宋体" w:hAnsi="宋体" w:cs="宋体" w:eastAsia="宋体" w:hint="default"/>
                            <w:spacing w:val="-3"/>
                            <w:sz w:val="18"/>
                            <w:szCs w:val="18"/>
                          </w:rPr>
                          <w:t>公</w:t>
                        </w:r>
                        <w:r>
                          <w:rPr>
                            <w:rFonts w:ascii="宋体" w:hAnsi="宋体" w:cs="宋体" w:eastAsia="宋体" w:hint="default"/>
                            <w:sz w:val="18"/>
                            <w:szCs w:val="18"/>
                          </w:rPr>
                          <w:t>司客户信用交易担保证券账户</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5,270,000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5,270,000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4</w:t>
                        </w:r>
                        <w:r>
                          <w:rPr>
                            <w:rFonts w:ascii="宋体" w:hAnsi="宋体" w:cs="宋体" w:eastAsia="宋体" w:hint="default"/>
                            <w:sz w:val="18"/>
                            <w:szCs w:val="18"/>
                          </w:rPr>
                          <w:t>、郭振忠通过普通证券账户持有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股，通</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过联讯证券股份有限公司客户信用交易担保证券账户持有</w:t>
                        </w:r>
                        <w:r>
                          <w:rPr>
                            <w:rFonts w:ascii="宋体" w:hAnsi="宋体" w:cs="宋体" w:eastAsia="宋体" w:hint="default"/>
                            <w:spacing w:val="-58"/>
                            <w:sz w:val="18"/>
                            <w:szCs w:val="18"/>
                          </w:rPr>
                          <w:t> </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股</w:t>
                        </w:r>
                        <w:r>
                          <w:rPr>
                            <w:rFonts w:ascii="宋体" w:hAnsi="宋体" w:cs="宋体" w:eastAsia="宋体" w:hint="default"/>
                            <w:spacing w:val="-92"/>
                            <w:sz w:val="18"/>
                            <w:szCs w:val="18"/>
                          </w:rPr>
                          <w:t>，</w:t>
                        </w:r>
                        <w:r>
                          <w:rPr>
                            <w:rFonts w:ascii="宋体" w:hAnsi="宋体" w:cs="宋体" w:eastAsia="宋体" w:hint="default"/>
                            <w:sz w:val="18"/>
                            <w:szCs w:val="18"/>
                          </w:rPr>
                          <w:t>实际合计持有</w:t>
                        </w:r>
                        <w:r>
                          <w:rPr>
                            <w:rFonts w:ascii="宋体" w:hAnsi="宋体" w:cs="宋体" w:eastAsia="宋体" w:hint="default"/>
                            <w:spacing w:val="-59"/>
                            <w:sz w:val="18"/>
                            <w:szCs w:val="18"/>
                          </w:rPr>
                          <w:t> </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股。</w:t>
                        </w:r>
                        <w:r>
                          <w:rPr>
                            <w:rFonts w:ascii="Times New Roman" w:hAnsi="Times New Roman" w:cs="Times New Roman" w:eastAsia="Times New Roman" w:hint="default"/>
                            <w:sz w:val="18"/>
                            <w:szCs w:val="18"/>
                          </w:rPr>
                          <w:t>5</w:t>
                        </w:r>
                        <w:r>
                          <w:rPr>
                            <w:rFonts w:ascii="宋体" w:hAnsi="宋体" w:cs="宋体" w:eastAsia="宋体" w:hint="default"/>
                            <w:sz w:val="18"/>
                            <w:szCs w:val="18"/>
                          </w:rPr>
                          <w:t>、股东谢征昊通过普通证券账户持有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股，通过财富证券有限责任公司客户信用交易</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担保证券账户持有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666,500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股，实际合计持有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666,500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股。</w:t>
                        </w: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、股东李梅通过普通证券账户持</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股，通过光大证券股份有限公司客户信用交易担保证券账户持有</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593,200</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股，实际合计</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593,200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Heading3"/>
        <w:spacing w:line="240" w:lineRule="auto" w:before="26"/>
        <w:ind w:right="996"/>
        <w:jc w:val="left"/>
      </w:pPr>
      <w:r>
        <w:rPr/>
        <w:t>公司前</w:t>
      </w:r>
      <w:r>
        <w:rPr>
          <w:spacing w:val="-60"/>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60"/>
        </w:rPr>
        <w:t> </w:t>
      </w:r>
      <w:r>
        <w:rPr>
          <w:rFonts w:ascii="Times New Roman" w:hAnsi="Times New Roman" w:cs="Times New Roman" w:eastAsia="Times New Roman" w:hint="default"/>
        </w:rPr>
        <w:t>10 </w:t>
      </w:r>
      <w:r>
        <w:rPr/>
        <w:t>名无限售条件普通股股东在报告期内是否进行约定购回交易</w:t>
      </w:r>
    </w:p>
    <w:p>
      <w:pPr>
        <w:pStyle w:val="Heading3"/>
        <w:spacing w:line="240" w:lineRule="auto" w:before="136"/>
        <w:ind w:right="99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否</w:t>
      </w:r>
    </w:p>
    <w:p>
      <w:pPr>
        <w:pStyle w:val="Heading3"/>
        <w:spacing w:line="240" w:lineRule="auto" w:before="135"/>
        <w:ind w:right="996"/>
        <w:jc w:val="left"/>
      </w:pPr>
      <w:r>
        <w:rPr/>
        <w:t>公司前</w:t>
      </w:r>
      <w:r>
        <w:rPr>
          <w:spacing w:val="-60"/>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60"/>
        </w:rPr>
        <w:t> </w:t>
      </w:r>
      <w:r>
        <w:rPr>
          <w:rFonts w:ascii="Times New Roman" w:hAnsi="Times New Roman" w:cs="Times New Roman" w:eastAsia="Times New Roman" w:hint="default"/>
        </w:rPr>
        <w:t>10 </w:t>
      </w:r>
      <w:r>
        <w:rPr/>
        <w:t>名无限售条件普通股股东在报告期内未进行约定购回交易。</w:t>
      </w:r>
    </w:p>
    <w:p>
      <w:pPr>
        <w:spacing w:line="348" w:lineRule="auto" w:before="135"/>
        <w:ind w:left="152" w:right="7874"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、公司控股股东情况</w:t>
      </w:r>
      <w:r>
        <w:rPr>
          <w:rFonts w:ascii="宋体" w:hAnsi="宋体" w:cs="宋体" w:eastAsia="宋体" w:hint="default"/>
          <w:b/>
          <w:bCs/>
          <w:w w:val="99"/>
          <w:sz w:val="24"/>
          <w:szCs w:val="24"/>
        </w:rPr>
        <w:t> </w:t>
      </w:r>
      <w:r>
        <w:rPr>
          <w:rFonts w:ascii="宋体" w:hAnsi="宋体" w:cs="宋体" w:eastAsia="宋体" w:hint="default"/>
          <w:sz w:val="24"/>
          <w:szCs w:val="24"/>
        </w:rPr>
        <w:t>控股股东性质：自然人控股 控股股东类型：法人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spacing w:before="44"/>
        <w:ind w:left="0" w:right="1138" w:firstLine="0"/>
        <w:jc w:val="right"/>
        <w:rPr>
          <w:rFonts w:ascii="宋体" w:hAnsi="宋体" w:cs="宋体" w:eastAsia="宋体" w:hint="default"/>
          <w:sz w:val="18"/>
          <w:szCs w:val="18"/>
        </w:rPr>
      </w:pPr>
      <w:r>
        <w:rPr/>
        <w:pict>
          <v:shape style="position:absolute;margin-left:56.400002pt;margin-top:-207.988251pt;width:479.3pt;height:368.35pt;mso-position-horizontal-relative:page;mso-position-vertical-relative:paragraph;z-index:2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99"/>
                    <w:gridCol w:w="1793"/>
                    <w:gridCol w:w="1594"/>
                    <w:gridCol w:w="1752"/>
                    <w:gridCol w:w="2233"/>
                  </w:tblGrid>
                  <w:tr>
                    <w:trPr>
                      <w:trHeight w:val="713"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802" w:right="55"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6644"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316" w:lineRule="auto"/>
                          <w:ind w:left="24" w:right="183"/>
                          <w:jc w:val="left"/>
                          <w:rPr>
                            <w:rFonts w:ascii="宋体" w:hAnsi="宋体" w:cs="宋体" w:eastAsia="宋体" w:hint="default"/>
                            <w:sz w:val="18"/>
                            <w:szCs w:val="18"/>
                          </w:rPr>
                        </w:pPr>
                        <w:r>
                          <w:rPr>
                            <w:rFonts w:ascii="宋体" w:hAnsi="宋体" w:cs="宋体" w:eastAsia="宋体" w:hint="default"/>
                            <w:sz w:val="18"/>
                            <w:szCs w:val="18"/>
                          </w:rPr>
                          <w:t>深圳市宝德投资控股有限 公司</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23" w:right="0"/>
                          <w:jc w:val="left"/>
                          <w:rPr>
                            <w:rFonts w:ascii="Times New Roman" w:hAnsi="Times New Roman" w:cs="Times New Roman" w:eastAsia="Times New Roman" w:hint="default"/>
                            <w:sz w:val="18"/>
                            <w:szCs w:val="18"/>
                          </w:rPr>
                        </w:pPr>
                        <w:r>
                          <w:rPr>
                            <w:rFonts w:ascii="Times New Roman"/>
                            <w:sz w:val="18"/>
                          </w:rPr>
                          <w:t>77270248-3</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0"/>
                          <w:jc w:val="left"/>
                          <w:rPr>
                            <w:rFonts w:ascii="宋体" w:hAnsi="宋体" w:cs="宋体" w:eastAsia="宋体" w:hint="default"/>
                            <w:sz w:val="18"/>
                            <w:szCs w:val="18"/>
                          </w:rPr>
                        </w:pPr>
                        <w:r>
                          <w:rPr>
                            <w:rFonts w:ascii="宋体" w:hAnsi="宋体" w:cs="宋体" w:eastAsia="宋体" w:hint="default"/>
                            <w:sz w:val="18"/>
                            <w:szCs w:val="18"/>
                          </w:rPr>
                          <w:t>投资兴办实业（具体项目另 </w:t>
                        </w:r>
                        <w:r>
                          <w:rPr>
                            <w:rFonts w:ascii="宋体" w:hAnsi="宋体" w:cs="宋体" w:eastAsia="宋体" w:hint="default"/>
                            <w:spacing w:val="-13"/>
                            <w:sz w:val="18"/>
                            <w:szCs w:val="18"/>
                          </w:rPr>
                          <w:t>行申报）；计算机软硬件系统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开发、电子通讯产品开发设 计、计算机网络系统工程的 设计、计算机及网络通讯技 术的咨询、投资管理顾问、 信息咨询（以上不含限制项 目）</w:t>
                        </w:r>
                        <w:r>
                          <w:rPr>
                            <w:rFonts w:ascii="宋体" w:hAnsi="宋体" w:cs="宋体" w:eastAsia="宋体" w:hint="default"/>
                            <w:spacing w:val="-19"/>
                            <w:sz w:val="18"/>
                            <w:szCs w:val="18"/>
                          </w:rPr>
                          <w:t> </w:t>
                        </w:r>
                        <w:r>
                          <w:rPr>
                            <w:rFonts w:ascii="宋体" w:hAnsi="宋体" w:cs="宋体" w:eastAsia="宋体" w:hint="default"/>
                            <w:spacing w:val="-6"/>
                            <w:sz w:val="18"/>
                            <w:szCs w:val="18"/>
                          </w:rPr>
                          <w:t>；电子产品、计算机软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硬件及外围设备、金银制品 的购销，其他国内贸易（以 上不含专营、专控、专卖商 </w:t>
                        </w:r>
                        <w:r>
                          <w:rPr>
                            <w:rFonts w:ascii="宋体" w:hAnsi="宋体" w:cs="宋体" w:eastAsia="宋体" w:hint="default"/>
                            <w:spacing w:val="-20"/>
                            <w:sz w:val="18"/>
                            <w:szCs w:val="18"/>
                          </w:rPr>
                          <w:t>品）；经营进出口业务（法律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行政法规、国务院决定禁止 的项目除外，限制的项目须 </w:t>
                        </w:r>
                        <w:r>
                          <w:rPr>
                            <w:rFonts w:ascii="宋体" w:hAnsi="宋体" w:cs="宋体" w:eastAsia="宋体" w:hint="default"/>
                            <w:spacing w:val="-13"/>
                            <w:sz w:val="18"/>
                            <w:szCs w:val="18"/>
                          </w:rPr>
                          <w:t>取得许可后方可经营）；投资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天然气加气站（具体项目另 </w:t>
                        </w:r>
                        <w:r>
                          <w:rPr>
                            <w:rFonts w:ascii="宋体" w:hAnsi="宋体" w:cs="宋体" w:eastAsia="宋体" w:hint="default"/>
                            <w:spacing w:val="-8"/>
                            <w:sz w:val="18"/>
                            <w:szCs w:val="18"/>
                          </w:rPr>
                          <w:t>行申报）；燃料油、润滑油、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化工产品的销售（不含危险 </w:t>
                        </w:r>
                        <w:r>
                          <w:rPr>
                            <w:rFonts w:ascii="宋体" w:hAnsi="宋体" w:cs="宋体" w:eastAsia="宋体" w:hint="default"/>
                            <w:spacing w:val="-18"/>
                            <w:w w:val="99"/>
                            <w:sz w:val="18"/>
                            <w:szCs w:val="18"/>
                          </w:rPr>
                          <w:t>化学品）。</w:t>
                        </w:r>
                        <w:r>
                          <w:rPr>
                            <w:rFonts w:ascii="Times New Roman" w:hAnsi="Times New Roman" w:cs="Times New Roman" w:eastAsia="Times New Roman" w:hint="default"/>
                            <w:spacing w:val="-18"/>
                            <w:w w:val="99"/>
                            <w:sz w:val="18"/>
                            <w:szCs w:val="18"/>
                          </w:rPr>
                          <w:t>^</w:t>
                        </w:r>
                        <w:r>
                          <w:rPr>
                            <w:rFonts w:ascii="宋体" w:hAnsi="宋体" w:cs="宋体" w:eastAsia="宋体" w:hint="default"/>
                            <w:spacing w:val="-18"/>
                            <w:w w:val="99"/>
                            <w:sz w:val="18"/>
                            <w:szCs w:val="18"/>
                          </w:rPr>
                          <w:t>天燃气的销售（由</w:t>
                        </w:r>
                        <w:r>
                          <w:rPr>
                            <w:rFonts w:ascii="宋体" w:hAnsi="宋体" w:cs="宋体" w:eastAsia="宋体" w:hint="default"/>
                            <w:sz w:val="18"/>
                            <w:szCs w:val="18"/>
                          </w:rPr>
                          <w:t> 分支机构经营，执照另行办 </w:t>
                        </w:r>
                        <w:r>
                          <w:rPr>
                            <w:rFonts w:ascii="宋体" w:hAnsi="宋体" w:cs="宋体" w:eastAsia="宋体" w:hint="default"/>
                            <w:spacing w:val="-31"/>
                            <w:sz w:val="18"/>
                            <w:szCs w:val="18"/>
                          </w:rPr>
                          <w:t>理）。</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80" w:top="1100" w:bottom="1160" w:left="980" w:right="0"/>
        </w:sectPr>
      </w:pPr>
    </w:p>
    <w:p>
      <w:pPr>
        <w:spacing w:line="240" w:lineRule="auto" w:before="9"/>
        <w:rPr>
          <w:rFonts w:ascii="宋体" w:hAnsi="宋体" w:cs="宋体" w:eastAsia="宋体" w:hint="default"/>
          <w:sz w:val="25"/>
          <w:szCs w:val="25"/>
        </w:rPr>
      </w:pPr>
    </w:p>
    <w:p>
      <w:pPr>
        <w:spacing w:before="44"/>
        <w:ind w:left="0" w:right="1138" w:firstLine="0"/>
        <w:jc w:val="right"/>
        <w:rPr>
          <w:rFonts w:ascii="宋体" w:hAnsi="宋体" w:cs="宋体" w:eastAsia="宋体" w:hint="default"/>
          <w:sz w:val="18"/>
          <w:szCs w:val="18"/>
        </w:rPr>
      </w:pPr>
      <w:r>
        <w:rPr/>
        <w:pict>
          <v:shape style="position:absolute;margin-left:56.400002pt;margin-top:-.728301pt;width:479.3pt;height:254.7pt;mso-position-horizontal-relative:page;mso-position-vertical-relative:paragraph;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99"/>
                    <w:gridCol w:w="1793"/>
                    <w:gridCol w:w="1594"/>
                    <w:gridCol w:w="1752"/>
                    <w:gridCol w:w="2233"/>
                  </w:tblGrid>
                  <w:tr>
                    <w:trPr>
                      <w:trHeight w:val="5084"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316" w:lineRule="auto"/>
                          <w:ind w:left="24" w:right="183"/>
                          <w:jc w:val="left"/>
                          <w:rPr>
                            <w:rFonts w:ascii="宋体" w:hAnsi="宋体" w:cs="宋体" w:eastAsia="宋体" w:hint="default"/>
                            <w:sz w:val="18"/>
                            <w:szCs w:val="18"/>
                          </w:rPr>
                        </w:pPr>
                        <w:r>
                          <w:rPr>
                            <w:rFonts w:ascii="宋体" w:hAnsi="宋体" w:cs="宋体" w:eastAsia="宋体" w:hint="default"/>
                            <w:sz w:val="18"/>
                            <w:szCs w:val="18"/>
                          </w:rPr>
                          <w:t>宝德科技集团股份有限公 司</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27937209-7</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0"/>
                          <w:jc w:val="left"/>
                          <w:rPr>
                            <w:rFonts w:ascii="宋体" w:hAnsi="宋体" w:cs="宋体" w:eastAsia="宋体" w:hint="default"/>
                            <w:sz w:val="18"/>
                            <w:szCs w:val="18"/>
                          </w:rPr>
                        </w:pPr>
                        <w:r>
                          <w:rPr>
                            <w:rFonts w:ascii="宋体" w:hAnsi="宋体" w:cs="宋体" w:eastAsia="宋体" w:hint="default"/>
                            <w:spacing w:val="-7"/>
                            <w:sz w:val="18"/>
                            <w:szCs w:val="18"/>
                          </w:rPr>
                          <w:t>计算机软、硬件及接口设备</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计算机配件的开发、生产、 </w:t>
                        </w:r>
                        <w:r>
                          <w:rPr>
                            <w:rFonts w:ascii="宋体" w:hAnsi="宋体" w:cs="宋体" w:eastAsia="宋体" w:hint="default"/>
                            <w:spacing w:val="-7"/>
                            <w:sz w:val="18"/>
                            <w:szCs w:val="18"/>
                          </w:rPr>
                          <w:t>销售自产产品；进出口业务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房屋租赁及物业服务。节能 技术开发服务；节能技术谘 询、交流服务；节能技术转 </w:t>
                        </w:r>
                        <w:r>
                          <w:rPr>
                            <w:rFonts w:ascii="宋体" w:hAnsi="宋体" w:cs="宋体" w:eastAsia="宋体" w:hint="default"/>
                            <w:spacing w:val="-7"/>
                            <w:sz w:val="18"/>
                            <w:szCs w:val="18"/>
                          </w:rPr>
                          <w:t>让服务；能源技术谘询服务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能源技术研究、技术开发服 务；能源管理服务；售电业 务；金属结构制造；移动通 信及终端设备制造；其他电 子设备制造；其他专业技术 服务业中的为半导体、平板 显示、光伏电池生产提供技 </w:t>
                        </w:r>
                        <w:r>
                          <w:rPr>
                            <w:rFonts w:ascii="宋体" w:hAnsi="宋体" w:cs="宋体" w:eastAsia="宋体" w:hint="default"/>
                            <w:spacing w:val="-13"/>
                            <w:sz w:val="18"/>
                            <w:szCs w:val="18"/>
                          </w:rPr>
                          <w:t>术服务。（以上项目不涉及外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商投资淮入特别管理措施）。</w:t>
                        </w:r>
                      </w:p>
                    </w:tc>
                  </w:tr>
                </w:tbl>
                <w:p>
                  <w:pPr/>
                </w:p>
              </w:txbxContent>
            </v:textbox>
            <w10:wrap type="none"/>
          </v:shape>
        </w:pict>
      </w:r>
      <w:r>
        <w:rPr>
          <w:rFonts w:ascii="宋体" w:hAnsi="宋体" w:cs="宋体" w:eastAsia="宋体" w:hint="default"/>
          <w:sz w:val="18"/>
          <w:szCs w:val="18"/>
        </w:rPr>
        <w:t>，</w:t>
      </w:r>
    </w:p>
    <w:p>
      <w:pPr>
        <w:spacing w:line="240" w:lineRule="auto" w:before="4"/>
        <w:rPr>
          <w:rFonts w:ascii="宋体" w:hAnsi="宋体" w:cs="宋体" w:eastAsia="宋体" w:hint="default"/>
          <w:sz w:val="26"/>
          <w:szCs w:val="26"/>
        </w:rPr>
      </w:pPr>
    </w:p>
    <w:p>
      <w:pPr>
        <w:spacing w:before="44"/>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before="44"/>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Heading3"/>
        <w:spacing w:line="240" w:lineRule="auto" w:before="26"/>
        <w:ind w:right="996"/>
        <w:jc w:val="left"/>
      </w:pPr>
      <w:r>
        <w:rPr/>
        <w:t>控股股东报告期内变更</w:t>
      </w:r>
    </w:p>
    <w:p>
      <w:pPr>
        <w:spacing w:line="348" w:lineRule="auto" w:before="154"/>
        <w:ind w:left="152" w:right="702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不适用 公司报告期控股股东未发生变更。 </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、公司实际控制人及其一致行动人</w:t>
      </w:r>
      <w:r>
        <w:rPr>
          <w:rFonts w:ascii="宋体" w:hAnsi="宋体" w:cs="宋体" w:eastAsia="宋体" w:hint="default"/>
          <w:b/>
          <w:bCs/>
          <w:w w:val="99"/>
          <w:sz w:val="24"/>
          <w:szCs w:val="24"/>
        </w:rPr>
        <w:t> </w:t>
      </w:r>
      <w:r>
        <w:rPr>
          <w:rFonts w:ascii="宋体" w:hAnsi="宋体" w:cs="宋体" w:eastAsia="宋体" w:hint="default"/>
          <w:sz w:val="24"/>
          <w:szCs w:val="24"/>
        </w:rPr>
        <w:t>实际控制人性质：境内自然人 实际控制人类型：自然人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before="44"/>
        <w:ind w:left="0" w:right="1136" w:firstLine="0"/>
        <w:jc w:val="right"/>
        <w:rPr>
          <w:rFonts w:ascii="宋体" w:hAnsi="宋体" w:cs="宋体" w:eastAsia="宋体" w:hint="default"/>
          <w:sz w:val="18"/>
          <w:szCs w:val="18"/>
        </w:rPr>
      </w:pPr>
      <w:r>
        <w:rPr/>
        <w:pict>
          <v:shape style="position:absolute;margin-left:56.459999pt;margin-top:-92.168297pt;width:479.2pt;height:268.150pt;mso-position-horizontal-relative:page;mso-position-vertical-relative:paragraph;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2"/>
                    <w:gridCol w:w="2391"/>
                    <w:gridCol w:w="2393"/>
                    <w:gridCol w:w="2393"/>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10" w:right="111" w:hanging="901"/>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836"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李瑞杰先生 公司董事长、总经理中国国籍，</w:t>
                        </w:r>
                        <w:r>
                          <w:rPr>
                            <w:rFonts w:ascii="Times New Roman" w:hAnsi="Times New Roman" w:cs="Times New Roman" w:eastAsia="Times New Roman" w:hint="default"/>
                            <w:sz w:val="18"/>
                            <w:szCs w:val="18"/>
                          </w:rPr>
                          <w:t>53 </w:t>
                        </w:r>
                        <w:r>
                          <w:rPr>
                            <w:rFonts w:ascii="宋体" w:hAnsi="宋体" w:cs="宋体" w:eastAsia="宋体" w:hint="default"/>
                            <w:sz w:val="18"/>
                            <w:szCs w:val="18"/>
                          </w:rPr>
                          <w:t>岁，于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1989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年毕业于南开大学，获经济学 与电子学双学士学位；</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年获长江商学院硕士学位；现任深圳宝德投资控股集团董事长 </w:t>
                        </w:r>
                        <w:r>
                          <w:rPr>
                            <w:rFonts w:ascii="宋体" w:hAnsi="宋体" w:cs="宋体" w:eastAsia="宋体" w:hint="default"/>
                            <w:spacing w:val="-3"/>
                            <w:sz w:val="18"/>
                            <w:szCs w:val="18"/>
                          </w:rPr>
                          <w:t>宝德科技集团董事会副主席、中青宝互动网络股份有限公司董事长、国家工信部中国云计算</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研究中心技术专家、中国计算机协会云计算委员会副主任委员、中国致公党第十五届中央专</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5"/>
                            <w:sz w:val="18"/>
                            <w:szCs w:val="18"/>
                          </w:rPr>
                          <w:t>委会委员、中国致公党广东省省委常委、深圳市政协常委、深圳市总商会（工商联）副主席</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3"/>
                            <w:sz w:val="18"/>
                            <w:szCs w:val="18"/>
                          </w:rPr>
                          <w:t>深圳市市委常委、深圳市大数据产业促进会会长、深圳市总商会潮汕商會名誉会长。张云霞</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女士</w:t>
                        </w:r>
                        <w:r>
                          <w:rPr>
                            <w:rFonts w:ascii="宋体" w:hAnsi="宋体" w:cs="宋体" w:eastAsia="宋体" w:hint="default"/>
                            <w:spacing w:val="-1"/>
                            <w:sz w:val="18"/>
                            <w:szCs w:val="18"/>
                          </w:rPr>
                          <w:t> </w:t>
                        </w:r>
                        <w:r>
                          <w:rPr>
                            <w:rFonts w:ascii="宋体" w:hAnsi="宋体" w:cs="宋体" w:eastAsia="宋体" w:hint="default"/>
                            <w:sz w:val="18"/>
                            <w:szCs w:val="18"/>
                          </w:rPr>
                          <w:t>公司董事中国国籍，</w:t>
                        </w:r>
                        <w:r>
                          <w:rPr>
                            <w:rFonts w:ascii="Times New Roman" w:hAnsi="Times New Roman" w:cs="Times New Roman" w:eastAsia="Times New Roman" w:hint="default"/>
                            <w:sz w:val="18"/>
                            <w:szCs w:val="18"/>
                          </w:rPr>
                          <w:t>55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岁，于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年毕业于南开大学计算机软件工程系，</w:t>
                        </w:r>
                        <w:r>
                          <w:rPr>
                            <w:rFonts w:ascii="Times New Roman" w:hAnsi="Times New Roman" w:cs="Times New Roman" w:eastAsia="Times New Roman" w:hint="default"/>
                            <w:sz w:val="18"/>
                            <w:szCs w:val="18"/>
                          </w:rPr>
                          <w:t>1990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年获 天津南开大学旅游业管理硕士学位。曾任职于深圳万通软件工程有限公司，</w:t>
                        </w:r>
                        <w:r>
                          <w:rPr>
                            <w:rFonts w:ascii="Times New Roman" w:hAnsi="Times New Roman" w:cs="Times New Roman" w:eastAsia="Times New Roman" w:hint="default"/>
                            <w:sz w:val="18"/>
                            <w:szCs w:val="18"/>
                          </w:rPr>
                          <w:t>1991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年与李瑞 杰共同创办深圳市乐和电脑有限公司，</w:t>
                        </w: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年与李瑞杰先生共同创办深圳市宝德科技股份 有限公司。</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年至</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月担任本公司总经理，现任本公司董事，深圳市宝德投资控 </w:t>
                        </w:r>
                        <w:r>
                          <w:rPr>
                            <w:rFonts w:ascii="宋体" w:hAnsi="宋体" w:cs="宋体" w:eastAsia="宋体" w:hint="default"/>
                            <w:spacing w:val="-5"/>
                            <w:sz w:val="18"/>
                            <w:szCs w:val="18"/>
                          </w:rPr>
                          <w:t>股公司副董事长，宝德科技集团股份有限公司董事长，深圳市宝德计算机系统有限公司董事</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同时任深圳市女企业家商会执行会长，深圳市软件行业协会副会长。</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spacing w:before="0"/>
        <w:ind w:left="0" w:right="1137"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spacing w:before="44"/>
        <w:ind w:left="0" w:right="1137"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392"/>
        <w:gridCol w:w="7178"/>
      </w:tblGrid>
      <w:tr>
        <w:trPr>
          <w:trHeight w:val="334" w:hRule="exact"/>
        </w:trPr>
        <w:tc>
          <w:tcPr>
            <w:tcW w:w="2392" w:type="dxa"/>
            <w:tcBorders>
              <w:top w:val="single" w:sz="6" w:space="0" w:color="000000"/>
              <w:left w:val="nil" w:sz="6" w:space="0" w:color="auto"/>
              <w:bottom w:val="single" w:sz="4" w:space="0" w:color="000000"/>
              <w:right w:val="nil" w:sz="6" w:space="0" w:color="auto"/>
            </w:tcBorders>
          </w:tcPr>
          <w:p>
            <w:pPr/>
          </w:p>
        </w:tc>
        <w:tc>
          <w:tcPr>
            <w:tcW w:w="7178" w:type="dxa"/>
            <w:tcBorders>
              <w:top w:val="single" w:sz="6" w:space="0" w:color="000000"/>
              <w:left w:val="nil" w:sz="6" w:space="0" w:color="auto"/>
              <w:bottom w:val="single" w:sz="4" w:space="0" w:color="000000"/>
              <w:right w:val="nil" w:sz="6" w:space="0" w:color="auto"/>
            </w:tcBorders>
          </w:tcPr>
          <w:p>
            <w:pPr/>
          </w:p>
        </w:tc>
      </w:tr>
      <w:tr>
        <w:trPr>
          <w:trHeight w:val="716"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03"/>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宝德科技集团股份有限公司</w:t>
            </w:r>
          </w:p>
        </w:tc>
      </w:tr>
    </w:tbl>
    <w:p>
      <w:pPr>
        <w:pStyle w:val="Heading3"/>
        <w:spacing w:line="240" w:lineRule="auto" w:before="39"/>
        <w:ind w:left="112" w:right="5474"/>
        <w:jc w:val="left"/>
      </w:pPr>
      <w:r>
        <w:rPr/>
        <w:t>实际控制人报告期内变更</w:t>
      </w:r>
    </w:p>
    <w:p>
      <w:pPr>
        <w:pStyle w:val="Heading3"/>
        <w:spacing w:line="348" w:lineRule="auto" w:before="154"/>
        <w:ind w:left="112" w:right="54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公司报告期实际控制人未发生变更。 公司与实际控制人之间的产权及控制关系的方框图</w:t>
      </w:r>
    </w:p>
    <w:p>
      <w:pPr>
        <w:spacing w:line="240" w:lineRule="auto" w:before="1"/>
        <w:rPr>
          <w:rFonts w:ascii="宋体" w:hAnsi="宋体" w:cs="宋体" w:eastAsia="宋体" w:hint="default"/>
          <w:sz w:val="21"/>
          <w:szCs w:val="21"/>
        </w:rPr>
      </w:pPr>
    </w:p>
    <w:p>
      <w:pPr>
        <w:spacing w:line="3297" w:lineRule="exact"/>
        <w:ind w:left="113" w:right="0" w:firstLine="0"/>
        <w:rPr>
          <w:rFonts w:ascii="宋体" w:hAnsi="宋体" w:cs="宋体" w:eastAsia="宋体" w:hint="default"/>
          <w:sz w:val="20"/>
          <w:szCs w:val="20"/>
        </w:rPr>
      </w:pPr>
      <w:r>
        <w:rPr>
          <w:rFonts w:ascii="宋体" w:hAnsi="宋体" w:cs="宋体" w:eastAsia="宋体" w:hint="default"/>
          <w:position w:val="-65"/>
          <w:sz w:val="20"/>
          <w:szCs w:val="20"/>
        </w:rPr>
        <w:drawing>
          <wp:inline distT="0" distB="0" distL="0" distR="0">
            <wp:extent cx="5122376" cy="2093785"/>
            <wp:effectExtent l="0" t="0" r="0" b="0"/>
            <wp:docPr id="5" name="image5.jpeg" descr=""/>
            <wp:cNvGraphicFramePr>
              <a:graphicFrameLocks noChangeAspect="1"/>
            </wp:cNvGraphicFramePr>
            <a:graphic>
              <a:graphicData uri="http://schemas.openxmlformats.org/drawingml/2006/picture">
                <pic:pic>
                  <pic:nvPicPr>
                    <pic:cNvPr id="6" name="image5.jpeg"/>
                    <pic:cNvPicPr/>
                  </pic:nvPicPr>
                  <pic:blipFill>
                    <a:blip r:embed="rId27" cstate="print"/>
                    <a:stretch>
                      <a:fillRect/>
                    </a:stretch>
                  </pic:blipFill>
                  <pic:spPr>
                    <a:xfrm>
                      <a:off x="0" y="0"/>
                      <a:ext cx="5122376" cy="2093785"/>
                    </a:xfrm>
                    <a:prstGeom prst="rect">
                      <a:avLst/>
                    </a:prstGeom>
                  </pic:spPr>
                </pic:pic>
              </a:graphicData>
            </a:graphic>
          </wp:inline>
        </w:drawing>
      </w:r>
      <w:r>
        <w:rPr>
          <w:rFonts w:ascii="宋体" w:hAnsi="宋体" w:cs="宋体" w:eastAsia="宋体" w:hint="default"/>
          <w:position w:val="-65"/>
          <w:sz w:val="20"/>
          <w:szCs w:val="20"/>
        </w:rPr>
      </w:r>
    </w:p>
    <w:p>
      <w:pPr>
        <w:spacing w:line="240" w:lineRule="auto" w:before="3"/>
        <w:rPr>
          <w:rFonts w:ascii="宋体" w:hAnsi="宋体" w:cs="宋体" w:eastAsia="宋体" w:hint="default"/>
          <w:sz w:val="23"/>
          <w:szCs w:val="23"/>
        </w:rPr>
      </w:pPr>
    </w:p>
    <w:p>
      <w:pPr>
        <w:pStyle w:val="Heading3"/>
        <w:spacing w:line="240" w:lineRule="auto" w:before="0"/>
        <w:ind w:left="112" w:right="0"/>
        <w:jc w:val="left"/>
      </w:pPr>
      <w:r>
        <w:rPr/>
        <w:t>实际控制人通过信托或其他资产管理方式控制公司</w:t>
      </w:r>
    </w:p>
    <w:p>
      <w:pPr>
        <w:pStyle w:val="Heading3"/>
        <w:spacing w:line="240" w:lineRule="auto" w:before="154"/>
        <w:ind w:left="112" w:right="54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pStyle w:val="Heading2"/>
        <w:spacing w:line="240" w:lineRule="auto" w:before="135"/>
        <w:ind w:left="112" w:right="5474"/>
        <w:jc w:val="left"/>
        <w:rPr>
          <w:b w:val="0"/>
          <w:bCs w:val="0"/>
        </w:rPr>
      </w:pPr>
      <w:r>
        <w:rPr>
          <w:rFonts w:ascii="Times New Roman" w:hAnsi="Times New Roman" w:cs="Times New Roman" w:eastAsia="Times New Roman" w:hint="default"/>
        </w:rPr>
        <w:t>4</w:t>
      </w:r>
      <w:r>
        <w:rPr/>
        <w:t>、其他持股在</w:t>
      </w:r>
      <w:r>
        <w:rPr>
          <w:spacing w:val="-64"/>
        </w:rPr>
        <w:t> </w:t>
      </w:r>
      <w:r>
        <w:rPr>
          <w:rFonts w:ascii="Times New Roman" w:hAnsi="Times New Roman" w:cs="Times New Roman" w:eastAsia="Times New Roman" w:hint="default"/>
        </w:rPr>
        <w:t>10%</w:t>
      </w:r>
      <w:r>
        <w:rPr/>
        <w:t>以上的法人股东</w:t>
      </w:r>
      <w:r>
        <w:rPr>
          <w:b w:val="0"/>
          <w:bCs w:val="0"/>
        </w:rPr>
      </w:r>
    </w:p>
    <w:p>
      <w:pPr>
        <w:pStyle w:val="Heading3"/>
        <w:spacing w:line="240" w:lineRule="auto" w:before="136"/>
        <w:ind w:left="112" w:right="54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pStyle w:val="Heading2"/>
        <w:spacing w:line="240" w:lineRule="auto" w:before="135"/>
        <w:ind w:left="112"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pStyle w:val="Heading3"/>
        <w:spacing w:line="240" w:lineRule="auto" w:before="135"/>
        <w:ind w:left="112" w:right="54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spacing w:after="0" w:line="240" w:lineRule="auto"/>
        <w:jc w:val="left"/>
        <w:sectPr>
          <w:pgSz w:w="11910" w:h="16840"/>
          <w:pgMar w:header="877" w:footer="980" w:top="1060" w:bottom="1160" w:left="102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1"/>
        <w:spacing w:line="240" w:lineRule="auto"/>
        <w:ind w:left="3365" w:right="996"/>
        <w:jc w:val="left"/>
        <w:rPr>
          <w:b w:val="0"/>
          <w:bCs w:val="0"/>
        </w:rPr>
      </w:pPr>
      <w:bookmarkStart w:name="_bookmark6" w:id="7"/>
      <w:bookmarkEnd w:id="7"/>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2"/>
          <w:szCs w:val="22"/>
        </w:rPr>
      </w:pPr>
    </w:p>
    <w:p>
      <w:pPr>
        <w:pStyle w:val="Heading3"/>
        <w:spacing w:line="338" w:lineRule="auto" w:before="26"/>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报告期公司不存在优先股。</w:t>
      </w:r>
    </w:p>
    <w:p>
      <w:pPr>
        <w:spacing w:after="0" w:line="338"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723" w:right="996"/>
        <w:jc w:val="left"/>
        <w:rPr>
          <w:b w:val="0"/>
          <w:bCs w:val="0"/>
        </w:rPr>
      </w:pPr>
      <w:bookmarkStart w:name="_bookmark7" w:id="8"/>
      <w:bookmarkEnd w:id="8"/>
      <w:r>
        <w:rPr>
          <w:b w:val="0"/>
          <w:bCs w:val="0"/>
        </w:rPr>
      </w:r>
      <w:r>
        <w:rPr/>
        <w:t>第八节可转换公司债券相关情况</w:t>
      </w:r>
      <w:r>
        <w:rPr>
          <w:b w:val="0"/>
          <w:bCs w:val="0"/>
        </w:rPr>
      </w:r>
    </w:p>
    <w:p>
      <w:pPr>
        <w:spacing w:line="240" w:lineRule="auto" w:before="11"/>
        <w:rPr>
          <w:rFonts w:ascii="宋体" w:hAnsi="宋体" w:cs="宋体" w:eastAsia="宋体" w:hint="default"/>
          <w:b/>
          <w:bCs/>
          <w:sz w:val="44"/>
          <w:szCs w:val="44"/>
        </w:rPr>
      </w:pPr>
    </w:p>
    <w:p>
      <w:pPr>
        <w:pStyle w:val="Heading3"/>
        <w:spacing w:line="338" w:lineRule="auto" w:before="0"/>
        <w:ind w:right="69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报告期公司不存在可转换公司债券。</w:t>
      </w:r>
    </w:p>
    <w:p>
      <w:pPr>
        <w:spacing w:after="0" w:line="338"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1758" w:right="996"/>
        <w:jc w:val="left"/>
        <w:rPr>
          <w:b w:val="0"/>
          <w:bCs w:val="0"/>
        </w:rPr>
      </w:pPr>
      <w:bookmarkStart w:name="_bookmark8" w:id="9"/>
      <w:bookmarkEnd w:id="9"/>
      <w:r>
        <w:rPr>
          <w:b w:val="0"/>
          <w:bCs w:val="0"/>
        </w:rPr>
      </w:r>
      <w:r>
        <w:rPr/>
        <w:t>第九节董事、监事、高级管理人员和员工情况</w:t>
      </w:r>
      <w:r>
        <w:rPr>
          <w:b w:val="0"/>
          <w:bCs w:val="0"/>
        </w:rPr>
      </w:r>
    </w:p>
    <w:p>
      <w:pPr>
        <w:spacing w:line="240" w:lineRule="auto" w:before="13"/>
        <w:rPr>
          <w:rFonts w:ascii="宋体" w:hAnsi="宋体" w:cs="宋体" w:eastAsia="宋体" w:hint="default"/>
          <w:b/>
          <w:bCs/>
          <w:sz w:val="38"/>
          <w:szCs w:val="38"/>
        </w:rPr>
      </w:pPr>
    </w:p>
    <w:p>
      <w:pPr>
        <w:pStyle w:val="Heading2"/>
        <w:spacing w:line="240" w:lineRule="auto"/>
        <w:ind w:right="996"/>
        <w:jc w:val="left"/>
        <w:rPr>
          <w:b w:val="0"/>
          <w:bCs w:val="0"/>
        </w:rPr>
      </w:pPr>
      <w:r>
        <w:rPr/>
        <w:t>一、董事、监事和高级管理人员持股变动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025"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4"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1,111,924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277,981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833,943</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218,000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王一江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梅月欣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马竹茂</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王志华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朱文枫</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尹浩然</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文毅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1"/>
              <w:jc w:val="both"/>
              <w:rPr>
                <w:rFonts w:ascii="宋体" w:hAnsi="宋体" w:cs="宋体" w:eastAsia="宋体" w:hint="default"/>
                <w:sz w:val="18"/>
                <w:szCs w:val="18"/>
              </w:rPr>
            </w:pPr>
            <w:r>
              <w:rPr>
                <w:rFonts w:ascii="宋体" w:hAnsi="宋体" w:cs="宋体" w:eastAsia="宋体" w:hint="default"/>
                <w:sz w:val="18"/>
                <w:szCs w:val="18"/>
              </w:rPr>
              <w:t>董事会秘 书、副总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70,000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张思群</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42,000</w:t>
            </w: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1,489,924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277,981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1,163,943</w:t>
            </w:r>
          </w:p>
        </w:tc>
      </w:tr>
    </w:tbl>
    <w:p>
      <w:pPr>
        <w:spacing w:line="240" w:lineRule="auto" w:before="1"/>
        <w:rPr>
          <w:rFonts w:ascii="宋体" w:hAnsi="宋体" w:cs="宋体" w:eastAsia="宋体" w:hint="default"/>
          <w:b/>
          <w:bCs/>
          <w:sz w:val="18"/>
          <w:szCs w:val="18"/>
        </w:rPr>
      </w:pPr>
    </w:p>
    <w:p>
      <w:pPr>
        <w:pStyle w:val="Heading2"/>
        <w:spacing w:line="240" w:lineRule="auto" w:before="26"/>
        <w:ind w:right="996"/>
        <w:jc w:val="left"/>
        <w:rPr>
          <w:b w:val="0"/>
          <w:bCs w:val="0"/>
        </w:rPr>
      </w:pPr>
      <w:r>
        <w:rPr/>
        <w:t>二、公司董事、监事、高级管理人员变动情况</w:t>
      </w:r>
      <w:r>
        <w:rPr>
          <w:b w:val="0"/>
          <w:bCs w:val="0"/>
        </w:rPr>
      </w:r>
    </w:p>
    <w:p>
      <w:pPr>
        <w:spacing w:line="240" w:lineRule="auto" w:before="11"/>
        <w:rPr>
          <w:rFonts w:ascii="宋体" w:hAnsi="宋体" w:cs="宋体" w:eastAsia="宋体" w:hint="default"/>
          <w:b/>
          <w:bCs/>
          <w:sz w:val="28"/>
          <w:szCs w:val="28"/>
        </w:rPr>
      </w:pPr>
    </w:p>
    <w:p>
      <w:pPr>
        <w:pStyle w:val="Heading3"/>
        <w:spacing w:line="240" w:lineRule="auto" w:before="0"/>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5"/>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尹浩然</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bl>
    <w:p>
      <w:pPr>
        <w:spacing w:line="240" w:lineRule="auto" w:before="1"/>
        <w:rPr>
          <w:rFonts w:ascii="宋体" w:hAnsi="宋体" w:cs="宋体" w:eastAsia="宋体" w:hint="default"/>
          <w:sz w:val="18"/>
          <w:szCs w:val="18"/>
        </w:rPr>
      </w:pPr>
    </w:p>
    <w:p>
      <w:pPr>
        <w:pStyle w:val="Heading2"/>
        <w:spacing w:line="240" w:lineRule="auto" w:before="26"/>
        <w:ind w:right="996"/>
        <w:jc w:val="left"/>
        <w:rPr>
          <w:b w:val="0"/>
          <w:bCs w:val="0"/>
        </w:rPr>
      </w:pPr>
      <w:r>
        <w:rPr/>
        <w:t>三、任职情况</w:t>
      </w:r>
      <w:r>
        <w:rPr>
          <w:b w:val="0"/>
          <w:bCs w:val="0"/>
        </w:rPr>
      </w:r>
    </w:p>
    <w:p>
      <w:pPr>
        <w:spacing w:line="240" w:lineRule="auto" w:before="8"/>
        <w:rPr>
          <w:rFonts w:ascii="宋体" w:hAnsi="宋体" w:cs="宋体" w:eastAsia="宋体" w:hint="default"/>
          <w:b/>
          <w:bCs/>
          <w:sz w:val="28"/>
          <w:szCs w:val="28"/>
        </w:rPr>
      </w:pPr>
    </w:p>
    <w:p>
      <w:pPr>
        <w:pStyle w:val="Heading3"/>
        <w:spacing w:line="357" w:lineRule="auto" w:before="0"/>
        <w:ind w:left="633" w:right="996" w:hanging="481"/>
        <w:jc w:val="left"/>
      </w:pPr>
      <w:r>
        <w:rPr/>
        <w:t>公司现任董事、监事、高级管理人员专业背景、主要工作经历以及目前在公司的主要职责 </w:t>
      </w:r>
      <w:r>
        <w:rPr>
          <w:rFonts w:ascii="宋体" w:hAnsi="宋体" w:cs="宋体" w:eastAsia="宋体" w:hint="default"/>
        </w:rPr>
        <w:t>1</w:t>
      </w:r>
      <w:r>
        <w:rPr/>
        <w:t>、公司董事会成员 报告期内，公司董事会由</w:t>
      </w:r>
      <w:r>
        <w:rPr>
          <w:rFonts w:ascii="宋体" w:hAnsi="宋体" w:cs="宋体" w:eastAsia="宋体" w:hint="default"/>
        </w:rPr>
        <w:t>7</w:t>
      </w:r>
      <w:r>
        <w:rPr/>
        <w:t>名董事组成，其中独立董事</w:t>
      </w:r>
      <w:r>
        <w:rPr>
          <w:rFonts w:ascii="宋体" w:hAnsi="宋体" w:cs="宋体" w:eastAsia="宋体" w:hint="default"/>
        </w:rPr>
        <w:t>3</w:t>
      </w:r>
      <w:r>
        <w:rPr/>
        <w:t>名，均由股东大会选举产生，每</w:t>
      </w:r>
    </w:p>
    <w:p>
      <w:pPr>
        <w:pStyle w:val="Heading3"/>
        <w:spacing w:line="357" w:lineRule="auto"/>
        <w:ind w:right="1051"/>
        <w:jc w:val="both"/>
      </w:pPr>
      <w:r>
        <w:rPr/>
        <w:t>届任期</w:t>
      </w:r>
      <w:r>
        <w:rPr>
          <w:rFonts w:ascii="宋体" w:hAnsi="宋体" w:cs="宋体" w:eastAsia="宋体" w:hint="default"/>
        </w:rPr>
        <w:t>3</w:t>
      </w:r>
      <w:r>
        <w:rPr/>
        <w:t>年，第四届董事会由李瑞杰、张云霞、郑楠芳、王立、王一江、李军，梅月欣组成， 任期自</w:t>
      </w:r>
      <w:r>
        <w:rPr>
          <w:rFonts w:ascii="宋体" w:hAnsi="宋体" w:cs="宋体" w:eastAsia="宋体" w:hint="default"/>
        </w:rPr>
        <w:t>2017</w:t>
      </w:r>
      <w:r>
        <w:rPr/>
        <w:t>年</w:t>
      </w:r>
      <w:r>
        <w:rPr>
          <w:rFonts w:ascii="宋体" w:hAnsi="宋体" w:cs="宋体" w:eastAsia="宋体" w:hint="default"/>
        </w:rPr>
        <w:t>4</w:t>
      </w:r>
      <w:r>
        <w:rPr/>
        <w:t>月至</w:t>
      </w:r>
      <w:r>
        <w:rPr>
          <w:rFonts w:ascii="宋体" w:hAnsi="宋体" w:cs="宋体" w:eastAsia="宋体" w:hint="default"/>
        </w:rPr>
        <w:t>2020</w:t>
      </w:r>
      <w:r>
        <w:rPr/>
        <w:t>年</w:t>
      </w:r>
      <w:r>
        <w:rPr>
          <w:rFonts w:ascii="宋体" w:hAnsi="宋体" w:cs="宋体" w:eastAsia="宋体" w:hint="default"/>
        </w:rPr>
        <w:t>4</w:t>
      </w:r>
      <w:r>
        <w:rPr/>
        <w:t>月。前述人员的简介如下：</w:t>
      </w:r>
    </w:p>
    <w:p>
      <w:pPr>
        <w:pStyle w:val="Heading3"/>
        <w:spacing w:line="357" w:lineRule="auto"/>
        <w:ind w:left="633" w:right="996"/>
        <w:jc w:val="left"/>
      </w:pPr>
      <w:r>
        <w:rPr/>
        <w:t>李瑞杰先生</w:t>
      </w:r>
      <w:r>
        <w:rPr>
          <w:spacing w:val="-1"/>
        </w:rPr>
        <w:t> </w:t>
      </w:r>
      <w:r>
        <w:rPr/>
        <w:t>公司董事长、总经理</w:t>
      </w:r>
      <w:r>
        <w:rPr/>
        <w:t> 中国国籍，</w:t>
      </w:r>
      <w:r>
        <w:rPr>
          <w:rFonts w:ascii="宋体" w:hAnsi="宋体" w:cs="宋体" w:eastAsia="宋体" w:hint="default"/>
        </w:rPr>
        <w:t>53</w:t>
      </w:r>
      <w:r>
        <w:rPr/>
        <w:t>岁，于</w:t>
      </w:r>
      <w:r>
        <w:rPr>
          <w:rFonts w:ascii="宋体" w:hAnsi="宋体" w:cs="宋体" w:eastAsia="宋体" w:hint="default"/>
        </w:rPr>
        <w:t>1989</w:t>
      </w:r>
      <w:r>
        <w:rPr/>
        <w:t>年毕业于南开大学，获经济学与电子学双学士学位；</w:t>
      </w:r>
      <w:r>
        <w:rPr>
          <w:rFonts w:ascii="宋体" w:hAnsi="宋体" w:cs="宋体" w:eastAsia="宋体" w:hint="default"/>
        </w:rPr>
        <w:t>2013</w:t>
      </w:r>
      <w:r>
        <w:rPr/>
        <w:t>年获</w:t>
      </w:r>
    </w:p>
    <w:p>
      <w:pPr>
        <w:pStyle w:val="Heading3"/>
        <w:spacing w:line="357" w:lineRule="auto"/>
        <w:ind w:right="1139"/>
        <w:jc w:val="both"/>
      </w:pPr>
      <w:r>
        <w:rPr/>
        <w:t>长江商学院硕士学位；现任深圳宝德投资控股集团董事长、宝德科技集团董事会副主席、中</w:t>
      </w:r>
      <w:r>
        <w:rPr>
          <w:spacing w:val="-91"/>
        </w:rPr>
        <w:t> </w:t>
      </w:r>
      <w:r>
        <w:rPr>
          <w:spacing w:val="-91"/>
        </w:rPr>
      </w:r>
      <w:r>
        <w:rPr/>
        <w:t>青宝互动网络股份有限公司董事长、国家工信部中国云计算研究中心技术专家、中国计算机</w:t>
      </w:r>
      <w:r>
        <w:rPr>
          <w:spacing w:val="-91"/>
        </w:rPr>
        <w:t> </w:t>
      </w:r>
      <w:r>
        <w:rPr>
          <w:spacing w:val="-91"/>
        </w:rPr>
      </w:r>
      <w:r>
        <w:rPr/>
        <w:t>协会云计算委员会副主任委员、中国致公党第十五届中央专委会委员、中国致公党广东省省</w:t>
      </w:r>
      <w:r>
        <w:rPr>
          <w:spacing w:val="-91"/>
        </w:rPr>
        <w:t> </w:t>
      </w:r>
      <w:r>
        <w:rPr>
          <w:spacing w:val="-91"/>
        </w:rPr>
      </w:r>
      <w:r>
        <w:rPr/>
        <w:t>委常委、深圳市政协常委、深圳市总商会（工商联）副主席、深圳市市委常委、深圳市大数</w:t>
      </w:r>
      <w:r>
        <w:rPr>
          <w:spacing w:val="-91"/>
        </w:rPr>
        <w:t> </w:t>
      </w:r>
      <w:r>
        <w:rPr>
          <w:spacing w:val="-91"/>
        </w:rPr>
      </w:r>
      <w:r>
        <w:rPr/>
        <w:t>据产业促进会会长、深圳市总商会潮汕商會名誉会长。</w:t>
      </w:r>
    </w:p>
    <w:p>
      <w:pPr>
        <w:pStyle w:val="Heading3"/>
        <w:spacing w:line="357" w:lineRule="auto"/>
        <w:ind w:left="633" w:right="996"/>
        <w:jc w:val="left"/>
      </w:pPr>
      <w:r>
        <w:rPr/>
        <w:t>张云霞女士</w:t>
      </w:r>
      <w:r>
        <w:rPr>
          <w:spacing w:val="-1"/>
        </w:rPr>
        <w:t> </w:t>
      </w:r>
      <w:r>
        <w:rPr/>
        <w:t>公司董事</w:t>
      </w:r>
      <w:r>
        <w:rPr/>
        <w:t> 中国国籍，</w:t>
      </w:r>
      <w:r>
        <w:rPr>
          <w:rFonts w:ascii="宋体" w:hAnsi="宋体" w:cs="宋体" w:eastAsia="宋体" w:hint="default"/>
        </w:rPr>
        <w:t>55</w:t>
      </w:r>
      <w:r>
        <w:rPr/>
        <w:t>岁，于</w:t>
      </w:r>
      <w:r>
        <w:rPr>
          <w:rFonts w:ascii="宋体" w:hAnsi="宋体" w:cs="宋体" w:eastAsia="宋体" w:hint="default"/>
        </w:rPr>
        <w:t>1988</w:t>
      </w:r>
      <w:r>
        <w:rPr/>
        <w:t>年毕业于南开大学计算机软件工程系，</w:t>
      </w:r>
      <w:r>
        <w:rPr>
          <w:rFonts w:ascii="宋体" w:hAnsi="宋体" w:cs="宋体" w:eastAsia="宋体" w:hint="default"/>
        </w:rPr>
        <w:t>1990</w:t>
      </w:r>
      <w:r>
        <w:rPr/>
        <w:t>年获天津南开大学</w:t>
      </w:r>
    </w:p>
    <w:p>
      <w:pPr>
        <w:pStyle w:val="Heading3"/>
        <w:spacing w:line="240" w:lineRule="auto"/>
        <w:ind w:right="996"/>
        <w:jc w:val="left"/>
      </w:pPr>
      <w:r>
        <w:rPr/>
        <w:t>旅游业管理硕士学位。曾任职于深圳万通软件工程有限公司，</w:t>
      </w:r>
      <w:r>
        <w:rPr>
          <w:rFonts w:ascii="宋体" w:hAnsi="宋体" w:cs="宋体" w:eastAsia="宋体" w:hint="default"/>
        </w:rPr>
        <w:t>1991</w:t>
      </w:r>
      <w:r>
        <w:rPr/>
        <w:t>年与李瑞杰共同创办深圳</w:t>
      </w:r>
    </w:p>
    <w:p>
      <w:pPr>
        <w:spacing w:after="0" w:line="240" w:lineRule="auto"/>
        <w:jc w:val="left"/>
        <w:sectPr>
          <w:pgSz w:w="11910" w:h="16840"/>
          <w:pgMar w:header="877" w:footer="980" w:top="1060" w:bottom="1160" w:left="980" w:right="0"/>
        </w:sectPr>
      </w:pPr>
    </w:p>
    <w:p>
      <w:pPr>
        <w:spacing w:line="240" w:lineRule="auto" w:before="6"/>
        <w:rPr>
          <w:rFonts w:ascii="宋体" w:hAnsi="宋体" w:cs="宋体" w:eastAsia="宋体" w:hint="default"/>
          <w:sz w:val="29"/>
          <w:szCs w:val="29"/>
        </w:rPr>
      </w:pPr>
    </w:p>
    <w:p>
      <w:pPr>
        <w:pStyle w:val="Heading3"/>
        <w:spacing w:line="357" w:lineRule="auto" w:before="26"/>
        <w:ind w:right="1130"/>
        <w:jc w:val="both"/>
      </w:pPr>
      <w:r>
        <w:rPr/>
        <w:t>市乐和电脑有限公司，</w:t>
      </w:r>
      <w:r>
        <w:rPr>
          <w:rFonts w:ascii="宋体" w:hAnsi="宋体" w:cs="宋体" w:eastAsia="宋体" w:hint="default"/>
        </w:rPr>
        <w:t>1997</w:t>
      </w:r>
      <w:r>
        <w:rPr/>
        <w:t>年与李瑞杰先生共同创办深圳市宝德科技股份有限公司。</w:t>
      </w:r>
      <w:r>
        <w:rPr>
          <w:rFonts w:ascii="宋体" w:hAnsi="宋体" w:cs="宋体" w:eastAsia="宋体" w:hint="default"/>
        </w:rPr>
        <w:t>2008</w:t>
      </w:r>
      <w:r>
        <w:rPr/>
        <w:t>年</w:t>
      </w:r>
      <w:r>
        <w:rPr>
          <w:spacing w:val="-89"/>
        </w:rPr>
        <w:t> </w:t>
      </w:r>
      <w:r>
        <w:rPr>
          <w:spacing w:val="-2"/>
        </w:rPr>
        <w:t>至</w:t>
      </w:r>
      <w:r>
        <w:rPr>
          <w:rFonts w:ascii="宋体" w:hAnsi="宋体" w:cs="宋体" w:eastAsia="宋体" w:hint="default"/>
          <w:spacing w:val="-2"/>
        </w:rPr>
        <w:t>2012</w:t>
      </w:r>
      <w:r>
        <w:rPr>
          <w:spacing w:val="-2"/>
        </w:rPr>
        <w:t>年</w:t>
      </w:r>
      <w:r>
        <w:rPr>
          <w:rFonts w:ascii="宋体" w:hAnsi="宋体" w:cs="宋体" w:eastAsia="宋体" w:hint="default"/>
          <w:spacing w:val="-2"/>
        </w:rPr>
        <w:t>3</w:t>
      </w:r>
      <w:r>
        <w:rPr>
          <w:spacing w:val="-2"/>
        </w:rPr>
        <w:t>月担任本公司总经理，现任本公司董事，深圳市宝德投资控股公司副董事长，宝德</w:t>
      </w:r>
      <w:r>
        <w:rPr>
          <w:spacing w:val="-116"/>
        </w:rPr>
        <w:t> </w:t>
      </w:r>
      <w:r>
        <w:rPr>
          <w:spacing w:val="-116"/>
        </w:rPr>
      </w:r>
      <w:r>
        <w:rPr/>
        <w:t>科技集团股份有限公司董事长，深圳市宝德计算机系统有限公司董事。同时任深圳市女企业</w:t>
      </w:r>
      <w:r>
        <w:rPr>
          <w:spacing w:val="-91"/>
        </w:rPr>
        <w:t> </w:t>
      </w:r>
      <w:r>
        <w:rPr>
          <w:spacing w:val="-91"/>
        </w:rPr>
      </w:r>
      <w:r>
        <w:rPr/>
        <w:t>家商会执行会长，深圳市软件行业协会副会长。</w:t>
      </w:r>
    </w:p>
    <w:p>
      <w:pPr>
        <w:pStyle w:val="Heading3"/>
        <w:spacing w:line="240" w:lineRule="auto"/>
        <w:ind w:left="633" w:right="996"/>
        <w:jc w:val="left"/>
      </w:pPr>
      <w:r>
        <w:rPr/>
        <w:t>郑楠芳女士</w:t>
      </w:r>
      <w:r>
        <w:rPr>
          <w:spacing w:val="-1"/>
        </w:rPr>
        <w:t> </w:t>
      </w:r>
      <w:r>
        <w:rPr/>
        <w:t>公司董事</w:t>
      </w:r>
    </w:p>
    <w:p>
      <w:pPr>
        <w:pStyle w:val="Heading3"/>
        <w:spacing w:line="357" w:lineRule="auto" w:before="154"/>
        <w:ind w:right="1139" w:firstLine="480"/>
        <w:jc w:val="both"/>
      </w:pPr>
      <w:r>
        <w:rPr/>
        <w:t>中国国籍</w:t>
      </w:r>
      <w:r>
        <w:rPr>
          <w:rFonts w:ascii="宋体" w:hAnsi="宋体" w:cs="宋体" w:eastAsia="宋体" w:hint="default"/>
        </w:rPr>
        <w:t>,</w:t>
      </w:r>
      <w:r>
        <w:rPr>
          <w:rFonts w:ascii="宋体" w:hAnsi="宋体" w:cs="宋体" w:eastAsia="宋体" w:hint="default"/>
          <w:spacing w:val="26"/>
        </w:rPr>
        <w:t> </w:t>
      </w:r>
      <w:r>
        <w:rPr/>
        <w:t>有香港居留权，</w:t>
      </w:r>
      <w:r>
        <w:rPr>
          <w:rFonts w:ascii="宋体" w:hAnsi="宋体" w:cs="宋体" w:eastAsia="宋体" w:hint="default"/>
        </w:rPr>
        <w:t>43</w:t>
      </w:r>
      <w:r>
        <w:rPr/>
        <w:t>岁，本科学历。任公司第四届董事会董事、副总经理。曾 担任深圳市宝德科技股份有限公司投资与投资者关系经理，协助宝德科技股份有限公司完成</w:t>
      </w:r>
      <w:r>
        <w:rPr>
          <w:spacing w:val="-91"/>
        </w:rPr>
        <w:t> </w:t>
      </w:r>
      <w:r>
        <w:rPr>
          <w:spacing w:val="-91"/>
        </w:rPr>
      </w:r>
      <w:r>
        <w:rPr/>
        <w:t>于香港联交所的上市，并负责后期维护与投资者的关系。</w:t>
      </w:r>
    </w:p>
    <w:p>
      <w:pPr>
        <w:pStyle w:val="Heading3"/>
        <w:spacing w:line="357" w:lineRule="auto"/>
        <w:ind w:left="633" w:right="996"/>
        <w:jc w:val="left"/>
      </w:pPr>
      <w:r>
        <w:rPr/>
        <w:t>王立先生</w:t>
      </w:r>
      <w:r>
        <w:rPr>
          <w:spacing w:val="-1"/>
        </w:rPr>
        <w:t> </w:t>
      </w:r>
      <w:r>
        <w:rPr/>
        <w:t>公司董事</w:t>
      </w:r>
      <w:r>
        <w:rPr/>
        <w:t> 中国国籍，</w:t>
      </w:r>
      <w:r>
        <w:rPr>
          <w:rFonts w:ascii="宋体" w:hAnsi="宋体" w:cs="宋体" w:eastAsia="宋体" w:hint="default"/>
        </w:rPr>
        <w:t>39</w:t>
      </w:r>
      <w:r>
        <w:rPr/>
        <w:t>岁，毕业于中南大学，获得金融学硕士学位，曾任深圳宝德科技集团股份</w:t>
      </w:r>
    </w:p>
    <w:p>
      <w:pPr>
        <w:pStyle w:val="Heading3"/>
        <w:spacing w:line="357" w:lineRule="auto"/>
        <w:ind w:right="1139"/>
        <w:jc w:val="both"/>
      </w:pPr>
      <w:r>
        <w:rPr/>
        <w:t>有限公司资金经理、资金总监，深圳市浩沣德投资咨询有限公司总经理，深圳市宝德投资控</w:t>
      </w:r>
      <w:r>
        <w:rPr>
          <w:spacing w:val="-91"/>
        </w:rPr>
        <w:t> </w:t>
      </w:r>
      <w:r>
        <w:rPr>
          <w:spacing w:val="-91"/>
        </w:rPr>
      </w:r>
      <w:r>
        <w:rPr/>
        <w:t>股有限公司副总裁，现任深圳市宝德投资控股有限公司董事，深圳宝德科技集团股份有限公</w:t>
      </w:r>
      <w:r>
        <w:rPr>
          <w:spacing w:val="-91"/>
        </w:rPr>
        <w:t> </w:t>
      </w:r>
      <w:r>
        <w:rPr>
          <w:spacing w:val="-91"/>
        </w:rPr>
      </w:r>
      <w:r>
        <w:rPr/>
        <w:t>司副总裁。</w:t>
      </w:r>
      <w:r>
        <w:rPr>
          <w:rFonts w:ascii="宋体" w:hAnsi="宋体" w:cs="宋体" w:eastAsia="宋体" w:hint="default"/>
        </w:rPr>
        <w:t>2014</w:t>
      </w:r>
      <w:r>
        <w:rPr/>
        <w:t>年</w:t>
      </w:r>
      <w:r>
        <w:rPr>
          <w:rFonts w:ascii="宋体" w:hAnsi="宋体" w:cs="宋体" w:eastAsia="宋体" w:hint="default"/>
        </w:rPr>
        <w:t>3</w:t>
      </w:r>
      <w:r>
        <w:rPr/>
        <w:t>月起担任本公司董事。</w:t>
      </w:r>
    </w:p>
    <w:p>
      <w:pPr>
        <w:pStyle w:val="Heading3"/>
        <w:spacing w:line="357" w:lineRule="auto"/>
        <w:ind w:left="633" w:right="996"/>
        <w:jc w:val="left"/>
      </w:pPr>
      <w:r>
        <w:rPr/>
        <w:t>王一江先生</w:t>
      </w:r>
      <w:r>
        <w:rPr>
          <w:spacing w:val="-1"/>
        </w:rPr>
        <w:t> </w:t>
      </w:r>
      <w:r>
        <w:rPr/>
        <w:t>公司独立董事</w:t>
      </w:r>
      <w:r>
        <w:rPr/>
        <w:t> 美国国籍，</w:t>
      </w:r>
      <w:r>
        <w:rPr>
          <w:rFonts w:ascii="宋体" w:hAnsi="宋体" w:cs="宋体" w:eastAsia="宋体" w:hint="default"/>
        </w:rPr>
        <w:t>66</w:t>
      </w:r>
      <w:r>
        <w:rPr/>
        <w:t>岁，美国哈佛大学经济学博士，现为长江商学院学术副院长、经济学及人</w:t>
      </w:r>
    </w:p>
    <w:p>
      <w:pPr>
        <w:pStyle w:val="Heading3"/>
        <w:spacing w:line="357" w:lineRule="auto"/>
        <w:ind w:right="996"/>
        <w:jc w:val="left"/>
      </w:pPr>
      <w:r>
        <w:rPr/>
        <w:t>力资源学教授，前明尼苏达大学卡尔森管理学院终身教授，美国密歇根大学戴维逊研究所研</w:t>
      </w:r>
      <w:r>
        <w:rPr>
          <w:spacing w:val="-91"/>
        </w:rPr>
        <w:t> </w:t>
      </w:r>
      <w:r>
        <w:rPr>
          <w:spacing w:val="-91"/>
        </w:rPr>
      </w:r>
      <w:r>
        <w:rPr/>
        <w:t>究员。</w:t>
      </w:r>
      <w:r>
        <w:rPr>
          <w:rFonts w:ascii="宋体" w:hAnsi="宋体" w:cs="宋体" w:eastAsia="宋体" w:hint="default"/>
        </w:rPr>
        <w:t>1989</w:t>
      </w:r>
      <w:r>
        <w:rPr/>
        <w:t>年后曾兼职担任世界银行顾问，清华大学经济管理学院中国经济研究所高级研究</w:t>
      </w:r>
      <w:r>
        <w:rPr>
          <w:spacing w:val="-91"/>
        </w:rPr>
        <w:t> </w:t>
      </w:r>
      <w:r>
        <w:rPr>
          <w:spacing w:val="-91"/>
        </w:rPr>
      </w:r>
      <w:r>
        <w:rPr>
          <w:spacing w:val="-2"/>
        </w:rPr>
        <w:t>员，中国留美经济学会副会长。研究兴趣主要集中在组织理论、劳动经济学与人力资源管理、</w:t>
      </w:r>
      <w:r>
        <w:rPr/>
        <w:t> 中国经济、货币与公共金融等。在过去几年中，王一江博士在国际和国内著名期刊发表多篇</w:t>
      </w:r>
      <w:r>
        <w:rPr>
          <w:spacing w:val="-91"/>
        </w:rPr>
        <w:t> </w:t>
      </w:r>
      <w:r>
        <w:rPr>
          <w:spacing w:val="-91"/>
        </w:rPr>
      </w:r>
      <w:r>
        <w:rPr/>
        <w:t>论文，并被大量引用。</w:t>
      </w:r>
      <w:r>
        <w:rPr>
          <w:rFonts w:ascii="宋体" w:hAnsi="宋体" w:cs="宋体" w:eastAsia="宋体" w:hint="default"/>
        </w:rPr>
        <w:t>2014</w:t>
      </w:r>
      <w:r>
        <w:rPr/>
        <w:t>年</w:t>
      </w:r>
      <w:r>
        <w:rPr>
          <w:rFonts w:ascii="宋体" w:hAnsi="宋体" w:cs="宋体" w:eastAsia="宋体" w:hint="default"/>
        </w:rPr>
        <w:t>3</w:t>
      </w:r>
      <w:r>
        <w:rPr/>
        <w:t>月起担任本公司独立董事。</w:t>
      </w:r>
    </w:p>
    <w:p>
      <w:pPr>
        <w:pStyle w:val="Heading3"/>
        <w:spacing w:line="357" w:lineRule="auto"/>
        <w:ind w:left="633" w:right="996"/>
        <w:jc w:val="left"/>
      </w:pPr>
      <w:r>
        <w:rPr/>
        <w:t>李军先生</w:t>
      </w:r>
      <w:r>
        <w:rPr>
          <w:spacing w:val="-1"/>
        </w:rPr>
        <w:t> </w:t>
      </w:r>
      <w:r>
        <w:rPr/>
        <w:t>公司独立董事</w:t>
      </w:r>
      <w:r>
        <w:rPr/>
        <w:t> 中国国籍，</w:t>
      </w:r>
      <w:r>
        <w:rPr>
          <w:rFonts w:ascii="宋体" w:hAnsi="宋体" w:cs="宋体" w:eastAsia="宋体" w:hint="default"/>
        </w:rPr>
        <w:t>54</w:t>
      </w:r>
      <w:r>
        <w:rPr/>
        <w:t>岁，</w:t>
      </w:r>
      <w:r>
        <w:rPr>
          <w:rFonts w:ascii="宋体" w:hAnsi="宋体" w:cs="宋体" w:eastAsia="宋体" w:hint="default"/>
        </w:rPr>
        <w:t>1988</w:t>
      </w:r>
      <w:r>
        <w:rPr/>
        <w:t>年毕业于中国南开大学法律系，毕业后从事法院审判工作，具有</w:t>
      </w:r>
    </w:p>
    <w:p>
      <w:pPr>
        <w:pStyle w:val="Heading3"/>
        <w:spacing w:line="357" w:lineRule="auto"/>
        <w:ind w:right="1129"/>
        <w:jc w:val="both"/>
      </w:pPr>
      <w:r>
        <w:rPr/>
        <w:t>多年案件审判工作经验。主要从事经济合同、房地产与建筑工程、公司法律顾问等非诉讼、</w:t>
      </w:r>
      <w:r>
        <w:rPr>
          <w:spacing w:val="-91"/>
        </w:rPr>
        <w:t> </w:t>
      </w:r>
      <w:r>
        <w:rPr>
          <w:spacing w:val="-91"/>
        </w:rPr>
      </w:r>
      <w:r>
        <w:rPr/>
        <w:t>诉讼、仲裁法律事务，有较扎实的法学理论功底及丰富的实践办案经验，长期担任深圳电视</w:t>
      </w:r>
      <w:r>
        <w:rPr>
          <w:spacing w:val="-91"/>
        </w:rPr>
        <w:t> </w:t>
      </w:r>
      <w:r>
        <w:rPr>
          <w:spacing w:val="-91"/>
        </w:rPr>
      </w:r>
      <w:r>
        <w:rPr>
          <w:spacing w:val="-3"/>
        </w:rPr>
        <w:t>台“第一现场”、“非常财经观察”</w:t>
      </w:r>
      <w:r>
        <w:rPr>
          <w:spacing w:val="-34"/>
        </w:rPr>
        <w:t> </w:t>
      </w:r>
      <w:r>
        <w:rPr/>
        <w:t>及“法观天下”等栏目的特邀评论员。现任北京海润天</w:t>
      </w:r>
      <w:r>
        <w:rPr/>
        <w:t> 睿（深圳）律师事务所律师、南开大学深圳研究院和西安交通大学深圳研究院客座教授。</w:t>
      </w:r>
    </w:p>
    <w:p>
      <w:pPr>
        <w:pStyle w:val="Heading3"/>
        <w:spacing w:line="357" w:lineRule="auto"/>
        <w:ind w:left="633" w:right="996"/>
        <w:jc w:val="left"/>
      </w:pPr>
      <w:r>
        <w:rPr/>
        <w:t>梅月欣女士</w:t>
      </w:r>
      <w:r>
        <w:rPr>
          <w:spacing w:val="-1"/>
        </w:rPr>
        <w:t> </w:t>
      </w:r>
      <w:r>
        <w:rPr/>
        <w:t>公司独立董事</w:t>
      </w:r>
      <w:r>
        <w:rPr/>
        <w:t> 中国国籍，</w:t>
      </w:r>
      <w:r>
        <w:rPr>
          <w:rFonts w:ascii="宋体" w:hAnsi="宋体" w:cs="宋体" w:eastAsia="宋体" w:hint="default"/>
        </w:rPr>
        <w:t>56</w:t>
      </w:r>
      <w:r>
        <w:rPr/>
        <w:t>岁，财务会计专业，高级会计师，注册会计师。曾任杭州电子工业学院讲</w:t>
      </w:r>
    </w:p>
    <w:p>
      <w:pPr>
        <w:pStyle w:val="Heading3"/>
        <w:spacing w:line="240" w:lineRule="auto"/>
        <w:ind w:right="0"/>
        <w:jc w:val="both"/>
      </w:pPr>
      <w:r>
        <w:rPr>
          <w:spacing w:val="-3"/>
        </w:rPr>
        <w:t>师，银行间市场交易商协会非金融企业债务融资工具市场自律处分专家，深圳市振业（集团）</w:t>
      </w:r>
    </w:p>
    <w:p>
      <w:pPr>
        <w:spacing w:after="0" w:line="240" w:lineRule="auto"/>
        <w:jc w:val="both"/>
        <w:sectPr>
          <w:pgSz w:w="11910" w:h="16840"/>
          <w:pgMar w:header="877" w:footer="980" w:top="1060" w:bottom="1160" w:left="980" w:right="0"/>
        </w:sectPr>
      </w:pPr>
    </w:p>
    <w:p>
      <w:pPr>
        <w:spacing w:line="240" w:lineRule="auto" w:before="6"/>
        <w:rPr>
          <w:rFonts w:ascii="宋体" w:hAnsi="宋体" w:cs="宋体" w:eastAsia="宋体" w:hint="default"/>
          <w:sz w:val="29"/>
          <w:szCs w:val="29"/>
        </w:rPr>
      </w:pPr>
    </w:p>
    <w:p>
      <w:pPr>
        <w:pStyle w:val="Heading3"/>
        <w:spacing w:line="357" w:lineRule="auto" w:before="26"/>
        <w:ind w:right="1139"/>
        <w:jc w:val="both"/>
      </w:pPr>
      <w:r>
        <w:rPr/>
        <w:t>股份有限公司独立董事，深圳信隆实业股份有限公司独立董事，深圳市维业装饰集团股份有</w:t>
      </w:r>
      <w:r>
        <w:rPr>
          <w:spacing w:val="-91"/>
        </w:rPr>
        <w:t> </w:t>
      </w:r>
      <w:r>
        <w:rPr>
          <w:spacing w:val="-91"/>
        </w:rPr>
      </w:r>
      <w:r>
        <w:rPr/>
        <w:t>限公司独立董事，深圳市通产丽星股份有限公司独立董事，瑞华会计师事务所（特殊普通合</w:t>
      </w:r>
      <w:r>
        <w:rPr>
          <w:spacing w:val="-91"/>
        </w:rPr>
        <w:t> </w:t>
      </w:r>
      <w:r>
        <w:rPr>
          <w:spacing w:val="-91"/>
        </w:rPr>
      </w:r>
      <w:r>
        <w:rPr/>
        <w:t>伙）合伙人、副主任会计师、风险控制委员会委员、内核委员会委员。现任深圳市今天国际</w:t>
      </w:r>
      <w:r>
        <w:rPr>
          <w:spacing w:val="-91"/>
        </w:rPr>
        <w:t> </w:t>
      </w:r>
      <w:r>
        <w:rPr>
          <w:spacing w:val="-91"/>
        </w:rPr>
      </w:r>
      <w:r>
        <w:rPr/>
        <w:t>物流技术股份有限公司独立董事、深圳市农产品股份有限公司独立董事、深圳市芭田生态工</w:t>
      </w:r>
      <w:r>
        <w:rPr>
          <w:spacing w:val="-91"/>
        </w:rPr>
        <w:t> </w:t>
      </w:r>
      <w:r>
        <w:rPr>
          <w:spacing w:val="-91"/>
        </w:rPr>
      </w:r>
      <w:r>
        <w:rPr/>
        <w:t>程股份有限公司独立董事。</w:t>
      </w:r>
      <w:r>
        <w:rPr>
          <w:rFonts w:ascii="宋体" w:hAnsi="宋体" w:cs="宋体" w:eastAsia="宋体" w:hint="default"/>
        </w:rPr>
        <w:t>2017</w:t>
      </w:r>
      <w:r>
        <w:rPr/>
        <w:t>年</w:t>
      </w:r>
      <w:r>
        <w:rPr>
          <w:rFonts w:ascii="宋体" w:hAnsi="宋体" w:cs="宋体" w:eastAsia="宋体" w:hint="default"/>
        </w:rPr>
        <w:t>4</w:t>
      </w:r>
      <w:r>
        <w:rPr/>
        <w:t>月起担任公司独立董事。</w:t>
      </w:r>
    </w:p>
    <w:p>
      <w:pPr>
        <w:pStyle w:val="Heading3"/>
        <w:spacing w:line="357" w:lineRule="auto"/>
        <w:ind w:left="633" w:right="996"/>
        <w:jc w:val="left"/>
      </w:pPr>
      <w:r>
        <w:rPr>
          <w:rFonts w:ascii="宋体" w:hAnsi="宋体" w:cs="宋体" w:eastAsia="宋体" w:hint="default"/>
        </w:rPr>
        <w:t>2</w:t>
      </w:r>
      <w:r>
        <w:rPr/>
        <w:t>、监事会成员 公司监事会由</w:t>
      </w:r>
      <w:r>
        <w:rPr>
          <w:rFonts w:ascii="宋体" w:hAnsi="宋体" w:cs="宋体" w:eastAsia="宋体" w:hint="default"/>
        </w:rPr>
        <w:t>3</w:t>
      </w:r>
      <w:r>
        <w:rPr/>
        <w:t>名监事组成，监事每届任期</w:t>
      </w:r>
      <w:r>
        <w:rPr>
          <w:rFonts w:ascii="宋体" w:hAnsi="宋体" w:cs="宋体" w:eastAsia="宋体" w:hint="default"/>
        </w:rPr>
        <w:t>3</w:t>
      </w:r>
      <w:r>
        <w:rPr/>
        <w:t>年。现任监事会由马竹茂、朱文枫和王志华</w:t>
      </w:r>
    </w:p>
    <w:p>
      <w:pPr>
        <w:pStyle w:val="Heading3"/>
        <w:spacing w:line="357" w:lineRule="auto"/>
        <w:ind w:right="1131"/>
        <w:jc w:val="both"/>
      </w:pPr>
      <w:r>
        <w:rPr/>
        <w:t>组成，其中朱文枫为职工代表监事，马竹茂、王志华任期为</w:t>
      </w:r>
      <w:r>
        <w:rPr>
          <w:rFonts w:ascii="宋体" w:hAnsi="宋体" w:cs="宋体" w:eastAsia="宋体" w:hint="default"/>
        </w:rPr>
        <w:t>2017</w:t>
      </w:r>
      <w:r>
        <w:rPr/>
        <w:t>年</w:t>
      </w:r>
      <w:r>
        <w:rPr>
          <w:rFonts w:ascii="宋体" w:hAnsi="宋体" w:cs="宋体" w:eastAsia="宋体" w:hint="default"/>
        </w:rPr>
        <w:t>4</w:t>
      </w:r>
      <w:r>
        <w:rPr/>
        <w:t>月至</w:t>
      </w:r>
      <w:r>
        <w:rPr>
          <w:rFonts w:ascii="宋体" w:hAnsi="宋体" w:cs="宋体" w:eastAsia="宋体" w:hint="default"/>
        </w:rPr>
        <w:t>2020</w:t>
      </w:r>
      <w:r>
        <w:rPr/>
        <w:t>年</w:t>
      </w:r>
      <w:r>
        <w:rPr>
          <w:rFonts w:ascii="宋体" w:hAnsi="宋体" w:cs="宋体" w:eastAsia="宋体" w:hint="default"/>
        </w:rPr>
        <w:t>4</w:t>
      </w:r>
      <w:r>
        <w:rPr/>
        <w:t>月，朱文枫</w:t>
      </w:r>
      <w:r>
        <w:rPr>
          <w:spacing w:val="-86"/>
        </w:rPr>
        <w:t> </w:t>
      </w:r>
      <w:r>
        <w:rPr>
          <w:spacing w:val="-86"/>
        </w:rPr>
      </w:r>
      <w:r>
        <w:rPr/>
        <w:t>任期为</w:t>
      </w:r>
      <w:r>
        <w:rPr>
          <w:rFonts w:ascii="宋体" w:hAnsi="宋体" w:cs="宋体" w:eastAsia="宋体" w:hint="default"/>
        </w:rPr>
        <w:t>2019</w:t>
      </w:r>
      <w:r>
        <w:rPr/>
        <w:t>年</w:t>
      </w:r>
      <w:r>
        <w:rPr>
          <w:rFonts w:ascii="宋体" w:hAnsi="宋体" w:cs="宋体" w:eastAsia="宋体" w:hint="default"/>
        </w:rPr>
        <w:t>6</w:t>
      </w:r>
      <w:r>
        <w:rPr/>
        <w:t>月至</w:t>
      </w:r>
      <w:r>
        <w:rPr>
          <w:rFonts w:ascii="宋体" w:hAnsi="宋体" w:cs="宋体" w:eastAsia="宋体" w:hint="default"/>
        </w:rPr>
        <w:t>2020</w:t>
      </w:r>
      <w:r>
        <w:rPr/>
        <w:t>年</w:t>
      </w:r>
      <w:r>
        <w:rPr>
          <w:rFonts w:ascii="宋体" w:hAnsi="宋体" w:cs="宋体" w:eastAsia="宋体" w:hint="default"/>
        </w:rPr>
        <w:t>4</w:t>
      </w:r>
      <w:r>
        <w:rPr/>
        <w:t>月。前述人员的简介如下：</w:t>
      </w:r>
    </w:p>
    <w:p>
      <w:pPr>
        <w:pStyle w:val="Heading3"/>
        <w:spacing w:line="357" w:lineRule="auto" w:before="37"/>
        <w:ind w:left="633" w:right="996"/>
        <w:jc w:val="left"/>
      </w:pPr>
      <w:r>
        <w:rPr/>
        <w:t>马竹茂先生</w:t>
      </w:r>
      <w:r>
        <w:rPr>
          <w:spacing w:val="-1"/>
        </w:rPr>
        <w:t> </w:t>
      </w:r>
      <w:r>
        <w:rPr/>
        <w:t>公司监事</w:t>
      </w:r>
      <w:r>
        <w:rPr/>
        <w:t> 中国国籍，</w:t>
      </w:r>
      <w:r>
        <w:rPr>
          <w:rFonts w:ascii="宋体" w:hAnsi="宋体" w:cs="宋体" w:eastAsia="宋体" w:hint="default"/>
        </w:rPr>
        <w:t>56</w:t>
      </w:r>
      <w:r>
        <w:rPr/>
        <w:t>岁，于</w:t>
      </w:r>
      <w:r>
        <w:rPr>
          <w:rFonts w:ascii="宋体" w:hAnsi="宋体" w:cs="宋体" w:eastAsia="宋体" w:hint="default"/>
        </w:rPr>
        <w:t>1988</w:t>
      </w:r>
      <w:r>
        <w:rPr/>
        <w:t>年毕业于天津大学计算机系，工学硕士学位；并于</w:t>
      </w:r>
      <w:r>
        <w:rPr>
          <w:rFonts w:ascii="宋体" w:hAnsi="宋体" w:cs="宋体" w:eastAsia="宋体" w:hint="default"/>
        </w:rPr>
        <w:t>2003</w:t>
      </w:r>
      <w:r>
        <w:rPr/>
        <w:t>年获得</w:t>
      </w:r>
    </w:p>
    <w:p>
      <w:pPr>
        <w:pStyle w:val="Heading3"/>
        <w:spacing w:line="357" w:lineRule="auto"/>
        <w:ind w:right="1128"/>
        <w:jc w:val="both"/>
      </w:pPr>
      <w:r>
        <w:rPr/>
        <w:t>北京大学光华管理学院工商管理硕士学位。曾任天津计算机应用技术研究所工程师，深圳万</w:t>
      </w:r>
      <w:r>
        <w:rPr>
          <w:spacing w:val="-91"/>
        </w:rPr>
        <w:t> </w:t>
      </w:r>
      <w:r>
        <w:rPr>
          <w:spacing w:val="-91"/>
        </w:rPr>
      </w:r>
      <w:r>
        <w:rPr/>
        <w:t>通软件有限公司助理总经理，深圳爱华电子有限公司高级工程师和下属公司副总经理及总工</w:t>
      </w:r>
      <w:r>
        <w:rPr>
          <w:spacing w:val="-91"/>
        </w:rPr>
        <w:t> </w:t>
      </w:r>
      <w:r>
        <w:rPr>
          <w:spacing w:val="-91"/>
        </w:rPr>
      </w:r>
      <w:r>
        <w:rPr>
          <w:spacing w:val="-2"/>
        </w:rPr>
        <w:t>程师，深圳宝德科技集团股份有限公司董事、副总经理、总工程师，</w:t>
      </w:r>
      <w:r>
        <w:rPr>
          <w:rFonts w:ascii="宋体" w:hAnsi="宋体" w:cs="宋体" w:eastAsia="宋体" w:hint="default"/>
          <w:spacing w:val="-2"/>
        </w:rPr>
        <w:t>TCL</w:t>
      </w:r>
      <w:r>
        <w:rPr>
          <w:spacing w:val="-2"/>
        </w:rPr>
        <w:t>电脑有限公司技术总</w:t>
      </w:r>
      <w:r>
        <w:rPr>
          <w:spacing w:val="-116"/>
        </w:rPr>
        <w:t> </w:t>
      </w:r>
      <w:r>
        <w:rPr/>
        <w:t>监和绵阳聚星超级计算技术有限公司董事、副总经理。现任公司监事，深圳市宝德计算机系</w:t>
      </w:r>
      <w:r>
        <w:rPr>
          <w:spacing w:val="-91"/>
        </w:rPr>
        <w:t> </w:t>
      </w:r>
      <w:r>
        <w:rPr>
          <w:spacing w:val="-91"/>
        </w:rPr>
      </w:r>
      <w:r>
        <w:rPr/>
        <w:t>统有限公司董事、总经理。</w:t>
      </w:r>
    </w:p>
    <w:p>
      <w:pPr>
        <w:pStyle w:val="Heading3"/>
        <w:spacing w:line="240" w:lineRule="auto"/>
        <w:ind w:left="633" w:right="996"/>
        <w:jc w:val="left"/>
      </w:pPr>
      <w:r>
        <w:rPr/>
        <w:t>王志华先生</w:t>
      </w:r>
      <w:r>
        <w:rPr>
          <w:spacing w:val="-1"/>
        </w:rPr>
        <w:t> </w:t>
      </w:r>
      <w:r>
        <w:rPr/>
        <w:t>公司监事</w:t>
      </w:r>
    </w:p>
    <w:p>
      <w:pPr>
        <w:pStyle w:val="Heading3"/>
        <w:spacing w:line="357" w:lineRule="auto" w:before="154"/>
        <w:ind w:right="1134" w:firstLine="480"/>
        <w:jc w:val="both"/>
      </w:pPr>
      <w:r>
        <w:rPr>
          <w:spacing w:val="-3"/>
        </w:rPr>
        <w:t>中国国籍，</w:t>
      </w:r>
      <w:r>
        <w:rPr>
          <w:rFonts w:ascii="宋体" w:hAnsi="宋体" w:cs="宋体" w:eastAsia="宋体" w:hint="default"/>
          <w:spacing w:val="-3"/>
        </w:rPr>
        <w:t>52</w:t>
      </w:r>
      <w:r>
        <w:rPr>
          <w:spacing w:val="-3"/>
        </w:rPr>
        <w:t>岁，本科学历，毕业于中国政法大学。</w:t>
      </w:r>
      <w:r>
        <w:rPr>
          <w:rFonts w:ascii="宋体" w:hAnsi="宋体" w:cs="宋体" w:eastAsia="宋体" w:hint="default"/>
          <w:spacing w:val="-3"/>
        </w:rPr>
        <w:t>2011 </w:t>
      </w:r>
      <w:r>
        <w:rPr/>
        <w:t>年 </w:t>
      </w:r>
      <w:r>
        <w:rPr>
          <w:rFonts w:ascii="宋体" w:hAnsi="宋体" w:cs="宋体" w:eastAsia="宋体" w:hint="default"/>
        </w:rPr>
        <w:t>10</w:t>
      </w:r>
      <w:r>
        <w:rPr>
          <w:rFonts w:ascii="宋体" w:hAnsi="宋体" w:cs="宋体" w:eastAsia="宋体" w:hint="default"/>
          <w:spacing w:val="3"/>
        </w:rPr>
        <w:t> </w:t>
      </w:r>
      <w:r>
        <w:rPr/>
        <w:t>月至今，至今在深圳市 宝德投资控股有限公司下属公司任职深圳鹏德创业投资有限公司任职投资总监。于</w:t>
      </w:r>
      <w:r>
        <w:rPr>
          <w:rFonts w:ascii="宋体" w:hAnsi="宋体" w:cs="宋体" w:eastAsia="宋体" w:hint="default"/>
        </w:rPr>
        <w:t>2016</w:t>
      </w:r>
      <w:r>
        <w:rPr/>
        <w:t>年</w:t>
      </w:r>
      <w:r>
        <w:rPr>
          <w:rFonts w:ascii="宋体" w:hAnsi="宋体" w:cs="宋体" w:eastAsia="宋体" w:hint="default"/>
        </w:rPr>
        <w:t>12</w:t>
      </w:r>
      <w:r>
        <w:rPr>
          <w:rFonts w:ascii="宋体" w:hAnsi="宋体" w:cs="宋体" w:eastAsia="宋体" w:hint="default"/>
          <w:spacing w:val="-88"/>
        </w:rPr>
        <w:t> </w:t>
      </w:r>
      <w:r>
        <w:rPr/>
        <w:t>月起担任本公司监事。</w:t>
      </w:r>
    </w:p>
    <w:p>
      <w:pPr>
        <w:pStyle w:val="Heading3"/>
        <w:spacing w:line="357" w:lineRule="auto"/>
        <w:ind w:left="633" w:right="996"/>
        <w:jc w:val="left"/>
      </w:pPr>
      <w:r>
        <w:rPr/>
        <w:t>朱文枫女士</w:t>
      </w:r>
      <w:r>
        <w:rPr>
          <w:spacing w:val="-1"/>
        </w:rPr>
        <w:t> </w:t>
      </w:r>
      <w:r>
        <w:rPr/>
        <w:t>公司监事</w:t>
      </w:r>
      <w:r>
        <w:rPr/>
        <w:t> 中国国籍，</w:t>
      </w:r>
      <w:r>
        <w:rPr>
          <w:rFonts w:ascii="宋体" w:hAnsi="宋体" w:cs="宋体" w:eastAsia="宋体" w:hint="default"/>
        </w:rPr>
        <w:t>28</w:t>
      </w:r>
      <w:r>
        <w:rPr/>
        <w:t>岁，本科学历。毕业于大连大学，至今先后任职于赛尔网络有限公司深圳</w:t>
      </w:r>
    </w:p>
    <w:p>
      <w:pPr>
        <w:pStyle w:val="Heading3"/>
        <w:spacing w:line="357" w:lineRule="auto"/>
        <w:ind w:right="1136"/>
        <w:jc w:val="both"/>
      </w:pPr>
      <w:r>
        <w:rPr/>
        <w:t>分公司商务助理兼总助，深圳市勤肯电子科技有限公司总经理助理。</w:t>
      </w:r>
      <w:r>
        <w:rPr>
          <w:rFonts w:ascii="宋体" w:hAnsi="宋体" w:cs="宋体" w:eastAsia="宋体" w:hint="default"/>
        </w:rPr>
        <w:t>2018 </w:t>
      </w:r>
      <w:r>
        <w:rPr/>
        <w:t>年 </w:t>
      </w:r>
      <w:r>
        <w:rPr>
          <w:rFonts w:ascii="宋体" w:hAnsi="宋体" w:cs="宋体" w:eastAsia="宋体" w:hint="default"/>
        </w:rPr>
        <w:t>4</w:t>
      </w:r>
      <w:r>
        <w:rPr>
          <w:rFonts w:ascii="宋体" w:hAnsi="宋体" w:cs="宋体" w:eastAsia="宋体" w:hint="default"/>
          <w:spacing w:val="31"/>
        </w:rPr>
        <w:t> </w:t>
      </w:r>
      <w:r>
        <w:rPr/>
        <w:t>月入职本公 司，现任公司职工代表监事、总裁秘书。</w:t>
      </w:r>
    </w:p>
    <w:p>
      <w:pPr>
        <w:pStyle w:val="Heading3"/>
        <w:spacing w:line="357" w:lineRule="auto"/>
        <w:ind w:left="633" w:right="996"/>
        <w:jc w:val="left"/>
      </w:pPr>
      <w:r>
        <w:rPr>
          <w:rFonts w:ascii="宋体" w:hAnsi="宋体" w:cs="宋体" w:eastAsia="宋体" w:hint="default"/>
        </w:rPr>
        <w:t>3</w:t>
      </w:r>
      <w:r>
        <w:rPr/>
        <w:t>、高级管理人员 公司高级管理人员包括总经理、副总经理、财务总监和董事会秘书。本届高管人员任期</w:t>
      </w:r>
    </w:p>
    <w:p>
      <w:pPr>
        <w:pStyle w:val="Heading3"/>
        <w:spacing w:line="240" w:lineRule="auto"/>
        <w:ind w:right="0"/>
        <w:jc w:val="both"/>
      </w:pPr>
      <w:r>
        <w:rPr/>
        <w:t>自</w:t>
      </w:r>
      <w:r>
        <w:rPr>
          <w:rFonts w:ascii="宋体" w:hAnsi="宋体" w:cs="宋体" w:eastAsia="宋体" w:hint="default"/>
        </w:rPr>
        <w:t>2017</w:t>
      </w:r>
      <w:r>
        <w:rPr/>
        <w:t>年</w:t>
      </w:r>
      <w:r>
        <w:rPr>
          <w:rFonts w:ascii="宋体" w:hAnsi="宋体" w:cs="宋体" w:eastAsia="宋体" w:hint="default"/>
        </w:rPr>
        <w:t>4</w:t>
      </w:r>
      <w:r>
        <w:rPr/>
        <w:t>月至</w:t>
      </w:r>
      <w:r>
        <w:rPr>
          <w:rFonts w:ascii="宋体" w:hAnsi="宋体" w:cs="宋体" w:eastAsia="宋体" w:hint="default"/>
        </w:rPr>
        <w:t>2020</w:t>
      </w:r>
      <w:r>
        <w:rPr/>
        <w:t>年</w:t>
      </w:r>
      <w:r>
        <w:rPr>
          <w:rFonts w:ascii="宋体" w:hAnsi="宋体" w:cs="宋体" w:eastAsia="宋体" w:hint="default"/>
        </w:rPr>
        <w:t>4</w:t>
      </w:r>
      <w:r>
        <w:rPr/>
        <w:t>月。公司各高级管理人员简介如下：</w:t>
      </w:r>
    </w:p>
    <w:p>
      <w:pPr>
        <w:pStyle w:val="Heading3"/>
        <w:spacing w:line="357" w:lineRule="auto" w:before="154"/>
        <w:ind w:left="633" w:right="2114"/>
        <w:jc w:val="left"/>
      </w:pPr>
      <w:r>
        <w:rPr/>
        <w:t>李瑞杰先生 公司董事长、总经理</w:t>
      </w:r>
      <w:r>
        <w:rPr>
          <w:spacing w:val="-1"/>
        </w:rPr>
        <w:t> </w:t>
      </w:r>
      <w:r>
        <w:rPr/>
        <w:t>简介详见本节前述董事会成员介绍的内容。</w:t>
      </w:r>
      <w:r>
        <w:rPr/>
        <w:t> 郑楠芳女士</w:t>
      </w:r>
      <w:r>
        <w:rPr>
          <w:spacing w:val="-1"/>
        </w:rPr>
        <w:t> </w:t>
      </w:r>
      <w:r>
        <w:rPr/>
        <w:t>公司董事、副总经理简介详见本节前述董事会成员介绍的内容。</w:t>
      </w:r>
    </w:p>
    <w:p>
      <w:pPr>
        <w:spacing w:after="0" w:line="357" w:lineRule="auto"/>
        <w:jc w:val="left"/>
        <w:sectPr>
          <w:pgSz w:w="11910" w:h="16840"/>
          <w:pgMar w:header="877" w:footer="980" w:top="1060" w:bottom="1160" w:left="980" w:right="0"/>
        </w:sectPr>
      </w:pPr>
    </w:p>
    <w:p>
      <w:pPr>
        <w:spacing w:line="240" w:lineRule="auto" w:before="6"/>
        <w:rPr>
          <w:rFonts w:ascii="宋体" w:hAnsi="宋体" w:cs="宋体" w:eastAsia="宋体" w:hint="default"/>
          <w:sz w:val="29"/>
          <w:szCs w:val="29"/>
        </w:rPr>
      </w:pPr>
    </w:p>
    <w:p>
      <w:pPr>
        <w:pStyle w:val="Heading3"/>
        <w:spacing w:line="357" w:lineRule="auto" w:before="26"/>
        <w:ind w:left="633" w:right="996"/>
        <w:jc w:val="left"/>
      </w:pPr>
      <w:r>
        <w:rPr/>
        <w:t>文毅先生</w:t>
      </w:r>
      <w:r>
        <w:rPr>
          <w:spacing w:val="-1"/>
        </w:rPr>
        <w:t> </w:t>
      </w:r>
      <w:r>
        <w:rPr/>
        <w:t>公司副总经理、董事会秘书</w:t>
      </w:r>
      <w:r>
        <w:rPr/>
        <w:t> 中国国籍，</w:t>
      </w:r>
      <w:r>
        <w:rPr>
          <w:rFonts w:ascii="宋体" w:hAnsi="宋体" w:cs="宋体" w:eastAsia="宋体" w:hint="default"/>
        </w:rPr>
        <w:t>45</w:t>
      </w:r>
      <w:r>
        <w:rPr/>
        <w:t>岁，无境外永久居留权，湘潭大学计算机软件专业学士，北京大学工商管</w:t>
      </w:r>
    </w:p>
    <w:p>
      <w:pPr>
        <w:pStyle w:val="Heading3"/>
        <w:spacing w:line="357" w:lineRule="auto"/>
        <w:ind w:right="1136"/>
        <w:jc w:val="both"/>
      </w:pPr>
      <w:r>
        <w:rPr/>
        <w:t>理专业硕士。于 </w:t>
      </w:r>
      <w:r>
        <w:rPr>
          <w:rFonts w:ascii="宋体" w:hAnsi="宋体" w:cs="宋体" w:eastAsia="宋体" w:hint="default"/>
        </w:rPr>
        <w:t>2014 </w:t>
      </w:r>
      <w:r>
        <w:rPr/>
        <w:t>年 </w:t>
      </w:r>
      <w:r>
        <w:rPr>
          <w:rFonts w:ascii="宋体" w:hAnsi="宋体" w:cs="宋体" w:eastAsia="宋体" w:hint="default"/>
        </w:rPr>
        <w:t>12</w:t>
      </w:r>
      <w:r>
        <w:rPr>
          <w:rFonts w:ascii="宋体" w:hAnsi="宋体" w:cs="宋体" w:eastAsia="宋体" w:hint="default"/>
          <w:spacing w:val="29"/>
        </w:rPr>
        <w:t> </w:t>
      </w:r>
      <w:r>
        <w:rPr/>
        <w:t>月取得深圳证券交易所董事会秘书资格证书，曾任中国银行软 件开发中心项目经理、平安信托小额消费信贷事业部系统策划经理、平安万里通有限责任公</w:t>
      </w:r>
      <w:r>
        <w:rPr>
          <w:spacing w:val="-91"/>
        </w:rPr>
        <w:t> </w:t>
      </w:r>
      <w:r>
        <w:rPr>
          <w:spacing w:val="-91"/>
        </w:rPr>
      </w:r>
      <w:r>
        <w:rPr/>
        <w:t>司产品经理、平安证券股份有限公司高级业务总监，现任公司董事会秘书及副总经理。</w:t>
      </w:r>
    </w:p>
    <w:p>
      <w:pPr>
        <w:pStyle w:val="Heading3"/>
        <w:spacing w:line="357" w:lineRule="auto"/>
        <w:ind w:left="633" w:right="996"/>
        <w:jc w:val="left"/>
      </w:pPr>
      <w:r>
        <w:rPr/>
        <w:t>张思群先生</w:t>
      </w:r>
      <w:r>
        <w:rPr>
          <w:spacing w:val="-1"/>
        </w:rPr>
        <w:t> </w:t>
      </w:r>
      <w:r>
        <w:rPr/>
        <w:t>公司财务总监</w:t>
      </w:r>
      <w:r>
        <w:rPr/>
        <w:t> 中国国籍，</w:t>
      </w:r>
      <w:r>
        <w:rPr>
          <w:rFonts w:ascii="宋体" w:hAnsi="宋体" w:cs="宋体" w:eastAsia="宋体" w:hint="default"/>
        </w:rPr>
        <w:t>46</w:t>
      </w:r>
      <w:r>
        <w:rPr/>
        <w:t>岁，无境外永久居留权，取得会计学士学位和会计硕士学位。毕业后曾任</w:t>
      </w:r>
    </w:p>
    <w:p>
      <w:pPr>
        <w:pStyle w:val="Heading3"/>
        <w:spacing w:line="357" w:lineRule="auto"/>
        <w:ind w:right="1139"/>
        <w:jc w:val="both"/>
      </w:pPr>
      <w:r>
        <w:rPr/>
        <w:t>华为技术有限公司财务经理、正邦科技财务副总监和海格通信投资总监等，拥有多家上市公</w:t>
      </w:r>
      <w:r>
        <w:rPr>
          <w:spacing w:val="-91"/>
        </w:rPr>
        <w:t> </w:t>
      </w:r>
      <w:r>
        <w:rPr>
          <w:spacing w:val="-91"/>
        </w:rPr>
      </w:r>
      <w:r>
        <w:rPr/>
        <w:t>司财务高管任职经历。</w:t>
      </w:r>
    </w:p>
    <w:p>
      <w:pPr>
        <w:pStyle w:val="Heading3"/>
        <w:spacing w:line="240" w:lineRule="auto" w:before="37"/>
        <w:ind w:left="633" w:right="996"/>
        <w:jc w:val="left"/>
      </w:pPr>
      <w:r>
        <w:rPr/>
        <w:t>在股东单位任职情况</w:t>
      </w:r>
    </w:p>
    <w:p>
      <w:pPr>
        <w:pStyle w:val="Heading3"/>
        <w:spacing w:line="240" w:lineRule="auto" w:before="154"/>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5"/>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195"/>
        <w:gridCol w:w="1330"/>
        <w:gridCol w:w="1589"/>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8" w:right="67"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深圳市宝德投资控股有限公司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宝德科技集团有限公司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董事会副主 </w:t>
            </w:r>
            <w:r>
              <w:rPr>
                <w:rFonts w:ascii="宋体" w:hAnsi="宋体" w:cs="宋体" w:eastAsia="宋体" w:hint="default"/>
                <w:spacing w:val="-12"/>
                <w:sz w:val="18"/>
                <w:szCs w:val="18"/>
              </w:rPr>
              <w:t>席、非执行董</w:t>
            </w:r>
            <w:r>
              <w:rPr>
                <w:rFonts w:ascii="宋体" w:hAnsi="宋体" w:cs="宋体" w:eastAsia="宋体" w:hint="default"/>
                <w:sz w:val="18"/>
                <w:szCs w:val="18"/>
              </w:rPr>
              <w:t> 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深圳市宝德投资控股有限公司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宝德科技集团有限公司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12"/>
                <w:sz w:val="18"/>
                <w:szCs w:val="18"/>
              </w:rPr>
              <w:t>董事长、执行</w:t>
            </w:r>
            <w:r>
              <w:rPr>
                <w:rFonts w:ascii="宋体" w:hAnsi="宋体" w:cs="宋体" w:eastAsia="宋体" w:hint="default"/>
                <w:sz w:val="18"/>
                <w:szCs w:val="18"/>
              </w:rPr>
              <w:t> 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深圳市宝德投资控股有限公司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宝德科技集团有限公司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52"/>
              <w:jc w:val="left"/>
              <w:rPr>
                <w:rFonts w:ascii="宋体" w:hAnsi="宋体" w:cs="宋体" w:eastAsia="宋体" w:hint="default"/>
                <w:sz w:val="18"/>
                <w:szCs w:val="18"/>
              </w:rPr>
            </w:pPr>
            <w:r>
              <w:rPr>
                <w:rFonts w:ascii="宋体" w:hAnsi="宋体" w:cs="宋体" w:eastAsia="宋体" w:hint="default"/>
                <w:sz w:val="18"/>
                <w:szCs w:val="18"/>
              </w:rPr>
              <w:t>李瑞杰先生为公司董事长、总经理，张云霞女士为公司董事，王立先生为公司董事，马竹茂先生为公司监 事会主席。</w:t>
            </w:r>
          </w:p>
        </w:tc>
      </w:tr>
    </w:tbl>
    <w:p>
      <w:pPr>
        <w:pStyle w:val="Heading3"/>
        <w:spacing w:line="240" w:lineRule="auto" w:before="39"/>
        <w:ind w:right="996"/>
        <w:jc w:val="left"/>
      </w:pPr>
      <w:r>
        <w:rPr/>
        <w:t>在其他单位任职情况</w:t>
      </w:r>
    </w:p>
    <w:p>
      <w:pPr>
        <w:pStyle w:val="Heading3"/>
        <w:spacing w:line="240" w:lineRule="auto" w:before="154"/>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5"/>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天津北方数码港有限公司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82"/>
              <w:jc w:val="left"/>
              <w:rPr>
                <w:rFonts w:ascii="宋体" w:hAnsi="宋体" w:cs="宋体" w:eastAsia="宋体" w:hint="default"/>
                <w:sz w:val="18"/>
                <w:szCs w:val="18"/>
              </w:rPr>
            </w:pPr>
            <w:r>
              <w:rPr>
                <w:rFonts w:ascii="宋体" w:hAnsi="宋体" w:cs="宋体" w:eastAsia="宋体" w:hint="default"/>
                <w:sz w:val="18"/>
                <w:szCs w:val="18"/>
              </w:rPr>
              <w:t>经理</w:t>
            </w:r>
            <w:r>
              <w:rPr>
                <w:rFonts w:ascii="Times New Roman" w:hAnsi="Times New Roman" w:cs="Times New Roman" w:eastAsia="Times New Roman" w:hint="default"/>
                <w:sz w:val="18"/>
                <w:szCs w:val="18"/>
              </w:rPr>
              <w:t>,</w:t>
            </w:r>
            <w:r>
              <w:rPr>
                <w:rFonts w:ascii="宋体" w:hAnsi="宋体" w:cs="宋体" w:eastAsia="宋体" w:hint="default"/>
                <w:sz w:val="18"/>
                <w:szCs w:val="18"/>
              </w:rPr>
              <w:t>执行董 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2058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深圳市潮商小额贷款有限公司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2030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深圳市宝德计算机系统有限公司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深圳市深商控股集团股份有限公司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2061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揭阳市宝德电脑数码广场有限公司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82"/>
              <w:jc w:val="left"/>
              <w:rPr>
                <w:rFonts w:ascii="宋体" w:hAnsi="宋体" w:cs="宋体" w:eastAsia="宋体" w:hint="default"/>
                <w:sz w:val="18"/>
                <w:szCs w:val="18"/>
              </w:rPr>
            </w:pPr>
            <w:r>
              <w:rPr>
                <w:rFonts w:ascii="宋体" w:hAnsi="宋体" w:cs="宋体" w:eastAsia="宋体" w:hint="default"/>
                <w:sz w:val="18"/>
                <w:szCs w:val="18"/>
              </w:rPr>
              <w:t>经理</w:t>
            </w:r>
            <w:r>
              <w:rPr>
                <w:rFonts w:ascii="Times New Roman" w:hAnsi="Times New Roman" w:cs="Times New Roman" w:eastAsia="Times New Roman" w:hint="default"/>
                <w:sz w:val="18"/>
                <w:szCs w:val="18"/>
              </w:rPr>
              <w:t>,</w:t>
            </w:r>
            <w:r>
              <w:rPr>
                <w:rFonts w:ascii="宋体" w:hAnsi="宋体" w:cs="宋体" w:eastAsia="宋体" w:hint="default"/>
                <w:sz w:val="18"/>
                <w:szCs w:val="18"/>
              </w:rPr>
              <w:t>执行董 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深圳市正前方智金科技有限公司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深圳宝德医院</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宝德滨海科技（天津）有限公司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2057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深圳市利得链科技有限公司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广西数广宝德信息科技有限公司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贵州金沙安底斗酒酒业有限公司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深圳市创新起点科技有限公司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宝德滨海科技（天津）有限公司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2057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北京海云捷迅科技有限公司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2030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深圳鹏德创业投资有限公司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1"/>
              <w:jc w:val="left"/>
              <w:rPr>
                <w:rFonts w:ascii="宋体" w:hAnsi="宋体" w:cs="宋体" w:eastAsia="宋体" w:hint="default"/>
                <w:sz w:val="18"/>
                <w:szCs w:val="18"/>
              </w:rPr>
            </w:pPr>
            <w:r>
              <w:rPr>
                <w:rFonts w:ascii="宋体" w:hAnsi="宋体" w:cs="宋体" w:eastAsia="宋体" w:hint="default"/>
                <w:spacing w:val="-12"/>
                <w:sz w:val="18"/>
                <w:szCs w:val="18"/>
              </w:rPr>
              <w:t>执行董事、总</w:t>
            </w:r>
            <w:r>
              <w:rPr>
                <w:rFonts w:ascii="宋体" w:hAnsi="宋体" w:cs="宋体" w:eastAsia="宋体" w:hint="default"/>
                <w:sz w:val="18"/>
                <w:szCs w:val="18"/>
              </w:rPr>
              <w:t> 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2030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深圳鸿德房地产开发有限公司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12"/>
                <w:sz w:val="18"/>
                <w:szCs w:val="18"/>
              </w:rPr>
              <w:t>执行董事、总</w:t>
            </w:r>
            <w:r>
              <w:rPr>
                <w:rFonts w:ascii="宋体" w:hAnsi="宋体" w:cs="宋体" w:eastAsia="宋体" w:hint="default"/>
                <w:sz w:val="18"/>
                <w:szCs w:val="18"/>
              </w:rPr>
              <w:t> 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2031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福州卓越无限软件开发有限公司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2031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广州宝云信息科技有限公司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2033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深圳市美丽网科技有限公司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深圳市前海亿车科技有限公司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深圳前海宝德资产管理有限公司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苏州迈瑞微电子有限公司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深圳充电网科技有限公司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94"/>
              <w:jc w:val="left"/>
              <w:rPr>
                <w:rFonts w:ascii="宋体" w:hAnsi="宋体" w:cs="宋体" w:eastAsia="宋体" w:hint="default"/>
                <w:sz w:val="18"/>
                <w:szCs w:val="18"/>
              </w:rPr>
            </w:pPr>
            <w:r>
              <w:rPr>
                <w:rFonts w:ascii="宋体" w:hAnsi="宋体" w:cs="宋体" w:eastAsia="宋体" w:hint="default"/>
                <w:sz w:val="18"/>
                <w:szCs w:val="18"/>
              </w:rPr>
              <w:t>深圳市前海鹏德移动互联网创业投资基 金（有限合伙）</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其它人员</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北京书生移动技术有限公司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2065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一豆信息科技（上海）有限公司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深圳普智联科机器人技术有限公司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深圳美佳基因科技有限公司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深圳导远科技有限公司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北京中青宝长城文化科技有限公司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西安贤逸德计算机科技有限公司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福州卓越无限软件开发有限公司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2031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Heading3"/>
        <w:spacing w:line="240" w:lineRule="auto" w:before="39"/>
        <w:ind w:right="0"/>
        <w:jc w:val="both"/>
      </w:pPr>
      <w:r>
        <w:rPr/>
        <w:t>公司现任及报告期内离任董事、监事和高级管理人员近三年证券监管机构处罚的情况</w:t>
      </w:r>
    </w:p>
    <w:p>
      <w:pPr>
        <w:spacing w:line="499" w:lineRule="auto" w:before="154"/>
        <w:ind w:left="152" w:right="6417"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四、董事、监事、高级管理人员报酬情况</w:t>
      </w:r>
      <w:r>
        <w:rPr>
          <w:rFonts w:ascii="宋体" w:hAnsi="宋体" w:cs="宋体" w:eastAsia="宋体" w:hint="default"/>
          <w:sz w:val="24"/>
          <w:szCs w:val="24"/>
        </w:rPr>
      </w:r>
    </w:p>
    <w:p>
      <w:pPr>
        <w:pStyle w:val="Heading3"/>
        <w:spacing w:line="357" w:lineRule="auto" w:before="115"/>
        <w:ind w:left="633" w:right="996" w:hanging="481"/>
        <w:jc w:val="left"/>
      </w:pPr>
      <w:r>
        <w:rPr/>
        <w:t>董事、监事、高级管理人员报酬的决策程序、确定依据、实际支付情况 公司董事、监事薪酬由公司股东大会决定，高级管理人员薪酬由董事会决定。在公司履</w:t>
      </w:r>
    </w:p>
    <w:p>
      <w:pPr>
        <w:pStyle w:val="Heading3"/>
        <w:spacing w:line="357" w:lineRule="auto"/>
        <w:ind w:right="1139"/>
        <w:jc w:val="both"/>
      </w:pPr>
      <w:r>
        <w:rPr/>
        <w:t>职的董事、监事、高级管理人员按照具体的职务领取薪酬。董事、监事和高级管理人员的报</w:t>
      </w:r>
      <w:r>
        <w:rPr>
          <w:spacing w:val="-91"/>
        </w:rPr>
        <w:t> </w:t>
      </w:r>
      <w:r>
        <w:rPr>
          <w:spacing w:val="-91"/>
        </w:rPr>
      </w:r>
      <w:r>
        <w:rPr/>
        <w:t>酬按照公司相关制度规定，结合其职位、职责、能力、以及其他相关企业相关岗位的薪酬水</w:t>
      </w:r>
      <w:r>
        <w:rPr>
          <w:spacing w:val="-91"/>
        </w:rPr>
        <w:t> </w:t>
      </w:r>
      <w:r>
        <w:rPr>
          <w:spacing w:val="-91"/>
        </w:rPr>
      </w:r>
      <w:r>
        <w:rPr/>
        <w:t>平制定薪酬方案并发放。</w:t>
      </w:r>
    </w:p>
    <w:p>
      <w:pPr>
        <w:pStyle w:val="Heading3"/>
        <w:spacing w:line="240" w:lineRule="auto"/>
        <w:ind w:right="0"/>
        <w:jc w:val="both"/>
      </w:pPr>
      <w:r>
        <w:rPr/>
        <w:t>公司报告期内董事、监事和高级管理人员报酬情况</w:t>
      </w:r>
    </w:p>
    <w:p>
      <w:pPr>
        <w:spacing w:after="0" w:line="240" w:lineRule="auto"/>
        <w:jc w:val="both"/>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97"/>
              <w:jc w:val="right"/>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58.82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王一江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梅月欣</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马竹茂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王志华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朱文枫</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尹浩然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张思群</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文毅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董事会秘书、副 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97"/>
              <w:jc w:val="righ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248.65</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Heading3"/>
        <w:spacing w:line="240" w:lineRule="auto" w:before="39"/>
        <w:ind w:right="996"/>
        <w:jc w:val="left"/>
      </w:pPr>
      <w:r>
        <w:rPr/>
        <w:t>公司董事、高级管理人员报告期内被授予的股权激励情况</w:t>
      </w:r>
    </w:p>
    <w:p>
      <w:pPr>
        <w:spacing w:line="513" w:lineRule="auto" w:before="154"/>
        <w:ind w:left="152" w:right="7020" w:firstLine="0"/>
        <w:jc w:val="left"/>
        <w:rPr>
          <w:rFonts w:ascii="宋体" w:hAnsi="宋体" w:cs="宋体" w:eastAsia="宋体" w:hint="default"/>
          <w:sz w:val="24"/>
          <w:szCs w:val="24"/>
        </w:rPr>
      </w:pPr>
      <w:r>
        <w:rPr/>
        <w:pict>
          <v:shape style="position:absolute;margin-left:57pt;margin-top:98.295647pt;width:478.7pt;height:221.55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67"/>
                    <w:gridCol w:w="4792"/>
                  </w:tblGrid>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119</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210</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329</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329</w:t>
                        </w:r>
                      </w:p>
                    </w:tc>
                  </w:tr>
                  <w:tr>
                    <w:trPr>
                      <w:trHeight w:val="408"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6"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2"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3" w:hRule="exact"/>
                    </w:trPr>
                    <w:tc>
                      <w:tcPr>
                        <w:tcW w:w="4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研发人员</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85</w:t>
                        </w:r>
                      </w:p>
                    </w:tc>
                  </w:tr>
                  <w:tr>
                    <w:trPr>
                      <w:trHeight w:val="401" w:hRule="exact"/>
                    </w:trPr>
                    <w:tc>
                      <w:tcPr>
                        <w:tcW w:w="4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运营人员</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w:t>
                        </w:r>
                      </w:p>
                    </w:tc>
                  </w:tr>
                  <w:tr>
                    <w:trPr>
                      <w:trHeight w:val="403" w:hRule="exact"/>
                    </w:trPr>
                    <w:tc>
                      <w:tcPr>
                        <w:tcW w:w="4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市场人员</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w:t>
                        </w:r>
                      </w:p>
                    </w:tc>
                  </w:tr>
                  <w:tr>
                    <w:trPr>
                      <w:trHeight w:val="401" w:hRule="exact"/>
                    </w:trPr>
                    <w:tc>
                      <w:tcPr>
                        <w:tcW w:w="4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职能人员</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w:t>
                        </w:r>
                      </w:p>
                    </w:tc>
                  </w:tr>
                </w:tbl>
                <w:p>
                  <w:pPr/>
                </w:p>
              </w:txbxContent>
            </v:textbox>
            <w10:wrap type="none"/>
          </v:shape>
        </w:pict>
      </w: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五、公司员工情况</w:t>
      </w:r>
      <w:r>
        <w:rPr>
          <w:rFonts w:ascii="宋体" w:hAnsi="宋体" w:cs="宋体" w:eastAsia="宋体" w:hint="default"/>
          <w:b/>
          <w:bCs/>
          <w:w w:val="99"/>
          <w:sz w:val="24"/>
          <w:szCs w:val="24"/>
        </w:rPr>
        <w:t> </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、员工数量、专业构成及教育程度</w:t>
      </w:r>
      <w:r>
        <w:rPr>
          <w:rFonts w:ascii="宋体" w:hAnsi="宋体" w:cs="宋体" w:eastAsia="宋体" w:hint="default"/>
          <w:sz w:val="24"/>
          <w:szCs w:val="24"/>
        </w:rPr>
      </w:r>
    </w:p>
    <w:p>
      <w:pPr>
        <w:spacing w:after="0" w:line="513" w:lineRule="auto"/>
        <w:jc w:val="left"/>
        <w:rPr>
          <w:rFonts w:ascii="宋体" w:hAnsi="宋体" w:cs="宋体" w:eastAsia="宋体" w:hint="default"/>
          <w:sz w:val="24"/>
          <w:szCs w:val="24"/>
        </w:rPr>
        <w:sectPr>
          <w:pgSz w:w="11910" w:h="16840"/>
          <w:pgMar w:header="877"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79"/>
        <w:gridCol w:w="4792"/>
      </w:tblGrid>
      <w:tr>
        <w:trPr>
          <w:trHeight w:val="408"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329</w:t>
            </w:r>
          </w:p>
        </w:tc>
      </w:tr>
      <w:tr>
        <w:trPr>
          <w:trHeight w:val="39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6"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91</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329</w:t>
            </w:r>
          </w:p>
        </w:tc>
      </w:tr>
    </w:tbl>
    <w:p>
      <w:pPr>
        <w:pStyle w:val="Heading2"/>
        <w:spacing w:line="240" w:lineRule="auto" w:before="39"/>
        <w:ind w:right="996"/>
        <w:jc w:val="left"/>
        <w:rPr>
          <w:b w:val="0"/>
          <w:bCs w:val="0"/>
        </w:rPr>
      </w:pPr>
      <w:r>
        <w:rPr>
          <w:rFonts w:ascii="Times New Roman" w:hAnsi="Times New Roman" w:cs="Times New Roman" w:eastAsia="Times New Roman" w:hint="default"/>
        </w:rPr>
        <w:t>2</w:t>
      </w:r>
      <w:r>
        <w:rPr/>
        <w:t>、薪酬政策</w:t>
      </w:r>
      <w:r>
        <w:rPr>
          <w:b w:val="0"/>
          <w:bCs w:val="0"/>
        </w:rPr>
      </w:r>
    </w:p>
    <w:p>
      <w:pPr>
        <w:pStyle w:val="Heading3"/>
        <w:spacing w:line="357" w:lineRule="auto" w:before="135"/>
        <w:ind w:right="1139" w:firstLine="480"/>
        <w:jc w:val="both"/>
      </w:pPr>
      <w:r>
        <w:rPr/>
        <w:t>公司以内部公平和外部竞争相结合的方式，建立吸引人才、保留人才和激励员工的薪酬 管理体系。通过岗位体系及岗位级别，参考地区及同行业的薪酬水平定期分析公司现有薪酬</w:t>
      </w:r>
      <w:r>
        <w:rPr>
          <w:spacing w:val="-91"/>
        </w:rPr>
        <w:t> </w:t>
      </w:r>
      <w:r>
        <w:rPr>
          <w:spacing w:val="-91"/>
        </w:rPr>
      </w:r>
      <w:r>
        <w:rPr/>
        <w:t>水平，以分析研究结果为基础结合员工的绩效考核调整薪酬提升员工的工作积极性及工作效</w:t>
      </w:r>
      <w:r>
        <w:rPr>
          <w:spacing w:val="-91"/>
        </w:rPr>
        <w:t> </w:t>
      </w:r>
      <w:r>
        <w:rPr>
          <w:spacing w:val="-91"/>
        </w:rPr>
      </w:r>
      <w:r>
        <w:rPr/>
        <w:t>率。</w:t>
      </w:r>
    </w:p>
    <w:p>
      <w:pPr>
        <w:pStyle w:val="Heading2"/>
        <w:spacing w:line="240" w:lineRule="auto" w:before="36"/>
        <w:ind w:right="996"/>
        <w:jc w:val="left"/>
        <w:rPr>
          <w:b w:val="0"/>
          <w:bCs w:val="0"/>
        </w:rPr>
      </w:pPr>
      <w:r>
        <w:rPr>
          <w:rFonts w:ascii="Times New Roman" w:hAnsi="Times New Roman" w:cs="Times New Roman" w:eastAsia="Times New Roman" w:hint="default"/>
        </w:rPr>
        <w:t>3</w:t>
      </w:r>
      <w:r>
        <w:rPr/>
        <w:t>、培训计划</w:t>
      </w:r>
      <w:r>
        <w:rPr>
          <w:b w:val="0"/>
          <w:bCs w:val="0"/>
        </w:rPr>
      </w:r>
    </w:p>
    <w:p>
      <w:pPr>
        <w:pStyle w:val="Heading3"/>
        <w:spacing w:line="357" w:lineRule="auto" w:before="135"/>
        <w:ind w:right="1139" w:firstLine="480"/>
        <w:jc w:val="both"/>
      </w:pPr>
      <w:r>
        <w:rPr/>
        <w:t>公司非常注重员工的培训，依据岗位、职能及不同部门的需求积极寻求各种培训资源及 渠道通过掌趣大讲堂、内部分享等，展开定制化的培训。根据公司每年的发展需求制定详细</w:t>
      </w:r>
      <w:r>
        <w:rPr>
          <w:spacing w:val="-91"/>
        </w:rPr>
        <w:t> </w:t>
      </w:r>
      <w:r>
        <w:rPr>
          <w:spacing w:val="-91"/>
        </w:rPr>
      </w:r>
      <w:r>
        <w:rPr/>
        <w:t>的培训计划，有针对性的新员工入职培训、在职人员岗位培训、项目管理等，公司内部积极</w:t>
      </w:r>
      <w:r>
        <w:rPr>
          <w:spacing w:val="-91"/>
        </w:rPr>
        <w:t> </w:t>
      </w:r>
      <w:r>
        <w:rPr>
          <w:spacing w:val="-91"/>
        </w:rPr>
      </w:r>
      <w:r>
        <w:rPr/>
        <w:t>营造学习氛围，开展各类学习小组，不断激发员工潜能为员工提供更好的培训发展平台，增</w:t>
      </w:r>
      <w:r>
        <w:rPr>
          <w:spacing w:val="-91"/>
        </w:rPr>
        <w:t> </w:t>
      </w:r>
      <w:r>
        <w:rPr>
          <w:spacing w:val="-91"/>
        </w:rPr>
      </w:r>
      <w:r>
        <w:rPr/>
        <w:t>强员工的凝聚力，从而增强企业的核心竞争力。</w:t>
      </w:r>
    </w:p>
    <w:p>
      <w:pPr>
        <w:pStyle w:val="Heading2"/>
        <w:spacing w:line="240" w:lineRule="auto" w:before="36"/>
        <w:ind w:right="996"/>
        <w:jc w:val="left"/>
        <w:rPr>
          <w:b w:val="0"/>
          <w:bCs w:val="0"/>
        </w:rPr>
      </w:pPr>
      <w:r>
        <w:rPr>
          <w:rFonts w:ascii="Times New Roman" w:hAnsi="Times New Roman" w:cs="Times New Roman" w:eastAsia="Times New Roman" w:hint="default"/>
        </w:rPr>
        <w:t>4</w:t>
      </w:r>
      <w:r>
        <w:rPr/>
        <w:t>、劳务外包情况</w:t>
      </w:r>
      <w:r>
        <w:rPr>
          <w:b w:val="0"/>
          <w:bCs w:val="0"/>
        </w:rPr>
      </w:r>
    </w:p>
    <w:p>
      <w:pPr>
        <w:pStyle w:val="Heading3"/>
        <w:spacing w:line="240" w:lineRule="auto" w:before="135"/>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spacing w:after="0" w:line="240"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1105"/>
        <w:jc w:val="center"/>
        <w:rPr>
          <w:b w:val="0"/>
          <w:bCs w:val="0"/>
        </w:rPr>
      </w:pPr>
      <w:bookmarkStart w:name="_bookmark9" w:id="10"/>
      <w:bookmarkEnd w:id="10"/>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both"/>
        <w:rPr>
          <w:b w:val="0"/>
          <w:bCs w:val="0"/>
        </w:rPr>
      </w:pPr>
      <w:r>
        <w:rPr/>
        <w:t>一、公司治理的基本状况</w:t>
      </w:r>
      <w:r>
        <w:rPr>
          <w:b w:val="0"/>
          <w:bCs w:val="0"/>
        </w:rPr>
      </w:r>
    </w:p>
    <w:p>
      <w:pPr>
        <w:spacing w:line="240" w:lineRule="auto" w:before="11"/>
        <w:rPr>
          <w:rFonts w:ascii="宋体" w:hAnsi="宋体" w:cs="宋体" w:eastAsia="宋体" w:hint="default"/>
          <w:b/>
          <w:bCs/>
          <w:sz w:val="28"/>
          <w:szCs w:val="28"/>
        </w:rPr>
      </w:pPr>
    </w:p>
    <w:p>
      <w:pPr>
        <w:pStyle w:val="Heading3"/>
        <w:spacing w:line="357" w:lineRule="auto" w:before="0"/>
        <w:ind w:right="1134" w:firstLine="480"/>
        <w:jc w:val="both"/>
      </w:pPr>
      <w:r>
        <w:rPr>
          <w:spacing w:val="-12"/>
        </w:rPr>
        <w:t>报告期内，公司严格按照《公司法》《证券法》《上市公司治理准则》《深圳证券交易所创</w:t>
      </w:r>
      <w:r>
        <w:rPr/>
        <w:t> </w:t>
      </w:r>
      <w:r>
        <w:rPr>
          <w:spacing w:val="-6"/>
        </w:rPr>
        <w:t>业板股票上市规则》《企业内部控制基本规范（试行）》及中国证监会有关法律、法规及规章</w:t>
      </w:r>
      <w:r>
        <w:rPr>
          <w:spacing w:val="-83"/>
        </w:rPr>
        <w:t> </w:t>
      </w:r>
      <w:r>
        <w:rPr>
          <w:spacing w:val="-83"/>
        </w:rPr>
      </w:r>
      <w:r>
        <w:rPr/>
        <w:t>的要求，不断完善、健全公司内部管理和控制制度，规范公司行为及运作方式，严格进行信</w:t>
      </w:r>
      <w:r>
        <w:rPr>
          <w:spacing w:val="-91"/>
        </w:rPr>
        <w:t> </w:t>
      </w:r>
      <w:r>
        <w:rPr>
          <w:spacing w:val="-91"/>
        </w:rPr>
      </w:r>
      <w:r>
        <w:rPr/>
        <w:t>息披露，保护广大投资者利益。截止报告期末，公司内部治理结构完整健全、治理模式合理</w:t>
      </w:r>
      <w:r>
        <w:rPr>
          <w:spacing w:val="-87"/>
        </w:rPr>
        <w:t> </w:t>
      </w:r>
      <w:r>
        <w:rPr>
          <w:spacing w:val="-87"/>
        </w:rPr>
      </w:r>
      <w:r>
        <w:rPr>
          <w:spacing w:val="-5"/>
        </w:rPr>
        <w:t>清晰，符合《公司法》等法律法规和规范性文件的规定、《公司章程》的规定。报告期内，公</w:t>
      </w:r>
      <w:r>
        <w:rPr/>
        <w:t> 司股东大会、董事会、监事会的召集、召开、表决程序、信息披露均符合有关法律法规的要</w:t>
      </w:r>
      <w:r>
        <w:rPr>
          <w:spacing w:val="-91"/>
        </w:rPr>
        <w:t> </w:t>
      </w:r>
      <w:r>
        <w:rPr>
          <w:spacing w:val="-91"/>
        </w:rPr>
      </w:r>
      <w:r>
        <w:rPr/>
        <w:t>求。报告期内不存在控股股东、实际控制人及其关联方占用公司资金、资产或其他资源的情</w:t>
      </w:r>
      <w:r>
        <w:rPr>
          <w:spacing w:val="-91"/>
        </w:rPr>
        <w:t> </w:t>
      </w:r>
      <w:r>
        <w:rPr>
          <w:spacing w:val="-91"/>
        </w:rPr>
      </w:r>
      <w:r>
        <w:rPr/>
        <w:t>形，公司及其控股股东、实际控制人、董事、事、高级管理人员依法开展公司治理活动，经</w:t>
      </w:r>
      <w:r>
        <w:rPr>
          <w:spacing w:val="-91"/>
        </w:rPr>
        <w:t> </w:t>
      </w:r>
      <w:r>
        <w:rPr>
          <w:spacing w:val="-91"/>
        </w:rPr>
      </w:r>
      <w:r>
        <w:rPr/>
        <w:t>营行为合法合规，不存在重大违法违规行为。</w:t>
      </w:r>
    </w:p>
    <w:p>
      <w:pPr>
        <w:pStyle w:val="Heading3"/>
        <w:spacing w:line="338" w:lineRule="auto"/>
        <w:ind w:left="633" w:right="996"/>
        <w:jc w:val="left"/>
      </w:pPr>
      <w:r>
        <w:rPr>
          <w:rFonts w:ascii="Times New Roman" w:hAnsi="Times New Roman" w:cs="Times New Roman" w:eastAsia="Times New Roman" w:hint="default"/>
        </w:rPr>
        <w:t>1</w:t>
      </w:r>
      <w:r>
        <w:rPr/>
        <w:t>、关于股东与股东大会 </w:t>
      </w:r>
      <w:r>
        <w:rPr>
          <w:spacing w:val="-6"/>
        </w:rPr>
        <w:t>公司股东大会均严格按照《上市公司股东大会规则》《公司章程》《股东大会议事规则》</w:t>
      </w:r>
    </w:p>
    <w:p>
      <w:pPr>
        <w:pStyle w:val="Heading3"/>
        <w:spacing w:line="357" w:lineRule="auto" w:before="55"/>
        <w:ind w:right="1138"/>
        <w:jc w:val="both"/>
      </w:pPr>
      <w:r>
        <w:rPr/>
        <w:t>等规定召集、召开，并尽可能为股东参加股东大会创造便利条件，对每一项需要审议的事项</w:t>
      </w:r>
      <w:r>
        <w:rPr>
          <w:spacing w:val="-89"/>
        </w:rPr>
        <w:t> </w:t>
      </w:r>
      <w:r>
        <w:rPr>
          <w:spacing w:val="-89"/>
        </w:rPr>
      </w:r>
      <w:r>
        <w:rPr/>
        <w:t>均设定充裕的时间给股东表达意见，确保所有股东，特别是公众股东的平等地位，充分行使</w:t>
      </w:r>
      <w:r>
        <w:rPr>
          <w:spacing w:val="-91"/>
        </w:rPr>
        <w:t> </w:t>
      </w:r>
      <w:r>
        <w:rPr>
          <w:spacing w:val="-91"/>
        </w:rPr>
      </w:r>
      <w:r>
        <w:rPr/>
        <w:t>自己的权利。同时，公司聘请律师见证股东大会，确保会议召集召开以及表决程序符合相关</w:t>
      </w:r>
      <w:r>
        <w:rPr>
          <w:spacing w:val="-91"/>
        </w:rPr>
        <w:t> </w:t>
      </w:r>
      <w:r>
        <w:rPr>
          <w:spacing w:val="-91"/>
        </w:rPr>
      </w:r>
      <w:r>
        <w:rPr/>
        <w:t>法律规定，维护股东的合法权益。</w:t>
      </w:r>
    </w:p>
    <w:p>
      <w:pPr>
        <w:pStyle w:val="Heading3"/>
        <w:spacing w:line="338" w:lineRule="auto"/>
        <w:ind w:left="633" w:right="996"/>
        <w:jc w:val="left"/>
      </w:pPr>
      <w:r>
        <w:rPr>
          <w:rFonts w:ascii="Times New Roman" w:hAnsi="Times New Roman" w:cs="Times New Roman" w:eastAsia="Times New Roman" w:hint="default"/>
        </w:rPr>
        <w:t>2</w:t>
      </w:r>
      <w:r>
        <w:rPr/>
        <w:t>、关于公司与控股股东 报告期内，控股股东及实际控制人严格规范自己的行为，没有超越股东大会直接或间接</w:t>
      </w:r>
    </w:p>
    <w:p>
      <w:pPr>
        <w:pStyle w:val="Heading3"/>
        <w:spacing w:line="357" w:lineRule="auto" w:before="55"/>
        <w:ind w:right="1139"/>
        <w:jc w:val="both"/>
      </w:pPr>
      <w:r>
        <w:rPr/>
        <w:t>干预公司的决策和经营活动。公司在业务、人员、资产、机构、财务上独立于控股股东，公</w:t>
      </w:r>
      <w:r>
        <w:rPr>
          <w:spacing w:val="-91"/>
        </w:rPr>
        <w:t> </w:t>
      </w:r>
      <w:r>
        <w:rPr>
          <w:spacing w:val="-91"/>
        </w:rPr>
      </w:r>
      <w:r>
        <w:rPr/>
        <w:t>司董事会、监事会和内部机构独立运作。公司不存在为控股股东及其关联企业提供担保的情</w:t>
      </w:r>
      <w:r>
        <w:rPr>
          <w:spacing w:val="-91"/>
        </w:rPr>
        <w:t> </w:t>
      </w:r>
      <w:r>
        <w:rPr>
          <w:spacing w:val="-91"/>
        </w:rPr>
      </w:r>
      <w:r>
        <w:rPr/>
        <w:t>形，亦不存在控股股东非经营性占用公司资金的行为。</w:t>
      </w:r>
    </w:p>
    <w:p>
      <w:pPr>
        <w:pStyle w:val="Heading3"/>
        <w:spacing w:line="240" w:lineRule="auto" w:before="37"/>
        <w:ind w:left="633" w:right="996"/>
        <w:jc w:val="left"/>
      </w:pPr>
      <w:r>
        <w:rPr>
          <w:rFonts w:ascii="Times New Roman" w:hAnsi="Times New Roman" w:cs="Times New Roman" w:eastAsia="Times New Roman" w:hint="default"/>
        </w:rPr>
        <w:t>3</w:t>
      </w:r>
      <w:r>
        <w:rPr/>
        <w:t>、关于董事和董事会</w:t>
      </w:r>
    </w:p>
    <w:p>
      <w:pPr>
        <w:pStyle w:val="Heading3"/>
        <w:spacing w:line="350" w:lineRule="auto" w:before="135"/>
        <w:ind w:right="1132" w:firstLine="480"/>
        <w:jc w:val="both"/>
      </w:pPr>
      <w:r>
        <w:rPr/>
        <w:t>公司董事会设董事</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10"/>
        </w:rPr>
        <w:t> </w:t>
      </w:r>
      <w:r>
        <w:rPr/>
        <w:t>人，其中独立董事</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人，下设战略委员会、薪酬与考核委员会、审 计委员会和</w:t>
      </w:r>
      <w:r>
        <w:rPr>
          <w:spacing w:val="21"/>
        </w:rPr>
        <w:t> </w:t>
      </w:r>
      <w:r>
        <w:rPr>
          <w:spacing w:val="-3"/>
        </w:rPr>
        <w:t>提名委员会四个专门委员会。董事会的人员结构及数量设置、董事的选聘程序符</w:t>
      </w:r>
      <w:r>
        <w:rPr/>
        <w:t> </w:t>
      </w:r>
      <w:r>
        <w:rPr>
          <w:spacing w:val="-11"/>
        </w:rPr>
        <w:t>合有关法律法规。公司全体董事严格按照《公司法》《证券法》《规范运作指引》《上市公司治</w:t>
      </w:r>
      <w:r>
        <w:rPr>
          <w:spacing w:val="-103"/>
        </w:rPr>
        <w:t> </w:t>
      </w:r>
      <w:r>
        <w:rPr>
          <w:spacing w:val="-103"/>
        </w:rPr>
      </w:r>
      <w:r>
        <w:rPr/>
        <w:t>理准则》以及《公司章程》等规定和要求，履行董事职责，出席董事会和股东大会，勤勉尽</w:t>
      </w:r>
    </w:p>
    <w:p>
      <w:pPr>
        <w:spacing w:after="0" w:line="350" w:lineRule="auto"/>
        <w:jc w:val="both"/>
        <w:sectPr>
          <w:pgSz w:w="11910" w:h="16840"/>
          <w:pgMar w:header="877" w:footer="980" w:top="1060" w:bottom="1160" w:left="980" w:right="0"/>
        </w:sectPr>
      </w:pPr>
    </w:p>
    <w:p>
      <w:pPr>
        <w:spacing w:line="240" w:lineRule="auto" w:before="6"/>
        <w:rPr>
          <w:rFonts w:ascii="宋体" w:hAnsi="宋体" w:cs="宋体" w:eastAsia="宋体" w:hint="default"/>
          <w:sz w:val="29"/>
          <w:szCs w:val="29"/>
        </w:rPr>
      </w:pPr>
    </w:p>
    <w:p>
      <w:pPr>
        <w:pStyle w:val="Heading3"/>
        <w:spacing w:line="240" w:lineRule="auto" w:before="26"/>
        <w:ind w:right="996"/>
        <w:jc w:val="left"/>
      </w:pPr>
      <w:r>
        <w:rPr/>
        <w:t>责地履行职责和义务，同时参加培训，熟悉相关法律法规。</w:t>
      </w:r>
    </w:p>
    <w:p>
      <w:pPr>
        <w:pStyle w:val="Heading3"/>
        <w:spacing w:line="240" w:lineRule="auto" w:before="154"/>
        <w:ind w:left="633" w:right="996"/>
        <w:jc w:val="left"/>
      </w:pPr>
      <w:r>
        <w:rPr>
          <w:rFonts w:ascii="Times New Roman" w:hAnsi="Times New Roman" w:cs="Times New Roman" w:eastAsia="Times New Roman" w:hint="default"/>
        </w:rPr>
        <w:t>4</w:t>
      </w:r>
      <w:r>
        <w:rPr/>
        <w:t>、关于监事和监事会</w:t>
      </w:r>
    </w:p>
    <w:p>
      <w:pPr>
        <w:pStyle w:val="Heading3"/>
        <w:spacing w:line="350" w:lineRule="auto" w:before="135"/>
        <w:ind w:right="1131" w:firstLine="480"/>
        <w:jc w:val="both"/>
      </w:pPr>
      <w:r>
        <w:rPr/>
        <w:t>公司第四届监事会由</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名监事组成，其中有</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名职工代表监事，监事会的人数、结构及 选聘程序均符合法律、法规和《公司章程》的规定。报告期内，公司监事会严格按照《公司</w:t>
      </w:r>
      <w:r>
        <w:rPr>
          <w:spacing w:val="-91"/>
        </w:rPr>
        <w:t> </w:t>
      </w:r>
      <w:r>
        <w:rPr>
          <w:spacing w:val="-91"/>
        </w:rPr>
      </w:r>
      <w:r>
        <w:rPr>
          <w:spacing w:val="-5"/>
        </w:rPr>
        <w:t>章程》《监事会议事规则》的规定召集、召开监事会，表决程序合法合规；监事勤勉尽责，从</w:t>
      </w:r>
      <w:r>
        <w:rPr/>
        <w:t> 维护公司和股东合法权益出发，对董事会和公司行政管理系统能进行有效监督。</w:t>
      </w:r>
    </w:p>
    <w:p>
      <w:pPr>
        <w:pStyle w:val="Heading3"/>
        <w:spacing w:line="338" w:lineRule="auto" w:before="43"/>
        <w:ind w:left="633" w:right="996"/>
        <w:jc w:val="left"/>
      </w:pPr>
      <w:r>
        <w:rPr>
          <w:rFonts w:ascii="Times New Roman" w:hAnsi="Times New Roman" w:cs="Times New Roman" w:eastAsia="Times New Roman" w:hint="default"/>
        </w:rPr>
        <w:t>5</w:t>
      </w:r>
      <w:r>
        <w:rPr/>
        <w:t>、关于绩效评价与激励约束机制 公司董事会下设的提名、薪酬与考核委员会负责对公司的董事、监事、高级管理人员进</w:t>
      </w:r>
    </w:p>
    <w:p>
      <w:pPr>
        <w:pStyle w:val="Heading3"/>
        <w:spacing w:line="357" w:lineRule="auto" w:before="55"/>
        <w:ind w:right="996"/>
        <w:jc w:val="left"/>
      </w:pPr>
      <w:r>
        <w:rPr/>
        <w:t>行绩效考核，公司已经建立和完善了公正、透明的高级管理人员的绩效考核标准和激励约束</w:t>
      </w:r>
      <w:r>
        <w:rPr>
          <w:spacing w:val="-91"/>
        </w:rPr>
        <w:t> </w:t>
      </w:r>
      <w:r>
        <w:rPr>
          <w:spacing w:val="-91"/>
        </w:rPr>
      </w:r>
      <w:r>
        <w:rPr/>
        <w:t>机制。高级管理人员的聘任公开、透明，</w:t>
      </w:r>
      <w:r>
        <w:rPr>
          <w:spacing w:val="1"/>
        </w:rPr>
        <w:t> </w:t>
      </w:r>
      <w:r>
        <w:rPr/>
        <w:t>符合法律、法规的规定。</w:t>
      </w:r>
    </w:p>
    <w:p>
      <w:pPr>
        <w:pStyle w:val="Heading3"/>
        <w:spacing w:line="338" w:lineRule="auto"/>
        <w:ind w:left="633" w:right="996"/>
        <w:jc w:val="left"/>
      </w:pPr>
      <w:r>
        <w:rPr>
          <w:rFonts w:ascii="Times New Roman" w:hAnsi="Times New Roman" w:cs="Times New Roman" w:eastAsia="Times New Roman" w:hint="default"/>
        </w:rPr>
        <w:t>6</w:t>
      </w:r>
      <w:r>
        <w:rPr/>
        <w:t>、关于信息披露与透明度 </w:t>
      </w:r>
      <w:r>
        <w:rPr>
          <w:spacing w:val="-9"/>
        </w:rPr>
        <w:t>公司严格按照有关法律法规以及《信息披露管理制度》《投资者关系管理制度》等的要求，</w:t>
      </w:r>
    </w:p>
    <w:p>
      <w:pPr>
        <w:pStyle w:val="Heading3"/>
        <w:spacing w:line="350" w:lineRule="auto" w:before="55"/>
        <w:ind w:right="996"/>
        <w:jc w:val="left"/>
      </w:pPr>
      <w:r>
        <w:rPr>
          <w:spacing w:val="-3"/>
        </w:rPr>
        <w:t>真实、准确、及时、公平、完整地披露有关信息；并指定公司董事会秘书负责信息披露工作，</w:t>
      </w:r>
      <w:r>
        <w:rPr>
          <w:spacing w:val="-80"/>
        </w:rPr>
        <w:t> </w:t>
      </w:r>
      <w:r>
        <w:rPr>
          <w:spacing w:val="-80"/>
        </w:rPr>
      </w:r>
      <w:r>
        <w:rPr/>
        <w:t>协调公司与投资者的关系，接待股东来访，回答投资者咨询，向投资者提供公司已披露的资</w:t>
      </w:r>
      <w:r>
        <w:rPr>
          <w:spacing w:val="-91"/>
        </w:rPr>
        <w:t> </w:t>
      </w:r>
      <w:r>
        <w:rPr>
          <w:spacing w:val="-91"/>
        </w:rPr>
      </w:r>
      <w:r>
        <w:rPr/>
        <w:t>料；并指定巨潮资讯网（</w:t>
      </w:r>
      <w:hyperlink r:id="rId10">
        <w:r>
          <w:rPr>
            <w:rFonts w:ascii="Times New Roman" w:hAnsi="Times New Roman" w:cs="Times New Roman" w:eastAsia="Times New Roman" w:hint="default"/>
          </w:rPr>
          <w:t>www.cninfo.com.cn</w:t>
        </w:r>
      </w:hyperlink>
      <w:r>
        <w:rPr/>
        <w:t>）为公司信息披露的指定网站，确保公司所有股 东能够以平等的机会获得信息。</w:t>
      </w:r>
    </w:p>
    <w:p>
      <w:pPr>
        <w:pStyle w:val="Heading3"/>
        <w:spacing w:line="338" w:lineRule="auto" w:before="43"/>
        <w:ind w:left="633" w:right="996"/>
        <w:jc w:val="left"/>
      </w:pPr>
      <w:r>
        <w:rPr>
          <w:rFonts w:ascii="Times New Roman" w:hAnsi="Times New Roman" w:cs="Times New Roman" w:eastAsia="Times New Roman" w:hint="default"/>
        </w:rPr>
        <w:t>7</w:t>
      </w:r>
      <w:r>
        <w:rPr/>
        <w:t>、关于相关利益者 公司充分尊重和维护相关利益者的合法权益，积极与相关利益者合作，加强与各方的沟</w:t>
      </w:r>
    </w:p>
    <w:p>
      <w:pPr>
        <w:pStyle w:val="Heading3"/>
        <w:spacing w:line="357" w:lineRule="auto" w:before="55"/>
        <w:ind w:right="1154"/>
        <w:jc w:val="left"/>
      </w:pPr>
      <w:r>
        <w:rPr/>
        <w:t>通和交流，实现股东、员工、社会等各方利益的协调平衡，共同推动公司持续、健康的发展 公司治理的实际状况与中国证监会发布的有关上市公司治理的规范性文件是否存在重大差异</w:t>
      </w:r>
    </w:p>
    <w:p>
      <w:pPr>
        <w:pStyle w:val="Heading3"/>
        <w:spacing w:line="338" w:lineRule="auto"/>
        <w:ind w:right="11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否 公司治理的实际状况与中国证监会发布的有关上市公司治理的规范性文件不存在重大差异。</w:t>
      </w:r>
    </w:p>
    <w:p>
      <w:pPr>
        <w:spacing w:line="240" w:lineRule="auto" w:before="4"/>
        <w:rPr>
          <w:rFonts w:ascii="宋体" w:hAnsi="宋体" w:cs="宋体" w:eastAsia="宋体" w:hint="default"/>
          <w:sz w:val="21"/>
          <w:szCs w:val="21"/>
        </w:rPr>
      </w:pPr>
    </w:p>
    <w:p>
      <w:pPr>
        <w:pStyle w:val="Heading2"/>
        <w:spacing w:line="240" w:lineRule="auto"/>
        <w:ind w:right="996"/>
        <w:jc w:val="left"/>
        <w:rPr>
          <w:b w:val="0"/>
          <w:bCs w:val="0"/>
        </w:rPr>
      </w:pPr>
      <w:r>
        <w:rPr/>
        <w:t>二、公司相对于控股股东在业务、人员、资产、机构、财务等方面的独立情况</w:t>
      </w:r>
      <w:r>
        <w:rPr>
          <w:b w:val="0"/>
          <w:bCs w:val="0"/>
        </w:rPr>
      </w:r>
    </w:p>
    <w:p>
      <w:pPr>
        <w:spacing w:line="240" w:lineRule="auto" w:before="8"/>
        <w:rPr>
          <w:rFonts w:ascii="宋体" w:hAnsi="宋体" w:cs="宋体" w:eastAsia="宋体" w:hint="default"/>
          <w:b/>
          <w:bCs/>
          <w:sz w:val="28"/>
          <w:szCs w:val="28"/>
        </w:rPr>
      </w:pPr>
    </w:p>
    <w:p>
      <w:pPr>
        <w:pStyle w:val="Heading3"/>
        <w:spacing w:line="338" w:lineRule="auto" w:before="0"/>
        <w:ind w:left="633" w:right="996"/>
        <w:jc w:val="left"/>
      </w:pPr>
      <w:r>
        <w:rPr>
          <w:rFonts w:ascii="Times New Roman" w:hAnsi="Times New Roman" w:cs="Times New Roman" w:eastAsia="Times New Roman" w:hint="default"/>
        </w:rPr>
        <w:t>1</w:t>
      </w:r>
      <w:r>
        <w:rPr/>
        <w:t>、业务独立 公司拥有独立开展经营活动的资产、人员、资质和能力，具有面向市场独立自主持续经</w:t>
      </w:r>
    </w:p>
    <w:p>
      <w:pPr>
        <w:pStyle w:val="Heading3"/>
        <w:spacing w:line="357" w:lineRule="auto" w:before="55"/>
        <w:ind w:right="996"/>
        <w:jc w:val="left"/>
      </w:pPr>
      <w:r>
        <w:rPr/>
        <w:t>营的能力。不以依法行使股东权利以外的任何方式干预上市公司的重大决策事项。公司与控</w:t>
      </w:r>
      <w:r>
        <w:rPr>
          <w:spacing w:val="-91"/>
        </w:rPr>
        <w:t> </w:t>
      </w:r>
      <w:r>
        <w:rPr>
          <w:spacing w:val="-91"/>
        </w:rPr>
      </w:r>
      <w:r>
        <w:rPr/>
        <w:t>股股东、实际控制人不存在同业竞争。</w:t>
      </w:r>
    </w:p>
    <w:p>
      <w:pPr>
        <w:pStyle w:val="Heading3"/>
        <w:spacing w:line="338" w:lineRule="auto"/>
        <w:ind w:left="633" w:right="996"/>
        <w:jc w:val="left"/>
      </w:pPr>
      <w:r>
        <w:rPr>
          <w:rFonts w:ascii="Times New Roman" w:hAnsi="Times New Roman" w:cs="Times New Roman" w:eastAsia="Times New Roman" w:hint="default"/>
        </w:rPr>
        <w:t>2</w:t>
      </w:r>
      <w:r>
        <w:rPr/>
        <w:t>、人员独立 </w:t>
      </w:r>
      <w:r>
        <w:rPr>
          <w:spacing w:val="-6"/>
        </w:rPr>
        <w:t>公司董事、监事及高级管理人员均严格按照《公司法》《公司章程》的有关规定产生，控</w:t>
      </w:r>
    </w:p>
    <w:p>
      <w:pPr>
        <w:spacing w:after="0" w:line="338" w:lineRule="auto"/>
        <w:jc w:val="left"/>
        <w:sectPr>
          <w:pgSz w:w="11910" w:h="16840"/>
          <w:pgMar w:header="877" w:footer="980" w:top="1060" w:bottom="1160" w:left="980" w:right="0"/>
        </w:sectPr>
      </w:pPr>
    </w:p>
    <w:p>
      <w:pPr>
        <w:spacing w:line="240" w:lineRule="auto" w:before="6"/>
        <w:rPr>
          <w:rFonts w:ascii="宋体" w:hAnsi="宋体" w:cs="宋体" w:eastAsia="宋体" w:hint="default"/>
          <w:sz w:val="29"/>
          <w:szCs w:val="29"/>
        </w:rPr>
      </w:pPr>
    </w:p>
    <w:p>
      <w:pPr>
        <w:pStyle w:val="Heading3"/>
        <w:spacing w:line="357" w:lineRule="auto" w:before="26"/>
        <w:ind w:right="996"/>
        <w:jc w:val="left"/>
      </w:pPr>
      <w:r>
        <w:rPr/>
        <w:t>股股东没有干预公司董事会和股东大会已经作出的人事任免决定。公司在劳动、人事、工资</w:t>
      </w:r>
      <w:r>
        <w:rPr>
          <w:spacing w:val="-91"/>
        </w:rPr>
        <w:t> </w:t>
      </w:r>
      <w:r>
        <w:rPr>
          <w:spacing w:val="-91"/>
        </w:rPr>
      </w:r>
      <w:r>
        <w:rPr/>
        <w:t>管理等方面均完全独立。</w:t>
      </w:r>
    </w:p>
    <w:p>
      <w:pPr>
        <w:pStyle w:val="Heading3"/>
        <w:spacing w:line="338" w:lineRule="auto"/>
        <w:ind w:left="633" w:right="996"/>
        <w:jc w:val="left"/>
      </w:pPr>
      <w:r>
        <w:rPr>
          <w:rFonts w:ascii="Times New Roman" w:hAnsi="Times New Roman" w:cs="Times New Roman" w:eastAsia="Times New Roman" w:hint="default"/>
        </w:rPr>
        <w:t>3</w:t>
      </w:r>
      <w:r>
        <w:rPr/>
        <w:t>、资产完整 公司具有独立的法人资格，对公司财产拥有独立的法人财产权，公司拥有独立的房屋产</w:t>
      </w:r>
    </w:p>
    <w:p>
      <w:pPr>
        <w:pStyle w:val="Heading3"/>
        <w:spacing w:line="240" w:lineRule="auto" w:before="55"/>
        <w:ind w:right="996"/>
        <w:jc w:val="left"/>
      </w:pPr>
      <w:r>
        <w:rPr/>
        <w:t>权和经营权，公司的资产完全独立于控股股东。</w:t>
      </w:r>
    </w:p>
    <w:p>
      <w:pPr>
        <w:pStyle w:val="Heading3"/>
        <w:spacing w:line="338" w:lineRule="auto" w:before="154"/>
        <w:ind w:left="633" w:right="996"/>
        <w:jc w:val="left"/>
      </w:pPr>
      <w:r>
        <w:rPr>
          <w:rFonts w:ascii="Times New Roman" w:hAnsi="Times New Roman" w:cs="Times New Roman" w:eastAsia="Times New Roman" w:hint="default"/>
        </w:rPr>
        <w:t>4</w:t>
      </w:r>
      <w:r>
        <w:rPr/>
        <w:t>、机构独立 公司通过股东大会、董事会、监事会、独立董事及各专门委员会制度，强化权力制衡机</w:t>
      </w:r>
    </w:p>
    <w:p>
      <w:pPr>
        <w:pStyle w:val="Heading3"/>
        <w:spacing w:line="357" w:lineRule="auto" w:before="55"/>
        <w:ind w:right="1138"/>
        <w:jc w:val="both"/>
      </w:pPr>
      <w:r>
        <w:rPr/>
        <w:t>制，形成了有效的法人治理结构。在内部机构设置上，公司建立了适应自身发展需要的组织</w:t>
      </w:r>
      <w:r>
        <w:rPr>
          <w:spacing w:val="-91"/>
        </w:rPr>
        <w:t> </w:t>
      </w:r>
      <w:r>
        <w:rPr>
          <w:spacing w:val="-91"/>
        </w:rPr>
      </w:r>
      <w:r>
        <w:rPr/>
        <w:t>机构，明确了各机构职能，定员定岗，并制定了相应的内部管理与控制制度。公司各职能部</w:t>
      </w:r>
      <w:r>
        <w:rPr>
          <w:spacing w:val="-91"/>
        </w:rPr>
        <w:t> </w:t>
      </w:r>
      <w:r>
        <w:rPr>
          <w:spacing w:val="-91"/>
        </w:rPr>
      </w:r>
      <w:r>
        <w:rPr/>
        <w:t>门均独立履行其职能，独立开展生产经营活动，不存在受实际控制人、股东或关联方干预之</w:t>
      </w:r>
      <w:r>
        <w:rPr>
          <w:spacing w:val="-91"/>
        </w:rPr>
        <w:t> </w:t>
      </w:r>
      <w:r>
        <w:rPr>
          <w:spacing w:val="-91"/>
        </w:rPr>
      </w:r>
      <w:r>
        <w:rPr/>
        <w:t>情形。</w:t>
      </w:r>
    </w:p>
    <w:p>
      <w:pPr>
        <w:pStyle w:val="Heading3"/>
        <w:spacing w:line="338" w:lineRule="auto"/>
        <w:ind w:left="633" w:right="996"/>
        <w:jc w:val="left"/>
      </w:pPr>
      <w:r>
        <w:rPr>
          <w:rFonts w:ascii="Times New Roman" w:hAnsi="Times New Roman" w:cs="Times New Roman" w:eastAsia="Times New Roman" w:hint="default"/>
        </w:rPr>
        <w:t>5</w:t>
      </w:r>
      <w:r>
        <w:rPr/>
        <w:t>、财务独立 公司有独立的财务部门，配备独立的财务人员，建立了独立的会计核算体系和财务管理</w:t>
      </w:r>
    </w:p>
    <w:p>
      <w:pPr>
        <w:pStyle w:val="Heading3"/>
        <w:spacing w:line="357" w:lineRule="auto" w:before="55"/>
        <w:ind w:right="996"/>
        <w:jc w:val="left"/>
      </w:pPr>
      <w:r>
        <w:rPr>
          <w:spacing w:val="-2"/>
        </w:rPr>
        <w:t>制度，独立管理公司财务档案，能够根据《公司章程》规定的程序和权限独立作出财务决策。</w:t>
      </w:r>
      <w:r>
        <w:rPr/>
        <w:t> 公司及子公司均为独立核算主体，独立在银行开户，不存在与实际控制人共用银行账户之情</w:t>
      </w:r>
      <w:r>
        <w:rPr>
          <w:spacing w:val="-91"/>
        </w:rPr>
        <w:t> </w:t>
      </w:r>
      <w:r>
        <w:rPr>
          <w:spacing w:val="-91"/>
        </w:rPr>
      </w:r>
      <w:r>
        <w:rPr/>
        <w:t>形，亦不存在将资金存入实际控制人银行账户之情形，资金使用亦不受实际控制人干预。</w:t>
      </w:r>
    </w:p>
    <w:p>
      <w:pPr>
        <w:spacing w:line="240" w:lineRule="auto" w:before="11"/>
        <w:rPr>
          <w:rFonts w:ascii="宋体" w:hAnsi="宋体" w:cs="宋体" w:eastAsia="宋体" w:hint="default"/>
          <w:sz w:val="19"/>
          <w:szCs w:val="19"/>
        </w:rPr>
      </w:pPr>
    </w:p>
    <w:p>
      <w:pPr>
        <w:pStyle w:val="Heading2"/>
        <w:spacing w:line="240" w:lineRule="auto"/>
        <w:ind w:right="996"/>
        <w:jc w:val="left"/>
        <w:rPr>
          <w:b w:val="0"/>
          <w:bCs w:val="0"/>
        </w:rPr>
      </w:pPr>
      <w:r>
        <w:rPr/>
        <w:t>三、同业竞争情况</w:t>
      </w:r>
      <w:r>
        <w:rPr>
          <w:b w:val="0"/>
          <w:bCs w:val="0"/>
        </w:rPr>
      </w:r>
    </w:p>
    <w:p>
      <w:pPr>
        <w:spacing w:line="240" w:lineRule="auto" w:before="8"/>
        <w:rPr>
          <w:rFonts w:ascii="宋体" w:hAnsi="宋体" w:cs="宋体" w:eastAsia="宋体" w:hint="default"/>
          <w:b/>
          <w:bCs/>
          <w:sz w:val="28"/>
          <w:szCs w:val="28"/>
        </w:rPr>
      </w:pPr>
    </w:p>
    <w:p>
      <w:pPr>
        <w:pStyle w:val="Heading3"/>
        <w:spacing w:line="240" w:lineRule="auto" w:before="0"/>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6"/>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6"/>
      </w:tblGrid>
      <w:tr>
        <w:trPr>
          <w:trHeight w:val="71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问题类型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控股股东性质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问题成因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解决措施</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03" w:right="71" w:hanging="629"/>
              <w:jc w:val="left"/>
              <w:rPr>
                <w:rFonts w:ascii="宋体" w:hAnsi="宋体" w:cs="宋体" w:eastAsia="宋体" w:hint="default"/>
                <w:sz w:val="18"/>
                <w:szCs w:val="18"/>
              </w:rPr>
            </w:pPr>
            <w:r>
              <w:rPr>
                <w:rFonts w:ascii="宋体" w:hAnsi="宋体" w:cs="宋体" w:eastAsia="宋体" w:hint="default"/>
                <w:sz w:val="18"/>
                <w:szCs w:val="18"/>
              </w:rPr>
              <w:t>工作进度及后续计 划</w:t>
            </w:r>
          </w:p>
        </w:tc>
      </w:tr>
    </w:tbl>
    <w:p>
      <w:pPr>
        <w:spacing w:after="0" w:line="314"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55.5pt;margin-top:72.47998pt;width:79.350pt;height:249.65pt;mso-position-horizontal-relative:page;mso-position-vertical-relative:page;z-index:-1244104" coordorigin="9110,1450" coordsize="1587,4993">
            <v:shape style="position:absolute;left:9110;top:1450;width:1587;height:4993" coordorigin="9110,1450" coordsize="1587,4993" path="m9110,6443l10696,6443,10696,1450,9110,1450,9110,6443xe" filled="true" fillcolor="#ffffff" stroked="false">
              <v:path arrowok="t"/>
              <v:fill type="solid"/>
            </v:shape>
            <w10:wrap type="none"/>
          </v:group>
        </w:pict>
      </w:r>
      <w:r>
        <w:rPr/>
        <w:pict>
          <v:group style="position:absolute;margin-left:455.5pt;margin-top:341.689972pt;width:79.350pt;height:249.65pt;mso-position-horizontal-relative:page;mso-position-vertical-relative:page;z-index:-1244080" coordorigin="9110,6834" coordsize="1587,4993">
            <v:shape style="position:absolute;left:9110;top:6834;width:1587;height:4993" coordorigin="9110,6834" coordsize="1587,4993" path="m9110,11826l10696,11826,10696,6834,9110,6834,9110,11826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1596"/>
        <w:gridCol w:w="1594"/>
        <w:gridCol w:w="1596"/>
        <w:gridCol w:w="1606"/>
        <w:gridCol w:w="1582"/>
        <w:gridCol w:w="1596"/>
      </w:tblGrid>
      <w:tr>
        <w:trPr>
          <w:trHeight w:val="1038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同业竞争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5"/>
              <w:ind w:left="24" w:right="118"/>
              <w:jc w:val="left"/>
              <w:rPr>
                <w:rFonts w:ascii="宋体" w:hAnsi="宋体" w:cs="宋体" w:eastAsia="宋体" w:hint="default"/>
                <w:sz w:val="18"/>
                <w:szCs w:val="18"/>
              </w:rPr>
            </w:pPr>
            <w:r>
              <w:rPr>
                <w:rFonts w:ascii="宋体" w:hAnsi="宋体" w:cs="宋体" w:eastAsia="宋体" w:hint="default"/>
                <w:sz w:val="18"/>
                <w:szCs w:val="18"/>
              </w:rPr>
              <w:t>深圳前海宝德资产 管理有限公司</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06"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3" w:right="19"/>
              <w:jc w:val="left"/>
              <w:rPr>
                <w:rFonts w:ascii="宋体" w:hAnsi="宋体" w:cs="宋体" w:eastAsia="宋体" w:hint="default"/>
                <w:sz w:val="18"/>
                <w:szCs w:val="18"/>
              </w:rPr>
            </w:pPr>
            <w:r>
              <w:rPr>
                <w:rFonts w:ascii="宋体" w:hAnsi="宋体" w:cs="宋体" w:eastAsia="宋体" w:hint="default"/>
                <w:sz w:val="18"/>
                <w:szCs w:val="18"/>
              </w:rPr>
              <w:t>上海美峰为中青宝 </w:t>
            </w:r>
            <w:r>
              <w:rPr>
                <w:rFonts w:ascii="宋体" w:hAnsi="宋体" w:cs="宋体" w:eastAsia="宋体" w:hint="default"/>
                <w:spacing w:val="-10"/>
                <w:sz w:val="18"/>
                <w:szCs w:val="18"/>
              </w:rPr>
              <w:t>控股子公司，公司持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有上海美峰 </w:t>
            </w:r>
            <w:r>
              <w:rPr>
                <w:rFonts w:ascii="Times New Roman" w:hAnsi="Times New Roman" w:cs="Times New Roman" w:eastAsia="Times New Roman" w:hint="default"/>
                <w:sz w:val="18"/>
                <w:szCs w:val="18"/>
              </w:rPr>
              <w:t>71.6334%</w:t>
            </w:r>
            <w:r>
              <w:rPr>
                <w:rFonts w:ascii="宋体" w:hAnsi="宋体" w:cs="宋体" w:eastAsia="宋体" w:hint="default"/>
                <w:sz w:val="18"/>
                <w:szCs w:val="18"/>
              </w:rPr>
              <w:t>的股权。</w:t>
            </w:r>
          </w:p>
          <w:p>
            <w:pPr>
              <w:pStyle w:val="TableParagraph"/>
              <w:spacing w:line="316" w:lineRule="auto"/>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 中青宝与前海宝德 </w:t>
            </w:r>
            <w:r>
              <w:rPr>
                <w:rFonts w:ascii="宋体" w:hAnsi="宋体" w:cs="宋体" w:eastAsia="宋体" w:hint="default"/>
                <w:spacing w:val="-10"/>
                <w:sz w:val="18"/>
                <w:szCs w:val="18"/>
              </w:rPr>
              <w:t>签署了《上海美峰数</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码科技有限公司股 </w:t>
            </w:r>
            <w:r>
              <w:rPr>
                <w:rFonts w:ascii="宋体" w:hAnsi="宋体" w:cs="宋体" w:eastAsia="宋体" w:hint="default"/>
                <w:spacing w:val="-11"/>
                <w:sz w:val="18"/>
                <w:szCs w:val="18"/>
              </w:rPr>
              <w:t>权转让协议》，中青</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宝将持有的上海美 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71.6334%</w:t>
            </w:r>
            <w:r>
              <w:rPr>
                <w:rFonts w:ascii="宋体" w:hAnsi="宋体" w:cs="宋体" w:eastAsia="宋体" w:hint="default"/>
                <w:sz w:val="18"/>
                <w:szCs w:val="18"/>
              </w:rPr>
              <w:t>股权转 </w:t>
            </w:r>
            <w:r>
              <w:rPr>
                <w:rFonts w:ascii="宋体" w:hAnsi="宋体" w:cs="宋体" w:eastAsia="宋体" w:hint="default"/>
                <w:spacing w:val="-10"/>
                <w:sz w:val="18"/>
                <w:szCs w:val="18"/>
              </w:rPr>
              <w:t>让给前海宝德，本次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交易完成后，上海美</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峰成为前海宝德的 </w:t>
            </w:r>
            <w:r>
              <w:rPr>
                <w:rFonts w:ascii="宋体" w:hAnsi="宋体" w:cs="宋体" w:eastAsia="宋体" w:hint="default"/>
                <w:spacing w:val="-10"/>
                <w:sz w:val="18"/>
                <w:szCs w:val="18"/>
              </w:rPr>
              <w:t>控股子公司，前海宝</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德控股股东、实际控</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制人未发生变更；前</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海宝德开展的移动 游戏业务同中青宝 开展的互联网移动 游戏业务会存在潜 在同业竞争。</w:t>
            </w:r>
          </w:p>
        </w:tc>
        <w:tc>
          <w:tcPr>
            <w:tcW w:w="1582"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49"/>
              <w:ind w:right="2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前海宝德、中青宝承</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诺，为解决本次交易</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完成后中青宝与</w:t>
            </w:r>
            <w:r>
              <w:rPr>
                <w:rFonts w:ascii="宋体" w:hAnsi="宋体" w:cs="宋体" w:eastAsia="宋体" w:hint="default"/>
                <w:spacing w:val="1"/>
                <w:sz w:val="18"/>
                <w:szCs w:val="18"/>
              </w:rPr>
              <w:t> </w:t>
            </w:r>
            <w:r>
              <w:rPr>
                <w:rFonts w:ascii="宋体" w:hAnsi="宋体" w:cs="宋体" w:eastAsia="宋体" w:hint="default"/>
                <w:sz w:val="18"/>
                <w:szCs w:val="18"/>
              </w:rPr>
              <w:t>前</w:t>
            </w:r>
            <w:r>
              <w:rPr>
                <w:rFonts w:ascii="宋体" w:hAnsi="宋体" w:cs="宋体" w:eastAsia="宋体" w:hint="default"/>
                <w:sz w:val="18"/>
                <w:szCs w:val="18"/>
              </w:rPr>
              <w:t> 海宝德的潜在同业 </w:t>
            </w:r>
            <w:r>
              <w:rPr>
                <w:rFonts w:ascii="宋体" w:hAnsi="宋体" w:cs="宋体" w:eastAsia="宋体" w:hint="default"/>
                <w:spacing w:val="-10"/>
                <w:sz w:val="18"/>
                <w:szCs w:val="18"/>
              </w:rPr>
              <w:t>竞争问题，本次交易</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完成后的五年之内 前海宝德应当进行 </w:t>
            </w:r>
            <w:r>
              <w:rPr>
                <w:rFonts w:ascii="宋体" w:hAnsi="宋体" w:cs="宋体" w:eastAsia="宋体" w:hint="default"/>
                <w:spacing w:val="-10"/>
                <w:sz w:val="18"/>
                <w:szCs w:val="18"/>
              </w:rPr>
              <w:t>业务调整，即前海宝</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德除了与中青宝展 开互联网移动游戏 </w:t>
            </w:r>
            <w:r>
              <w:rPr>
                <w:rFonts w:ascii="宋体" w:hAnsi="宋体" w:cs="宋体" w:eastAsia="宋体" w:hint="default"/>
                <w:spacing w:val="-10"/>
                <w:sz w:val="18"/>
                <w:szCs w:val="18"/>
              </w:rPr>
              <w:t>业务合作之外，不得</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自</w:t>
            </w:r>
            <w:r>
              <w:rPr>
                <w:rFonts w:ascii="宋体" w:hAnsi="宋体" w:cs="宋体" w:eastAsia="宋体" w:hint="default"/>
                <w:spacing w:val="1"/>
                <w:sz w:val="18"/>
                <w:szCs w:val="18"/>
              </w:rPr>
              <w:t> </w:t>
            </w:r>
            <w:r>
              <w:rPr>
                <w:rFonts w:ascii="宋体" w:hAnsi="宋体" w:cs="宋体" w:eastAsia="宋体" w:hint="default"/>
                <w:sz w:val="18"/>
                <w:szCs w:val="18"/>
              </w:rPr>
              <w:t>营或与他人合作</w:t>
            </w:r>
            <w:r>
              <w:rPr>
                <w:rFonts w:ascii="宋体" w:hAnsi="宋体" w:cs="宋体" w:eastAsia="宋体" w:hint="default"/>
                <w:sz w:val="18"/>
                <w:szCs w:val="18"/>
              </w:rPr>
              <w:t> 经营互联网移动游 </w:t>
            </w:r>
            <w:r>
              <w:rPr>
                <w:rFonts w:ascii="宋体" w:hAnsi="宋体" w:cs="宋体" w:eastAsia="宋体" w:hint="default"/>
                <w:spacing w:val="-10"/>
                <w:sz w:val="18"/>
                <w:szCs w:val="18"/>
              </w:rPr>
              <w:t>戏业务，且前海宝德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涉及互联网移动游 戏业务所形成的归 属于前海宝德的一 </w:t>
            </w:r>
            <w:r>
              <w:rPr>
                <w:rFonts w:ascii="宋体" w:hAnsi="宋体" w:cs="宋体" w:eastAsia="宋体" w:hint="default"/>
                <w:spacing w:val="-10"/>
                <w:sz w:val="18"/>
                <w:szCs w:val="18"/>
              </w:rPr>
              <w:t>切收入，除维持必要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的日常经营所需部 分资金，均</w:t>
            </w:r>
            <w:r>
              <w:rPr>
                <w:rFonts w:ascii="宋体" w:hAnsi="宋体" w:cs="宋体" w:eastAsia="宋体" w:hint="default"/>
                <w:spacing w:val="1"/>
                <w:sz w:val="18"/>
                <w:szCs w:val="18"/>
              </w:rPr>
              <w:t> </w:t>
            </w:r>
            <w:r>
              <w:rPr>
                <w:rFonts w:ascii="宋体" w:hAnsi="宋体" w:cs="宋体" w:eastAsia="宋体" w:hint="default"/>
                <w:sz w:val="18"/>
                <w:szCs w:val="18"/>
              </w:rPr>
              <w:t>应当通</w:t>
            </w:r>
            <w:r>
              <w:rPr>
                <w:rFonts w:ascii="宋体" w:hAnsi="宋体" w:cs="宋体" w:eastAsia="宋体" w:hint="default"/>
                <w:sz w:val="18"/>
                <w:szCs w:val="18"/>
              </w:rPr>
              <w:t> </w:t>
            </w:r>
            <w:r>
              <w:rPr>
                <w:rFonts w:ascii="宋体" w:hAnsi="宋体" w:cs="宋体" w:eastAsia="宋体" w:hint="default"/>
                <w:spacing w:val="-10"/>
                <w:sz w:val="18"/>
                <w:szCs w:val="18"/>
              </w:rPr>
              <w:t>过合法、合规的商业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安排归入中青宝所 </w:t>
            </w:r>
            <w:r>
              <w:rPr>
                <w:rFonts w:ascii="宋体" w:hAnsi="宋体" w:cs="宋体" w:eastAsia="宋体" w:hint="default"/>
                <w:spacing w:val="-10"/>
                <w:sz w:val="18"/>
                <w:szCs w:val="18"/>
              </w:rPr>
              <w:t>有；前海宝德、中青</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宝承诺，本次</w:t>
            </w:r>
            <w:r>
              <w:rPr>
                <w:rFonts w:ascii="宋体" w:hAnsi="宋体" w:cs="宋体" w:eastAsia="宋体" w:hint="default"/>
                <w:spacing w:val="1"/>
                <w:sz w:val="18"/>
                <w:szCs w:val="18"/>
              </w:rPr>
              <w:t> </w:t>
            </w:r>
            <w:r>
              <w:rPr>
                <w:rFonts w:ascii="宋体" w:hAnsi="宋体" w:cs="宋体" w:eastAsia="宋体" w:hint="default"/>
                <w:sz w:val="18"/>
                <w:szCs w:val="18"/>
              </w:rPr>
              <w:t>交易</w:t>
            </w:r>
            <w:r>
              <w:rPr>
                <w:rFonts w:ascii="宋体" w:hAnsi="宋体" w:cs="宋体" w:eastAsia="宋体" w:hint="default"/>
                <w:sz w:val="18"/>
                <w:szCs w:val="18"/>
              </w:rPr>
              <w:t> 完成后的五年之内 如上述同业竞争未 能得到有效解决的 将通过对上海美</w:t>
            </w:r>
            <w:r>
              <w:rPr>
                <w:rFonts w:ascii="宋体" w:hAnsi="宋体" w:cs="宋体" w:eastAsia="宋体" w:hint="default"/>
                <w:spacing w:val="1"/>
                <w:sz w:val="18"/>
                <w:szCs w:val="18"/>
              </w:rPr>
              <w:t> </w:t>
            </w:r>
            <w:r>
              <w:rPr>
                <w:rFonts w:ascii="宋体" w:hAnsi="宋体" w:cs="宋体" w:eastAsia="宋体" w:hint="default"/>
                <w:sz w:val="18"/>
                <w:szCs w:val="18"/>
              </w:rPr>
              <w:t>峰</w:t>
            </w:r>
            <w:r>
              <w:rPr>
                <w:rFonts w:ascii="宋体" w:hAnsi="宋体" w:cs="宋体" w:eastAsia="宋体" w:hint="default"/>
                <w:sz w:val="18"/>
                <w:szCs w:val="18"/>
              </w:rPr>
              <w:t> 进行业务终止或将 上海美峰的全部股 权转让给无关联第 三方等方式以有效 解决同业竞争</w:t>
            </w:r>
            <w:r>
              <w:rPr>
                <w:rFonts w:ascii="Times New Roman" w:hAnsi="Times New Roman" w:cs="Times New Roman" w:eastAsia="Times New Roman" w:hint="default"/>
                <w:sz w:val="18"/>
                <w:szCs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履行中</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55.5pt;margin-top:72.47998pt;width:79.350pt;height:171.65pt;mso-position-horizontal-relative:page;mso-position-vertical-relative:page;z-index:-1244056" coordorigin="9110,1450" coordsize="1587,3433">
            <v:shape style="position:absolute;left:9110;top:1450;width:1587;height:3433" coordorigin="9110,1450" coordsize="1587,3433" path="m9110,4882l10696,4882,10696,1450,9110,1450,9110,4882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1596"/>
        <w:gridCol w:w="1594"/>
        <w:gridCol w:w="1596"/>
        <w:gridCol w:w="1594"/>
        <w:gridCol w:w="1594"/>
        <w:gridCol w:w="1596"/>
      </w:tblGrid>
      <w:tr>
        <w:trPr>
          <w:trHeight w:val="726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同业竞争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宝德科技</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4" w:lineRule="auto"/>
              <w:ind w:left="23" w:right="19"/>
              <w:jc w:val="left"/>
              <w:rPr>
                <w:rFonts w:ascii="宋体" w:hAnsi="宋体" w:cs="宋体" w:eastAsia="宋体" w:hint="default"/>
                <w:sz w:val="18"/>
                <w:szCs w:val="18"/>
              </w:rPr>
            </w:pPr>
            <w:r>
              <w:rPr>
                <w:rFonts w:ascii="宋体" w:hAnsi="宋体" w:cs="宋体" w:eastAsia="宋体" w:hint="default"/>
                <w:sz w:val="18"/>
                <w:szCs w:val="18"/>
              </w:rPr>
              <w:t>中青宝收购宝腾互 </w:t>
            </w:r>
            <w:r>
              <w:rPr>
                <w:rFonts w:ascii="宋体" w:hAnsi="宋体" w:cs="宋体" w:eastAsia="宋体" w:hint="default"/>
                <w:spacing w:val="-10"/>
                <w:sz w:val="18"/>
                <w:szCs w:val="18"/>
              </w:rPr>
              <w:t>联后，中青宝拥有深</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圳观澜机房并开展 </w:t>
            </w:r>
            <w:r>
              <w:rPr>
                <w:rFonts w:ascii="Times New Roman" w:hAnsi="Times New Roman" w:cs="Times New Roman" w:eastAsia="Times New Roman" w:hint="default"/>
                <w:w w:val="99"/>
                <w:sz w:val="18"/>
                <w:szCs w:val="18"/>
              </w:rPr>
              <w:t>IDC </w:t>
            </w:r>
            <w:r>
              <w:rPr>
                <w:rFonts w:ascii="宋体" w:hAnsi="宋体" w:cs="宋体" w:eastAsia="宋体" w:hint="default"/>
                <w:spacing w:val="-11"/>
                <w:sz w:val="18"/>
                <w:szCs w:val="18"/>
              </w:rPr>
              <w:t>业务；宝德科技</w:t>
            </w:r>
            <w:r>
              <w:rPr>
                <w:rFonts w:ascii="宋体" w:hAnsi="宋体" w:cs="宋体" w:eastAsia="宋体" w:hint="default"/>
                <w:sz w:val="18"/>
                <w:szCs w:val="18"/>
              </w:rPr>
              <w:t> 仍拥有广州萝岗机 房可开展 </w:t>
            </w:r>
            <w:r>
              <w:rPr>
                <w:rFonts w:ascii="Times New Roman" w:hAnsi="Times New Roman" w:cs="Times New Roman" w:eastAsia="Times New Roman" w:hint="default"/>
                <w:sz w:val="18"/>
                <w:szCs w:val="18"/>
              </w:rPr>
              <w:t>IDC </w:t>
            </w:r>
            <w:r>
              <w:rPr>
                <w:rFonts w:ascii="宋体" w:hAnsi="宋体" w:cs="宋体" w:eastAsia="宋体" w:hint="default"/>
                <w:sz w:val="18"/>
                <w:szCs w:val="18"/>
              </w:rPr>
              <w:t>业 </w:t>
            </w:r>
            <w:r>
              <w:rPr>
                <w:rFonts w:ascii="宋体" w:hAnsi="宋体" w:cs="宋体" w:eastAsia="宋体" w:hint="default"/>
                <w:spacing w:val="-10"/>
                <w:sz w:val="18"/>
                <w:szCs w:val="18"/>
              </w:rPr>
              <w:t>务；宝德科技系中青</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宝控股股东之一，交</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易完成后，中青宝与</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宝德科技存在潜在 同业竞争。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10"/>
                <w:sz w:val="18"/>
                <w:szCs w:val="18"/>
              </w:rPr>
              <w:t>宝德科技承诺，为解</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决本次交易完成后 中青宝与宝德科技 潜在同业竞争问题 </w:t>
            </w:r>
            <w:r>
              <w:rPr>
                <w:rFonts w:ascii="宋体" w:hAnsi="宋体" w:cs="宋体" w:eastAsia="宋体" w:hint="default"/>
                <w:spacing w:val="-10"/>
                <w:sz w:val="18"/>
                <w:szCs w:val="18"/>
              </w:rPr>
              <w:t>本次交易完成后，在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广州萝岗机房已符 合注入中青宝条件 注入中青宝不存在 </w:t>
            </w:r>
            <w:r>
              <w:rPr>
                <w:rFonts w:ascii="宋体" w:hAnsi="宋体" w:cs="宋体" w:eastAsia="宋体" w:hint="default"/>
                <w:spacing w:val="-10"/>
                <w:sz w:val="18"/>
                <w:szCs w:val="18"/>
              </w:rPr>
              <w:t>实质性障碍时，宝德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科技可与中青宝就 注入的条款进行协 商并在双方达成及 签署正式协议后通 </w:t>
            </w:r>
            <w:r>
              <w:rPr>
                <w:rFonts w:ascii="宋体" w:hAnsi="宋体" w:cs="宋体" w:eastAsia="宋体" w:hint="default"/>
                <w:spacing w:val="-10"/>
                <w:sz w:val="18"/>
                <w:szCs w:val="18"/>
              </w:rPr>
              <w:t>过现金收购、资产重</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组或其他等方式将 广州萝岗机房注入 </w:t>
            </w:r>
            <w:r>
              <w:rPr>
                <w:rFonts w:ascii="宋体" w:hAnsi="宋体" w:cs="宋体" w:eastAsia="宋体" w:hint="default"/>
                <w:spacing w:val="-10"/>
                <w:sz w:val="18"/>
                <w:szCs w:val="18"/>
              </w:rPr>
              <w:t>中青宝；宝德科技亦</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可通过终止广州萝 岗机房业务或将广 州萝岗机房全部资 产转让予无关联第 三方等方式以有效 解决同业竞争问题</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履行中</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6"/>
                <w:szCs w:val="26"/>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996"/>
        <w:jc w:val="left"/>
        <w:rPr>
          <w:b w:val="0"/>
          <w:bCs w:val="0"/>
        </w:rPr>
      </w:pPr>
      <w:r>
        <w:rPr/>
        <w:pict>
          <v:group style="position:absolute;margin-left:455.5pt;margin-top:-184.024368pt;width:79.350pt;height:171.65pt;mso-position-horizontal-relative:page;mso-position-vertical-relative:paragraph;z-index:-1244032" coordorigin="9110,-3680" coordsize="1587,3433">
            <v:shape style="position:absolute;left:9110;top:-3680;width:1587;height:3433" coordorigin="9110,-3680" coordsize="1587,3433" path="m9110,-248l10696,-248,10696,-3680,9110,-3680,9110,-248xe" filled="true" fillcolor="#ffffff" stroked="false">
              <v:path arrowok="t"/>
              <v:fill type="solid"/>
            </v:shape>
            <w10:wrap type="none"/>
          </v:group>
        </w:pict>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8"/>
          <w:szCs w:val="28"/>
        </w:rPr>
      </w:pPr>
    </w:p>
    <w:p>
      <w:pPr>
        <w:pStyle w:val="Heading2"/>
        <w:spacing w:line="240" w:lineRule="auto"/>
        <w:ind w:right="996"/>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5"/>
        <w:rPr>
          <w:rFonts w:ascii="宋体" w:hAnsi="宋体" w:cs="宋体" w:eastAsia="宋体"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42.87%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27.51%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32.10%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pStyle w:val="Heading2"/>
        <w:spacing w:line="240" w:lineRule="auto" w:before="39"/>
        <w:ind w:right="996"/>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513" w:lineRule="auto" w:before="136"/>
        <w:ind w:left="152" w:right="6297" w:firstLine="0"/>
        <w:jc w:val="left"/>
        <w:rPr>
          <w:rFonts w:ascii="宋体" w:hAnsi="宋体" w:cs="宋体" w:eastAsia="宋体" w:hint="default"/>
          <w:sz w:val="24"/>
          <w:szCs w:val="24"/>
        </w:rPr>
      </w:pPr>
      <w:r>
        <w:rPr/>
        <w:pict>
          <v:shape style="position:absolute;margin-left:56.700001pt;margin-top:97.611641pt;width:478.6pt;height:20.1pt;mso-position-horizontal-relative:page;mso-position-vertical-relative:paragraph;z-index:-1244008" type="#_x0000_t202" filled="true" fillcolor="#d2d2d2" stroked="true" strokeweight=".47998pt" strokecolor="#000000">
            <v:textbox inset="0,0,0,0">
              <w:txbxContent>
                <w:p>
                  <w:pPr>
                    <w:spacing w:before="49"/>
                    <w:ind w:left="-1" w:right="1" w:firstLine="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xbxContent>
            </v:textbox>
            <v:fill type="solid"/>
            <w10:wrap type="none"/>
          </v:shape>
        </w:pict>
      </w: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五、报告期内独立董事履行职责的情况</w:t>
      </w:r>
      <w:r>
        <w:rPr>
          <w:rFonts w:ascii="宋体" w:hAnsi="宋体" w:cs="宋体" w:eastAsia="宋体" w:hint="default"/>
          <w:b/>
          <w:bCs/>
          <w:w w:val="99"/>
          <w:sz w:val="24"/>
          <w:szCs w:val="24"/>
        </w:rPr>
        <w:t> </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、独立董事出席董事会及股东大会的情况</w:t>
      </w:r>
      <w:r>
        <w:rPr>
          <w:rFonts w:ascii="宋体" w:hAnsi="宋体" w:cs="宋体" w:eastAsia="宋体" w:hint="default"/>
          <w:sz w:val="24"/>
          <w:szCs w:val="24"/>
        </w:rPr>
      </w:r>
    </w:p>
    <w:p>
      <w:pPr>
        <w:spacing w:after="0" w:line="513" w:lineRule="auto"/>
        <w:jc w:val="left"/>
        <w:rPr>
          <w:rFonts w:ascii="宋体" w:hAnsi="宋体" w:cs="宋体" w:eastAsia="宋体" w:hint="default"/>
          <w:sz w:val="24"/>
          <w:szCs w:val="24"/>
        </w:rPr>
        <w:sectPr>
          <w:pgSz w:w="11910" w:h="16840"/>
          <w:pgMar w:header="877"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428"/>
        <w:gridCol w:w="1165"/>
        <w:gridCol w:w="1164"/>
        <w:gridCol w:w="1162"/>
        <w:gridCol w:w="1164"/>
        <w:gridCol w:w="1162"/>
        <w:gridCol w:w="1165"/>
        <w:gridCol w:w="1164"/>
      </w:tblGrid>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8" w:right="34"/>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5"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王一江</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梅月欣</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2</w:t>
            </w:r>
          </w:p>
        </w:tc>
      </w:tr>
    </w:tbl>
    <w:p>
      <w:pPr>
        <w:spacing w:line="348" w:lineRule="auto" w:before="39"/>
        <w:ind w:left="152" w:right="6056" w:firstLine="0"/>
        <w:jc w:val="left"/>
        <w:rPr>
          <w:rFonts w:ascii="宋体" w:hAnsi="宋体" w:cs="宋体" w:eastAsia="宋体" w:hint="default"/>
          <w:sz w:val="24"/>
          <w:szCs w:val="24"/>
        </w:rPr>
      </w:pPr>
      <w:r>
        <w:rPr>
          <w:rFonts w:ascii="宋体" w:hAnsi="宋体" w:cs="宋体" w:eastAsia="宋体" w:hint="default"/>
          <w:sz w:val="24"/>
          <w:szCs w:val="24"/>
        </w:rPr>
        <w:t>连续两次未亲自出席董事会的说明 </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、独立董事对公司有关事项提出异议的情况</w:t>
      </w:r>
      <w:r>
        <w:rPr>
          <w:rFonts w:ascii="宋体" w:hAnsi="宋体" w:cs="宋体" w:eastAsia="宋体" w:hint="default"/>
          <w:b/>
          <w:bCs/>
          <w:w w:val="99"/>
          <w:sz w:val="24"/>
          <w:szCs w:val="24"/>
        </w:rPr>
        <w:t> </w:t>
      </w:r>
      <w:r>
        <w:rPr>
          <w:rFonts w:ascii="宋体" w:hAnsi="宋体" w:cs="宋体" w:eastAsia="宋体" w:hint="default"/>
          <w:sz w:val="24"/>
          <w:szCs w:val="24"/>
        </w:rPr>
        <w:t>独立董事对公司有关事项是否提出异议</w:t>
      </w:r>
    </w:p>
    <w:p>
      <w:pPr>
        <w:spacing w:line="345" w:lineRule="auto" w:before="46"/>
        <w:ind w:left="152" w:right="5714"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是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否 报告期内独立董事对公司有关事项未提出异议。 </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、独立董事履行职责的其他说明</w:t>
      </w:r>
      <w:r>
        <w:rPr>
          <w:rFonts w:ascii="宋体" w:hAnsi="宋体" w:cs="宋体" w:eastAsia="宋体" w:hint="default"/>
          <w:b/>
          <w:bCs/>
          <w:w w:val="99"/>
          <w:sz w:val="24"/>
          <w:szCs w:val="24"/>
        </w:rPr>
        <w:t> </w:t>
      </w:r>
      <w:r>
        <w:rPr>
          <w:rFonts w:ascii="宋体" w:hAnsi="宋体" w:cs="宋体" w:eastAsia="宋体" w:hint="default"/>
          <w:sz w:val="24"/>
          <w:szCs w:val="24"/>
        </w:rPr>
        <w:t>独立董事对公司有关建议是否被采纳</w:t>
      </w:r>
    </w:p>
    <w:p>
      <w:pPr>
        <w:pStyle w:val="Heading3"/>
        <w:spacing w:line="338" w:lineRule="auto" w:before="48"/>
        <w:ind w:right="54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 独立董事对公司有关建议被采纳或未被采纳的说明</w:t>
      </w:r>
    </w:p>
    <w:p>
      <w:pPr>
        <w:pStyle w:val="Heading3"/>
        <w:spacing w:line="357" w:lineRule="auto" w:before="55"/>
        <w:ind w:right="1131" w:firstLine="480"/>
        <w:jc w:val="both"/>
      </w:pPr>
      <w:r>
        <w:rPr>
          <w:spacing w:val="-12"/>
        </w:rPr>
        <w:t>报告期内，公司独立董事严格按照《公司法》、《证券法》、《深圳证券交易所创业板股票</w:t>
      </w:r>
      <w:r>
        <w:rPr/>
        <w:t> </w:t>
      </w:r>
      <w:r>
        <w:rPr>
          <w:spacing w:val="-6"/>
        </w:rPr>
        <w:t>上市规则》、《深圳证券交易所创业板上市公司规范运作指引》及《公司章程》等法律法规及</w:t>
      </w:r>
      <w:r>
        <w:rPr>
          <w:spacing w:val="-85"/>
        </w:rPr>
        <w:t> </w:t>
      </w:r>
      <w:r>
        <w:rPr>
          <w:spacing w:val="-85"/>
        </w:rPr>
      </w:r>
      <w:r>
        <w:rPr/>
        <w:t>规章制度的相关规定，勤勉尽责、忠实履行独立董事职责，全体独立董事在任职期间内积极</w:t>
      </w:r>
      <w:r>
        <w:rPr>
          <w:spacing w:val="-91"/>
        </w:rPr>
        <w:t> </w:t>
      </w:r>
      <w:r>
        <w:rPr>
          <w:spacing w:val="-91"/>
        </w:rPr>
      </w:r>
      <w:r>
        <w:rPr/>
        <w:t>出席公司召开的董事会及董事会专门委员会会议，认真审议董事会各项议案，并对相关事项</w:t>
      </w:r>
      <w:r>
        <w:rPr>
          <w:spacing w:val="-91"/>
        </w:rPr>
        <w:t> </w:t>
      </w:r>
      <w:r>
        <w:rPr>
          <w:spacing w:val="-91"/>
        </w:rPr>
      </w:r>
      <w:r>
        <w:rPr/>
        <w:t>发表了独立意见，对公司董事会审议的事项未提出过异议。独立董事凭借自身专业知识和实</w:t>
      </w:r>
      <w:r>
        <w:rPr>
          <w:spacing w:val="-91"/>
        </w:rPr>
        <w:t> </w:t>
      </w:r>
      <w:r>
        <w:rPr>
          <w:spacing w:val="-91"/>
        </w:rPr>
      </w:r>
      <w:r>
        <w:rPr/>
        <w:t>务经验，为公司日常经营管理提供了有价值的指导意见，有效推动公司规范化治理，履行对</w:t>
      </w:r>
      <w:r>
        <w:rPr>
          <w:spacing w:val="-91"/>
        </w:rPr>
        <w:t> </w:t>
      </w:r>
      <w:r>
        <w:rPr>
          <w:spacing w:val="-91"/>
        </w:rPr>
      </w:r>
      <w:r>
        <w:rPr/>
        <w:t>全体股东诚信及勤勉义务，保护全体股东利益。</w:t>
      </w:r>
    </w:p>
    <w:p>
      <w:pPr>
        <w:spacing w:line="240" w:lineRule="auto" w:before="11"/>
        <w:rPr>
          <w:rFonts w:ascii="宋体" w:hAnsi="宋体" w:cs="宋体" w:eastAsia="宋体" w:hint="default"/>
          <w:sz w:val="19"/>
          <w:szCs w:val="19"/>
        </w:rPr>
      </w:pPr>
    </w:p>
    <w:p>
      <w:pPr>
        <w:pStyle w:val="Heading2"/>
        <w:spacing w:line="240" w:lineRule="auto"/>
        <w:ind w:right="996"/>
        <w:jc w:val="left"/>
        <w:rPr>
          <w:b w:val="0"/>
          <w:bCs w:val="0"/>
        </w:rPr>
      </w:pPr>
      <w:r>
        <w:rPr/>
        <w:t>六、董事会下设专门委员会在报告期内履行职责情况</w:t>
      </w:r>
      <w:r>
        <w:rPr>
          <w:b w:val="0"/>
          <w:bCs w:val="0"/>
        </w:rPr>
      </w:r>
    </w:p>
    <w:p>
      <w:pPr>
        <w:spacing w:line="240" w:lineRule="auto" w:before="11"/>
        <w:rPr>
          <w:rFonts w:ascii="宋体" w:hAnsi="宋体" w:cs="宋体" w:eastAsia="宋体" w:hint="default"/>
          <w:b/>
          <w:bCs/>
          <w:sz w:val="28"/>
          <w:szCs w:val="28"/>
        </w:rPr>
      </w:pPr>
    </w:p>
    <w:p>
      <w:pPr>
        <w:pStyle w:val="Heading3"/>
        <w:spacing w:line="338" w:lineRule="auto" w:before="0"/>
        <w:ind w:left="633" w:right="996"/>
        <w:jc w:val="left"/>
      </w:pPr>
      <w:r>
        <w:rPr>
          <w:rFonts w:ascii="Times New Roman" w:hAnsi="Times New Roman" w:cs="Times New Roman" w:eastAsia="Times New Roman" w:hint="default"/>
        </w:rPr>
        <w:t>1</w:t>
      </w:r>
      <w:r>
        <w:rPr/>
        <w:t>、董事会审计委员会履职情况 报告期内，第四届董事会审计委员会根据公司《董事会审计委员会工作细则》及其他法</w:t>
      </w:r>
    </w:p>
    <w:p>
      <w:pPr>
        <w:pStyle w:val="Heading3"/>
        <w:spacing w:line="352" w:lineRule="auto" w:before="56"/>
        <w:ind w:right="1131"/>
        <w:jc w:val="both"/>
      </w:pPr>
      <w:r>
        <w:rPr/>
        <w:t>律法规的相关规定积极开展工作，其主要职责包括监督审核公司财务信息、监督公司内部审</w:t>
      </w:r>
      <w:r>
        <w:rPr>
          <w:spacing w:val="-91"/>
        </w:rPr>
        <w:t> </w:t>
      </w:r>
      <w:r>
        <w:rPr>
          <w:spacing w:val="-91"/>
        </w:rPr>
      </w:r>
      <w:r>
        <w:rPr/>
        <w:t>计实施情况、审查公司内部控制制度及重大关联交易事项、及内部审计与外部审计的沟通事</w:t>
      </w:r>
      <w:r>
        <w:rPr>
          <w:spacing w:val="-91"/>
        </w:rPr>
        <w:t> </w:t>
      </w:r>
      <w:r>
        <w:rPr>
          <w:spacing w:val="-91"/>
        </w:rPr>
      </w:r>
      <w:r>
        <w:rPr/>
        <w:t>项等。报告期内，公司第四届董事会审计委员会共召开 </w:t>
      </w:r>
      <w:r>
        <w:rPr>
          <w:rFonts w:ascii="Times New Roman" w:hAnsi="Times New Roman" w:cs="Times New Roman" w:eastAsia="Times New Roman" w:hint="default"/>
        </w:rPr>
        <w:t>4</w:t>
      </w:r>
      <w:r>
        <w:rPr>
          <w:rFonts w:ascii="Times New Roman" w:hAnsi="Times New Roman" w:cs="Times New Roman" w:eastAsia="Times New Roman" w:hint="default"/>
          <w:spacing w:val="-21"/>
        </w:rPr>
        <w:t> </w:t>
      </w:r>
      <w:r>
        <w:rPr/>
        <w:t>次会议，全体委员在任职期间均亲 自出席了会议，主要审议了公司的年度报告、半年度报告及季度报告等定期报告、募集资金</w:t>
      </w:r>
      <w:r>
        <w:rPr>
          <w:spacing w:val="-91"/>
        </w:rPr>
        <w:t> </w:t>
      </w:r>
      <w:r>
        <w:rPr>
          <w:spacing w:val="-91"/>
        </w:rPr>
      </w:r>
      <w:r>
        <w:rPr/>
        <w:t>存放与实际使用情况报告、审计部定期工作总结及工作计划、内部控制情况及核销部分资产</w:t>
      </w:r>
    </w:p>
    <w:p>
      <w:pPr>
        <w:spacing w:after="0" w:line="352" w:lineRule="auto"/>
        <w:jc w:val="both"/>
        <w:sectPr>
          <w:pgSz w:w="11910" w:h="16840"/>
          <w:pgMar w:header="877" w:footer="980" w:top="1060" w:bottom="1160" w:left="980" w:right="0"/>
        </w:sectPr>
      </w:pPr>
    </w:p>
    <w:p>
      <w:pPr>
        <w:spacing w:line="240" w:lineRule="auto" w:before="6"/>
        <w:rPr>
          <w:rFonts w:ascii="宋体" w:hAnsi="宋体" w:cs="宋体" w:eastAsia="宋体" w:hint="default"/>
          <w:sz w:val="29"/>
          <w:szCs w:val="29"/>
        </w:rPr>
      </w:pPr>
    </w:p>
    <w:p>
      <w:pPr>
        <w:pStyle w:val="Heading3"/>
        <w:spacing w:line="348" w:lineRule="auto" w:before="26"/>
        <w:ind w:left="633" w:right="996" w:hanging="481"/>
        <w:jc w:val="left"/>
      </w:pPr>
      <w:r>
        <w:rPr/>
        <w:t>等相关事项。报告期内不存在审计委员会委员对于审议议案存在反对意见的情况。 </w:t>
      </w:r>
      <w:r>
        <w:rPr>
          <w:rFonts w:ascii="Times New Roman" w:hAnsi="Times New Roman" w:cs="Times New Roman" w:eastAsia="Times New Roman" w:hint="default"/>
        </w:rPr>
        <w:t>2</w:t>
      </w:r>
      <w:r>
        <w:rPr/>
        <w:t>、董事会战略委员会履职情况 报告期内，第四届董事会战略委员会根据《董事会战略委员会工作细则》及其他法律法</w:t>
      </w:r>
    </w:p>
    <w:p>
      <w:pPr>
        <w:pStyle w:val="Heading3"/>
        <w:spacing w:line="357" w:lineRule="auto" w:before="46"/>
        <w:ind w:right="996"/>
        <w:jc w:val="left"/>
      </w:pPr>
      <w:r>
        <w:rPr>
          <w:spacing w:val="-2"/>
        </w:rPr>
        <w:t>规的相关规定积极开展工作，其主要职责包括对公司长期发展战略规划进行研究并提出建议、</w:t>
      </w:r>
      <w:r>
        <w:rPr/>
        <w:t> 对须经董事会批准的重大投资融资方案进行研究并提出建议、对须经董事会批准的重大资本</w:t>
      </w:r>
      <w:r>
        <w:rPr>
          <w:spacing w:val="-91"/>
        </w:rPr>
        <w:t> </w:t>
      </w:r>
      <w:r>
        <w:rPr>
          <w:spacing w:val="-91"/>
        </w:rPr>
      </w:r>
      <w:r>
        <w:rPr/>
        <w:t>运作、资产经营项目进行研究并提出建议、对其他影响公司发展的重大事项进行研究并提出</w:t>
      </w:r>
      <w:r>
        <w:rPr>
          <w:spacing w:val="-91"/>
        </w:rPr>
        <w:t> </w:t>
      </w:r>
      <w:r>
        <w:rPr>
          <w:spacing w:val="-91"/>
        </w:rPr>
      </w:r>
      <w:r>
        <w:rPr/>
        <w:t>建议等。报告期内，公司第四届董事会战略委员会未召开会议，各成员通过出席董事会积极</w:t>
      </w:r>
      <w:r>
        <w:rPr>
          <w:spacing w:val="-91"/>
        </w:rPr>
        <w:t> </w:t>
      </w:r>
      <w:r>
        <w:rPr>
          <w:spacing w:val="-91"/>
        </w:rPr>
      </w:r>
      <w:r>
        <w:rPr/>
        <w:t>了解公司的经营情况及行业发展状况，对公司中长期发展战略和重大投资决策提出了个人专</w:t>
      </w:r>
      <w:r>
        <w:rPr>
          <w:spacing w:val="-89"/>
        </w:rPr>
        <w:t> </w:t>
      </w:r>
      <w:r>
        <w:rPr>
          <w:spacing w:val="-89"/>
        </w:rPr>
      </w:r>
      <w:r>
        <w:rPr/>
        <w:t>业意见。</w:t>
      </w:r>
    </w:p>
    <w:p>
      <w:pPr>
        <w:pStyle w:val="Heading3"/>
        <w:spacing w:line="338" w:lineRule="auto" w:before="37"/>
        <w:ind w:left="633" w:right="996"/>
        <w:jc w:val="left"/>
      </w:pPr>
      <w:r>
        <w:rPr>
          <w:rFonts w:ascii="Times New Roman" w:hAnsi="Times New Roman" w:cs="Times New Roman" w:eastAsia="Times New Roman" w:hint="default"/>
        </w:rPr>
        <w:t>3</w:t>
      </w:r>
      <w:r>
        <w:rPr/>
        <w:t>、董事会提名委员会履职情况 报告期内，第四届董事会提名委员会根据《董事会提名委员会工作细则》及其他法律法</w:t>
      </w:r>
    </w:p>
    <w:p>
      <w:pPr>
        <w:pStyle w:val="Heading3"/>
        <w:spacing w:line="352" w:lineRule="auto" w:before="55"/>
        <w:ind w:right="1131"/>
        <w:jc w:val="both"/>
      </w:pPr>
      <w:r>
        <w:rPr/>
        <w:t>规的相关规定积极开展工作，其主要职责包括根据公司经营活动情况，资产规模和股权结构</w:t>
      </w:r>
      <w:r>
        <w:rPr>
          <w:spacing w:val="-91"/>
        </w:rPr>
        <w:t> </w:t>
      </w:r>
      <w:r>
        <w:rPr>
          <w:spacing w:val="-91"/>
        </w:rPr>
      </w:r>
      <w:r>
        <w:rPr/>
        <w:t>对董事会的规模和构成向董事会提出建议、研究董事、高级管理人员的选择标准和程序并向</w:t>
      </w:r>
      <w:r>
        <w:rPr>
          <w:spacing w:val="-91"/>
        </w:rPr>
        <w:t> </w:t>
      </w:r>
      <w:r>
        <w:rPr>
          <w:spacing w:val="-91"/>
        </w:rPr>
      </w:r>
      <w:r>
        <w:rPr/>
        <w:t>董事会提出建议、搜寻合格的董事、高级管理人员的人选、对董事候选人、高级管理人员人</w:t>
      </w:r>
      <w:r>
        <w:rPr>
          <w:spacing w:val="-91"/>
        </w:rPr>
        <w:t> </w:t>
      </w:r>
      <w:r>
        <w:rPr>
          <w:spacing w:val="-91"/>
        </w:rPr>
      </w:r>
      <w:r>
        <w:rPr/>
        <w:t>选进行审查并提出建议等。报告期内，公司第四届董事会提名委员会共召开 </w:t>
      </w:r>
      <w:r>
        <w:rPr>
          <w:rFonts w:ascii="Times New Roman" w:hAnsi="Times New Roman" w:cs="Times New Roman" w:eastAsia="Times New Roman" w:hint="default"/>
        </w:rPr>
        <w:t>1</w:t>
      </w:r>
      <w:r>
        <w:rPr>
          <w:rFonts w:ascii="Times New Roman" w:hAnsi="Times New Roman" w:cs="Times New Roman" w:eastAsia="Times New Roman" w:hint="default"/>
          <w:spacing w:val="-20"/>
        </w:rPr>
        <w:t> </w:t>
      </w:r>
      <w:r>
        <w:rPr/>
        <w:t>次会议，全体 委员在任职期间均亲自出席了会议，主要审议了公司总经理续聘事项，并提交董事会审议。</w:t>
      </w:r>
      <w:r>
        <w:rPr>
          <w:spacing w:val="-90"/>
        </w:rPr>
        <w:t> </w:t>
      </w:r>
      <w:r>
        <w:rPr>
          <w:spacing w:val="-90"/>
        </w:rPr>
      </w:r>
      <w:r>
        <w:rPr/>
        <w:t>报告期内不存在提名委员会委员对于审议议案存在反对意见的情况。</w:t>
      </w:r>
    </w:p>
    <w:p>
      <w:pPr>
        <w:pStyle w:val="Heading3"/>
        <w:spacing w:line="338" w:lineRule="auto" w:before="41"/>
        <w:ind w:left="633" w:right="996"/>
        <w:jc w:val="left"/>
      </w:pPr>
      <w:r>
        <w:rPr>
          <w:rFonts w:ascii="Times New Roman" w:hAnsi="Times New Roman" w:cs="Times New Roman" w:eastAsia="Times New Roman" w:hint="default"/>
        </w:rPr>
        <w:t>4</w:t>
      </w:r>
      <w:r>
        <w:rPr/>
        <w:t>、董事会薪酬与考核委员会履职情况 报告期内，第四届董事会薪酬与考核委员会根据《董事会薪酬与考核委员会工作细则》</w:t>
      </w:r>
    </w:p>
    <w:p>
      <w:pPr>
        <w:pStyle w:val="Heading3"/>
        <w:spacing w:line="357" w:lineRule="auto" w:before="55"/>
        <w:ind w:right="1132"/>
        <w:jc w:val="both"/>
      </w:pPr>
      <w:r>
        <w:rPr/>
        <w:t>及其他法律法规的相关规定积极开展工作，其主要职责包括根据董事及高级管理人员管理岗</w:t>
      </w:r>
      <w:r>
        <w:rPr>
          <w:spacing w:val="-91"/>
        </w:rPr>
        <w:t> </w:t>
      </w:r>
      <w:r>
        <w:rPr>
          <w:spacing w:val="-91"/>
        </w:rPr>
      </w:r>
      <w:r>
        <w:rPr/>
        <w:t>位的主要范围、职责、重要性以及其他可比公司相关岗位的薪酬水平制定薪酬计划或方案、</w:t>
      </w:r>
      <w:r>
        <w:rPr>
          <w:spacing w:val="-91"/>
        </w:rPr>
        <w:t> </w:t>
      </w:r>
      <w:r>
        <w:rPr>
          <w:spacing w:val="-91"/>
        </w:rPr>
      </w:r>
      <w:r>
        <w:rPr/>
        <w:t>审查公司董事及高级管理人员履行职责情况并对其进行年度绩效考评、对公司基本薪酬制度</w:t>
      </w:r>
      <w:r>
        <w:rPr>
          <w:spacing w:val="-91"/>
        </w:rPr>
        <w:t> </w:t>
      </w:r>
      <w:r>
        <w:rPr>
          <w:spacing w:val="-91"/>
        </w:rPr>
      </w:r>
      <w:r>
        <w:rPr/>
        <w:t>执行情况进行审查并监督、拟定公司股权激励计划并对其执行情况进行审查等。报告期内，</w:t>
      </w:r>
      <w:r>
        <w:rPr>
          <w:spacing w:val="-89"/>
        </w:rPr>
        <w:t> </w:t>
      </w:r>
      <w:r>
        <w:rPr>
          <w:spacing w:val="-89"/>
        </w:rPr>
      </w:r>
      <w:r>
        <w:rPr/>
        <w:t>公司第四届董事会薪酬与考核委员会共召开 </w:t>
      </w:r>
      <w:r>
        <w:rPr>
          <w:rFonts w:ascii="Times New Roman" w:hAnsi="Times New Roman" w:cs="Times New Roman" w:eastAsia="Times New Roman" w:hint="default"/>
        </w:rPr>
        <w:t>4</w:t>
      </w:r>
      <w:r>
        <w:rPr>
          <w:rFonts w:ascii="Times New Roman" w:hAnsi="Times New Roman" w:cs="Times New Roman" w:eastAsia="Times New Roman" w:hint="default"/>
          <w:spacing w:val="-21"/>
        </w:rPr>
        <w:t> </w:t>
      </w:r>
      <w:r>
        <w:rPr/>
        <w:t>次会议，全体委员在任职期间均亲自出席了会</w:t>
      </w:r>
    </w:p>
    <w:p>
      <w:pPr>
        <w:pStyle w:val="Heading3"/>
        <w:spacing w:line="350" w:lineRule="auto" w:before="5"/>
        <w:ind w:right="1131"/>
        <w:jc w:val="both"/>
      </w:pPr>
      <w:r>
        <w:rPr/>
        <w:t>议，主要审议了公司</w:t>
      </w:r>
      <w:r>
        <w:rPr>
          <w:spacing w:val="-5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0"/>
        </w:rPr>
        <w:t> </w:t>
      </w:r>
      <w:r>
        <w:rPr/>
        <w:t>年度董事、高级管理人员薪酬情况及</w:t>
      </w:r>
      <w:r>
        <w:rPr>
          <w:spacing w:val="-5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9"/>
        </w:rPr>
        <w:t> </w:t>
      </w:r>
      <w:r>
        <w:rPr/>
        <w:t>年度董事、高级管理人 员薪酬方案、回购注销已不符合激励条件激励对象已获授但尚未解锁的限制性股票、向激励</w:t>
      </w:r>
      <w:r>
        <w:rPr>
          <w:spacing w:val="-91"/>
        </w:rPr>
        <w:t> </w:t>
      </w:r>
      <w:r>
        <w:rPr>
          <w:spacing w:val="-91"/>
        </w:rPr>
      </w:r>
      <w:r>
        <w:rPr/>
        <w:t>对象授予预留限制性股票等相关事项，并将拟定议案提交公司董事会审议。报告期内不存在</w:t>
      </w:r>
      <w:r>
        <w:rPr>
          <w:spacing w:val="-91"/>
        </w:rPr>
        <w:t> </w:t>
      </w:r>
      <w:r>
        <w:rPr>
          <w:spacing w:val="-91"/>
        </w:rPr>
      </w:r>
      <w:r>
        <w:rPr/>
        <w:t>薪酬与考核委员会委员对于审议议案存在反对意见的情况。</w:t>
      </w:r>
    </w:p>
    <w:p>
      <w:pPr>
        <w:spacing w:after="0" w:line="350" w:lineRule="auto"/>
        <w:jc w:val="both"/>
        <w:sectPr>
          <w:pgSz w:w="11910" w:h="16840"/>
          <w:pgMar w:header="877"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r>
        <w:rPr/>
        <w:t>七、监事会工作情况</w:t>
      </w:r>
      <w:r>
        <w:rPr>
          <w:b w:val="0"/>
          <w:bCs w:val="0"/>
        </w:rPr>
      </w:r>
    </w:p>
    <w:p>
      <w:pPr>
        <w:spacing w:line="240" w:lineRule="auto" w:before="11"/>
        <w:rPr>
          <w:rFonts w:ascii="宋体" w:hAnsi="宋体" w:cs="宋体" w:eastAsia="宋体" w:hint="default"/>
          <w:b/>
          <w:bCs/>
          <w:sz w:val="28"/>
          <w:szCs w:val="28"/>
        </w:rPr>
      </w:pPr>
    </w:p>
    <w:p>
      <w:pPr>
        <w:pStyle w:val="Heading3"/>
        <w:spacing w:line="240" w:lineRule="auto" w:before="0"/>
        <w:ind w:right="0"/>
        <w:jc w:val="both"/>
      </w:pPr>
      <w:r>
        <w:rPr/>
        <w:t>监事会在报告期内的监督活动中发现公司是否存在风险</w:t>
      </w:r>
    </w:p>
    <w:p>
      <w:pPr>
        <w:pStyle w:val="Heading3"/>
        <w:spacing w:line="338" w:lineRule="auto" w:before="154"/>
        <w:ind w:right="61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否 公司监事会对报告期内的监督事项无异议。</w:t>
      </w:r>
    </w:p>
    <w:p>
      <w:pPr>
        <w:spacing w:line="688" w:lineRule="exact" w:before="8"/>
        <w:ind w:left="633" w:right="996" w:hanging="481"/>
        <w:jc w:val="left"/>
        <w:rPr>
          <w:rFonts w:ascii="宋体" w:hAnsi="宋体" w:cs="宋体" w:eastAsia="宋体" w:hint="default"/>
          <w:sz w:val="24"/>
          <w:szCs w:val="24"/>
        </w:rPr>
      </w:pPr>
      <w:r>
        <w:rPr>
          <w:rFonts w:ascii="宋体" w:hAnsi="宋体" w:cs="宋体" w:eastAsia="宋体" w:hint="default"/>
          <w:b/>
          <w:bCs/>
          <w:sz w:val="24"/>
          <w:szCs w:val="24"/>
        </w:rPr>
        <w:t>八、高级管理人员的考评及激励情况</w:t>
      </w:r>
      <w:r>
        <w:rPr>
          <w:rFonts w:ascii="宋体" w:hAnsi="宋体" w:cs="宋体" w:eastAsia="宋体" w:hint="default"/>
          <w:b/>
          <w:bCs/>
          <w:w w:val="99"/>
          <w:sz w:val="24"/>
          <w:szCs w:val="24"/>
        </w:rPr>
        <w:t> </w:t>
      </w:r>
      <w:r>
        <w:rPr>
          <w:rFonts w:ascii="宋体" w:hAnsi="宋体" w:cs="宋体" w:eastAsia="宋体" w:hint="default"/>
          <w:sz w:val="24"/>
          <w:szCs w:val="24"/>
        </w:rPr>
        <w:t>为了保障公司董事、监事依法履行职权，健全公司薪酬管理体系，公司根据《中华人民</w:t>
      </w:r>
    </w:p>
    <w:p>
      <w:pPr>
        <w:pStyle w:val="Heading3"/>
        <w:spacing w:line="357" w:lineRule="auto" w:before="50"/>
        <w:ind w:right="1132"/>
        <w:jc w:val="both"/>
      </w:pPr>
      <w:r>
        <w:rPr>
          <w:spacing w:val="-5"/>
        </w:rPr>
        <w:t>共和国公司法》《关于上市公司建立独立董事的指导意见》等法律、法规及公司《章程》的有</w:t>
      </w:r>
      <w:r>
        <w:rPr/>
        <w:t> </w:t>
      </w:r>
      <w:r>
        <w:rPr>
          <w:spacing w:val="-5"/>
        </w:rPr>
        <w:t>关规定，公司制定了《董事、监事、高级管理人员薪酬与考核度》，建立了高级管理人员的薪</w:t>
      </w:r>
      <w:r>
        <w:rPr/>
        <w:t> 酬与公司业绩挂钩的绩效考核与激励约束机制，公司高级管理人员实行基本薪酬和年终绩效</w:t>
      </w:r>
      <w:r>
        <w:rPr>
          <w:spacing w:val="-91"/>
        </w:rPr>
        <w:t> </w:t>
      </w:r>
      <w:r>
        <w:rPr>
          <w:spacing w:val="-91"/>
        </w:rPr>
      </w:r>
      <w:r>
        <w:rPr/>
        <w:t>考核相结合的薪酬制度。</w:t>
      </w:r>
      <w:r>
        <w:rPr>
          <w:spacing w:val="-78"/>
        </w:rPr>
        <w:t> </w:t>
      </w:r>
      <w:r>
        <w:rPr/>
        <w:t>高级管理人员的薪酬方案按照公司《董事会薪酬与考核委员会工作</w:t>
      </w:r>
      <w:r>
        <w:rPr/>
        <w:t> </w:t>
      </w:r>
      <w:r>
        <w:rPr>
          <w:spacing w:val="-5"/>
        </w:rPr>
        <w:t>细则》《董事、监事和高级管理人员薪酬与考核制度》等规定由董事会薪酬与考核委员会根据</w:t>
      </w:r>
      <w:r>
        <w:rPr>
          <w:spacing w:val="-118"/>
        </w:rPr>
        <w:t> </w:t>
      </w:r>
      <w:r>
        <w:rPr>
          <w:spacing w:val="-118"/>
        </w:rPr>
      </w:r>
      <w:r>
        <w:rPr/>
        <w:t>职位、责任、能力、市场薪资行情等因素拟定，经董事会、监事会审议通过后实施。高级管</w:t>
      </w:r>
      <w:r>
        <w:rPr>
          <w:spacing w:val="-91"/>
        </w:rPr>
        <w:t> </w:t>
      </w:r>
      <w:r>
        <w:rPr>
          <w:spacing w:val="-91"/>
        </w:rPr>
      </w:r>
      <w:r>
        <w:rPr/>
        <w:t>理人员的基本工资按月发放，绩效年薪则结合其经营绩效、工作能力、岗位职责等考核确定</w:t>
      </w:r>
      <w:r>
        <w:rPr>
          <w:spacing w:val="-91"/>
        </w:rPr>
        <w:t> </w:t>
      </w:r>
      <w:r>
        <w:rPr>
          <w:spacing w:val="-91"/>
        </w:rPr>
      </w:r>
      <w:r>
        <w:rPr/>
        <w:t>并发放。</w:t>
      </w:r>
    </w:p>
    <w:p>
      <w:pPr>
        <w:spacing w:line="240" w:lineRule="auto" w:before="11"/>
        <w:rPr>
          <w:rFonts w:ascii="宋体" w:hAnsi="宋体" w:cs="宋体" w:eastAsia="宋体" w:hint="default"/>
          <w:sz w:val="19"/>
          <w:szCs w:val="19"/>
        </w:rPr>
      </w:pPr>
    </w:p>
    <w:p>
      <w:pPr>
        <w:pStyle w:val="Heading2"/>
        <w:spacing w:line="240" w:lineRule="auto"/>
        <w:ind w:right="0"/>
        <w:jc w:val="both"/>
        <w:rPr>
          <w:b w:val="0"/>
          <w:bCs w:val="0"/>
        </w:rPr>
      </w:pPr>
      <w:r>
        <w:rPr/>
        <w:t>九、内部控制评价报告</w:t>
      </w:r>
      <w:r>
        <w:rPr>
          <w:b w:val="0"/>
          <w:bCs w:val="0"/>
        </w:rPr>
      </w:r>
    </w:p>
    <w:p>
      <w:pPr>
        <w:spacing w:line="240" w:lineRule="auto" w:before="11"/>
        <w:rPr>
          <w:rFonts w:ascii="宋体" w:hAnsi="宋体" w:cs="宋体" w:eastAsia="宋体" w:hint="default"/>
          <w:b/>
          <w:bCs/>
          <w:sz w:val="28"/>
          <w:szCs w:val="28"/>
        </w:rPr>
      </w:pPr>
    </w:p>
    <w:p>
      <w:pPr>
        <w:pStyle w:val="Heading2"/>
        <w:spacing w:line="240" w:lineRule="auto"/>
        <w:ind w:right="0"/>
        <w:jc w:val="both"/>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pStyle w:val="Heading3"/>
        <w:spacing w:line="240" w:lineRule="auto" w:before="135"/>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否</w:t>
      </w:r>
    </w:p>
    <w:p>
      <w:pPr>
        <w:pStyle w:val="Heading2"/>
        <w:spacing w:line="240" w:lineRule="auto" w:before="135"/>
        <w:ind w:right="0"/>
        <w:jc w:val="both"/>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5"/>
        <w:rPr>
          <w:rFonts w:ascii="宋体" w:hAnsi="宋体" w:cs="宋体" w:eastAsia="宋体" w:hint="default"/>
          <w:b/>
          <w:bCs/>
          <w:sz w:val="7"/>
          <w:szCs w:val="7"/>
        </w:rPr>
      </w:pPr>
    </w:p>
    <w:tbl>
      <w:tblPr>
        <w:tblW w:w="0" w:type="auto"/>
        <w:jc w:val="left"/>
        <w:tblInd w:w="160" w:type="dxa"/>
        <w:tblLayout w:type="fixed"/>
        <w:tblCellMar>
          <w:top w:w="0" w:type="dxa"/>
          <w:left w:w="0" w:type="dxa"/>
          <w:bottom w:w="0" w:type="dxa"/>
          <w:right w:w="0" w:type="dxa"/>
        </w:tblCellMar>
        <w:tblLook w:val="01E0"/>
      </w:tblPr>
      <w:tblGrid>
        <w:gridCol w:w="3179"/>
        <w:gridCol w:w="3329"/>
        <w:gridCol w:w="3051"/>
      </w:tblGrid>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6"/>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6"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6" w:hRule="exact"/>
        </w:trPr>
        <w:tc>
          <w:tcPr>
            <w:tcW w:w="95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8"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7"/>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bl>
    <w:p>
      <w:pPr>
        <w:spacing w:after="0" w:line="240" w:lineRule="auto"/>
        <w:jc w:val="center"/>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4"/>
          <w:szCs w:val="24"/>
        </w:rPr>
      </w:pPr>
    </w:p>
    <w:p>
      <w:pPr>
        <w:spacing w:before="44"/>
        <w:ind w:left="0" w:right="1139" w:firstLine="0"/>
        <w:jc w:val="right"/>
        <w:rPr>
          <w:rFonts w:ascii="宋体" w:hAnsi="宋体" w:cs="宋体" w:eastAsia="宋体" w:hint="default"/>
          <w:sz w:val="18"/>
          <w:szCs w:val="18"/>
        </w:rPr>
      </w:pPr>
      <w:r>
        <w:rPr/>
        <w:pict>
          <v:shape style="position:absolute;margin-left:56.459999pt;margin-top:-63.148285pt;width:479.2pt;height:355.15pt;mso-position-horizontal-relative:page;mso-position-vertical-relative:paragraph;z-index:22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22"/>
                    <w:gridCol w:w="3053"/>
                  </w:tblGrid>
                  <w:tr>
                    <w:trPr>
                      <w:trHeight w:val="414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2" w:lineRule="auto" w:before="126"/>
                          <w:ind w:left="24" w:right="17"/>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、重大缺陷： </w:t>
                        </w:r>
                        <w:r>
                          <w:rPr>
                            <w:rFonts w:ascii="宋体" w:hAnsi="宋体" w:cs="宋体" w:eastAsia="宋体" w:hint="default"/>
                            <w:sz w:val="18"/>
                            <w:szCs w:val="18"/>
                          </w:rPr>
                          <w:t>①控制环境无效；</w:t>
                        </w:r>
                        <w:r>
                          <w:rPr>
                            <w:rFonts w:ascii="宋体" w:hAnsi="宋体" w:cs="宋体" w:eastAsia="宋体" w:hint="default"/>
                            <w:spacing w:val="-38"/>
                            <w:sz w:val="18"/>
                            <w:szCs w:val="18"/>
                          </w:rPr>
                          <w:t> </w:t>
                        </w:r>
                        <w:r>
                          <w:rPr>
                            <w:rFonts w:ascii="宋体" w:hAnsi="宋体" w:cs="宋体" w:eastAsia="宋体" w:hint="default"/>
                            <w:sz w:val="18"/>
                            <w:szCs w:val="18"/>
                          </w:rPr>
                          <w:t>②发现</w:t>
                        </w:r>
                        <w:r>
                          <w:rPr>
                            <w:rFonts w:ascii="宋体" w:hAnsi="宋体" w:cs="宋体" w:eastAsia="宋体" w:hint="default"/>
                            <w:sz w:val="18"/>
                            <w:szCs w:val="18"/>
                          </w:rPr>
                          <w:t> </w:t>
                        </w:r>
                        <w:r>
                          <w:rPr>
                            <w:rFonts w:ascii="宋体" w:hAnsi="宋体" w:cs="宋体" w:eastAsia="宋体" w:hint="default"/>
                            <w:spacing w:val="-3"/>
                            <w:sz w:val="18"/>
                            <w:szCs w:val="18"/>
                          </w:rPr>
                          <w:t>董事、监事和高级管理人员舞弊；</w:t>
                        </w:r>
                        <w:r>
                          <w:rPr>
                            <w:rFonts w:ascii="宋体" w:hAnsi="宋体" w:cs="宋体" w:eastAsia="宋体" w:hint="default"/>
                            <w:spacing w:val="-20"/>
                            <w:sz w:val="18"/>
                            <w:szCs w:val="18"/>
                          </w:rPr>
                          <w:t> </w:t>
                        </w:r>
                        <w:r>
                          <w:rPr>
                            <w:rFonts w:ascii="宋体" w:hAnsi="宋体" w:cs="宋体" w:eastAsia="宋体" w:hint="default"/>
                            <w:sz w:val="18"/>
                            <w:szCs w:val="18"/>
                          </w:rPr>
                          <w:t>③外部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审计发现当期财务报表存在重大错报，而 内部控制在运行过程中未能发现该错报；</w:t>
                        </w:r>
                      </w:p>
                      <w:p>
                        <w:pPr>
                          <w:pStyle w:val="TableParagraph"/>
                          <w:spacing w:line="312" w:lineRule="auto" w:before="22"/>
                          <w:ind w:left="24" w:right="47"/>
                          <w:jc w:val="both"/>
                          <w:rPr>
                            <w:rFonts w:ascii="Times New Roman" w:hAnsi="Times New Roman" w:cs="Times New Roman" w:eastAsia="Times New Roman" w:hint="default"/>
                            <w:sz w:val="18"/>
                            <w:szCs w:val="18"/>
                          </w:rPr>
                        </w:pPr>
                        <w:r>
                          <w:rPr>
                            <w:rFonts w:ascii="宋体" w:hAnsi="宋体" w:cs="宋体" w:eastAsia="宋体" w:hint="default"/>
                            <w:sz w:val="18"/>
                            <w:szCs w:val="18"/>
                          </w:rPr>
                          <w:t>④公司审计部对内部控制的监督无效；⑤ 内部控制评价的结果特别是重大或重要缺 陷未得到整改；⑥其他可能影响报表使用 者正确判断的缺陷。</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、重要缺陷：除重 大缺陷以外的其他情形，按影响程度分别 确定</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、一般缺陷：除重大缺陷以外的其 他情形，按影响程度分别确定</w:t>
                        </w:r>
                        <w:r>
                          <w:rPr>
                            <w:rFonts w:ascii="Times New Roman" w:hAnsi="Times New Roman" w:cs="Times New Roman" w:eastAsia="Times New Roman" w:hint="default"/>
                            <w:sz w:val="18"/>
                            <w:szCs w:val="18"/>
                          </w:rPr>
                          <w:t>"</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2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 ①、违反国家法律、 法规或规范性文件；</w:t>
                        </w:r>
                        <w:r>
                          <w:rPr>
                            <w:rFonts w:ascii="宋体" w:hAnsi="宋体" w:cs="宋体" w:eastAsia="宋体" w:hint="default"/>
                            <w:spacing w:val="1"/>
                            <w:sz w:val="18"/>
                            <w:szCs w:val="18"/>
                          </w:rPr>
                          <w:t> </w:t>
                        </w:r>
                        <w:r>
                          <w:rPr>
                            <w:rFonts w:ascii="宋体" w:hAnsi="宋体" w:cs="宋体" w:eastAsia="宋体" w:hint="default"/>
                            <w:sz w:val="18"/>
                            <w:szCs w:val="18"/>
                          </w:rPr>
                          <w:t>②、违反决策程</w:t>
                        </w:r>
                        <w:r>
                          <w:rPr>
                            <w:rFonts w:ascii="宋体" w:hAnsi="宋体" w:cs="宋体" w:eastAsia="宋体" w:hint="default"/>
                            <w:sz w:val="18"/>
                            <w:szCs w:val="18"/>
                          </w:rPr>
                          <w:t> 序，导致重大决策失误；</w:t>
                        </w:r>
                        <w:r>
                          <w:rPr>
                            <w:rFonts w:ascii="宋体" w:hAnsi="宋体" w:cs="宋体" w:eastAsia="宋体" w:hint="default"/>
                            <w:spacing w:val="1"/>
                            <w:sz w:val="18"/>
                            <w:szCs w:val="18"/>
                          </w:rPr>
                          <w:t> </w:t>
                        </w:r>
                        <w:r>
                          <w:rPr>
                            <w:rFonts w:ascii="宋体" w:hAnsi="宋体" w:cs="宋体" w:eastAsia="宋体" w:hint="default"/>
                            <w:sz w:val="18"/>
                            <w:szCs w:val="18"/>
                          </w:rPr>
                          <w:t>③、重要业</w:t>
                        </w:r>
                        <w:r>
                          <w:rPr>
                            <w:rFonts w:ascii="宋体" w:hAnsi="宋体" w:cs="宋体" w:eastAsia="宋体" w:hint="default"/>
                            <w:sz w:val="18"/>
                            <w:szCs w:val="18"/>
                          </w:rPr>
                          <w:t> 务缺乏制度性控制，或制度系统性失 效；</w:t>
                        </w:r>
                        <w:r>
                          <w:rPr>
                            <w:rFonts w:ascii="宋体" w:hAnsi="宋体" w:cs="宋体" w:eastAsia="宋体" w:hint="default"/>
                            <w:spacing w:val="-31"/>
                            <w:sz w:val="18"/>
                            <w:szCs w:val="18"/>
                          </w:rPr>
                          <w:t> </w:t>
                        </w:r>
                        <w:r>
                          <w:rPr>
                            <w:rFonts w:ascii="宋体" w:hAnsi="宋体" w:cs="宋体" w:eastAsia="宋体" w:hint="default"/>
                            <w:spacing w:val="-3"/>
                            <w:sz w:val="18"/>
                            <w:szCs w:val="18"/>
                          </w:rPr>
                          <w:t>④、媒体频频曝光重大负面新闻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严重损害声誉；</w:t>
                        </w:r>
                        <w:r>
                          <w:rPr>
                            <w:rFonts w:ascii="宋体" w:hAnsi="宋体" w:cs="宋体" w:eastAsia="宋体" w:hint="default"/>
                            <w:spacing w:val="1"/>
                            <w:sz w:val="18"/>
                            <w:szCs w:val="18"/>
                          </w:rPr>
                          <w:t> </w:t>
                        </w:r>
                        <w:r>
                          <w:rPr>
                            <w:rFonts w:ascii="宋体" w:hAnsi="宋体" w:cs="宋体" w:eastAsia="宋体" w:hint="default"/>
                            <w:sz w:val="18"/>
                            <w:szCs w:val="18"/>
                          </w:rPr>
                          <w:t>⑤、公司未对安全生</w:t>
                        </w:r>
                        <w:r>
                          <w:rPr>
                            <w:rFonts w:ascii="宋体" w:hAnsi="宋体" w:cs="宋体" w:eastAsia="宋体" w:hint="default"/>
                            <w:sz w:val="18"/>
                            <w:szCs w:val="18"/>
                          </w:rPr>
                          <w:t> </w:t>
                        </w:r>
                        <w:r>
                          <w:rPr>
                            <w:rFonts w:ascii="宋体" w:hAnsi="宋体" w:cs="宋体" w:eastAsia="宋体" w:hint="default"/>
                            <w:spacing w:val="-4"/>
                            <w:sz w:val="18"/>
                            <w:szCs w:val="18"/>
                          </w:rPr>
                          <w:t>产实施管理，造成重大人员伤亡的安全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责任事故；</w:t>
                        </w:r>
                        <w:r>
                          <w:rPr>
                            <w:rFonts w:ascii="宋体" w:hAnsi="宋体" w:cs="宋体" w:eastAsia="宋体" w:hint="default"/>
                            <w:spacing w:val="1"/>
                            <w:sz w:val="18"/>
                            <w:szCs w:val="18"/>
                          </w:rPr>
                          <w:t> </w:t>
                        </w:r>
                        <w:r>
                          <w:rPr>
                            <w:rFonts w:ascii="宋体" w:hAnsi="宋体" w:cs="宋体" w:eastAsia="宋体" w:hint="default"/>
                            <w:sz w:val="18"/>
                            <w:szCs w:val="18"/>
                          </w:rPr>
                          <w:t>⑥、管理人员或技术人员</w:t>
                        </w:r>
                        <w:r>
                          <w:rPr>
                            <w:rFonts w:ascii="宋体" w:hAnsi="宋体" w:cs="宋体" w:eastAsia="宋体" w:hint="default"/>
                            <w:sz w:val="18"/>
                            <w:szCs w:val="18"/>
                          </w:rPr>
                          <w:t> 流失严重；</w:t>
                        </w:r>
                        <w:r>
                          <w:rPr>
                            <w:rFonts w:ascii="宋体" w:hAnsi="宋体" w:cs="宋体" w:eastAsia="宋体" w:hint="default"/>
                            <w:spacing w:val="1"/>
                            <w:sz w:val="18"/>
                            <w:szCs w:val="18"/>
                          </w:rPr>
                          <w:t> </w:t>
                        </w:r>
                        <w:r>
                          <w:rPr>
                            <w:rFonts w:ascii="宋体" w:hAnsi="宋体" w:cs="宋体" w:eastAsia="宋体" w:hint="default"/>
                            <w:sz w:val="18"/>
                            <w:szCs w:val="18"/>
                          </w:rPr>
                          <w:t>⑦、其他对公司影响重大</w:t>
                        </w:r>
                        <w:r>
                          <w:rPr>
                            <w:rFonts w:ascii="宋体" w:hAnsi="宋体" w:cs="宋体" w:eastAsia="宋体" w:hint="default"/>
                            <w:sz w:val="18"/>
                            <w:szCs w:val="18"/>
                          </w:rPr>
                          <w:t> 的情形。</w:t>
                        </w:r>
                        <w:r>
                          <w:rPr>
                            <w:rFonts w:ascii="宋体" w:hAnsi="宋体" w:cs="宋体" w:eastAsia="宋体" w:hint="default"/>
                            <w:spacing w:val="-16"/>
                            <w:sz w:val="18"/>
                            <w:szCs w:val="18"/>
                          </w:rPr>
                          <w:t> </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、重要缺陷：除重大缺陷以</w:t>
                        </w:r>
                        <w:r>
                          <w:rPr>
                            <w:rFonts w:ascii="宋体" w:hAnsi="宋体" w:cs="宋体" w:eastAsia="宋体" w:hint="default"/>
                            <w:sz w:val="18"/>
                            <w:szCs w:val="18"/>
                          </w:rPr>
                          <w:t> </w:t>
                        </w:r>
                        <w:r>
                          <w:rPr>
                            <w:rFonts w:ascii="宋体" w:hAnsi="宋体" w:cs="宋体" w:eastAsia="宋体" w:hint="default"/>
                            <w:spacing w:val="-6"/>
                            <w:sz w:val="18"/>
                            <w:szCs w:val="18"/>
                          </w:rPr>
                          <w:t>外的其他情形，按影响程度分别确定</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一般缺陷：除重大缺陷以外的其他情 形，按影响程度分别确定</w:t>
                        </w:r>
                        <w:r>
                          <w:rPr>
                            <w:rFonts w:ascii="Times New Roman" w:hAnsi="Times New Roman" w:cs="Times New Roman" w:eastAsia="Times New Roman" w:hint="default"/>
                            <w:sz w:val="18"/>
                            <w:szCs w:val="18"/>
                          </w:rPr>
                          <w:t>"</w:t>
                        </w:r>
                      </w:p>
                    </w:tc>
                  </w:tr>
                  <w:tr>
                    <w:trPr>
                      <w:trHeight w:val="1339"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9"/>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、重大缺陷：税前利润的</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z w:val="18"/>
                            <w:szCs w:val="18"/>
                          </w:rPr>
                          <w:t>≤</w:t>
                        </w:r>
                        <w:r>
                          <w:rPr>
                            <w:rFonts w:ascii="宋体" w:hAnsi="宋体" w:cs="宋体" w:eastAsia="宋体" w:hint="default"/>
                            <w:sz w:val="18"/>
                            <w:szCs w:val="18"/>
                          </w:rPr>
                          <w:t>错报；</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重要缺陷：税前利润的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z w:val="18"/>
                            <w:szCs w:val="18"/>
                          </w:rPr>
                          <w:t>≤</w:t>
                        </w:r>
                        <w:r>
                          <w:rPr>
                            <w:rFonts w:ascii="宋体" w:hAnsi="宋体" w:cs="宋体" w:eastAsia="宋体" w:hint="default"/>
                            <w:sz w:val="18"/>
                            <w:szCs w:val="18"/>
                          </w:rPr>
                          <w:t>错报</w:t>
                        </w:r>
                        <w:r>
                          <w:rPr>
                            <w:rFonts w:ascii="Times New Roman" w:hAnsi="Times New Roman" w:cs="Times New Roman" w:eastAsia="Times New Roman" w:hint="default"/>
                            <w:sz w:val="18"/>
                            <w:szCs w:val="18"/>
                          </w:rPr>
                          <w:t>≤</w:t>
                        </w:r>
                        <w:r>
                          <w:rPr>
                            <w:rFonts w:ascii="宋体" w:hAnsi="宋体" w:cs="宋体" w:eastAsia="宋体" w:hint="default"/>
                            <w:sz w:val="18"/>
                            <w:szCs w:val="18"/>
                          </w:rPr>
                          <w:t>税前利 润的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宋体" w:hAnsi="宋体" w:cs="宋体" w:eastAsia="宋体" w:hint="default"/>
                            <w:spacing w:val="-5"/>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、一般缺陷：错报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税前利润</w:t>
                        </w:r>
                        <w:r>
                          <w:rPr>
                            <w:rFonts w:ascii="宋体" w:hAnsi="宋体" w:cs="宋体" w:eastAsia="宋体" w:hint="default"/>
                            <w:sz w:val="18"/>
                            <w:szCs w:val="18"/>
                          </w:rPr>
                          <w:t> 的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spacing w:before="44"/>
        <w:ind w:left="0" w:right="1136" w:firstLine="0"/>
        <w:jc w:val="right"/>
        <w:rPr>
          <w:rFonts w:ascii="宋体" w:hAnsi="宋体" w:cs="宋体" w:eastAsia="宋体" w:hint="default"/>
          <w:sz w:val="18"/>
          <w:szCs w:val="18"/>
        </w:rPr>
      </w:pPr>
      <w:r>
        <w:rPr/>
        <w:pict>
          <v:shape style="position:absolute;margin-left:376.869995pt;margin-top:51.141739pt;width:158.1pt;height:23.4pt;mso-position-horizontal-relative:page;mso-position-vertical-relative:paragraph;z-index:-1243960"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line="468" w:lineRule="exact"/>
        <w:ind w:left="6677"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152.1pt;height:23.4pt;mso-position-horizontal-relative:char;mso-position-vertical-relative:line" coordorigin="0,0" coordsize="3042,468">
            <v:group style="position:absolute;left:0;top:0;width:3042;height:468" coordorigin="0,0" coordsize="3042,468">
              <v:shape style="position:absolute;left:0;top:0;width:3042;height:468" coordorigin="0,0" coordsize="3042,468" path="m0,468l3041,468,3041,0,0,0,0,468xe" filled="true" fillcolor="#ffffff" stroked="false">
                <v:path arrowok="t"/>
                <v:fill type="solid"/>
              </v:shape>
            </v:group>
          </v:group>
        </w:pict>
      </w:r>
      <w:r>
        <w:rPr>
          <w:rFonts w:ascii="宋体" w:hAnsi="宋体" w:cs="宋体" w:eastAsia="宋体" w:hint="default"/>
          <w:position w:val="-8"/>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pStyle w:val="Heading2"/>
        <w:spacing w:line="528" w:lineRule="auto" w:before="26"/>
        <w:ind w:right="7140"/>
        <w:jc w:val="left"/>
        <w:rPr>
          <w:rFonts w:ascii="宋体" w:hAnsi="宋体" w:cs="宋体" w:eastAsia="宋体" w:hint="default"/>
          <w:b w:val="0"/>
          <w:bCs w:val="0"/>
        </w:rPr>
      </w:pPr>
      <w:r>
        <w:rPr/>
        <w:t>十、内部控制审计报告或鉴证报告</w:t>
      </w:r>
      <w:r>
        <w:rPr>
          <w:w w:val="99"/>
        </w:rPr>
        <w:t> </w:t>
      </w:r>
      <w:r>
        <w:rPr>
          <w:rFonts w:ascii="宋体" w:hAnsi="宋体" w:cs="宋体" w:eastAsia="宋体" w:hint="default"/>
          <w:b w:val="0"/>
          <w:bCs w:val="0"/>
        </w:rPr>
        <w:t>不适用</w:t>
      </w:r>
    </w:p>
    <w:p>
      <w:pPr>
        <w:spacing w:after="0" w:line="528" w:lineRule="auto"/>
        <w:jc w:val="left"/>
        <w:rPr>
          <w:rFonts w:ascii="宋体" w:hAnsi="宋体" w:cs="宋体" w:eastAsia="宋体" w:hint="default"/>
        </w:rPr>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045" w:right="996"/>
        <w:jc w:val="left"/>
        <w:rPr>
          <w:b w:val="0"/>
          <w:bCs w:val="0"/>
        </w:rPr>
      </w:pPr>
      <w:bookmarkStart w:name="_bookmark10" w:id="11"/>
      <w:bookmarkEnd w:id="11"/>
      <w:r>
        <w:rPr>
          <w:b w:val="0"/>
          <w:bCs w:val="0"/>
        </w:rPr>
      </w:r>
      <w:r>
        <w:rPr/>
        <w:t>第十一节公司债券相关情况</w:t>
      </w:r>
      <w:r>
        <w:rPr>
          <w:b w:val="0"/>
          <w:bCs w:val="0"/>
        </w:rPr>
      </w:r>
    </w:p>
    <w:p>
      <w:pPr>
        <w:spacing w:line="240" w:lineRule="auto" w:before="11"/>
        <w:rPr>
          <w:rFonts w:ascii="宋体" w:hAnsi="宋体" w:cs="宋体" w:eastAsia="宋体" w:hint="default"/>
          <w:b/>
          <w:bCs/>
          <w:sz w:val="44"/>
          <w:szCs w:val="44"/>
        </w:rPr>
      </w:pPr>
    </w:p>
    <w:p>
      <w:pPr>
        <w:pStyle w:val="Heading3"/>
        <w:spacing w:line="357" w:lineRule="auto" w:before="0"/>
        <w:ind w:right="996"/>
        <w:jc w:val="left"/>
      </w:pPr>
      <w:r>
        <w:rPr/>
        <w:t>公司是否存在公开发行并在证券交易所上市，且在年度报告批准报出日未到期或到期未能全</w:t>
      </w:r>
      <w:r>
        <w:rPr>
          <w:spacing w:val="-91"/>
        </w:rPr>
        <w:t> </w:t>
      </w:r>
      <w:r>
        <w:rPr>
          <w:spacing w:val="-91"/>
        </w:rPr>
      </w:r>
      <w:r>
        <w:rPr/>
        <w:t>额兑付的公司债券</w:t>
      </w:r>
    </w:p>
    <w:p>
      <w:pPr>
        <w:pStyle w:val="Heading3"/>
        <w:spacing w:line="240" w:lineRule="auto"/>
        <w:ind w:right="996"/>
        <w:jc w:val="left"/>
      </w:pPr>
      <w:r>
        <w:rPr/>
        <w:t>否</w:t>
      </w:r>
    </w:p>
    <w:p>
      <w:pPr>
        <w:spacing w:after="0" w:line="240"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121" w:right="1105"/>
        <w:jc w:val="center"/>
        <w:rPr>
          <w:b w:val="0"/>
          <w:bCs w:val="0"/>
        </w:rPr>
      </w:pPr>
      <w:bookmarkStart w:name="_bookmark11" w:id="12"/>
      <w:bookmarkEnd w:id="12"/>
      <w:r>
        <w:rPr>
          <w:b w:val="0"/>
          <w:bCs w:val="0"/>
        </w:rPr>
      </w:r>
      <w:r>
        <w:rPr/>
        <w:t>第十二节财务报告</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996"/>
        <w:jc w:val="left"/>
        <w:rPr>
          <w:b w:val="0"/>
          <w:bCs w:val="0"/>
        </w:rPr>
      </w:pPr>
      <w:r>
        <w:rPr/>
        <w:t>一、审计报告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XYZH/2020SZA30054</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郭晋龙、邱乐群</w:t>
            </w:r>
          </w:p>
        </w:tc>
      </w:tr>
    </w:tbl>
    <w:p>
      <w:pPr>
        <w:spacing w:before="49"/>
        <w:ind w:left="127" w:right="1105"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12"/>
        <w:rPr>
          <w:rFonts w:ascii="宋体" w:hAnsi="宋体" w:cs="宋体" w:eastAsia="宋体" w:hint="default"/>
          <w:sz w:val="14"/>
          <w:szCs w:val="14"/>
        </w:rPr>
      </w:pPr>
    </w:p>
    <w:p>
      <w:pPr>
        <w:spacing w:before="0"/>
        <w:ind w:left="125" w:right="1105" w:firstLine="0"/>
        <w:jc w:val="center"/>
        <w:rPr>
          <w:rFonts w:ascii="宋体" w:hAnsi="宋体" w:cs="宋体" w:eastAsia="宋体" w:hint="default"/>
          <w:sz w:val="28"/>
          <w:szCs w:val="28"/>
        </w:rPr>
      </w:pPr>
      <w:r>
        <w:rPr>
          <w:rFonts w:ascii="宋体" w:hAnsi="宋体" w:cs="宋体" w:eastAsia="宋体" w:hint="default"/>
          <w:b/>
          <w:bCs/>
          <w:sz w:val="28"/>
          <w:szCs w:val="28"/>
        </w:rPr>
        <w:t>审计报告</w:t>
      </w:r>
      <w:r>
        <w:rPr>
          <w:rFonts w:ascii="宋体" w:hAnsi="宋体" w:cs="宋体" w:eastAsia="宋体" w:hint="default"/>
          <w:sz w:val="28"/>
          <w:szCs w:val="28"/>
        </w:rPr>
      </w:r>
    </w:p>
    <w:p>
      <w:pPr>
        <w:spacing w:line="240" w:lineRule="auto" w:before="9"/>
        <w:rPr>
          <w:rFonts w:ascii="宋体" w:hAnsi="宋体" w:cs="宋体" w:eastAsia="宋体" w:hint="default"/>
          <w:b/>
          <w:bCs/>
          <w:sz w:val="9"/>
          <w:szCs w:val="9"/>
        </w:rPr>
      </w:pPr>
    </w:p>
    <w:p>
      <w:pPr>
        <w:pStyle w:val="BodyText"/>
        <w:spacing w:line="240" w:lineRule="auto" w:before="72"/>
        <w:ind w:left="0" w:right="1131"/>
        <w:jc w:val="right"/>
        <w:rPr>
          <w:rFonts w:ascii="Times New Roman" w:hAnsi="Times New Roman" w:cs="Times New Roman" w:eastAsia="Times New Roman" w:hint="default"/>
        </w:rPr>
      </w:pPr>
      <w:r>
        <w:rPr>
          <w:rFonts w:ascii="Times New Roman"/>
          <w:spacing w:val="-1"/>
        </w:rPr>
        <w:t>XYZH/2020SZA30054</w:t>
      </w:r>
    </w:p>
    <w:p>
      <w:pPr>
        <w:spacing w:line="240" w:lineRule="auto" w:before="2"/>
        <w:rPr>
          <w:rFonts w:ascii="Times New Roman" w:hAnsi="Times New Roman" w:cs="Times New Roman" w:eastAsia="Times New Roman" w:hint="default"/>
          <w:sz w:val="25"/>
          <w:szCs w:val="25"/>
        </w:rPr>
      </w:pPr>
    </w:p>
    <w:p>
      <w:pPr>
        <w:pStyle w:val="Heading5"/>
        <w:spacing w:line="460" w:lineRule="auto"/>
        <w:ind w:right="6337"/>
        <w:jc w:val="left"/>
        <w:rPr>
          <w:b w:val="0"/>
          <w:bCs w:val="0"/>
        </w:rPr>
      </w:pPr>
      <w:r>
        <w:rPr/>
        <w:t>深圳中青宝互动网络股份有限公司全体股东：</w:t>
      </w:r>
      <w:r>
        <w:rPr>
          <w:w w:val="99"/>
        </w:rPr>
        <w:t> </w:t>
      </w:r>
      <w:r>
        <w:rPr/>
        <w:t>一、审计意见</w:t>
      </w:r>
      <w:r>
        <w:rPr>
          <w:b w:val="0"/>
          <w:bCs w:val="0"/>
        </w:rPr>
      </w:r>
    </w:p>
    <w:p>
      <w:pPr>
        <w:pStyle w:val="BodyText"/>
        <w:spacing w:line="244" w:lineRule="auto" w:before="61"/>
        <w:ind w:right="1127" w:firstLine="439"/>
        <w:jc w:val="both"/>
      </w:pPr>
      <w:r>
        <w:rPr>
          <w:spacing w:val="-2"/>
        </w:rPr>
        <w:t>我们审计了深圳中青宝互动网络股份有限公司（以下简称中青宝公司）财务报表，包括</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rFonts w:ascii="Times New Roman" w:hAnsi="Times New Roman" w:cs="Times New Roman" w:eastAsia="Times New Roman" w:hint="default"/>
          <w:w w:val="100"/>
        </w:rPr>
        <w:t> </w:t>
      </w:r>
      <w:r>
        <w:rPr>
          <w:spacing w:val="-2"/>
        </w:rPr>
        <w:t>月</w:t>
      </w:r>
      <w:r>
        <w:rPr>
          <w:rFonts w:ascii="Times New Roman" w:hAnsi="Times New Roman" w:cs="Times New Roman" w:eastAsia="Times New Roman" w:hint="default"/>
          <w:spacing w:val="-2"/>
        </w:rPr>
        <w:t>31</w:t>
      </w:r>
      <w:r>
        <w:rPr>
          <w:spacing w:val="-2"/>
        </w:rPr>
        <w:t>日的合并及母公司资产负债表，</w:t>
      </w:r>
      <w:r>
        <w:rPr>
          <w:rFonts w:ascii="Times New Roman" w:hAnsi="Times New Roman" w:cs="Times New Roman" w:eastAsia="Times New Roman" w:hint="default"/>
          <w:spacing w:val="-2"/>
        </w:rPr>
        <w:t>2019</w:t>
      </w:r>
      <w:r>
        <w:rPr>
          <w:spacing w:val="-2"/>
        </w:rPr>
        <w:t>年度的合并及母公司利润表、合并及母公司现金流量表、合</w:t>
      </w:r>
      <w:r>
        <w:rPr>
          <w:spacing w:val="-61"/>
        </w:rPr>
        <w:t> </w:t>
      </w:r>
      <w:r>
        <w:rPr>
          <w:spacing w:val="-61"/>
        </w:rPr>
      </w:r>
      <w:r>
        <w:rPr/>
        <w:t>并及母公司股东权益变动表，以及相关财务报表附注。</w:t>
      </w:r>
    </w:p>
    <w:p>
      <w:pPr>
        <w:spacing w:line="240" w:lineRule="auto" w:before="11"/>
        <w:rPr>
          <w:rFonts w:ascii="宋体" w:hAnsi="宋体" w:cs="宋体" w:eastAsia="宋体" w:hint="default"/>
          <w:sz w:val="19"/>
          <w:szCs w:val="19"/>
        </w:rPr>
      </w:pPr>
    </w:p>
    <w:p>
      <w:pPr>
        <w:pStyle w:val="BodyText"/>
        <w:spacing w:line="259" w:lineRule="auto"/>
        <w:ind w:right="1130" w:firstLine="439"/>
        <w:jc w:val="both"/>
      </w:pPr>
      <w:r>
        <w:rPr>
          <w:spacing w:val="-2"/>
        </w:rPr>
        <w:t>我们认为，后附的财务报表在所有重大方面按照企业会计准则的规定编制，公允反映了中青宝公</w:t>
      </w:r>
      <w:r>
        <w:rPr>
          <w:w w:val="100"/>
        </w:rPr>
        <w:t> </w:t>
      </w:r>
      <w:r>
        <w:rPr/>
        <w:t>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2019</w:t>
      </w:r>
      <w:r>
        <w:rPr/>
        <w:t>年度的合并及母公司经营成果和现金流量。</w:t>
      </w:r>
    </w:p>
    <w:p>
      <w:pPr>
        <w:spacing w:line="552" w:lineRule="exact" w:before="43"/>
        <w:ind w:left="592" w:right="996" w:firstLine="9"/>
        <w:jc w:val="left"/>
        <w:rPr>
          <w:rFonts w:ascii="宋体" w:hAnsi="宋体" w:cs="宋体" w:eastAsia="宋体" w:hint="default"/>
          <w:sz w:val="22"/>
          <w:szCs w:val="22"/>
        </w:rPr>
      </w:pPr>
      <w:r>
        <w:rPr>
          <w:rFonts w:ascii="宋体" w:hAnsi="宋体" w:cs="宋体" w:eastAsia="宋体" w:hint="default"/>
          <w:b/>
          <w:bCs/>
          <w:sz w:val="22"/>
          <w:szCs w:val="22"/>
        </w:rPr>
        <w:t>二、形成审计意见的基础</w:t>
      </w:r>
      <w:r>
        <w:rPr>
          <w:rFonts w:ascii="宋体" w:hAnsi="宋体" w:cs="宋体" w:eastAsia="宋体" w:hint="default"/>
          <w:b/>
          <w:bCs/>
          <w:w w:val="99"/>
          <w:sz w:val="22"/>
          <w:szCs w:val="22"/>
        </w:rPr>
        <w:t> </w:t>
      </w:r>
      <w:r>
        <w:rPr>
          <w:rFonts w:ascii="宋体" w:hAnsi="宋体" w:cs="宋体" w:eastAsia="宋体" w:hint="default"/>
          <w:sz w:val="22"/>
          <w:szCs w:val="22"/>
        </w:rPr>
        <w:t>我们按照中国注册会计师审计准则的规定执行了审计工作。审计报告的</w:t>
      </w:r>
      <w:r>
        <w:rPr>
          <w:rFonts w:ascii="Times New Roman" w:hAnsi="Times New Roman" w:cs="Times New Roman" w:eastAsia="Times New Roman" w:hint="default"/>
          <w:sz w:val="22"/>
          <w:szCs w:val="22"/>
        </w:rPr>
        <w:t>“</w:t>
      </w:r>
      <w:r>
        <w:rPr>
          <w:rFonts w:ascii="宋体" w:hAnsi="宋体" w:cs="宋体" w:eastAsia="宋体" w:hint="default"/>
          <w:sz w:val="22"/>
          <w:szCs w:val="22"/>
        </w:rPr>
        <w:t>注册会计师对财务报表</w:t>
      </w:r>
    </w:p>
    <w:p>
      <w:pPr>
        <w:pStyle w:val="BodyText"/>
        <w:spacing w:line="249" w:lineRule="exact"/>
        <w:ind w:right="996"/>
        <w:jc w:val="left"/>
      </w:pPr>
      <w:r>
        <w:rPr/>
        <w:t>审计的责任</w:t>
      </w:r>
      <w:r>
        <w:rPr>
          <w:rFonts w:ascii="Times New Roman" w:hAnsi="Times New Roman" w:cs="Times New Roman" w:eastAsia="Times New Roman" w:hint="default"/>
        </w:rPr>
        <w:t>”</w:t>
      </w:r>
      <w:r>
        <w:rPr/>
        <w:t>部分进一步阐述了我们在这些准则下的责任。按照中国注册会计师职业道德守则，我们</w:t>
      </w:r>
    </w:p>
    <w:p>
      <w:pPr>
        <w:pStyle w:val="BodyText"/>
        <w:spacing w:line="259" w:lineRule="auto" w:before="7"/>
        <w:ind w:right="996"/>
        <w:jc w:val="left"/>
      </w:pPr>
      <w:r>
        <w:rPr>
          <w:spacing w:val="-2"/>
        </w:rPr>
        <w:t>独立于中青宝公司，并履行了职业道德方面的其他责任。我们相信，我们获取的审计证据是充分、适</w:t>
      </w:r>
      <w:r>
        <w:rPr>
          <w:spacing w:val="-69"/>
        </w:rPr>
        <w:t> </w:t>
      </w:r>
      <w:r>
        <w:rPr>
          <w:spacing w:val="-69"/>
        </w:rPr>
      </w:r>
      <w:r>
        <w:rPr/>
        <w:t>当的，为发表审计意见提供了基础。</w:t>
      </w:r>
    </w:p>
    <w:p>
      <w:pPr>
        <w:pStyle w:val="BodyText"/>
        <w:spacing w:line="552" w:lineRule="exact" w:before="62"/>
        <w:ind w:left="592" w:right="996" w:firstLine="28"/>
        <w:jc w:val="left"/>
      </w:pPr>
      <w:r>
        <w:rPr>
          <w:rFonts w:ascii="宋体" w:hAnsi="宋体" w:cs="宋体" w:eastAsia="宋体" w:hint="default"/>
          <w:b/>
          <w:bCs/>
        </w:rPr>
        <w:t>三、关键审计事项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w:t>
      </w:r>
    </w:p>
    <w:p>
      <w:pPr>
        <w:pStyle w:val="BodyText"/>
        <w:spacing w:line="233" w:lineRule="exact"/>
        <w:ind w:right="996"/>
        <w:jc w:val="left"/>
      </w:pPr>
      <w:r>
        <w:rPr/>
        <w:t>以对财务报表整体进行审计并形成审计意见为背景，我们不对这些事项单独发表意见。</w:t>
      </w:r>
    </w:p>
    <w:p>
      <w:pPr>
        <w:spacing w:line="240" w:lineRule="auto" w:before="9"/>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4383"/>
        <w:gridCol w:w="4124"/>
      </w:tblGrid>
      <w:tr>
        <w:trPr>
          <w:trHeight w:val="346" w:hRule="exact"/>
        </w:trPr>
        <w:tc>
          <w:tcPr>
            <w:tcW w:w="85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64" w:right="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26"/>
                <w:sz w:val="22"/>
                <w:szCs w:val="22"/>
              </w:rPr>
              <w:t> </w:t>
            </w:r>
            <w:r>
              <w:rPr>
                <w:rFonts w:ascii="宋体" w:hAnsi="宋体" w:cs="宋体" w:eastAsia="宋体" w:hint="default"/>
                <w:b/>
                <w:bCs/>
                <w:sz w:val="22"/>
                <w:szCs w:val="22"/>
              </w:rPr>
              <w:t>收入确认</w:t>
            </w:r>
            <w:r>
              <w:rPr>
                <w:rFonts w:ascii="宋体" w:hAnsi="宋体" w:cs="宋体" w:eastAsia="宋体" w:hint="default"/>
                <w:sz w:val="22"/>
                <w:szCs w:val="22"/>
              </w:rPr>
            </w:r>
          </w:p>
        </w:tc>
      </w:tr>
      <w:tr>
        <w:trPr>
          <w:trHeight w:val="348" w:hRule="exact"/>
        </w:trPr>
        <w:tc>
          <w:tcPr>
            <w:tcW w:w="4383"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4" w:right="0"/>
              <w:jc w:val="center"/>
              <w:rPr>
                <w:rFonts w:ascii="宋体" w:hAnsi="宋体" w:cs="宋体" w:eastAsia="宋体" w:hint="default"/>
                <w:sz w:val="22"/>
                <w:szCs w:val="22"/>
              </w:rPr>
            </w:pPr>
            <w:r>
              <w:rPr>
                <w:rFonts w:ascii="宋体" w:hAnsi="宋体" w:cs="宋体" w:eastAsia="宋体" w:hint="default"/>
                <w:b/>
                <w:bCs/>
                <w:sz w:val="22"/>
                <w:szCs w:val="22"/>
              </w:rPr>
              <w:t>关键审计事项</w:t>
            </w:r>
            <w:r>
              <w:rPr>
                <w:rFonts w:ascii="宋体" w:hAnsi="宋体" w:cs="宋体" w:eastAsia="宋体" w:hint="default"/>
                <w:sz w:val="22"/>
                <w:szCs w:val="22"/>
              </w:rPr>
            </w:r>
          </w:p>
        </w:tc>
        <w:tc>
          <w:tcPr>
            <w:tcW w:w="4124"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right="0"/>
              <w:jc w:val="center"/>
              <w:rPr>
                <w:rFonts w:ascii="宋体" w:hAnsi="宋体" w:cs="宋体" w:eastAsia="宋体" w:hint="default"/>
                <w:sz w:val="22"/>
                <w:szCs w:val="22"/>
              </w:rPr>
            </w:pPr>
            <w:r>
              <w:rPr>
                <w:rFonts w:ascii="宋体" w:hAnsi="宋体" w:cs="宋体" w:eastAsia="宋体" w:hint="default"/>
                <w:b/>
                <w:bCs/>
                <w:sz w:val="22"/>
                <w:szCs w:val="22"/>
              </w:rPr>
              <w:t>审计中的应对</w:t>
            </w:r>
            <w:r>
              <w:rPr>
                <w:rFonts w:ascii="宋体" w:hAnsi="宋体" w:cs="宋体" w:eastAsia="宋体" w:hint="default"/>
                <w:sz w:val="22"/>
                <w:szCs w:val="22"/>
              </w:rPr>
            </w:r>
          </w:p>
        </w:tc>
      </w:tr>
      <w:tr>
        <w:trPr>
          <w:trHeight w:val="972" w:hRule="exact"/>
        </w:trPr>
        <w:tc>
          <w:tcPr>
            <w:tcW w:w="4383"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4" w:right="-3"/>
              <w:jc w:val="both"/>
              <w:rPr>
                <w:rFonts w:ascii="宋体" w:hAnsi="宋体" w:cs="宋体" w:eastAsia="宋体" w:hint="default"/>
                <w:sz w:val="22"/>
                <w:szCs w:val="22"/>
              </w:rPr>
            </w:pPr>
            <w:r>
              <w:rPr>
                <w:rFonts w:ascii="宋体" w:hAnsi="宋体" w:cs="宋体" w:eastAsia="宋体" w:hint="default"/>
                <w:spacing w:val="-3"/>
                <w:sz w:val="22"/>
                <w:szCs w:val="22"/>
              </w:rPr>
              <w:t>参见附注四（</w:t>
            </w:r>
            <w:r>
              <w:rPr>
                <w:rFonts w:ascii="Times New Roman" w:hAnsi="Times New Roman" w:cs="Times New Roman" w:eastAsia="Times New Roman" w:hint="default"/>
                <w:spacing w:val="-3"/>
                <w:sz w:val="22"/>
                <w:szCs w:val="22"/>
              </w:rPr>
              <w:t>22</w:t>
            </w:r>
            <w:r>
              <w:rPr>
                <w:rFonts w:ascii="宋体" w:hAnsi="宋体" w:cs="宋体" w:eastAsia="宋体" w:hint="default"/>
                <w:spacing w:val="-3"/>
                <w:sz w:val="22"/>
                <w:szCs w:val="22"/>
              </w:rPr>
              <w:t>）及附注六（</w:t>
            </w:r>
            <w:r>
              <w:rPr>
                <w:rFonts w:ascii="Times New Roman" w:hAnsi="Times New Roman" w:cs="Times New Roman" w:eastAsia="Times New Roman" w:hint="default"/>
                <w:spacing w:val="-3"/>
                <w:sz w:val="22"/>
                <w:szCs w:val="22"/>
              </w:rPr>
              <w:t>32</w:t>
            </w:r>
            <w:r>
              <w:rPr>
                <w:rFonts w:ascii="宋体" w:hAnsi="宋体" w:cs="宋体" w:eastAsia="宋体" w:hint="default"/>
                <w:spacing w:val="-3"/>
                <w:sz w:val="22"/>
                <w:szCs w:val="22"/>
              </w:rPr>
              <w:t>），</w:t>
            </w:r>
            <w:r>
              <w:rPr>
                <w:rFonts w:ascii="Times New Roman" w:hAnsi="Times New Roman" w:cs="Times New Roman" w:eastAsia="Times New Roman" w:hint="default"/>
                <w:spacing w:val="-3"/>
                <w:sz w:val="22"/>
                <w:szCs w:val="22"/>
              </w:rPr>
              <w:t>2019</w:t>
            </w:r>
            <w:r>
              <w:rPr>
                <w:rFonts w:ascii="宋体" w:hAnsi="宋体" w:cs="宋体" w:eastAsia="宋体" w:hint="default"/>
                <w:spacing w:val="-3"/>
                <w:sz w:val="22"/>
                <w:szCs w:val="22"/>
              </w:rPr>
              <w:t>年度</w:t>
            </w:r>
            <w:r>
              <w:rPr>
                <w:rFonts w:ascii="宋体" w:hAnsi="宋体" w:cs="宋体" w:eastAsia="宋体" w:hint="default"/>
                <w:spacing w:val="-79"/>
                <w:sz w:val="22"/>
                <w:szCs w:val="22"/>
              </w:rPr>
              <w:t> </w:t>
            </w:r>
            <w:r>
              <w:rPr>
                <w:rFonts w:ascii="宋体" w:hAnsi="宋体" w:cs="宋体" w:eastAsia="宋体" w:hint="default"/>
                <w:spacing w:val="-4"/>
                <w:w w:val="100"/>
                <w:sz w:val="22"/>
                <w:szCs w:val="22"/>
              </w:rPr>
              <w:t>主营业务收入</w:t>
            </w:r>
            <w:r>
              <w:rPr>
                <w:rFonts w:ascii="Times New Roman" w:hAnsi="Times New Roman" w:cs="Times New Roman" w:eastAsia="Times New Roman" w:hint="default"/>
                <w:spacing w:val="-4"/>
                <w:w w:val="100"/>
                <w:sz w:val="22"/>
                <w:szCs w:val="22"/>
              </w:rPr>
              <w:t>454,379,014.22</w:t>
            </w:r>
            <w:r>
              <w:rPr>
                <w:rFonts w:ascii="宋体" w:hAnsi="宋体" w:cs="宋体" w:eastAsia="宋体" w:hint="default"/>
                <w:spacing w:val="-4"/>
                <w:w w:val="100"/>
                <w:sz w:val="22"/>
                <w:szCs w:val="22"/>
              </w:rPr>
              <w:t>元。其中网络游戏</w:t>
            </w:r>
            <w:r>
              <w:rPr>
                <w:rFonts w:ascii="宋体" w:hAnsi="宋体" w:cs="宋体" w:eastAsia="宋体" w:hint="default"/>
                <w:spacing w:val="-108"/>
                <w:w w:val="100"/>
                <w:sz w:val="22"/>
                <w:szCs w:val="22"/>
              </w:rPr>
              <w:t> </w:t>
            </w:r>
            <w:r>
              <w:rPr>
                <w:rFonts w:ascii="宋体" w:hAnsi="宋体" w:cs="宋体" w:eastAsia="宋体" w:hint="default"/>
                <w:spacing w:val="-108"/>
                <w:w w:val="100"/>
                <w:sz w:val="22"/>
                <w:szCs w:val="22"/>
              </w:rPr>
            </w:r>
            <w:r>
              <w:rPr>
                <w:rFonts w:ascii="宋体" w:hAnsi="宋体" w:cs="宋体" w:eastAsia="宋体" w:hint="default"/>
                <w:sz w:val="22"/>
                <w:szCs w:val="22"/>
              </w:rPr>
              <w:t>业务收入</w:t>
            </w:r>
            <w:r>
              <w:rPr>
                <w:rFonts w:ascii="Times New Roman" w:hAnsi="Times New Roman" w:cs="Times New Roman" w:eastAsia="Times New Roman" w:hint="default"/>
                <w:sz w:val="22"/>
                <w:szCs w:val="22"/>
              </w:rPr>
              <w:t>265,054,949.54</w:t>
            </w:r>
            <w:r>
              <w:rPr>
                <w:rFonts w:ascii="宋体" w:hAnsi="宋体" w:cs="宋体" w:eastAsia="宋体" w:hint="default"/>
                <w:sz w:val="22"/>
                <w:szCs w:val="22"/>
              </w:rPr>
              <w:t>元，云服务业务收入</w:t>
            </w:r>
          </w:p>
        </w:tc>
        <w:tc>
          <w:tcPr>
            <w:tcW w:w="412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4" w:right="0"/>
              <w:jc w:val="left"/>
              <w:rPr>
                <w:rFonts w:ascii="宋体" w:hAnsi="宋体" w:cs="宋体" w:eastAsia="宋体" w:hint="default"/>
                <w:sz w:val="22"/>
                <w:szCs w:val="22"/>
              </w:rPr>
            </w:pPr>
            <w:r>
              <w:rPr>
                <w:rFonts w:ascii="宋体" w:hAnsi="宋体" w:cs="宋体" w:eastAsia="宋体" w:hint="default"/>
                <w:sz w:val="22"/>
                <w:szCs w:val="22"/>
              </w:rPr>
              <w:t>我们实施的审计程序包括：</w:t>
            </w:r>
          </w:p>
          <w:p>
            <w:pPr>
              <w:pStyle w:val="TableParagraph"/>
              <w:spacing w:line="244" w:lineRule="auto" w:before="24"/>
              <w:ind w:left="4" w:right="140"/>
              <w:jc w:val="left"/>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w:t>
            </w:r>
            <w:r>
              <w:rPr>
                <w:rFonts w:ascii="宋体" w:hAnsi="宋体" w:cs="宋体" w:eastAsia="宋体" w:hint="default"/>
                <w:spacing w:val="-23"/>
                <w:sz w:val="22"/>
                <w:szCs w:val="22"/>
              </w:rPr>
              <w:t> </w:t>
            </w:r>
            <w:r>
              <w:rPr>
                <w:rFonts w:ascii="宋体" w:hAnsi="宋体" w:cs="宋体" w:eastAsia="宋体" w:hint="default"/>
                <w:sz w:val="22"/>
                <w:szCs w:val="22"/>
              </w:rPr>
              <w:t>测试和评价与收入相关的关键内部控</w:t>
            </w:r>
            <w:r>
              <w:rPr>
                <w:rFonts w:ascii="宋体" w:hAnsi="宋体" w:cs="宋体" w:eastAsia="宋体" w:hint="default"/>
                <w:w w:val="100"/>
                <w:sz w:val="22"/>
                <w:szCs w:val="22"/>
              </w:rPr>
              <w:t> </w:t>
            </w:r>
            <w:r>
              <w:rPr>
                <w:rFonts w:ascii="宋体" w:hAnsi="宋体" w:cs="宋体" w:eastAsia="宋体" w:hint="default"/>
                <w:spacing w:val="-1"/>
                <w:sz w:val="22"/>
                <w:szCs w:val="22"/>
              </w:rPr>
              <w:t>制，复核相关会计政策是否正确且一贯运</w:t>
            </w:r>
          </w:p>
        </w:tc>
      </w:tr>
    </w:tbl>
    <w:p>
      <w:pPr>
        <w:spacing w:after="0" w:line="244" w:lineRule="auto"/>
        <w:jc w:val="left"/>
        <w:rPr>
          <w:rFonts w:ascii="宋体" w:hAnsi="宋体" w:cs="宋体" w:eastAsia="宋体" w:hint="default"/>
          <w:sz w:val="22"/>
          <w:szCs w:val="22"/>
        </w:rPr>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4"/>
        <w:ind w:left="0" w:right="2214"/>
        <w:jc w:val="right"/>
      </w:pPr>
      <w:r>
        <w:rPr/>
        <w:pict>
          <v:shape style="position:absolute;margin-left:56.279999pt;margin-top:-7.532317pt;width:426.5pt;height:519.1pt;mso-position-horizontal-relative:page;mso-position-vertical-relative:paragraph;z-index:23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383"/>
                    <w:gridCol w:w="4124"/>
                  </w:tblGrid>
                  <w:tr>
                    <w:trPr>
                      <w:trHeight w:val="6277" w:hRule="exact"/>
                    </w:trPr>
                    <w:tc>
                      <w:tcPr>
                        <w:tcW w:w="4383"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4" w:right="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2"/>
                            <w:szCs w:val="22"/>
                          </w:rPr>
                          <w:t>186,680,775.36</w:t>
                        </w:r>
                        <w:r>
                          <w:rPr>
                            <w:rFonts w:ascii="宋体" w:hAnsi="宋体" w:cs="宋体" w:eastAsia="宋体" w:hint="default"/>
                            <w:sz w:val="22"/>
                            <w:szCs w:val="22"/>
                          </w:rPr>
                          <w:t>元，其他业务收入</w:t>
                        </w:r>
                        <w:r>
                          <w:rPr>
                            <w:rFonts w:ascii="Times New Roman" w:hAnsi="Times New Roman" w:cs="Times New Roman" w:eastAsia="Times New Roman" w:hint="default"/>
                            <w:sz w:val="21"/>
                            <w:szCs w:val="21"/>
                          </w:rPr>
                          <w:t>14,447,299.28</w:t>
                        </w:r>
                      </w:p>
                      <w:p>
                        <w:pPr>
                          <w:pStyle w:val="TableParagraph"/>
                          <w:spacing w:line="240" w:lineRule="auto" w:before="17"/>
                          <w:ind w:left="4" w:right="0"/>
                          <w:jc w:val="both"/>
                          <w:rPr>
                            <w:rFonts w:ascii="宋体" w:hAnsi="宋体" w:cs="宋体" w:eastAsia="宋体" w:hint="default"/>
                            <w:sz w:val="21"/>
                            <w:szCs w:val="21"/>
                          </w:rPr>
                        </w:pPr>
                        <w:r>
                          <w:rPr>
                            <w:rFonts w:ascii="宋体" w:hAnsi="宋体" w:cs="宋体" w:eastAsia="宋体" w:hint="default"/>
                            <w:sz w:val="21"/>
                            <w:szCs w:val="21"/>
                          </w:rPr>
                          <w:t>元。</w:t>
                        </w:r>
                      </w:p>
                      <w:p>
                        <w:pPr>
                          <w:pStyle w:val="TableParagraph"/>
                          <w:spacing w:line="259" w:lineRule="auto" w:before="148"/>
                          <w:ind w:left="4" w:right="-38"/>
                          <w:jc w:val="both"/>
                          <w:rPr>
                            <w:rFonts w:ascii="宋体" w:hAnsi="宋体" w:cs="宋体" w:eastAsia="宋体" w:hint="default"/>
                            <w:sz w:val="22"/>
                            <w:szCs w:val="22"/>
                          </w:rPr>
                        </w:pPr>
                        <w:r>
                          <w:rPr>
                            <w:rFonts w:ascii="宋体" w:hAnsi="宋体" w:cs="宋体" w:eastAsia="宋体" w:hint="default"/>
                            <w:spacing w:val="-1"/>
                            <w:sz w:val="22"/>
                            <w:szCs w:val="22"/>
                          </w:rPr>
                          <w:t>由于收入是中青宝公司的关键业绩指标之一，</w:t>
                        </w:r>
                        <w:r>
                          <w:rPr>
                            <w:rFonts w:ascii="宋体" w:hAnsi="宋体" w:cs="宋体" w:eastAsia="宋体" w:hint="default"/>
                            <w:spacing w:val="-92"/>
                            <w:sz w:val="22"/>
                            <w:szCs w:val="22"/>
                          </w:rPr>
                          <w:t> </w:t>
                        </w:r>
                        <w:r>
                          <w:rPr>
                            <w:rFonts w:ascii="宋体" w:hAnsi="宋体" w:cs="宋体" w:eastAsia="宋体" w:hint="default"/>
                            <w:spacing w:val="-92"/>
                            <w:sz w:val="22"/>
                            <w:szCs w:val="22"/>
                          </w:rPr>
                        </w:r>
                        <w:r>
                          <w:rPr>
                            <w:rFonts w:ascii="宋体" w:hAnsi="宋体" w:cs="宋体" w:eastAsia="宋体" w:hint="default"/>
                            <w:spacing w:val="-3"/>
                            <w:sz w:val="22"/>
                            <w:szCs w:val="22"/>
                          </w:rPr>
                          <w:t>且不同类别收入确认时点及依据不同，属于财</w:t>
                        </w:r>
                        <w:r>
                          <w:rPr>
                            <w:rFonts w:ascii="宋体" w:hAnsi="宋体" w:cs="宋体" w:eastAsia="宋体" w:hint="default"/>
                            <w:spacing w:val="-88"/>
                            <w:sz w:val="22"/>
                            <w:szCs w:val="22"/>
                          </w:rPr>
                          <w:t> </w:t>
                        </w:r>
                        <w:r>
                          <w:rPr>
                            <w:rFonts w:ascii="宋体" w:hAnsi="宋体" w:cs="宋体" w:eastAsia="宋体" w:hint="default"/>
                            <w:spacing w:val="-88"/>
                            <w:sz w:val="22"/>
                            <w:szCs w:val="22"/>
                          </w:rPr>
                        </w:r>
                        <w:r>
                          <w:rPr>
                            <w:rFonts w:ascii="宋体" w:hAnsi="宋体" w:cs="宋体" w:eastAsia="宋体" w:hint="default"/>
                            <w:spacing w:val="-3"/>
                            <w:sz w:val="22"/>
                            <w:szCs w:val="22"/>
                          </w:rPr>
                          <w:t>务报表重要项目，且属于特别风险，因此我们</w:t>
                        </w:r>
                        <w:r>
                          <w:rPr>
                            <w:rFonts w:ascii="宋体" w:hAnsi="宋体" w:cs="宋体" w:eastAsia="宋体" w:hint="default"/>
                            <w:spacing w:val="-87"/>
                            <w:sz w:val="22"/>
                            <w:szCs w:val="22"/>
                          </w:rPr>
                          <w:t> </w:t>
                        </w:r>
                        <w:r>
                          <w:rPr>
                            <w:rFonts w:ascii="宋体" w:hAnsi="宋体" w:cs="宋体" w:eastAsia="宋体" w:hint="default"/>
                            <w:spacing w:val="-87"/>
                            <w:sz w:val="22"/>
                            <w:szCs w:val="22"/>
                          </w:rPr>
                        </w:r>
                        <w:r>
                          <w:rPr>
                            <w:rFonts w:ascii="宋体" w:hAnsi="宋体" w:cs="宋体" w:eastAsia="宋体" w:hint="default"/>
                            <w:sz w:val="22"/>
                            <w:szCs w:val="22"/>
                          </w:rPr>
                          <w:t>将收入确定为关键审计事项。</w:t>
                        </w:r>
                      </w:p>
                    </w:tc>
                    <w:tc>
                      <w:tcPr>
                        <w:tcW w:w="412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4" w:right="0"/>
                          <w:jc w:val="left"/>
                          <w:rPr>
                            <w:rFonts w:ascii="宋体" w:hAnsi="宋体" w:cs="宋体" w:eastAsia="宋体" w:hint="default"/>
                            <w:sz w:val="22"/>
                            <w:szCs w:val="22"/>
                          </w:rPr>
                        </w:pPr>
                        <w:r>
                          <w:rPr>
                            <w:rFonts w:ascii="宋体" w:hAnsi="宋体" w:cs="宋体" w:eastAsia="宋体" w:hint="default"/>
                            <w:sz w:val="22"/>
                            <w:szCs w:val="22"/>
                          </w:rPr>
                          <w:t>用；</w:t>
                        </w:r>
                      </w:p>
                      <w:p>
                        <w:pPr>
                          <w:pStyle w:val="TableParagraph"/>
                          <w:spacing w:line="252" w:lineRule="auto" w:before="24"/>
                          <w:ind w:left="4" w:right="140"/>
                          <w:jc w:val="both"/>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w:t>
                        </w:r>
                        <w:r>
                          <w:rPr>
                            <w:rFonts w:ascii="宋体" w:hAnsi="宋体" w:cs="宋体" w:eastAsia="宋体" w:hint="default"/>
                            <w:spacing w:val="-23"/>
                            <w:sz w:val="22"/>
                            <w:szCs w:val="22"/>
                          </w:rPr>
                          <w:t> </w:t>
                        </w:r>
                        <w:r>
                          <w:rPr>
                            <w:rFonts w:ascii="宋体" w:hAnsi="宋体" w:cs="宋体" w:eastAsia="宋体" w:hint="default"/>
                            <w:sz w:val="22"/>
                            <w:szCs w:val="22"/>
                          </w:rPr>
                          <w:t>根据不同类别收入的确认原则和依据</w:t>
                        </w:r>
                        <w:r>
                          <w:rPr>
                            <w:rFonts w:ascii="宋体" w:hAnsi="宋体" w:cs="宋体" w:eastAsia="宋体" w:hint="default"/>
                            <w:w w:val="100"/>
                            <w:sz w:val="22"/>
                            <w:szCs w:val="22"/>
                          </w:rPr>
                          <w:t> </w:t>
                        </w:r>
                        <w:r>
                          <w:rPr>
                            <w:rFonts w:ascii="宋体" w:hAnsi="宋体" w:cs="宋体" w:eastAsia="宋体" w:hint="default"/>
                            <w:spacing w:val="-1"/>
                            <w:sz w:val="22"/>
                            <w:szCs w:val="22"/>
                          </w:rPr>
                          <w:t>对收入执行分析性复核程序，判断其合理</w:t>
                        </w:r>
                        <w:r>
                          <w:rPr>
                            <w:rFonts w:ascii="宋体" w:hAnsi="宋体" w:cs="宋体" w:eastAsia="宋体" w:hint="default"/>
                            <w:spacing w:val="-93"/>
                            <w:sz w:val="22"/>
                            <w:szCs w:val="22"/>
                          </w:rPr>
                          <w:t> </w:t>
                        </w:r>
                        <w:r>
                          <w:rPr>
                            <w:rFonts w:ascii="宋体" w:hAnsi="宋体" w:cs="宋体" w:eastAsia="宋体" w:hint="default"/>
                            <w:spacing w:val="-93"/>
                            <w:sz w:val="22"/>
                            <w:szCs w:val="22"/>
                          </w:rPr>
                        </w:r>
                        <w:r>
                          <w:rPr>
                            <w:rFonts w:ascii="宋体" w:hAnsi="宋体" w:cs="宋体" w:eastAsia="宋体" w:hint="default"/>
                            <w:sz w:val="22"/>
                            <w:szCs w:val="22"/>
                          </w:rPr>
                          <w:t>性；</w:t>
                        </w:r>
                      </w:p>
                      <w:p>
                        <w:pPr>
                          <w:pStyle w:val="TableParagraph"/>
                          <w:spacing w:line="254" w:lineRule="auto" w:before="13"/>
                          <w:ind w:left="4" w:right="-2"/>
                          <w:jc w:val="left"/>
                          <w:rPr>
                            <w:rFonts w:ascii="宋体" w:hAnsi="宋体" w:cs="宋体" w:eastAsia="宋体" w:hint="default"/>
                            <w:sz w:val="22"/>
                            <w:szCs w:val="22"/>
                          </w:rPr>
                        </w:pPr>
                        <w:r>
                          <w:rPr>
                            <w:rFonts w:ascii="Times New Roman" w:hAnsi="Times New Roman" w:cs="Times New Roman" w:eastAsia="Times New Roman" w:hint="default"/>
                            <w:sz w:val="22"/>
                            <w:szCs w:val="22"/>
                          </w:rPr>
                          <w:t>3</w:t>
                        </w:r>
                        <w:r>
                          <w:rPr>
                            <w:rFonts w:ascii="宋体" w:hAnsi="宋体" w:cs="宋体" w:eastAsia="宋体" w:hint="default"/>
                            <w:sz w:val="22"/>
                            <w:szCs w:val="22"/>
                          </w:rPr>
                          <w:t>） </w:t>
                        </w:r>
                        <w:r>
                          <w:rPr>
                            <w:rFonts w:ascii="宋体" w:hAnsi="宋体" w:cs="宋体" w:eastAsia="宋体" w:hint="default"/>
                            <w:spacing w:val="-4"/>
                            <w:sz w:val="22"/>
                            <w:szCs w:val="22"/>
                          </w:rPr>
                          <w:t>对游戏的运营实施</w:t>
                        </w:r>
                        <w:r>
                          <w:rPr>
                            <w:rFonts w:ascii="Times New Roman" w:hAnsi="Times New Roman" w:cs="Times New Roman" w:eastAsia="Times New Roman" w:hint="default"/>
                            <w:spacing w:val="-4"/>
                            <w:sz w:val="22"/>
                            <w:szCs w:val="22"/>
                          </w:rPr>
                          <w:t>IT</w:t>
                        </w:r>
                        <w:r>
                          <w:rPr>
                            <w:rFonts w:ascii="宋体" w:hAnsi="宋体" w:cs="宋体" w:eastAsia="宋体" w:hint="default"/>
                            <w:spacing w:val="-4"/>
                            <w:sz w:val="22"/>
                            <w:szCs w:val="22"/>
                          </w:rPr>
                          <w:t>审计，对主要游戏</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z w:val="22"/>
                            <w:szCs w:val="22"/>
                          </w:rPr>
                          <w:t>的财务流水数据与运营平台数据以及系统</w:t>
                        </w:r>
                        <w:r>
                          <w:rPr>
                            <w:rFonts w:ascii="宋体" w:hAnsi="宋体" w:cs="宋体" w:eastAsia="宋体" w:hint="default"/>
                            <w:w w:val="100"/>
                            <w:sz w:val="22"/>
                            <w:szCs w:val="22"/>
                          </w:rPr>
                          <w:t> </w:t>
                        </w:r>
                        <w:r>
                          <w:rPr>
                            <w:rFonts w:ascii="宋体" w:hAnsi="宋体" w:cs="宋体" w:eastAsia="宋体" w:hint="default"/>
                            <w:spacing w:val="-5"/>
                            <w:sz w:val="22"/>
                            <w:szCs w:val="22"/>
                          </w:rPr>
                          <w:t>数据进行核对，验证其数据的完整性。对游</w:t>
                        </w:r>
                        <w:r>
                          <w:rPr>
                            <w:rFonts w:ascii="宋体" w:hAnsi="宋体" w:cs="宋体" w:eastAsia="宋体" w:hint="default"/>
                            <w:spacing w:val="-95"/>
                            <w:sz w:val="22"/>
                            <w:szCs w:val="22"/>
                          </w:rPr>
                          <w:t> </w:t>
                        </w:r>
                        <w:r>
                          <w:rPr>
                            <w:rFonts w:ascii="宋体" w:hAnsi="宋体" w:cs="宋体" w:eastAsia="宋体" w:hint="default"/>
                            <w:spacing w:val="-95"/>
                            <w:sz w:val="22"/>
                            <w:szCs w:val="22"/>
                          </w:rPr>
                        </w:r>
                        <w:r>
                          <w:rPr>
                            <w:rFonts w:ascii="宋体" w:hAnsi="宋体" w:cs="宋体" w:eastAsia="宋体" w:hint="default"/>
                            <w:spacing w:val="-5"/>
                            <w:sz w:val="22"/>
                            <w:szCs w:val="22"/>
                          </w:rPr>
                          <w:t>戏的进销存进行测试，验证游戏币消耗数据</w:t>
                        </w:r>
                        <w:r>
                          <w:rPr>
                            <w:rFonts w:ascii="宋体" w:hAnsi="宋体" w:cs="宋体" w:eastAsia="宋体" w:hint="default"/>
                            <w:spacing w:val="-95"/>
                            <w:sz w:val="22"/>
                            <w:szCs w:val="22"/>
                          </w:rPr>
                          <w:t> </w:t>
                        </w:r>
                        <w:r>
                          <w:rPr>
                            <w:rFonts w:ascii="宋体" w:hAnsi="宋体" w:cs="宋体" w:eastAsia="宋体" w:hint="default"/>
                            <w:spacing w:val="-95"/>
                            <w:sz w:val="22"/>
                            <w:szCs w:val="22"/>
                          </w:rPr>
                        </w:r>
                        <w:r>
                          <w:rPr>
                            <w:rFonts w:ascii="宋体" w:hAnsi="宋体" w:cs="宋体" w:eastAsia="宋体" w:hint="default"/>
                            <w:sz w:val="22"/>
                            <w:szCs w:val="22"/>
                          </w:rPr>
                          <w:t>的真实性；对主要游戏进行</w:t>
                        </w:r>
                        <w:r>
                          <w:rPr>
                            <w:rFonts w:ascii="Times New Roman" w:hAnsi="Times New Roman" w:cs="Times New Roman" w:eastAsia="Times New Roman" w:hint="default"/>
                            <w:sz w:val="22"/>
                            <w:szCs w:val="22"/>
                          </w:rPr>
                          <w:t>TOP100</w:t>
                        </w:r>
                        <w:r>
                          <w:rPr>
                            <w:rFonts w:ascii="宋体" w:hAnsi="宋体" w:cs="宋体" w:eastAsia="宋体" w:hint="default"/>
                            <w:sz w:val="22"/>
                            <w:szCs w:val="22"/>
                          </w:rPr>
                          <w:t>用户数</w:t>
                        </w:r>
                        <w:r>
                          <w:rPr>
                            <w:rFonts w:ascii="宋体" w:hAnsi="宋体" w:cs="宋体" w:eastAsia="宋体" w:hint="default"/>
                            <w:w w:val="100"/>
                            <w:sz w:val="22"/>
                            <w:szCs w:val="22"/>
                          </w:rPr>
                          <w:t> </w:t>
                        </w:r>
                        <w:r>
                          <w:rPr>
                            <w:rFonts w:ascii="宋体" w:hAnsi="宋体" w:cs="宋体" w:eastAsia="宋体" w:hint="default"/>
                            <w:spacing w:val="-5"/>
                            <w:sz w:val="22"/>
                            <w:szCs w:val="22"/>
                          </w:rPr>
                          <w:t>据分析，月度经营数据、用户时点数据、用</w:t>
                        </w:r>
                        <w:r>
                          <w:rPr>
                            <w:rFonts w:ascii="宋体" w:hAnsi="宋体" w:cs="宋体" w:eastAsia="宋体" w:hint="default"/>
                            <w:spacing w:val="-92"/>
                            <w:sz w:val="22"/>
                            <w:szCs w:val="22"/>
                          </w:rPr>
                          <w:t> </w:t>
                        </w:r>
                        <w:r>
                          <w:rPr>
                            <w:rFonts w:ascii="宋体" w:hAnsi="宋体" w:cs="宋体" w:eastAsia="宋体" w:hint="default"/>
                            <w:spacing w:val="-92"/>
                            <w:sz w:val="22"/>
                            <w:szCs w:val="22"/>
                          </w:rPr>
                        </w:r>
                        <w:r>
                          <w:rPr>
                            <w:rFonts w:ascii="宋体" w:hAnsi="宋体" w:cs="宋体" w:eastAsia="宋体" w:hint="default"/>
                            <w:sz w:val="22"/>
                            <w:szCs w:val="22"/>
                          </w:rPr>
                          <w:t>户充值频率进行分析，验证其真实性；</w:t>
                        </w:r>
                      </w:p>
                      <w:p>
                        <w:pPr>
                          <w:pStyle w:val="TableParagraph"/>
                          <w:spacing w:line="254" w:lineRule="auto" w:before="11"/>
                          <w:ind w:left="4" w:right="-2"/>
                          <w:jc w:val="left"/>
                          <w:rPr>
                            <w:rFonts w:ascii="宋体" w:hAnsi="宋体" w:cs="宋体" w:eastAsia="宋体" w:hint="default"/>
                            <w:sz w:val="22"/>
                            <w:szCs w:val="22"/>
                          </w:rPr>
                        </w:pPr>
                        <w:r>
                          <w:rPr>
                            <w:rFonts w:ascii="Times New Roman" w:hAnsi="Times New Roman" w:cs="Times New Roman" w:eastAsia="Times New Roman" w:hint="default"/>
                            <w:sz w:val="22"/>
                            <w:szCs w:val="22"/>
                          </w:rPr>
                          <w:t>4</w:t>
                        </w:r>
                        <w:r>
                          <w:rPr>
                            <w:rFonts w:ascii="宋体" w:hAnsi="宋体" w:cs="宋体" w:eastAsia="宋体" w:hint="default"/>
                            <w:sz w:val="22"/>
                            <w:szCs w:val="22"/>
                          </w:rPr>
                          <w:t>）</w:t>
                        </w:r>
                        <w:r>
                          <w:rPr>
                            <w:rFonts w:ascii="宋体" w:hAnsi="宋体" w:cs="宋体" w:eastAsia="宋体" w:hint="default"/>
                            <w:spacing w:val="-23"/>
                            <w:sz w:val="22"/>
                            <w:szCs w:val="22"/>
                          </w:rPr>
                          <w:t> </w:t>
                        </w:r>
                        <w:r>
                          <w:rPr>
                            <w:rFonts w:ascii="宋体" w:hAnsi="宋体" w:cs="宋体" w:eastAsia="宋体" w:hint="default"/>
                            <w:sz w:val="22"/>
                            <w:szCs w:val="22"/>
                          </w:rPr>
                          <w:t>检查云服务收入涉及的数据中心机柜</w:t>
                        </w:r>
                        <w:r>
                          <w:rPr>
                            <w:rFonts w:ascii="宋体" w:hAnsi="宋体" w:cs="宋体" w:eastAsia="宋体" w:hint="default"/>
                            <w:w w:val="100"/>
                            <w:sz w:val="22"/>
                            <w:szCs w:val="22"/>
                          </w:rPr>
                          <w:t> </w:t>
                        </w:r>
                        <w:r>
                          <w:rPr>
                            <w:rFonts w:ascii="宋体" w:hAnsi="宋体" w:cs="宋体" w:eastAsia="宋体" w:hint="default"/>
                            <w:spacing w:val="-5"/>
                            <w:sz w:val="22"/>
                            <w:szCs w:val="22"/>
                          </w:rPr>
                          <w:t>租赁业务合同、结算单、回款单；对出租机</w:t>
                        </w:r>
                        <w:r>
                          <w:rPr>
                            <w:rFonts w:ascii="宋体" w:hAnsi="宋体" w:cs="宋体" w:eastAsia="宋体" w:hint="default"/>
                            <w:spacing w:val="-92"/>
                            <w:sz w:val="22"/>
                            <w:szCs w:val="22"/>
                          </w:rPr>
                          <w:t> </w:t>
                        </w:r>
                        <w:r>
                          <w:rPr>
                            <w:rFonts w:ascii="宋体" w:hAnsi="宋体" w:cs="宋体" w:eastAsia="宋体" w:hint="default"/>
                            <w:spacing w:val="-92"/>
                            <w:sz w:val="22"/>
                            <w:szCs w:val="22"/>
                          </w:rPr>
                        </w:r>
                        <w:r>
                          <w:rPr>
                            <w:rFonts w:ascii="宋体" w:hAnsi="宋体" w:cs="宋体" w:eastAsia="宋体" w:hint="default"/>
                            <w:spacing w:val="-5"/>
                            <w:sz w:val="22"/>
                            <w:szCs w:val="22"/>
                          </w:rPr>
                          <w:t>柜实施监盘，并查看其实际运行情况，确认</w:t>
                        </w:r>
                        <w:r>
                          <w:rPr>
                            <w:rFonts w:ascii="宋体" w:hAnsi="宋体" w:cs="宋体" w:eastAsia="宋体" w:hint="default"/>
                            <w:spacing w:val="-94"/>
                            <w:sz w:val="22"/>
                            <w:szCs w:val="22"/>
                          </w:rPr>
                          <w:t> </w:t>
                        </w:r>
                        <w:r>
                          <w:rPr>
                            <w:rFonts w:ascii="宋体" w:hAnsi="宋体" w:cs="宋体" w:eastAsia="宋体" w:hint="default"/>
                            <w:spacing w:val="-94"/>
                            <w:sz w:val="22"/>
                            <w:szCs w:val="22"/>
                          </w:rPr>
                        </w:r>
                        <w:r>
                          <w:rPr>
                            <w:rFonts w:ascii="宋体" w:hAnsi="宋体" w:cs="宋体" w:eastAsia="宋体" w:hint="default"/>
                            <w:sz w:val="22"/>
                            <w:szCs w:val="22"/>
                          </w:rPr>
                          <w:t>机柜租赁收入的真实性、完整性；</w:t>
                        </w:r>
                      </w:p>
                      <w:p>
                        <w:pPr>
                          <w:pStyle w:val="TableParagraph"/>
                          <w:spacing w:line="252" w:lineRule="auto" w:before="11"/>
                          <w:ind w:left="4" w:right="1"/>
                          <w:jc w:val="both"/>
                          <w:rPr>
                            <w:rFonts w:ascii="宋体" w:hAnsi="宋体" w:cs="宋体" w:eastAsia="宋体" w:hint="default"/>
                            <w:sz w:val="22"/>
                            <w:szCs w:val="22"/>
                          </w:rPr>
                        </w:pP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检查云服务收入涉及的运维系统销售、</w:t>
                        </w:r>
                        <w:r>
                          <w:rPr>
                            <w:rFonts w:ascii="宋体" w:hAnsi="宋体" w:cs="宋体" w:eastAsia="宋体" w:hint="default"/>
                            <w:w w:val="100"/>
                            <w:sz w:val="22"/>
                            <w:szCs w:val="22"/>
                          </w:rPr>
                          <w:t> </w:t>
                        </w:r>
                        <w:r>
                          <w:rPr>
                            <w:rFonts w:ascii="宋体" w:hAnsi="宋体" w:cs="宋体" w:eastAsia="宋体" w:hint="default"/>
                            <w:spacing w:val="-5"/>
                            <w:sz w:val="22"/>
                            <w:szCs w:val="22"/>
                          </w:rPr>
                          <w:t>带宽销售、软件设备销售的业务合同、验收</w:t>
                        </w:r>
                        <w:r>
                          <w:rPr>
                            <w:rFonts w:ascii="宋体" w:hAnsi="宋体" w:cs="宋体" w:eastAsia="宋体" w:hint="default"/>
                            <w:spacing w:val="-95"/>
                            <w:sz w:val="22"/>
                            <w:szCs w:val="22"/>
                          </w:rPr>
                          <w:t> </w:t>
                        </w:r>
                        <w:r>
                          <w:rPr>
                            <w:rFonts w:ascii="宋体" w:hAnsi="宋体" w:cs="宋体" w:eastAsia="宋体" w:hint="default"/>
                            <w:spacing w:val="-95"/>
                            <w:sz w:val="22"/>
                            <w:szCs w:val="22"/>
                          </w:rPr>
                        </w:r>
                        <w:r>
                          <w:rPr>
                            <w:rFonts w:ascii="宋体" w:hAnsi="宋体" w:cs="宋体" w:eastAsia="宋体" w:hint="default"/>
                            <w:sz w:val="22"/>
                            <w:szCs w:val="22"/>
                          </w:rPr>
                          <w:t>报告、结算单等；</w:t>
                        </w:r>
                      </w:p>
                      <w:p>
                        <w:pPr>
                          <w:pStyle w:val="TableParagraph"/>
                          <w:spacing w:line="240" w:lineRule="auto" w:before="13"/>
                          <w:ind w:left="4"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6</w:t>
                        </w:r>
                        <w:r>
                          <w:rPr>
                            <w:rFonts w:ascii="宋体" w:hAnsi="宋体" w:cs="宋体" w:eastAsia="宋体" w:hint="default"/>
                            <w:sz w:val="22"/>
                            <w:szCs w:val="22"/>
                          </w:rPr>
                          <w:t>）</w:t>
                        </w:r>
                        <w:r>
                          <w:rPr>
                            <w:rFonts w:ascii="宋体" w:hAnsi="宋体" w:cs="宋体" w:eastAsia="宋体" w:hint="default"/>
                            <w:spacing w:val="-23"/>
                            <w:sz w:val="22"/>
                            <w:szCs w:val="22"/>
                          </w:rPr>
                          <w:t> </w:t>
                        </w:r>
                        <w:r>
                          <w:rPr>
                            <w:rFonts w:ascii="宋体" w:hAnsi="宋体" w:cs="宋体" w:eastAsia="宋体" w:hint="default"/>
                            <w:sz w:val="22"/>
                            <w:szCs w:val="22"/>
                          </w:rPr>
                          <w:t>向客户实施走访和函证程序；</w:t>
                        </w:r>
                      </w:p>
                      <w:p>
                        <w:pPr>
                          <w:pStyle w:val="TableParagraph"/>
                          <w:spacing w:line="240" w:lineRule="auto" w:before="7"/>
                          <w:ind w:left="4"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7)  </w:t>
                        </w:r>
                        <w:r>
                          <w:rPr>
                            <w:rFonts w:ascii="Times New Roman" w:hAnsi="Times New Roman" w:cs="Times New Roman" w:eastAsia="Times New Roman" w:hint="default"/>
                            <w:spacing w:val="11"/>
                            <w:sz w:val="22"/>
                            <w:szCs w:val="22"/>
                          </w:rPr>
                          <w:t> </w:t>
                        </w:r>
                        <w:r>
                          <w:rPr>
                            <w:rFonts w:ascii="宋体" w:hAnsi="宋体" w:cs="宋体" w:eastAsia="宋体" w:hint="default"/>
                            <w:sz w:val="22"/>
                            <w:szCs w:val="22"/>
                          </w:rPr>
                          <w:t>检查期后回款情况。</w:t>
                        </w:r>
                      </w:p>
                    </w:tc>
                  </w:tr>
                  <w:tr>
                    <w:trPr>
                      <w:trHeight w:val="346" w:hRule="exact"/>
                    </w:trPr>
                    <w:tc>
                      <w:tcPr>
                        <w:tcW w:w="85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64" w:right="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26"/>
                            <w:sz w:val="22"/>
                            <w:szCs w:val="22"/>
                          </w:rPr>
                          <w:t> </w:t>
                        </w:r>
                        <w:r>
                          <w:rPr>
                            <w:rFonts w:ascii="宋体" w:hAnsi="宋体" w:cs="宋体" w:eastAsia="宋体" w:hint="default"/>
                            <w:b/>
                            <w:bCs/>
                            <w:sz w:val="22"/>
                            <w:szCs w:val="22"/>
                          </w:rPr>
                          <w:t>处置成都卓杭股权投资收益</w:t>
                        </w:r>
                        <w:r>
                          <w:rPr>
                            <w:rFonts w:ascii="宋体" w:hAnsi="宋体" w:cs="宋体" w:eastAsia="宋体" w:hint="default"/>
                            <w:sz w:val="22"/>
                            <w:szCs w:val="22"/>
                          </w:rPr>
                        </w:r>
                      </w:p>
                    </w:tc>
                  </w:tr>
                  <w:tr>
                    <w:trPr>
                      <w:trHeight w:val="348" w:hRule="exact"/>
                    </w:trPr>
                    <w:tc>
                      <w:tcPr>
                        <w:tcW w:w="4383"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4" w:right="0"/>
                          <w:jc w:val="center"/>
                          <w:rPr>
                            <w:rFonts w:ascii="宋体" w:hAnsi="宋体" w:cs="宋体" w:eastAsia="宋体" w:hint="default"/>
                            <w:sz w:val="22"/>
                            <w:szCs w:val="22"/>
                          </w:rPr>
                        </w:pPr>
                        <w:r>
                          <w:rPr>
                            <w:rFonts w:ascii="宋体" w:hAnsi="宋体" w:cs="宋体" w:eastAsia="宋体" w:hint="default"/>
                            <w:b/>
                            <w:bCs/>
                            <w:sz w:val="22"/>
                            <w:szCs w:val="22"/>
                          </w:rPr>
                          <w:t>关键审计事项</w:t>
                        </w:r>
                        <w:r>
                          <w:rPr>
                            <w:rFonts w:ascii="宋体" w:hAnsi="宋体" w:cs="宋体" w:eastAsia="宋体" w:hint="default"/>
                            <w:sz w:val="22"/>
                            <w:szCs w:val="22"/>
                          </w:rPr>
                        </w:r>
                      </w:p>
                    </w:tc>
                    <w:tc>
                      <w:tcPr>
                        <w:tcW w:w="4124"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right="0"/>
                          <w:jc w:val="center"/>
                          <w:rPr>
                            <w:rFonts w:ascii="宋体" w:hAnsi="宋体" w:cs="宋体" w:eastAsia="宋体" w:hint="default"/>
                            <w:sz w:val="22"/>
                            <w:szCs w:val="22"/>
                          </w:rPr>
                        </w:pPr>
                        <w:r>
                          <w:rPr>
                            <w:rFonts w:ascii="宋体" w:hAnsi="宋体" w:cs="宋体" w:eastAsia="宋体" w:hint="default"/>
                            <w:b/>
                            <w:bCs/>
                            <w:sz w:val="22"/>
                            <w:szCs w:val="22"/>
                          </w:rPr>
                          <w:t>审计中的应对</w:t>
                        </w:r>
                        <w:r>
                          <w:rPr>
                            <w:rFonts w:ascii="宋体" w:hAnsi="宋体" w:cs="宋体" w:eastAsia="宋体" w:hint="default"/>
                            <w:sz w:val="22"/>
                            <w:szCs w:val="22"/>
                          </w:rPr>
                        </w:r>
                      </w:p>
                    </w:tc>
                  </w:tr>
                  <w:tr>
                    <w:trPr>
                      <w:trHeight w:val="3396" w:hRule="exact"/>
                    </w:trPr>
                    <w:tc>
                      <w:tcPr>
                        <w:tcW w:w="4383"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08"/>
                          <w:ind w:left="4" w:right="-40" w:firstLine="439"/>
                          <w:jc w:val="both"/>
                          <w:rPr>
                            <w:rFonts w:ascii="宋体" w:hAnsi="宋体" w:cs="宋体" w:eastAsia="宋体" w:hint="default"/>
                            <w:sz w:val="22"/>
                            <w:szCs w:val="22"/>
                          </w:rPr>
                        </w:pPr>
                        <w:r>
                          <w:rPr>
                            <w:rFonts w:ascii="宋体" w:hAnsi="宋体" w:cs="宋体" w:eastAsia="宋体" w:hint="default"/>
                            <w:spacing w:val="-3"/>
                            <w:sz w:val="22"/>
                            <w:szCs w:val="22"/>
                          </w:rPr>
                          <w:t>参见附注六（</w:t>
                        </w:r>
                        <w:r>
                          <w:rPr>
                            <w:rFonts w:ascii="Times New Roman" w:hAnsi="Times New Roman" w:cs="Times New Roman" w:eastAsia="Times New Roman" w:hint="default"/>
                            <w:spacing w:val="-3"/>
                            <w:sz w:val="22"/>
                            <w:szCs w:val="22"/>
                          </w:rPr>
                          <w:t>39</w:t>
                        </w:r>
                        <w:r>
                          <w:rPr>
                            <w:rFonts w:ascii="宋体" w:hAnsi="宋体" w:cs="宋体" w:eastAsia="宋体" w:hint="default"/>
                            <w:spacing w:val="-3"/>
                            <w:sz w:val="22"/>
                            <w:szCs w:val="22"/>
                          </w:rPr>
                          <w:t>），</w:t>
                        </w:r>
                        <w:r>
                          <w:rPr>
                            <w:rFonts w:ascii="Times New Roman" w:hAnsi="Times New Roman" w:cs="Times New Roman" w:eastAsia="Times New Roman" w:hint="default"/>
                            <w:spacing w:val="-3"/>
                            <w:sz w:val="22"/>
                            <w:szCs w:val="22"/>
                          </w:rPr>
                          <w:t>2019</w:t>
                        </w:r>
                        <w:r>
                          <w:rPr>
                            <w:rFonts w:ascii="宋体" w:hAnsi="宋体" w:cs="宋体" w:eastAsia="宋体" w:hint="default"/>
                            <w:spacing w:val="-3"/>
                            <w:sz w:val="22"/>
                            <w:szCs w:val="22"/>
                          </w:rPr>
                          <w:t>年子公司游嘻宝</w:t>
                        </w:r>
                        <w:r>
                          <w:rPr>
                            <w:rFonts w:ascii="宋体" w:hAnsi="宋体" w:cs="宋体" w:eastAsia="宋体" w:hint="default"/>
                            <w:w w:val="100"/>
                            <w:sz w:val="22"/>
                            <w:szCs w:val="22"/>
                          </w:rPr>
                          <w:t> </w:t>
                        </w:r>
                        <w:r>
                          <w:rPr>
                            <w:rFonts w:ascii="宋体" w:hAnsi="宋体" w:cs="宋体" w:eastAsia="宋体" w:hint="default"/>
                            <w:spacing w:val="-3"/>
                            <w:sz w:val="22"/>
                            <w:szCs w:val="22"/>
                          </w:rPr>
                          <w:t>处置成都卓杭信息技术有限公司（以下简称成</w:t>
                        </w:r>
                        <w:r>
                          <w:rPr>
                            <w:rFonts w:ascii="宋体" w:hAnsi="宋体" w:cs="宋体" w:eastAsia="宋体" w:hint="default"/>
                            <w:spacing w:val="-88"/>
                            <w:sz w:val="22"/>
                            <w:szCs w:val="22"/>
                          </w:rPr>
                          <w:t> </w:t>
                        </w:r>
                        <w:r>
                          <w:rPr>
                            <w:rFonts w:ascii="宋体" w:hAnsi="宋体" w:cs="宋体" w:eastAsia="宋体" w:hint="default"/>
                            <w:spacing w:val="-88"/>
                            <w:sz w:val="22"/>
                            <w:szCs w:val="22"/>
                          </w:rPr>
                        </w:r>
                        <w:r>
                          <w:rPr>
                            <w:rFonts w:ascii="宋体" w:hAnsi="宋体" w:cs="宋体" w:eastAsia="宋体" w:hint="default"/>
                            <w:spacing w:val="-5"/>
                            <w:sz w:val="22"/>
                            <w:szCs w:val="22"/>
                          </w:rPr>
                          <w:t>都卓杭）股权，由成都卓杭以每股</w:t>
                        </w:r>
                        <w:r>
                          <w:rPr>
                            <w:rFonts w:ascii="Times New Roman" w:hAnsi="Times New Roman" w:cs="Times New Roman" w:eastAsia="Times New Roman" w:hint="default"/>
                            <w:spacing w:val="-5"/>
                            <w:sz w:val="22"/>
                            <w:szCs w:val="22"/>
                          </w:rPr>
                          <w:t>45.38</w:t>
                        </w:r>
                        <w:r>
                          <w:rPr>
                            <w:rFonts w:ascii="宋体" w:hAnsi="宋体" w:cs="宋体" w:eastAsia="宋体" w:hint="default"/>
                            <w:spacing w:val="-5"/>
                            <w:sz w:val="22"/>
                            <w:szCs w:val="22"/>
                          </w:rPr>
                          <w:t>元作为</w:t>
                        </w:r>
                        <w:r>
                          <w:rPr>
                            <w:rFonts w:ascii="宋体" w:hAnsi="宋体" w:cs="宋体" w:eastAsia="宋体" w:hint="default"/>
                            <w:spacing w:val="-87"/>
                            <w:sz w:val="22"/>
                            <w:szCs w:val="22"/>
                          </w:rPr>
                          <w:t> </w:t>
                        </w:r>
                        <w:r>
                          <w:rPr>
                            <w:rFonts w:ascii="宋体" w:hAnsi="宋体" w:cs="宋体" w:eastAsia="宋体" w:hint="default"/>
                            <w:spacing w:val="-87"/>
                            <w:sz w:val="22"/>
                            <w:szCs w:val="22"/>
                          </w:rPr>
                        </w:r>
                        <w:r>
                          <w:rPr>
                            <w:rFonts w:ascii="宋体" w:hAnsi="宋体" w:cs="宋体" w:eastAsia="宋体" w:hint="default"/>
                            <w:spacing w:val="32"/>
                            <w:sz w:val="22"/>
                            <w:szCs w:val="22"/>
                          </w:rPr>
                          <w:t>回购对价，回购游嘻</w:t>
                        </w:r>
                        <w:r>
                          <w:rPr>
                            <w:rFonts w:ascii="宋体" w:hAnsi="宋体" w:cs="宋体" w:eastAsia="宋体" w:hint="default"/>
                            <w:spacing w:val="-61"/>
                            <w:sz w:val="22"/>
                            <w:szCs w:val="22"/>
                          </w:rPr>
                          <w:t> </w:t>
                        </w:r>
                        <w:r>
                          <w:rPr>
                            <w:rFonts w:ascii="宋体" w:hAnsi="宋体" w:cs="宋体" w:eastAsia="宋体" w:hint="default"/>
                            <w:spacing w:val="32"/>
                            <w:sz w:val="22"/>
                            <w:szCs w:val="22"/>
                          </w:rPr>
                          <w:t>宝持有的成都卓杭</w:t>
                        </w:r>
                        <w:r>
                          <w:rPr>
                            <w:rFonts w:ascii="宋体" w:hAnsi="宋体" w:cs="宋体" w:eastAsia="宋体" w:hint="default"/>
                            <w:spacing w:val="-85"/>
                            <w:sz w:val="22"/>
                            <w:szCs w:val="22"/>
                          </w:rPr>
                          <w:t> </w:t>
                        </w:r>
                        <w:r>
                          <w:rPr>
                            <w:rFonts w:ascii="Times New Roman" w:hAnsi="Times New Roman" w:cs="Times New Roman" w:eastAsia="Times New Roman" w:hint="default"/>
                            <w:sz w:val="22"/>
                            <w:szCs w:val="22"/>
                          </w:rPr>
                          <w:t>7.4747%</w:t>
                        </w:r>
                        <w:r>
                          <w:rPr>
                            <w:rFonts w:ascii="宋体" w:hAnsi="宋体" w:cs="宋体" w:eastAsia="宋体" w:hint="default"/>
                            <w:sz w:val="22"/>
                            <w:szCs w:val="22"/>
                          </w:rPr>
                          <w:t>、共计</w:t>
                        </w:r>
                        <w:r>
                          <w:rPr>
                            <w:rFonts w:ascii="Times New Roman" w:hAnsi="Times New Roman" w:cs="Times New Roman" w:eastAsia="Times New Roman" w:hint="default"/>
                            <w:sz w:val="22"/>
                            <w:szCs w:val="22"/>
                          </w:rPr>
                          <w:t>1,366,107</w:t>
                        </w:r>
                        <w:r>
                          <w:rPr>
                            <w:rFonts w:ascii="宋体" w:hAnsi="宋体" w:cs="宋体" w:eastAsia="宋体" w:hint="default"/>
                            <w:sz w:val="22"/>
                            <w:szCs w:val="22"/>
                          </w:rPr>
                          <w:t>股股份，回购总价款</w:t>
                        </w:r>
                        <w:r>
                          <w:rPr>
                            <w:rFonts w:ascii="宋体" w:hAnsi="宋体" w:cs="宋体" w:eastAsia="宋体" w:hint="default"/>
                            <w:spacing w:val="-61"/>
                            <w:sz w:val="22"/>
                            <w:szCs w:val="22"/>
                          </w:rPr>
                          <w:t> </w:t>
                        </w:r>
                        <w:r>
                          <w:rPr>
                            <w:rFonts w:ascii="宋体" w:hAnsi="宋体" w:cs="宋体" w:eastAsia="宋体" w:hint="default"/>
                            <w:spacing w:val="-61"/>
                            <w:sz w:val="22"/>
                            <w:szCs w:val="22"/>
                          </w:rPr>
                        </w:r>
                        <w:r>
                          <w:rPr>
                            <w:rFonts w:ascii="宋体" w:hAnsi="宋体" w:cs="宋体" w:eastAsia="宋体" w:hint="default"/>
                            <w:sz w:val="22"/>
                            <w:szCs w:val="22"/>
                          </w:rPr>
                          <w:t>为</w:t>
                        </w:r>
                        <w:r>
                          <w:rPr>
                            <w:rFonts w:ascii="宋体" w:hAnsi="宋体" w:cs="宋体" w:eastAsia="宋体" w:hint="default"/>
                            <w:spacing w:val="-48"/>
                            <w:sz w:val="22"/>
                            <w:szCs w:val="22"/>
                          </w:rPr>
                          <w:t> </w:t>
                        </w:r>
                        <w:r>
                          <w:rPr>
                            <w:rFonts w:ascii="Times New Roman" w:hAnsi="Times New Roman" w:cs="Times New Roman" w:eastAsia="Times New Roman" w:hint="default"/>
                            <w:sz w:val="22"/>
                            <w:szCs w:val="22"/>
                          </w:rPr>
                          <w:t>6,200</w:t>
                        </w:r>
                        <w:r>
                          <w:rPr>
                            <w:rFonts w:ascii="Times New Roman" w:hAnsi="Times New Roman" w:cs="Times New Roman" w:eastAsia="Times New Roman" w:hint="default"/>
                            <w:spacing w:val="7"/>
                            <w:sz w:val="22"/>
                            <w:szCs w:val="22"/>
                          </w:rPr>
                          <w:t> </w:t>
                        </w:r>
                        <w:r>
                          <w:rPr>
                            <w:rFonts w:ascii="宋体" w:hAnsi="宋体" w:cs="宋体" w:eastAsia="宋体" w:hint="default"/>
                            <w:spacing w:val="49"/>
                            <w:sz w:val="22"/>
                            <w:szCs w:val="22"/>
                          </w:rPr>
                          <w:t>万元。游嘻宝账面股权价值</w:t>
                        </w:r>
                        <w:r>
                          <w:rPr>
                            <w:rFonts w:ascii="宋体" w:hAnsi="宋体" w:cs="宋体" w:eastAsia="宋体" w:hint="default"/>
                            <w:spacing w:val="-48"/>
                            <w:sz w:val="22"/>
                            <w:szCs w:val="22"/>
                          </w:rPr>
                          <w:t> </w:t>
                        </w:r>
                        <w:r>
                          <w:rPr>
                            <w:rFonts w:ascii="宋体" w:hAnsi="宋体" w:cs="宋体" w:eastAsia="宋体" w:hint="default"/>
                            <w:sz w:val="22"/>
                            <w:szCs w:val="22"/>
                          </w:rPr>
                          <w:t>为</w:t>
                        </w:r>
                        <w:r>
                          <w:rPr>
                            <w:rFonts w:ascii="宋体" w:hAnsi="宋体" w:cs="宋体" w:eastAsia="宋体" w:hint="default"/>
                            <w:spacing w:val="-102"/>
                            <w:sz w:val="22"/>
                            <w:szCs w:val="22"/>
                          </w:rPr>
                          <w:t> </w:t>
                        </w:r>
                        <w:r>
                          <w:rPr>
                            <w:rFonts w:ascii="Times New Roman" w:hAnsi="Times New Roman" w:cs="Times New Roman" w:eastAsia="Times New Roman" w:hint="default"/>
                            <w:sz w:val="21"/>
                            <w:szCs w:val="21"/>
                          </w:rPr>
                          <w:t>19,808,551.50</w:t>
                        </w:r>
                        <w:r>
                          <w:rPr>
                            <w:rFonts w:ascii="宋体" w:hAnsi="宋体" w:cs="宋体" w:eastAsia="宋体" w:hint="default"/>
                            <w:sz w:val="22"/>
                            <w:szCs w:val="22"/>
                          </w:rPr>
                          <w:t>元，该股权回购事项确认投资收</w:t>
                        </w:r>
                        <w:r>
                          <w:rPr>
                            <w:rFonts w:ascii="宋体" w:hAnsi="宋体" w:cs="宋体" w:eastAsia="宋体" w:hint="default"/>
                            <w:spacing w:val="-44"/>
                            <w:sz w:val="22"/>
                            <w:szCs w:val="22"/>
                          </w:rPr>
                          <w:t> </w:t>
                        </w:r>
                        <w:r>
                          <w:rPr>
                            <w:rFonts w:ascii="宋体" w:hAnsi="宋体" w:cs="宋体" w:eastAsia="宋体" w:hint="default"/>
                            <w:spacing w:val="-44"/>
                            <w:sz w:val="22"/>
                            <w:szCs w:val="22"/>
                          </w:rPr>
                        </w:r>
                        <w:r>
                          <w:rPr>
                            <w:rFonts w:ascii="宋体" w:hAnsi="宋体" w:cs="宋体" w:eastAsia="宋体" w:hint="default"/>
                            <w:sz w:val="22"/>
                            <w:szCs w:val="22"/>
                          </w:rPr>
                          <w:t>益</w:t>
                        </w:r>
                        <w:r>
                          <w:rPr>
                            <w:rFonts w:ascii="Times New Roman" w:hAnsi="Times New Roman" w:cs="Times New Roman" w:eastAsia="Times New Roman" w:hint="default"/>
                            <w:sz w:val="21"/>
                            <w:szCs w:val="21"/>
                          </w:rPr>
                          <w:t>42,191,448.50</w:t>
                        </w:r>
                        <w:r>
                          <w:rPr>
                            <w:rFonts w:ascii="宋体" w:hAnsi="宋体" w:cs="宋体" w:eastAsia="宋体" w:hint="default"/>
                            <w:sz w:val="22"/>
                            <w:szCs w:val="22"/>
                          </w:rPr>
                          <w:t>元。</w:t>
                        </w:r>
                      </w:p>
                      <w:p>
                        <w:pPr>
                          <w:pStyle w:val="TableParagraph"/>
                          <w:spacing w:line="259" w:lineRule="auto"/>
                          <w:ind w:left="4" w:right="1" w:firstLine="840"/>
                          <w:jc w:val="left"/>
                          <w:rPr>
                            <w:rFonts w:ascii="宋体" w:hAnsi="宋体" w:cs="宋体" w:eastAsia="宋体" w:hint="default"/>
                            <w:sz w:val="22"/>
                            <w:szCs w:val="22"/>
                          </w:rPr>
                        </w:pPr>
                        <w:r>
                          <w:rPr>
                            <w:rFonts w:ascii="宋体" w:hAnsi="宋体" w:cs="宋体" w:eastAsia="宋体" w:hint="default"/>
                            <w:spacing w:val="12"/>
                            <w:sz w:val="22"/>
                            <w:szCs w:val="22"/>
                          </w:rPr>
                          <w:t>由于该事项对当期净利润有重大影</w:t>
                        </w:r>
                        <w:r>
                          <w:rPr>
                            <w:rFonts w:ascii="宋体" w:hAnsi="宋体" w:cs="宋体" w:eastAsia="宋体" w:hint="default"/>
                            <w:w w:val="100"/>
                            <w:sz w:val="22"/>
                            <w:szCs w:val="22"/>
                          </w:rPr>
                          <w:t> </w:t>
                        </w:r>
                        <w:r>
                          <w:rPr>
                            <w:rFonts w:ascii="宋体" w:hAnsi="宋体" w:cs="宋体" w:eastAsia="宋体" w:hint="default"/>
                            <w:spacing w:val="-9"/>
                            <w:sz w:val="22"/>
                            <w:szCs w:val="22"/>
                          </w:rPr>
                          <w:t>响，为此，我们将该事项确认为关键审计事项</w:t>
                        </w:r>
                      </w:p>
                    </w:tc>
                    <w:tc>
                      <w:tcPr>
                        <w:tcW w:w="412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4" w:right="0"/>
                          <w:jc w:val="left"/>
                          <w:rPr>
                            <w:rFonts w:ascii="宋体" w:hAnsi="宋体" w:cs="宋体" w:eastAsia="宋体" w:hint="default"/>
                            <w:sz w:val="22"/>
                            <w:szCs w:val="22"/>
                          </w:rPr>
                        </w:pPr>
                        <w:r>
                          <w:rPr>
                            <w:rFonts w:ascii="宋体" w:hAnsi="宋体" w:cs="宋体" w:eastAsia="宋体" w:hint="default"/>
                            <w:sz w:val="22"/>
                            <w:szCs w:val="22"/>
                          </w:rPr>
                          <w:t>我们实施的审计程序包括：</w:t>
                        </w:r>
                      </w:p>
                      <w:p>
                        <w:pPr>
                          <w:pStyle w:val="TableParagraph"/>
                          <w:spacing w:line="261" w:lineRule="auto" w:before="144"/>
                          <w:ind w:left="364" w:right="1" w:hanging="36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28"/>
                            <w:sz w:val="22"/>
                            <w:szCs w:val="22"/>
                          </w:rPr>
                          <w:t> </w:t>
                        </w:r>
                        <w:r>
                          <w:rPr>
                            <w:rFonts w:ascii="宋体" w:hAnsi="宋体" w:cs="宋体" w:eastAsia="宋体" w:hint="default"/>
                            <w:sz w:val="22"/>
                            <w:szCs w:val="22"/>
                          </w:rPr>
                          <w:t>了解、评估处置股权的相关内部控制，</w:t>
                        </w:r>
                        <w:r>
                          <w:rPr>
                            <w:rFonts w:ascii="宋体" w:hAnsi="宋体" w:cs="宋体" w:eastAsia="宋体" w:hint="default"/>
                            <w:w w:val="100"/>
                            <w:sz w:val="22"/>
                            <w:szCs w:val="22"/>
                          </w:rPr>
                          <w:t> </w:t>
                        </w:r>
                        <w:r>
                          <w:rPr>
                            <w:rFonts w:ascii="宋体" w:hAnsi="宋体" w:cs="宋体" w:eastAsia="宋体" w:hint="default"/>
                            <w:sz w:val="22"/>
                            <w:szCs w:val="22"/>
                          </w:rPr>
                          <w:t>查阅了股权投资和处置的相关文件；</w:t>
                        </w:r>
                      </w:p>
                      <w:p>
                        <w:pPr>
                          <w:pStyle w:val="TableParagraph"/>
                          <w:spacing w:line="240" w:lineRule="auto" w:before="124"/>
                          <w:ind w:left="4"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27"/>
                            <w:sz w:val="22"/>
                            <w:szCs w:val="22"/>
                          </w:rPr>
                          <w:t> </w:t>
                        </w:r>
                        <w:r>
                          <w:rPr>
                            <w:rFonts w:ascii="宋体" w:hAnsi="宋体" w:cs="宋体" w:eastAsia="宋体" w:hint="default"/>
                            <w:sz w:val="22"/>
                            <w:szCs w:val="22"/>
                          </w:rPr>
                          <w:t>了解股权转让的交易背景及合理性；</w:t>
                        </w:r>
                      </w:p>
                      <w:p>
                        <w:pPr>
                          <w:pStyle w:val="TableParagraph"/>
                          <w:spacing w:line="259" w:lineRule="auto" w:before="144"/>
                          <w:ind w:left="364" w:right="1" w:hanging="36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31"/>
                            <w:sz w:val="22"/>
                            <w:szCs w:val="22"/>
                          </w:rPr>
                          <w:t> </w:t>
                        </w:r>
                        <w:r>
                          <w:rPr>
                            <w:rFonts w:ascii="宋体" w:hAnsi="宋体" w:cs="宋体" w:eastAsia="宋体" w:hint="default"/>
                            <w:sz w:val="22"/>
                            <w:szCs w:val="22"/>
                          </w:rPr>
                          <w:t>了解股权转让定价基础，评价股权转让</w:t>
                        </w:r>
                        <w:r>
                          <w:rPr>
                            <w:rFonts w:ascii="宋体" w:hAnsi="宋体" w:cs="宋体" w:eastAsia="宋体" w:hint="default"/>
                            <w:w w:val="100"/>
                            <w:sz w:val="22"/>
                            <w:szCs w:val="22"/>
                          </w:rPr>
                          <w:t> </w:t>
                        </w:r>
                        <w:r>
                          <w:rPr>
                            <w:rFonts w:ascii="宋体" w:hAnsi="宋体" w:cs="宋体" w:eastAsia="宋体" w:hint="default"/>
                            <w:sz w:val="22"/>
                            <w:szCs w:val="22"/>
                          </w:rPr>
                          <w:t>价格的公允性；</w:t>
                        </w:r>
                      </w:p>
                      <w:p>
                        <w:pPr>
                          <w:pStyle w:val="TableParagraph"/>
                          <w:spacing w:line="240" w:lineRule="auto" w:before="126"/>
                          <w:ind w:left="4" w:right="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29"/>
                            <w:sz w:val="22"/>
                            <w:szCs w:val="22"/>
                          </w:rPr>
                          <w:t> </w:t>
                        </w:r>
                        <w:r>
                          <w:rPr>
                            <w:rFonts w:ascii="宋体" w:hAnsi="宋体" w:cs="宋体" w:eastAsia="宋体" w:hint="default"/>
                            <w:sz w:val="22"/>
                            <w:szCs w:val="22"/>
                          </w:rPr>
                          <w:t>检查股权回购协议及收款凭证。</w:t>
                        </w:r>
                      </w:p>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left="-124" w:right="0"/>
                          <w:jc w:val="left"/>
                          <w:rPr>
                            <w:rFonts w:ascii="宋体" w:hAnsi="宋体" w:cs="宋体" w:eastAsia="宋体" w:hint="default"/>
                            <w:sz w:val="22"/>
                            <w:szCs w:val="22"/>
                          </w:rPr>
                        </w:pPr>
                        <w:r>
                          <w:rPr>
                            <w:rFonts w:ascii="宋体" w:hAnsi="宋体" w:cs="宋体" w:eastAsia="宋体" w:hint="default"/>
                            <w:w w:val="100"/>
                            <w:sz w:val="22"/>
                            <w:szCs w:val="22"/>
                          </w:rPr>
                          <w:t>。</w:t>
                        </w:r>
                      </w:p>
                    </w:tc>
                  </w:tr>
                </w:tbl>
                <w:p>
                  <w:pPr/>
                </w:p>
              </w:txbxContent>
            </v:textbox>
            <w10:wrap type="none"/>
          </v:shape>
        </w:pict>
      </w: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Heading5"/>
        <w:spacing w:line="240" w:lineRule="auto"/>
        <w:ind w:left="602" w:right="996" w:firstLine="0"/>
        <w:jc w:val="left"/>
        <w:rPr>
          <w:b w:val="0"/>
          <w:bCs w:val="0"/>
        </w:rPr>
      </w:pPr>
      <w:r>
        <w:rPr/>
        <w:t>四、其他信息</w:t>
      </w:r>
      <w:r>
        <w:rPr>
          <w:b w:val="0"/>
          <w:bCs w:val="0"/>
        </w:rPr>
      </w:r>
    </w:p>
    <w:p>
      <w:pPr>
        <w:spacing w:line="240" w:lineRule="auto" w:before="2"/>
        <w:rPr>
          <w:rFonts w:ascii="宋体" w:hAnsi="宋体" w:cs="宋体" w:eastAsia="宋体" w:hint="default"/>
          <w:b/>
          <w:bCs/>
          <w:sz w:val="20"/>
          <w:szCs w:val="20"/>
        </w:rPr>
      </w:pPr>
    </w:p>
    <w:p>
      <w:pPr>
        <w:pStyle w:val="BodyText"/>
        <w:spacing w:line="247" w:lineRule="auto"/>
        <w:ind w:right="996" w:firstLine="439"/>
        <w:jc w:val="left"/>
      </w:pPr>
      <w:r>
        <w:rPr>
          <w:spacing w:val="-1"/>
        </w:rPr>
        <w:t>中青宝公司管理层</w:t>
      </w:r>
      <w:r>
        <w:rPr>
          <w:rFonts w:ascii="Times New Roman" w:hAnsi="Times New Roman" w:cs="Times New Roman" w:eastAsia="Times New Roman" w:hint="default"/>
          <w:spacing w:val="-1"/>
        </w:rPr>
        <w:t>(</w:t>
      </w:r>
      <w:r>
        <w:rPr>
          <w:spacing w:val="-1"/>
        </w:rPr>
        <w:t>以下简称管理层</w:t>
      </w:r>
      <w:r>
        <w:rPr>
          <w:rFonts w:ascii="Times New Roman" w:hAnsi="Times New Roman" w:cs="Times New Roman" w:eastAsia="Times New Roman" w:hint="default"/>
          <w:spacing w:val="-1"/>
        </w:rPr>
        <w:t>)</w:t>
      </w:r>
      <w:r>
        <w:rPr>
          <w:spacing w:val="-1"/>
        </w:rPr>
        <w:t>对其他信息负责。其他信息包括中青宝公司</w:t>
      </w:r>
      <w:r>
        <w:rPr>
          <w:rFonts w:ascii="Times New Roman" w:hAnsi="Times New Roman" w:cs="Times New Roman" w:eastAsia="Times New Roman" w:hint="default"/>
          <w:spacing w:val="-1"/>
        </w:rPr>
        <w:t>2019</w:t>
      </w:r>
      <w:r>
        <w:rPr>
          <w:spacing w:val="-1"/>
        </w:rPr>
        <w:t>年年度报告</w:t>
      </w:r>
      <w:r>
        <w:rPr>
          <w:w w:val="100"/>
        </w:rPr>
        <w:t> </w:t>
      </w:r>
      <w:r>
        <w:rPr/>
        <w:t>中涵盖的信息，但不包括财务报表和我们的审计报告。</w:t>
      </w:r>
    </w:p>
    <w:p>
      <w:pPr>
        <w:spacing w:line="240" w:lineRule="auto" w:before="9"/>
        <w:rPr>
          <w:rFonts w:ascii="宋体" w:hAnsi="宋体" w:cs="宋体" w:eastAsia="宋体" w:hint="default"/>
          <w:sz w:val="19"/>
          <w:szCs w:val="19"/>
        </w:rPr>
      </w:pPr>
    </w:p>
    <w:p>
      <w:pPr>
        <w:pStyle w:val="BodyText"/>
        <w:spacing w:line="259" w:lineRule="auto"/>
        <w:ind w:right="996" w:firstLine="439"/>
        <w:jc w:val="left"/>
      </w:pPr>
      <w:r>
        <w:rPr>
          <w:spacing w:val="-1"/>
        </w:rPr>
        <w:t>我们对财务报表发表的审计意见不涵盖其他信息，我们也不对其他信息发表任何形式的鉴证结</w:t>
      </w:r>
      <w:r>
        <w:rPr>
          <w:w w:val="100"/>
        </w:rPr>
        <w:t> </w:t>
      </w:r>
      <w:r>
        <w:rPr/>
        <w:t>论。</w:t>
      </w:r>
    </w:p>
    <w:p>
      <w:pPr>
        <w:spacing w:line="240" w:lineRule="auto" w:before="11"/>
        <w:rPr>
          <w:rFonts w:ascii="宋体" w:hAnsi="宋体" w:cs="宋体" w:eastAsia="宋体" w:hint="default"/>
          <w:sz w:val="18"/>
          <w:szCs w:val="18"/>
        </w:rPr>
      </w:pPr>
    </w:p>
    <w:p>
      <w:pPr>
        <w:pStyle w:val="BodyText"/>
        <w:spacing w:line="259" w:lineRule="auto"/>
        <w:ind w:right="996" w:firstLine="439"/>
        <w:jc w:val="left"/>
      </w:pPr>
      <w:r>
        <w:rPr>
          <w:spacing w:val="-2"/>
        </w:rPr>
        <w:t>结合我们对财务报表的审计，我们的责任是阅读其他信息，在此过程中，考虑其他信息是否与财</w:t>
      </w:r>
      <w:r>
        <w:rPr>
          <w:w w:val="100"/>
        </w:rPr>
        <w:t> </w:t>
      </w:r>
      <w:r>
        <w:rPr/>
        <w:t>务报表或我们在审计过程中了解到的情况存在重大不一致或者似乎存在重大错报。</w:t>
      </w:r>
    </w:p>
    <w:p>
      <w:pPr>
        <w:spacing w:after="0" w:line="259" w:lineRule="auto"/>
        <w:jc w:val="left"/>
        <w:sectPr>
          <w:pgSz w:w="11910" w:h="16840"/>
          <w:pgMar w:header="877" w:footer="980" w:top="1060" w:bottom="1160" w:left="980" w:right="0"/>
        </w:sectPr>
      </w:pPr>
    </w:p>
    <w:p>
      <w:pPr>
        <w:spacing w:line="240" w:lineRule="auto" w:before="4"/>
        <w:rPr>
          <w:rFonts w:ascii="宋体" w:hAnsi="宋体" w:cs="宋体" w:eastAsia="宋体" w:hint="default"/>
          <w:sz w:val="24"/>
          <w:szCs w:val="24"/>
        </w:rPr>
      </w:pPr>
    </w:p>
    <w:p>
      <w:pPr>
        <w:pStyle w:val="BodyText"/>
        <w:spacing w:line="261" w:lineRule="auto" w:before="32"/>
        <w:ind w:right="996" w:firstLine="439"/>
        <w:jc w:val="left"/>
      </w:pPr>
      <w:r>
        <w:rPr>
          <w:spacing w:val="-5"/>
        </w:rPr>
        <w:t>基于我们已执行的工作，如果我们确定其他信息存在重大错报，我们应当报告该事实。在这方面，</w:t>
      </w:r>
      <w:r>
        <w:rPr>
          <w:w w:val="100"/>
        </w:rPr>
        <w:t> </w:t>
      </w:r>
      <w:r>
        <w:rPr/>
        <w:t>我们无任何事项需要报告。</w:t>
      </w:r>
    </w:p>
    <w:p>
      <w:pPr>
        <w:spacing w:line="552" w:lineRule="exact" w:before="59"/>
        <w:ind w:left="592" w:right="996" w:firstLine="9"/>
        <w:jc w:val="left"/>
        <w:rPr>
          <w:rFonts w:ascii="宋体" w:hAnsi="宋体" w:cs="宋体" w:eastAsia="宋体" w:hint="default"/>
          <w:sz w:val="22"/>
          <w:szCs w:val="22"/>
        </w:rPr>
      </w:pPr>
      <w:r>
        <w:rPr>
          <w:rFonts w:ascii="宋体" w:hAnsi="宋体" w:cs="宋体" w:eastAsia="宋体" w:hint="default"/>
          <w:b/>
          <w:bCs/>
          <w:sz w:val="22"/>
          <w:szCs w:val="22"/>
        </w:rPr>
        <w:t>五、管理层和治理层对财务报表的责任</w:t>
      </w:r>
      <w:r>
        <w:rPr>
          <w:rFonts w:ascii="宋体" w:hAnsi="宋体" w:cs="宋体" w:eastAsia="宋体" w:hint="default"/>
          <w:b/>
          <w:bCs/>
          <w:w w:val="99"/>
          <w:sz w:val="22"/>
          <w:szCs w:val="22"/>
        </w:rPr>
        <w:t> </w:t>
      </w:r>
      <w:r>
        <w:rPr>
          <w:rFonts w:ascii="宋体" w:hAnsi="宋体" w:cs="宋体" w:eastAsia="宋体" w:hint="default"/>
          <w:spacing w:val="-2"/>
          <w:sz w:val="22"/>
          <w:szCs w:val="22"/>
        </w:rPr>
        <w:t>管理层负责按照企业会计准则的规定编制财务报表，使其实现公允反映，并设计、执行和维护必</w:t>
      </w:r>
    </w:p>
    <w:p>
      <w:pPr>
        <w:pStyle w:val="BodyText"/>
        <w:spacing w:line="233" w:lineRule="exact"/>
        <w:ind w:right="996"/>
        <w:jc w:val="left"/>
      </w:pPr>
      <w:r>
        <w:rPr/>
        <w:t>要的内部控制，以使财务报表不存在由于舞弊或错误导致的重大错报。</w:t>
      </w:r>
    </w:p>
    <w:p>
      <w:pPr>
        <w:spacing w:line="240" w:lineRule="auto" w:before="2"/>
        <w:rPr>
          <w:rFonts w:ascii="宋体" w:hAnsi="宋体" w:cs="宋体" w:eastAsia="宋体" w:hint="default"/>
          <w:sz w:val="20"/>
          <w:szCs w:val="20"/>
        </w:rPr>
      </w:pPr>
    </w:p>
    <w:p>
      <w:pPr>
        <w:pStyle w:val="BodyText"/>
        <w:spacing w:line="259" w:lineRule="auto"/>
        <w:ind w:right="1090" w:firstLine="439"/>
        <w:jc w:val="both"/>
      </w:pPr>
      <w:r>
        <w:rPr>
          <w:spacing w:val="-8"/>
          <w:w w:val="100"/>
        </w:rPr>
        <w:t>在编制财务报表时，管理层负责评估中青宝公司的持续经营能力，披露与持续经营相关的事项（如</w:t>
      </w:r>
      <w:r>
        <w:rPr>
          <w:w w:val="100"/>
        </w:rPr>
        <w:t> </w:t>
      </w:r>
      <w:r>
        <w:rPr>
          <w:spacing w:val="-1"/>
        </w:rPr>
        <w:t>适用），并运用持续经营假设，除非管理层计划清算中青宝公司、终止运营或别无其他现实的选择。</w:t>
      </w:r>
    </w:p>
    <w:p>
      <w:pPr>
        <w:spacing w:line="240" w:lineRule="auto" w:before="11"/>
        <w:rPr>
          <w:rFonts w:ascii="宋体" w:hAnsi="宋体" w:cs="宋体" w:eastAsia="宋体" w:hint="default"/>
          <w:sz w:val="18"/>
          <w:szCs w:val="18"/>
        </w:rPr>
      </w:pPr>
    </w:p>
    <w:p>
      <w:pPr>
        <w:spacing w:line="460" w:lineRule="auto" w:before="0"/>
        <w:ind w:left="527" w:right="5474" w:firstLine="64"/>
        <w:jc w:val="left"/>
        <w:rPr>
          <w:rFonts w:ascii="宋体" w:hAnsi="宋体" w:cs="宋体" w:eastAsia="宋体" w:hint="default"/>
          <w:sz w:val="22"/>
          <w:szCs w:val="22"/>
        </w:rPr>
      </w:pPr>
      <w:r>
        <w:rPr>
          <w:rFonts w:ascii="宋体" w:hAnsi="宋体" w:cs="宋体" w:eastAsia="宋体" w:hint="default"/>
          <w:spacing w:val="-1"/>
          <w:sz w:val="22"/>
          <w:szCs w:val="22"/>
        </w:rPr>
        <w:t>治理层负责监督中青宝公司的财务报告过程。</w:t>
      </w:r>
      <w:r>
        <w:rPr>
          <w:rFonts w:ascii="宋体" w:hAnsi="宋体" w:cs="宋体" w:eastAsia="宋体" w:hint="default"/>
          <w:w w:val="100"/>
          <w:sz w:val="22"/>
          <w:szCs w:val="22"/>
        </w:rPr>
        <w:t> </w:t>
      </w:r>
      <w:r>
        <w:rPr>
          <w:rFonts w:ascii="宋体" w:hAnsi="宋体" w:cs="宋体" w:eastAsia="宋体" w:hint="default"/>
          <w:b/>
          <w:bCs/>
          <w:sz w:val="22"/>
          <w:szCs w:val="22"/>
        </w:rPr>
        <w:t>六、注册会计师对财务报表审计的责任</w:t>
      </w:r>
      <w:r>
        <w:rPr>
          <w:rFonts w:ascii="宋体" w:hAnsi="宋体" w:cs="宋体" w:eastAsia="宋体" w:hint="default"/>
          <w:sz w:val="22"/>
          <w:szCs w:val="22"/>
        </w:rPr>
      </w:r>
    </w:p>
    <w:p>
      <w:pPr>
        <w:pStyle w:val="BodyText"/>
        <w:spacing w:line="259" w:lineRule="auto" w:before="62"/>
        <w:ind w:right="1131" w:firstLine="439"/>
        <w:jc w:val="both"/>
      </w:pPr>
      <w:r>
        <w:rPr>
          <w:spacing w:val="-2"/>
        </w:rPr>
        <w:t>我们的目标是对财务报表整体是否不存在由于舞弊或错误导致的重大错报获取合理保证，并出具</w:t>
      </w:r>
      <w:r>
        <w:rPr>
          <w:w w:val="100"/>
        </w:rPr>
        <w:t> </w:t>
      </w:r>
      <w:r>
        <w:rPr>
          <w:spacing w:val="-2"/>
        </w:rPr>
        <w:t>包含审计意见的审计报告。合理保证是高水平的保证，但并不能保证按照审计准则执行的审计在某一</w:t>
      </w:r>
      <w:r>
        <w:rPr>
          <w:spacing w:val="-70"/>
        </w:rPr>
        <w:t> </w:t>
      </w:r>
      <w:r>
        <w:rPr>
          <w:spacing w:val="-70"/>
        </w:rPr>
      </w:r>
      <w:r>
        <w:rPr>
          <w:spacing w:val="-2"/>
        </w:rPr>
        <w:t>重大错报存在时总能发现。错报可能由于舞弊或错误导致，如果合理预期错报单独或汇总起来可能影</w:t>
      </w:r>
      <w:r>
        <w:rPr>
          <w:spacing w:val="-70"/>
        </w:rPr>
        <w:t> </w:t>
      </w:r>
      <w:r>
        <w:rPr>
          <w:spacing w:val="-70"/>
        </w:rPr>
      </w:r>
      <w:r>
        <w:rPr/>
        <w:t>响财务报表使用者依据财务报表作出的经济决策，则通常认为错报是重大的。</w:t>
      </w:r>
    </w:p>
    <w:p>
      <w:pPr>
        <w:spacing w:line="240" w:lineRule="auto" w:before="11"/>
        <w:rPr>
          <w:rFonts w:ascii="宋体" w:hAnsi="宋体" w:cs="宋体" w:eastAsia="宋体" w:hint="default"/>
          <w:sz w:val="18"/>
          <w:szCs w:val="18"/>
        </w:rPr>
      </w:pPr>
    </w:p>
    <w:p>
      <w:pPr>
        <w:pStyle w:val="BodyText"/>
        <w:spacing w:line="259" w:lineRule="auto"/>
        <w:ind w:right="1132" w:firstLine="439"/>
        <w:jc w:val="both"/>
      </w:pPr>
      <w:r>
        <w:rPr>
          <w:spacing w:val="-2"/>
        </w:rPr>
        <w:t>在按照审计准则执行审计工作的过程中，我们运用职业判断，并保持职业怀疑。同时，我们也执</w:t>
      </w:r>
      <w:r>
        <w:rPr>
          <w:w w:val="100"/>
        </w:rPr>
        <w:t> </w:t>
      </w:r>
      <w:r>
        <w:rPr/>
        <w:t>行以下工作：</w:t>
      </w:r>
    </w:p>
    <w:p>
      <w:pPr>
        <w:spacing w:line="240" w:lineRule="auto" w:before="11"/>
        <w:rPr>
          <w:rFonts w:ascii="宋体" w:hAnsi="宋体" w:cs="宋体" w:eastAsia="宋体" w:hint="default"/>
          <w:sz w:val="18"/>
          <w:szCs w:val="18"/>
        </w:rPr>
      </w:pPr>
    </w:p>
    <w:p>
      <w:pPr>
        <w:pStyle w:val="BodyText"/>
        <w:spacing w:line="254" w:lineRule="auto"/>
        <w:ind w:right="1130" w:firstLine="266"/>
        <w:jc w:val="both"/>
      </w:pPr>
      <w:r>
        <w:rPr>
          <w:spacing w:val="-1"/>
        </w:rPr>
        <w:t>（</w:t>
      </w:r>
      <w:r>
        <w:rPr>
          <w:rFonts w:ascii="Times New Roman" w:hAnsi="Times New Roman" w:cs="Times New Roman" w:eastAsia="Times New Roman" w:hint="default"/>
          <w:spacing w:val="-1"/>
        </w:rPr>
        <w:t>1</w:t>
      </w:r>
      <w:r>
        <w:rPr>
          <w:spacing w:val="-1"/>
        </w:rPr>
        <w:t>）识别和评估由于舞弊或错误导致的财务报表重大错报风险，设计和实施审计程序以应对这些</w:t>
      </w:r>
      <w:r>
        <w:rPr>
          <w:w w:val="100"/>
        </w:rPr>
        <w:t> </w:t>
      </w:r>
      <w:r>
        <w:rPr>
          <w:spacing w:val="-2"/>
        </w:rPr>
        <w:t>风险，并获取充分、适当的审计证据，作为发表审计意见的基础。由于舞弊可能涉及串通、伪造、故</w:t>
      </w:r>
      <w:r>
        <w:rPr>
          <w:spacing w:val="-72"/>
        </w:rPr>
        <w:t> </w:t>
      </w:r>
      <w:r>
        <w:rPr>
          <w:spacing w:val="-72"/>
        </w:rPr>
      </w:r>
      <w:r>
        <w:rPr>
          <w:spacing w:val="-2"/>
        </w:rPr>
        <w:t>意遗漏、虚假陈述或凌驾于内部控制之上，未能发现由于舞弊导致的重大错报的风险高于未能发现由</w:t>
      </w:r>
      <w:r>
        <w:rPr>
          <w:spacing w:val="-70"/>
        </w:rPr>
        <w:t> </w:t>
      </w:r>
      <w:r>
        <w:rPr>
          <w:spacing w:val="-70"/>
        </w:rPr>
      </w:r>
      <w:r>
        <w:rPr/>
        <w:t>于错误导致的重大错报的风险。</w:t>
      </w:r>
    </w:p>
    <w:p>
      <w:pPr>
        <w:spacing w:line="240" w:lineRule="auto" w:before="3"/>
        <w:rPr>
          <w:rFonts w:ascii="宋体" w:hAnsi="宋体" w:cs="宋体" w:eastAsia="宋体" w:hint="default"/>
          <w:sz w:val="19"/>
          <w:szCs w:val="19"/>
        </w:rPr>
      </w:pPr>
    </w:p>
    <w:p>
      <w:pPr>
        <w:pStyle w:val="BodyText"/>
        <w:spacing w:line="244" w:lineRule="auto"/>
        <w:ind w:right="996" w:firstLine="266"/>
        <w:jc w:val="left"/>
      </w:pPr>
      <w:r>
        <w:rPr>
          <w:spacing w:val="-1"/>
        </w:rPr>
        <w:t>（</w:t>
      </w:r>
      <w:r>
        <w:rPr>
          <w:rFonts w:ascii="Times New Roman" w:hAnsi="Times New Roman" w:cs="Times New Roman" w:eastAsia="Times New Roman" w:hint="default"/>
          <w:spacing w:val="-1"/>
        </w:rPr>
        <w:t>2</w:t>
      </w:r>
      <w:r>
        <w:rPr>
          <w:spacing w:val="-1"/>
        </w:rPr>
        <w:t>）了解与审计相关的内部控制，以设计恰当的审计程序，但目的并非对内部控制的有效性发表</w:t>
      </w:r>
      <w:r>
        <w:rPr>
          <w:w w:val="100"/>
        </w:rPr>
        <w:t> </w:t>
      </w:r>
      <w:r>
        <w:rPr/>
        <w:t>意见。</w:t>
      </w:r>
    </w:p>
    <w:p>
      <w:pPr>
        <w:spacing w:line="240" w:lineRule="auto" w:before="11"/>
        <w:rPr>
          <w:rFonts w:ascii="宋体" w:hAnsi="宋体" w:cs="宋体" w:eastAsia="宋体" w:hint="default"/>
          <w:sz w:val="19"/>
          <w:szCs w:val="19"/>
        </w:rPr>
      </w:pPr>
    </w:p>
    <w:p>
      <w:pPr>
        <w:pStyle w:val="BodyText"/>
        <w:spacing w:line="240" w:lineRule="auto"/>
        <w:ind w:left="419" w:right="996"/>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spacing w:line="240" w:lineRule="auto" w:before="12"/>
        <w:rPr>
          <w:rFonts w:ascii="宋体" w:hAnsi="宋体" w:cs="宋体" w:eastAsia="宋体" w:hint="default"/>
          <w:sz w:val="18"/>
          <w:szCs w:val="18"/>
        </w:rPr>
      </w:pPr>
    </w:p>
    <w:p>
      <w:pPr>
        <w:pStyle w:val="BodyText"/>
        <w:spacing w:line="256" w:lineRule="auto"/>
        <w:ind w:right="996" w:firstLine="266"/>
        <w:jc w:val="left"/>
      </w:pPr>
      <w:r>
        <w:rPr/>
        <w:t>（</w:t>
      </w:r>
      <w:r>
        <w:rPr>
          <w:rFonts w:ascii="Times New Roman" w:hAnsi="Times New Roman" w:cs="Times New Roman" w:eastAsia="Times New Roman" w:hint="default"/>
        </w:rPr>
        <w:t>4</w:t>
      </w:r>
      <w:r>
        <w:rPr/>
        <w:t>）对管理层使用持续经营假设的恰当性得出结论。同时，根据获取的审计证据，就可能导致对</w:t>
      </w:r>
      <w:r>
        <w:rPr>
          <w:w w:val="100"/>
        </w:rPr>
        <w:t> </w:t>
      </w:r>
      <w:r>
        <w:rPr>
          <w:spacing w:val="-2"/>
        </w:rPr>
        <w:t>中青宝公司持续经营能力产生重大疑虑的事项或情况是否存在重大不确定性得出结论。如果我们得出</w:t>
      </w:r>
      <w:r>
        <w:rPr>
          <w:spacing w:val="-73"/>
        </w:rPr>
        <w:t> </w:t>
      </w:r>
      <w:r>
        <w:rPr>
          <w:spacing w:val="-73"/>
        </w:rPr>
      </w:r>
      <w:r>
        <w:rPr>
          <w:spacing w:val="-2"/>
        </w:rPr>
        <w:t>结论认为存在重大不确定性，审计准则要求我们在审计报告中提请报表使用者注意财务报表中的相关</w:t>
      </w:r>
      <w:r>
        <w:rPr>
          <w:spacing w:val="-73"/>
        </w:rPr>
        <w:t> </w:t>
      </w:r>
      <w:r>
        <w:rPr>
          <w:spacing w:val="-73"/>
        </w:rPr>
      </w:r>
      <w:r>
        <w:rPr>
          <w:spacing w:val="-5"/>
        </w:rPr>
        <w:t>披露；如果披露不充分，我们应当发表非无保留意见。我们的结论基于截至审计报告日可获得的信息。</w:t>
      </w:r>
      <w:r>
        <w:rPr>
          <w:spacing w:val="-49"/>
        </w:rPr>
        <w:t> </w:t>
      </w:r>
      <w:r>
        <w:rPr>
          <w:spacing w:val="-49"/>
        </w:rPr>
      </w:r>
      <w:r>
        <w:rPr/>
        <w:t>然而，未来的事项或情况可能导致中青宝公司不能持续经营。</w:t>
      </w:r>
    </w:p>
    <w:p>
      <w:pPr>
        <w:spacing w:line="240" w:lineRule="auto" w:before="0"/>
        <w:rPr>
          <w:rFonts w:ascii="宋体" w:hAnsi="宋体" w:cs="宋体" w:eastAsia="宋体" w:hint="default"/>
          <w:sz w:val="19"/>
          <w:szCs w:val="19"/>
        </w:rPr>
      </w:pPr>
    </w:p>
    <w:p>
      <w:pPr>
        <w:pStyle w:val="BodyText"/>
        <w:spacing w:line="240" w:lineRule="auto"/>
        <w:ind w:left="330" w:right="996"/>
        <w:jc w:val="left"/>
      </w:pPr>
      <w:r>
        <w:rPr/>
        <w:t>（</w:t>
      </w:r>
      <w:r>
        <w:rPr>
          <w:rFonts w:ascii="Times New Roman" w:hAnsi="Times New Roman" w:cs="Times New Roman" w:eastAsia="Times New Roman" w:hint="default"/>
        </w:rPr>
        <w:t>5</w:t>
      </w:r>
      <w:r>
        <w:rPr/>
        <w:t>）评价财务报表的总体列报、结构和内容，并评价财务报表是否公允反映相关交易和事项。</w:t>
      </w:r>
    </w:p>
    <w:p>
      <w:pPr>
        <w:spacing w:line="240" w:lineRule="auto" w:before="13"/>
        <w:rPr>
          <w:rFonts w:ascii="宋体" w:hAnsi="宋体" w:cs="宋体" w:eastAsia="宋体" w:hint="default"/>
          <w:sz w:val="18"/>
          <w:szCs w:val="18"/>
        </w:rPr>
      </w:pPr>
    </w:p>
    <w:p>
      <w:pPr>
        <w:pStyle w:val="BodyText"/>
        <w:spacing w:line="244" w:lineRule="auto"/>
        <w:ind w:right="996" w:firstLine="178"/>
        <w:jc w:val="left"/>
      </w:pPr>
      <w:r>
        <w:rPr>
          <w:spacing w:val="-4"/>
        </w:rPr>
        <w:t>（</w:t>
      </w:r>
      <w:r>
        <w:rPr>
          <w:rFonts w:ascii="Times New Roman" w:hAnsi="Times New Roman" w:cs="Times New Roman" w:eastAsia="Times New Roman" w:hint="default"/>
          <w:spacing w:val="-4"/>
        </w:rPr>
        <w:t>6</w:t>
      </w:r>
      <w:r>
        <w:rPr>
          <w:spacing w:val="-4"/>
        </w:rPr>
        <w:t>）就中青宝公司中实体或业务活动的财务信息获取充分、适当的审计证据，以对财务报表发表审</w:t>
      </w:r>
      <w:r>
        <w:rPr>
          <w:w w:val="100"/>
        </w:rPr>
        <w:t> </w:t>
      </w:r>
      <w:r>
        <w:rPr/>
        <w:t>计意见。我们负责指导、监督和执行集团审计，并对审计意见承担全部责任。</w:t>
      </w:r>
    </w:p>
    <w:p>
      <w:pPr>
        <w:spacing w:line="240" w:lineRule="auto" w:before="11"/>
        <w:rPr>
          <w:rFonts w:ascii="宋体" w:hAnsi="宋体" w:cs="宋体" w:eastAsia="宋体" w:hint="default"/>
          <w:sz w:val="19"/>
          <w:szCs w:val="19"/>
        </w:rPr>
      </w:pPr>
    </w:p>
    <w:p>
      <w:pPr>
        <w:pStyle w:val="BodyText"/>
        <w:spacing w:line="259" w:lineRule="auto"/>
        <w:ind w:right="1133" w:firstLine="439"/>
        <w:jc w:val="both"/>
      </w:pPr>
      <w:r>
        <w:rPr>
          <w:spacing w:val="-2"/>
        </w:rPr>
        <w:t>我们与治理层就计划的审计范围、时间安排和重大审计发现等事项进行沟通，包括沟通我们在审</w:t>
      </w:r>
      <w:r>
        <w:rPr>
          <w:w w:val="100"/>
        </w:rPr>
        <w:t> </w:t>
      </w:r>
      <w:r>
        <w:rPr/>
        <w:t>计中识别出的值得关注的内部控制缺陷。</w:t>
      </w:r>
    </w:p>
    <w:p>
      <w:pPr>
        <w:spacing w:line="240" w:lineRule="auto" w:before="11"/>
        <w:rPr>
          <w:rFonts w:ascii="宋体" w:hAnsi="宋体" w:cs="宋体" w:eastAsia="宋体" w:hint="default"/>
          <w:sz w:val="18"/>
          <w:szCs w:val="18"/>
        </w:rPr>
      </w:pPr>
    </w:p>
    <w:p>
      <w:pPr>
        <w:pStyle w:val="BodyText"/>
        <w:spacing w:line="240" w:lineRule="auto"/>
        <w:ind w:left="592" w:right="996"/>
        <w:jc w:val="left"/>
      </w:pPr>
      <w:r>
        <w:rPr/>
        <w:t>我们还就已遵守与独立性相关的职业道德要求向治理层提供声明，并与治理层沟通可能被合理认</w:t>
      </w:r>
    </w:p>
    <w:p>
      <w:pPr>
        <w:spacing w:after="0" w:line="240" w:lineRule="auto"/>
        <w:jc w:val="left"/>
        <w:sectPr>
          <w:pgSz w:w="11910" w:h="16840"/>
          <w:pgMar w:header="877" w:footer="980" w:top="1060" w:bottom="1160" w:left="980" w:right="0"/>
        </w:sectPr>
      </w:pPr>
    </w:p>
    <w:p>
      <w:pPr>
        <w:spacing w:line="240" w:lineRule="auto" w:before="4"/>
        <w:rPr>
          <w:rFonts w:ascii="宋体" w:hAnsi="宋体" w:cs="宋体" w:eastAsia="宋体" w:hint="default"/>
          <w:sz w:val="24"/>
          <w:szCs w:val="24"/>
        </w:rPr>
      </w:pPr>
    </w:p>
    <w:p>
      <w:pPr>
        <w:pStyle w:val="BodyText"/>
        <w:spacing w:line="240" w:lineRule="auto" w:before="32"/>
        <w:ind w:left="292" w:right="0"/>
        <w:jc w:val="left"/>
      </w:pPr>
      <w:r>
        <w:rPr/>
        <w:t>为影响我们独立性的所有关系和其他事项，以及相关的防范措施（如适用）。</w:t>
      </w:r>
    </w:p>
    <w:p>
      <w:pPr>
        <w:spacing w:line="240" w:lineRule="auto" w:before="3"/>
        <w:rPr>
          <w:rFonts w:ascii="宋体" w:hAnsi="宋体" w:cs="宋体" w:eastAsia="宋体" w:hint="default"/>
          <w:sz w:val="20"/>
          <w:szCs w:val="20"/>
        </w:rPr>
      </w:pPr>
    </w:p>
    <w:p>
      <w:pPr>
        <w:pStyle w:val="BodyText"/>
        <w:spacing w:line="259" w:lineRule="auto"/>
        <w:ind w:left="292" w:right="0" w:firstLine="439"/>
        <w:jc w:val="left"/>
      </w:pPr>
      <w:r>
        <w:rPr>
          <w:spacing w:val="-2"/>
        </w:rPr>
        <w:t>从与治理层沟通过的事项中，我们确定哪些事项对本期财务报表审计最为重要，因而构成关键审</w:t>
      </w:r>
      <w:r>
        <w:rPr>
          <w:w w:val="100"/>
        </w:rPr>
        <w:t> </w:t>
      </w:r>
      <w:r>
        <w:rPr>
          <w:spacing w:val="-5"/>
        </w:rPr>
        <w:t>计事项。我们在审计报告中描述这些事项，除非法律法规禁止公开披露这些事项，或在极少数情形下，</w:t>
      </w:r>
      <w:r>
        <w:rPr>
          <w:spacing w:val="-49"/>
        </w:rPr>
        <w:t> </w:t>
      </w:r>
      <w:r>
        <w:rPr>
          <w:spacing w:val="-49"/>
        </w:rPr>
      </w:r>
      <w:r>
        <w:rPr>
          <w:spacing w:val="-2"/>
        </w:rPr>
        <w:t>如果合理预期在审计报告中沟通某事项造成的负面后果超过在公众利益方面产生的益处，我们确定不</w:t>
      </w:r>
      <w:r>
        <w:rPr>
          <w:spacing w:val="-73"/>
        </w:rPr>
        <w:t> </w:t>
      </w:r>
      <w:r>
        <w:rPr>
          <w:spacing w:val="-73"/>
        </w:rPr>
      </w:r>
      <w:r>
        <w:rPr/>
        <w:t>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tbl>
      <w:tblPr>
        <w:tblW w:w="0" w:type="auto"/>
        <w:jc w:val="left"/>
        <w:tblInd w:w="104" w:type="dxa"/>
        <w:tblLayout w:type="fixed"/>
        <w:tblCellMar>
          <w:top w:w="0" w:type="dxa"/>
          <w:left w:w="0" w:type="dxa"/>
          <w:bottom w:w="0" w:type="dxa"/>
          <w:right w:w="0" w:type="dxa"/>
        </w:tblCellMar>
        <w:tblLook w:val="01E0"/>
      </w:tblPr>
      <w:tblGrid>
        <w:gridCol w:w="4216"/>
        <w:gridCol w:w="4554"/>
      </w:tblGrid>
      <w:tr>
        <w:trPr>
          <w:trHeight w:val="449" w:hRule="exact"/>
        </w:trPr>
        <w:tc>
          <w:tcPr>
            <w:tcW w:w="4216" w:type="dxa"/>
            <w:tcBorders>
              <w:top w:val="nil" w:sz="6" w:space="0" w:color="auto"/>
              <w:left w:val="nil" w:sz="6" w:space="0" w:color="auto"/>
              <w:bottom w:val="nil" w:sz="6" w:space="0" w:color="auto"/>
              <w:right w:val="nil" w:sz="6" w:space="0" w:color="auto"/>
            </w:tcBorders>
          </w:tcPr>
          <w:p>
            <w:pPr>
              <w:pStyle w:val="TableParagraph"/>
              <w:spacing w:line="237" w:lineRule="exact"/>
              <w:ind w:left="200"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信永中和会计师事务所</w:t>
            </w:r>
            <w:r>
              <w:rPr>
                <w:rFonts w:ascii="Times New Roman" w:hAnsi="Times New Roman" w:cs="Times New Roman" w:eastAsia="Times New Roman" w:hint="default"/>
                <w:sz w:val="22"/>
                <w:szCs w:val="22"/>
              </w:rPr>
              <w:t>(</w:t>
            </w:r>
            <w:r>
              <w:rPr>
                <w:rFonts w:ascii="宋体" w:hAnsi="宋体" w:cs="宋体" w:eastAsia="宋体" w:hint="default"/>
                <w:sz w:val="22"/>
                <w:szCs w:val="22"/>
              </w:rPr>
              <w:t>特殊普通合伙</w:t>
            </w:r>
            <w:r>
              <w:rPr>
                <w:rFonts w:ascii="Times New Roman" w:hAnsi="Times New Roman" w:cs="Times New Roman" w:eastAsia="Times New Roman" w:hint="default"/>
                <w:sz w:val="22"/>
                <w:szCs w:val="22"/>
              </w:rPr>
              <w:t>)</w:t>
            </w:r>
          </w:p>
        </w:tc>
        <w:tc>
          <w:tcPr>
            <w:tcW w:w="4554" w:type="dxa"/>
            <w:tcBorders>
              <w:top w:val="nil" w:sz="6" w:space="0" w:color="auto"/>
              <w:left w:val="nil" w:sz="6" w:space="0" w:color="auto"/>
              <w:bottom w:val="nil" w:sz="6" w:space="0" w:color="auto"/>
              <w:right w:val="nil" w:sz="6" w:space="0" w:color="auto"/>
            </w:tcBorders>
          </w:tcPr>
          <w:p>
            <w:pPr>
              <w:pStyle w:val="TableParagraph"/>
              <w:tabs>
                <w:tab w:pos="2813" w:val="left" w:leader="none"/>
              </w:tabs>
              <w:spacing w:line="221" w:lineRule="exact"/>
              <w:ind w:left="346" w:right="0"/>
              <w:jc w:val="left"/>
              <w:rPr>
                <w:rFonts w:ascii="宋体" w:hAnsi="宋体" w:cs="宋体" w:eastAsia="宋体" w:hint="default"/>
                <w:sz w:val="22"/>
                <w:szCs w:val="22"/>
              </w:rPr>
            </w:pPr>
            <w:r>
              <w:rPr>
                <w:rFonts w:ascii="宋体" w:hAnsi="宋体" w:cs="宋体" w:eastAsia="宋体" w:hint="default"/>
                <w:spacing w:val="-1"/>
                <w:sz w:val="22"/>
                <w:szCs w:val="22"/>
              </w:rPr>
              <w:t>中国注册会计师：</w:t>
              <w:tab/>
              <w:t>（项目合伙人）</w:t>
            </w:r>
          </w:p>
        </w:tc>
      </w:tr>
      <w:tr>
        <w:trPr>
          <w:trHeight w:val="658" w:hRule="exact"/>
        </w:trPr>
        <w:tc>
          <w:tcPr>
            <w:tcW w:w="4216" w:type="dxa"/>
            <w:tcBorders>
              <w:top w:val="nil" w:sz="6" w:space="0" w:color="auto"/>
              <w:left w:val="nil" w:sz="6" w:space="0" w:color="auto"/>
              <w:bottom w:val="nil" w:sz="6" w:space="0" w:color="auto"/>
              <w:right w:val="nil" w:sz="6" w:space="0" w:color="auto"/>
            </w:tcBorders>
          </w:tcPr>
          <w:p>
            <w:pPr/>
          </w:p>
        </w:tc>
        <w:tc>
          <w:tcPr>
            <w:tcW w:w="4554"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456" w:right="0"/>
              <w:jc w:val="left"/>
              <w:rPr>
                <w:rFonts w:ascii="宋体" w:hAnsi="宋体" w:cs="宋体" w:eastAsia="宋体" w:hint="default"/>
                <w:sz w:val="22"/>
                <w:szCs w:val="22"/>
              </w:rPr>
            </w:pPr>
            <w:r>
              <w:rPr>
                <w:rFonts w:ascii="宋体" w:hAnsi="宋体" w:cs="宋体" w:eastAsia="宋体" w:hint="default"/>
                <w:sz w:val="22"/>
                <w:szCs w:val="22"/>
              </w:rPr>
              <w:t>中国注册会计师：</w:t>
            </w:r>
          </w:p>
        </w:tc>
      </w:tr>
      <w:tr>
        <w:trPr>
          <w:trHeight w:val="454" w:hRule="exact"/>
        </w:trPr>
        <w:tc>
          <w:tcPr>
            <w:tcW w:w="4216" w:type="dxa"/>
            <w:tcBorders>
              <w:top w:val="nil" w:sz="6" w:space="0" w:color="auto"/>
              <w:left w:val="nil" w:sz="6" w:space="0" w:color="auto"/>
              <w:bottom w:val="nil" w:sz="6" w:space="0" w:color="auto"/>
              <w:right w:val="nil" w:sz="6" w:space="0" w:color="auto"/>
            </w:tcBorders>
          </w:tcPr>
          <w:p>
            <w:pPr>
              <w:pStyle w:val="TableParagraph"/>
              <w:tabs>
                <w:tab w:pos="2427" w:val="left" w:leader="none"/>
              </w:tabs>
              <w:spacing w:line="240" w:lineRule="auto" w:before="153"/>
              <w:ind w:left="1587" w:right="0"/>
              <w:jc w:val="left"/>
              <w:rPr>
                <w:rFonts w:ascii="宋体" w:hAnsi="宋体" w:cs="宋体" w:eastAsia="宋体" w:hint="default"/>
                <w:sz w:val="22"/>
                <w:szCs w:val="22"/>
              </w:rPr>
            </w:pPr>
            <w:r>
              <w:rPr>
                <w:rFonts w:ascii="宋体" w:hAnsi="宋体" w:cs="宋体" w:eastAsia="宋体" w:hint="default"/>
                <w:sz w:val="22"/>
                <w:szCs w:val="22"/>
              </w:rPr>
              <w:t>中国</w:t>
              <w:tab/>
              <w:t>北京</w:t>
            </w:r>
          </w:p>
        </w:tc>
        <w:tc>
          <w:tcPr>
            <w:tcW w:w="4554"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566" w:right="0"/>
              <w:jc w:val="left"/>
              <w:rPr>
                <w:rFonts w:ascii="宋体" w:hAnsi="宋体" w:cs="宋体" w:eastAsia="宋体" w:hint="default"/>
                <w:sz w:val="22"/>
                <w:szCs w:val="22"/>
              </w:rPr>
            </w:pPr>
            <w:r>
              <w:rPr>
                <w:rFonts w:ascii="宋体" w:hAnsi="宋体" w:cs="宋体" w:eastAsia="宋体" w:hint="default"/>
                <w:sz w:val="22"/>
                <w:szCs w:val="22"/>
              </w:rPr>
              <w:t>二</w:t>
            </w:r>
            <w:r>
              <w:rPr>
                <w:rFonts w:ascii="Times New Roman" w:hAnsi="Times New Roman" w:cs="Times New Roman" w:eastAsia="Times New Roman" w:hint="default"/>
                <w:sz w:val="22"/>
                <w:szCs w:val="22"/>
              </w:rPr>
              <w:t>○</w:t>
            </w:r>
            <w:r>
              <w:rPr>
                <w:rFonts w:ascii="宋体" w:hAnsi="宋体" w:cs="宋体" w:eastAsia="宋体" w:hint="default"/>
                <w:sz w:val="22"/>
                <w:szCs w:val="22"/>
              </w:rPr>
              <w:t>二</w:t>
            </w:r>
            <w:r>
              <w:rPr>
                <w:rFonts w:ascii="Times New Roman" w:hAnsi="Times New Roman" w:cs="Times New Roman" w:eastAsia="Times New Roman" w:hint="default"/>
                <w:sz w:val="22"/>
                <w:szCs w:val="22"/>
              </w:rPr>
              <w:t>○</w:t>
            </w:r>
            <w:r>
              <w:rPr>
                <w:rFonts w:ascii="宋体" w:hAnsi="宋体" w:cs="宋体" w:eastAsia="宋体" w:hint="default"/>
                <w:sz w:val="22"/>
                <w:szCs w:val="22"/>
              </w:rPr>
              <w:t>年三月二十六日</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97"/>
        <w:ind w:left="292" w:right="0"/>
        <w:jc w:val="left"/>
        <w:rPr>
          <w:b w:val="0"/>
          <w:bCs w:val="0"/>
        </w:rPr>
      </w:pPr>
      <w:r>
        <w:rPr/>
        <w:t>二、财务报表</w:t>
      </w:r>
      <w:r>
        <w:rPr>
          <w:b w:val="0"/>
          <w:bCs w:val="0"/>
        </w:rPr>
      </w:r>
    </w:p>
    <w:p>
      <w:pPr>
        <w:spacing w:line="240" w:lineRule="auto" w:before="4"/>
        <w:rPr>
          <w:rFonts w:ascii="宋体" w:hAnsi="宋体" w:cs="宋体" w:eastAsia="宋体" w:hint="default"/>
          <w:b/>
          <w:bCs/>
          <w:sz w:val="26"/>
          <w:szCs w:val="26"/>
        </w:rPr>
      </w:pPr>
    </w:p>
    <w:p>
      <w:pPr>
        <w:spacing w:before="0"/>
        <w:ind w:left="292"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财务附注中报表的单位为：元</w:t>
      </w:r>
    </w:p>
    <w:p>
      <w:pPr>
        <w:spacing w:line="240" w:lineRule="auto" w:before="0"/>
        <w:rPr>
          <w:rFonts w:ascii="宋体" w:hAnsi="宋体" w:cs="宋体" w:eastAsia="宋体" w:hint="default"/>
          <w:sz w:val="18"/>
          <w:szCs w:val="18"/>
        </w:rPr>
      </w:pPr>
    </w:p>
    <w:p>
      <w:pPr>
        <w:spacing w:before="120"/>
        <w:ind w:left="29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060" w:bottom="1160" w:left="840" w:right="0"/>
        </w:sectPr>
      </w:pPr>
    </w:p>
    <w:p>
      <w:pPr>
        <w:spacing w:before="44"/>
        <w:ind w:left="292" w:right="-20" w:firstLine="0"/>
        <w:jc w:val="left"/>
        <w:rPr>
          <w:rFonts w:ascii="宋体" w:hAnsi="宋体" w:cs="宋体" w:eastAsia="宋体" w:hint="default"/>
          <w:sz w:val="18"/>
          <w:szCs w:val="18"/>
        </w:rPr>
      </w:pPr>
      <w:r>
        <w:rPr>
          <w:rFonts w:ascii="宋体" w:hAnsi="宋体" w:cs="宋体" w:eastAsia="宋体" w:hint="default"/>
          <w:sz w:val="18"/>
          <w:szCs w:val="18"/>
        </w:rPr>
        <w:t>编制单位：深圳中青宝互动网络股份有限公司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59"/>
        <w:ind w:left="292" w:right="-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29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840" w:right="0"/>
          <w:cols w:num="3" w:equalWidth="0">
            <w:col w:w="3893" w:space="183"/>
            <w:col w:w="1782" w:space="3062"/>
            <w:col w:w="2150"/>
          </w:cols>
        </w:sectPr>
      </w:pPr>
    </w:p>
    <w:p>
      <w:pPr>
        <w:spacing w:line="240" w:lineRule="auto" w:before="4"/>
        <w:rPr>
          <w:rFonts w:ascii="宋体" w:hAnsi="宋体" w:cs="宋体" w:eastAsia="宋体" w:hint="default"/>
          <w:sz w:val="8"/>
          <w:szCs w:val="8"/>
        </w:rPr>
      </w:pPr>
    </w:p>
    <w:tbl>
      <w:tblPr>
        <w:tblW w:w="0" w:type="auto"/>
        <w:jc w:val="left"/>
        <w:tblInd w:w="30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86"/>
              <w:jc w:val="right"/>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270,570,112.20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229,974,588.37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00"/>
              <w:jc w:val="righ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20,131,506.85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205,710,510.33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154,246,153.78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84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132,633,692.77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57,014,253.81</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27,838,293.45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14,424,203.81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7,214,642.64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33,200,902.97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47,816,626.67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669,953,511.72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530,821,975.93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361,431,985.65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45,978,483.29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52,633,058.13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304,430,155.65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12,550,000.00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168,312,258.65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109,404,655.94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110,697,164.66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80,157,877.83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12,042,098.93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15,504,897.60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24,495,420.08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25,728,379.32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22,671,069.00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9,920,461.71</w:t>
            </w:r>
          </w:p>
        </w:tc>
      </w:tr>
    </w:tbl>
    <w:p>
      <w:pPr>
        <w:spacing w:after="0" w:line="240" w:lineRule="auto"/>
        <w:jc w:val="right"/>
        <w:rPr>
          <w:rFonts w:ascii="Times New Roman" w:hAnsi="Times New Roman" w:cs="Times New Roman" w:eastAsia="Times New Roman" w:hint="default"/>
          <w:sz w:val="18"/>
          <w:szCs w:val="18"/>
        </w:rPr>
        <w:sectPr>
          <w:footerReference w:type="default" r:id="rId28"/>
          <w:pgSz w:w="11910" w:h="16840"/>
          <w:pgMar w:footer="980" w:header="87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28,529,634.59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24,248,302.74</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38,689,353.86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pacing w:val="-1"/>
                <w:sz w:val="18"/>
              </w:rPr>
              <w:t>18,036,269.11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768,395,638.71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697,065,888.03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1,438,349,150.43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1,227,887,863.96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215,887,305.31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60,119,599.99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155,851,627.92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53,373,071.49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7,195,026.32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2,979,360.63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4,028,354.36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5,423,305.90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39,350,530.02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22,667,291.36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129,047,631.03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279,597,515.07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35,980.00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10,123,925.06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551,360,474.96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434,284,069.50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9"/>
          <w:pgSz w:w="11910" w:h="16840"/>
          <w:pgMar w:footer="980" w:header="877" w:top="1060" w:bottom="1160" w:left="98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17,946,273.70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1,643,333.47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26,997,334.01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26,997,334.01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44,943,607.71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28,640,667.48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596,304,082.67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462,924,736.98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263,269,300.00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264,708,600.00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388,819,327.17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322,532,057.77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13,785,726.00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22,754,000.00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-38,936,290.90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-3,169,073.79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55,838,543.29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55,072,269.92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178,939,268.17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133,239,250.29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834,144,421.73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749,629,104.19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7,900,646.03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15,334,022.79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842,045,067.76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764,963,126.98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1,438,349,150.43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1,227,887,863.96</w:t>
            </w:r>
          </w:p>
        </w:tc>
      </w:tr>
    </w:tbl>
    <w:p>
      <w:pPr>
        <w:spacing w:line="240" w:lineRule="auto" w:before="11"/>
        <w:rPr>
          <w:rFonts w:ascii="Times New Roman" w:hAnsi="Times New Roman" w:cs="Times New Roman" w:eastAsia="Times New Roman" w:hint="default"/>
          <w:sz w:val="22"/>
          <w:szCs w:val="22"/>
        </w:rPr>
      </w:pPr>
    </w:p>
    <w:p>
      <w:pPr>
        <w:tabs>
          <w:tab w:pos="3425" w:val="left" w:leader="none"/>
          <w:tab w:pos="7569" w:val="left" w:leader="none"/>
        </w:tabs>
        <w:spacing w:before="44"/>
        <w:ind w:left="0" w:right="1222" w:firstLine="0"/>
        <w:jc w:val="right"/>
        <w:rPr>
          <w:rFonts w:ascii="宋体" w:hAnsi="宋体" w:cs="宋体" w:eastAsia="宋体" w:hint="default"/>
          <w:sz w:val="18"/>
          <w:szCs w:val="18"/>
        </w:rPr>
      </w:pPr>
      <w:r>
        <w:rPr>
          <w:rFonts w:ascii="宋体" w:hAnsi="宋体" w:cs="宋体" w:eastAsia="宋体" w:hint="default"/>
          <w:sz w:val="18"/>
          <w:szCs w:val="18"/>
        </w:rPr>
        <w:t>法定代表人：李瑞杰</w:t>
        <w:tab/>
      </w:r>
      <w:r>
        <w:rPr>
          <w:rFonts w:ascii="宋体" w:hAnsi="宋体" w:cs="宋体" w:eastAsia="宋体" w:hint="default"/>
          <w:spacing w:val="-1"/>
          <w:sz w:val="18"/>
          <w:szCs w:val="18"/>
        </w:rPr>
        <w:t>主管会计工作负责人：张思群</w:t>
        <w:tab/>
      </w:r>
      <w:r>
        <w:rPr>
          <w:rFonts w:ascii="宋体" w:hAnsi="宋体" w:cs="宋体" w:eastAsia="宋体" w:hint="default"/>
          <w:sz w:val="18"/>
          <w:szCs w:val="18"/>
        </w:rPr>
        <w:t>会计机构负责人：朱丹平</w:t>
      </w:r>
    </w:p>
    <w:p>
      <w:pPr>
        <w:spacing w:line="240" w:lineRule="auto" w:before="0"/>
        <w:rPr>
          <w:rFonts w:ascii="宋体" w:hAnsi="宋体" w:cs="宋体" w:eastAsia="宋体" w:hint="default"/>
          <w:sz w:val="18"/>
          <w:szCs w:val="18"/>
        </w:rPr>
      </w:pPr>
    </w:p>
    <w:p>
      <w:pPr>
        <w:spacing w:before="120"/>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、母公司资产负债表</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29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21,260,957.48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98,386,233.10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53,001,855.39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56,799,644.47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13,881,291.78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18,490,203.97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408,826,499.65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221,459,051.34</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4,094,155.76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7,944,210.10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30,255,830.23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504,914,814.40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429,485,118.87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249,473,546.70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531,443,112.97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573,081,649.46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238,889,682.42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12,098,191.07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14,133,149.81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3,138,068.55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12,225,751.22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11,758,523.70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9,737,609.75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23,391,724.40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22,205,992.39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2,797,967.73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6,230,109.80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823,517,270.84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887,087,809.13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1,328,432,085.24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1,316,572,928.00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116,748,658.96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60,119,599.99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1,130,728.51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925,377.76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2,498,666.48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3,070,838.53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1,279,011.06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2,314,970.00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11,090,793.19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6,985,951.30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319,452,972.48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403,842,121.18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35,980.00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10,123,925.06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452,200,830.68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487,382,783.82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17,946,273.70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1,643,333.47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26,997,334.01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26,997,334.01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44,943,607.71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28,640,667.48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497,144,438.39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516,023,451.30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263,269,300.00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264,708,600.00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311,645,492.69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280,258,413.96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13,785,726.00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22,754,000.00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-10,583,864.28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55,838,543.29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55,072,269.92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224,903,901.15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223,264,192.82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831,287,646.85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800,549,476.70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1,328,432,085.24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1,316,572,928.00</w:t>
            </w:r>
          </w:p>
        </w:tc>
      </w:tr>
    </w:tbl>
    <w:p>
      <w:pPr>
        <w:spacing w:line="240" w:lineRule="auto" w:before="10"/>
        <w:rPr>
          <w:rFonts w:ascii="Times New Roman" w:hAnsi="Times New Roman" w:cs="Times New Roman" w:eastAsia="Times New Roman" w:hint="default"/>
          <w:sz w:val="21"/>
          <w:szCs w:val="21"/>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、合并利润表</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468,826,313.50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334,005,440.88</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468,826,313.50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334,005,440.88</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3"/>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442,842,125.64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282,798,457.16</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248,503,115.63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137,237,964.87</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3"/>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1.009995pt;margin-top:415.789978pt;width:158.9pt;height:20.65pt;mso-position-horizontal-relative:page;mso-position-vertical-relative:page;z-index:-1243888" coordorigin="4220,8316" coordsize="3178,413">
            <v:group style="position:absolute;left:4231;top:8327;width:2;height:392" coordorigin="4231,8327" coordsize="2,392">
              <v:shape style="position:absolute;left:4231;top:8327;width:2;height:392" coordorigin="4231,8327" coordsize="0,392" path="m4231,8327l4231,8718e" filled="false" stroked="true" strokeweight="1.08pt" strokecolor="#ffffff">
                <v:path arrowok="t"/>
              </v:shape>
            </v:group>
            <v:group style="position:absolute;left:4242;top:8327;width:3157;height:392" coordorigin="4242,8327" coordsize="3157,392">
              <v:shape style="position:absolute;left:4242;top:8327;width:3157;height:392" coordorigin="4242,8327" coordsize="3157,392" path="m4242,8718l7398,8718,7398,8327,4242,8327,4242,8718xe" filled="true" fillcolor="#ffffff" stroked="false">
                <v:path arrowok="t"/>
                <v:fill type="solid"/>
              </v:shape>
            </v:group>
            <w10:wrap type="none"/>
          </v:group>
        </w:pict>
      </w:r>
      <w:r>
        <w:rPr/>
        <w:pict>
          <v:group style="position:absolute;margin-left:211.009995pt;margin-top:674.799988pt;width:158.9pt;height:20.65pt;mso-position-horizontal-relative:page;mso-position-vertical-relative:page;z-index:-1243864" coordorigin="4220,13496" coordsize="3178,413">
            <v:group style="position:absolute;left:4231;top:13507;width:2;height:392" coordorigin="4231,13507" coordsize="2,392">
              <v:shape style="position:absolute;left:4231;top:13507;width:2;height:392" coordorigin="4231,13507" coordsize="0,392" path="m4231,13507l4231,13898e" filled="false" stroked="true" strokeweight="1.08pt" strokecolor="#ffffff">
                <v:path arrowok="t"/>
              </v:shape>
            </v:group>
            <v:group style="position:absolute;left:4242;top:13507;width:3157;height:392" coordorigin="4242,13507" coordsize="3157,392">
              <v:shape style="position:absolute;left:4242;top:13507;width:3157;height:392" coordorigin="4242,13507" coordsize="3157,392" path="m4242,13898l7398,13898,7398,13507,4242,13507,4242,13898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1120"/>
        <w:gridCol w:w="2103"/>
        <w:gridCol w:w="3277"/>
      </w:tblGrid>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提取保险责任合同准备金</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655,135.13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976,332.98</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55" w:right="0"/>
              <w:jc w:val="left"/>
              <w:rPr>
                <w:rFonts w:ascii="Times New Roman" w:hAnsi="Times New Roman" w:cs="Times New Roman" w:eastAsia="Times New Roman" w:hint="default"/>
                <w:sz w:val="18"/>
                <w:szCs w:val="18"/>
              </w:rPr>
            </w:pPr>
            <w:r>
              <w:rPr>
                <w:rFonts w:ascii="Times New Roman"/>
                <w:sz w:val="18"/>
              </w:rPr>
              <w:t>101,373,805.62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62,716,446.69</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39,664,241.26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38,093,198.01</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42,488,546.37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44,814,450.52</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10,157,281.63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-1,039,935.91</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13,316,640.70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2,416,711.15</w:t>
            </w: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3,036,544.46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808,027.94</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3,564,915.27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2,479,999.92</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44,233,044.96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10,733,448.76</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-1,095,915.39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-1,548,944.37</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53"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净敞口套期收益（损失以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p>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5,868,493.15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131,506.85</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信用减值损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087" w:right="0"/>
              <w:jc w:val="left"/>
              <w:rPr>
                <w:rFonts w:ascii="Times New Roman" w:hAnsi="Times New Roman" w:cs="Times New Roman" w:eastAsia="Times New Roman" w:hint="default"/>
                <w:sz w:val="18"/>
                <w:szCs w:val="18"/>
              </w:rPr>
            </w:pPr>
            <w:r>
              <w:rPr>
                <w:rFonts w:ascii="Times New Roman"/>
                <w:sz w:val="18"/>
              </w:rPr>
              <w:t>-21,386,512.77</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-6,802,855.53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-22,214,664.90</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7"/>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-115,167.30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-621,797.03</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51,346,105.64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41,715,477.32</w:t>
            </w: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6,138,297.31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5,209,397.87</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1,790,391.38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292,202.48</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20"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51"/>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1044" w:right="0"/>
              <w:jc w:val="left"/>
              <w:rPr>
                <w:rFonts w:ascii="Times New Roman" w:hAnsi="Times New Roman" w:cs="Times New Roman" w:eastAsia="Times New Roman" w:hint="default"/>
                <w:sz w:val="18"/>
                <w:szCs w:val="18"/>
              </w:rPr>
            </w:pPr>
            <w:r>
              <w:rPr>
                <w:rFonts w:ascii="Times New Roman"/>
                <w:sz w:val="18"/>
              </w:rPr>
              <w:t>55,694,011.57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46,632,672.71</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6,116,060.16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8,585,863.61</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49,577,951.41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38,046,809.10</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49,577,951.41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38,046,809.10</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归属于母公司所有者的净利润</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51,723,043.25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36,361,863.23</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-2,145,091.84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1,684,945.87</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-35,767,217.11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-2,432,882.21</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-35,767,217.11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-2,432,882.21</w:t>
            </w: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z w:val="18"/>
                <w:szCs w:val="18"/>
              </w:rPr>
              <w:t> 合收益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-34,851,078.50</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-34,851,078.50</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z w:val="18"/>
                <w:szCs w:val="18"/>
              </w:rPr>
              <w:t> 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-916,138.61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-2,432,882.21</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-916,138.61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-2,432,882.21</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13,810,734.30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35,613,926.89</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15,955,826.14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33,928,981.02</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-2,145,091.84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1,684,945.87</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0.20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0.14</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0.14</w:t>
            </w:r>
          </w:p>
        </w:tc>
      </w:tr>
    </w:tbl>
    <w:p>
      <w:pPr>
        <w:tabs>
          <w:tab w:pos="3578" w:val="left" w:leader="none"/>
          <w:tab w:pos="7721" w:val="left" w:leader="none"/>
        </w:tabs>
        <w:spacing w:line="595" w:lineRule="auto" w:before="49"/>
        <w:ind w:left="152" w:right="1222" w:firstLine="0"/>
        <w:jc w:val="left"/>
        <w:rPr>
          <w:rFonts w:ascii="宋体" w:hAnsi="宋体" w:cs="宋体" w:eastAsia="宋体" w:hint="default"/>
          <w:sz w:val="21"/>
          <w:szCs w:val="21"/>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法定代表人：李瑞杰</w:t>
        <w:tab/>
      </w:r>
      <w:r>
        <w:rPr>
          <w:rFonts w:ascii="宋体" w:hAnsi="宋体" w:cs="宋体" w:eastAsia="宋体" w:hint="default"/>
          <w:spacing w:val="-1"/>
          <w:sz w:val="18"/>
          <w:szCs w:val="18"/>
        </w:rPr>
        <w:t>主管会计工作负责人：张思群</w:t>
        <w:tab/>
      </w:r>
      <w:r>
        <w:rPr>
          <w:rFonts w:ascii="宋体" w:hAnsi="宋体" w:cs="宋体" w:eastAsia="宋体" w:hint="default"/>
          <w:sz w:val="18"/>
          <w:szCs w:val="18"/>
        </w:rPr>
        <w:t>会计机构负责人：朱丹平</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141,975,428.98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98,756,962.16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60,586,879.14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37,494,605.66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469,914.97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469,235.73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17,655,149.50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17,942,260.52</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25,392,743.87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18,469,520.77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15,188,704.12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25,994,731.50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7,117,908.43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2,062,221.92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60"/>
              <w:jc w:val="right"/>
              <w:rPr>
                <w:rFonts w:ascii="宋体" w:hAnsi="宋体" w:cs="宋体" w:eastAsia="宋体" w:hint="default"/>
                <w:sz w:val="18"/>
                <w:szCs w:val="18"/>
              </w:rPr>
            </w:pPr>
            <w:r>
              <w:rPr>
                <w:rFonts w:ascii="宋体" w:hAnsi="宋体" w:cs="宋体" w:eastAsia="宋体" w:hint="default"/>
                <w:sz w:val="18"/>
                <w:szCs w:val="18"/>
              </w:rPr>
              <w:t>其中：利息费用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6,784,062.95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2,416,711.15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60"/>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216,912.32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537,459.65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2,515,131.67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2,479,999.92</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-702,835.48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9,584,923.34</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-702,835.48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-2,046,490.36</w:t>
            </w:r>
          </w:p>
        </w:tc>
      </w:tr>
      <w:tr>
        <w:trPr>
          <w:trHeight w:val="102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40"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-8,291,317.36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-4,658,001.01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-4,897,690.57</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-115,167.30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-315,287.78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4,311,939.47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3,176,330.97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3,334,585.35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3,788,597.53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1,169,523.13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115,247.54</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6,477,001.69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6,849,680.96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-1,185,732.01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-1,348,350.83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7,662,733.70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8,198,031.79</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7,662,733.70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8,198,031.79</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-10,583,864.28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-10,583,864.28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-10,583,864.28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2" w:right="5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-2,921,130.58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8,198,031.79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、合并现金流量表</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452,526,699.17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283,818,876.52</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113,274.41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8,909,725.14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22,361,574.97</w:t>
            </w:r>
          </w:p>
        </w:tc>
      </w:tr>
    </w:tbl>
    <w:p>
      <w:pPr>
        <w:spacing w:after="0" w:line="240" w:lineRule="auto"/>
        <w:jc w:val="right"/>
        <w:rPr>
          <w:rFonts w:ascii="Times New Roman" w:hAnsi="Times New Roman" w:cs="Times New Roman" w:eastAsia="Times New Roman" w:hint="default"/>
          <w:sz w:val="18"/>
          <w:szCs w:val="18"/>
        </w:rPr>
        <w:sectPr>
          <w:footerReference w:type="default" r:id="rId30"/>
          <w:pgSz w:w="11910" w:h="16840"/>
          <w:pgMar w:footer="980" w:header="877" w:top="1060" w:bottom="1160" w:left="980" w:right="0"/>
          <w:pgNumType w:start="11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461,549,698.72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306,180,451.49</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262,028,160.07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153,720,066.36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62,189,138.59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75,328,212.72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4,776,676.67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6,521,818.73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129,482,811.20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76,078,330.71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458,476,786.53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311,648,428.52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3,072,912.19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-5,467,977.03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187,142,511.85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162,096,210.32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11,144,000.00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53,353.42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4,521,440.77</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23,151,487.69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12,199,711.70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210,347,352.96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309,961,362.79</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107,484,536.16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60,067,860.95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214,412,800.00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153,851,319.98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27,533,194.00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40,028,840.03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321,897,338.16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281,481,214.96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-111,549,985.20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28,480,147.83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2,667,906.00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22,754,000.00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333,500,000.00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336,167,906.00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102,754,000.00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18,269,707.38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7,517,883.16</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92,241,258.26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46,553,280.44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288,510,965.64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74,071,163.60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47,656,940.36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28,682,836.40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-38,286.19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71,086.95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-60,858,418.84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51,766,094.15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229,974,588.37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178,208,494.22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169,116,169.53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229,974,588.37</w:t>
            </w:r>
          </w:p>
        </w:tc>
      </w:tr>
    </w:tbl>
    <w:p>
      <w:pPr>
        <w:spacing w:line="240" w:lineRule="auto" w:before="10"/>
        <w:rPr>
          <w:rFonts w:ascii="Times New Roman" w:hAnsi="Times New Roman" w:cs="Times New Roman" w:eastAsia="Times New Roman" w:hint="default"/>
          <w:sz w:val="21"/>
          <w:szCs w:val="21"/>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、母公司现金流量表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157,555,017.21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73,029,028.69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76,086,770.81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61,561,907.15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233,641,788.02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134,590,935.84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59,271,161.73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41,689,918.60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22,675,973.49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29,039,893.04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2,802,119.36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1,445,936.78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189,629,167.62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130,818,755.53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274,378,422.20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202,994,503.95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-40,736,634.18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-68,403,568.11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220,487,413.70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pacing w:val="-1"/>
                <w:sz w:val="18"/>
              </w:rPr>
              <w:t>11,144,000.00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53,353.42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726,440.77</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23,132,883.48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12,199,711.70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23,186,236.90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244,557,566.17</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1,278,548.90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13,161,627.18</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93,800,834.49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233,399,379.65</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95,079,383.39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286,561,006.83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-71,893,146.49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-42,003,440.66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2,667,906.00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22,754,000.00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132,667,906.00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102,754,000.00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73,500,000.00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11,875,775.98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7,517,883.16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11,779,423.77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5,220.77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97,155,199.75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27,523,103.93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35,512,706.25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75,230,896.07</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-8,201.20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-5,578.33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-77,125,275.62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-35,181,691.03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98,386,233.10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133,567,924.13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21,260,957.48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98,386,233.10</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、合并所有者权益变动表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996"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241"/>
        <w:gridCol w:w="494"/>
        <w:gridCol w:w="466"/>
        <w:gridCol w:w="466"/>
        <w:gridCol w:w="468"/>
        <w:gridCol w:w="583"/>
        <w:gridCol w:w="586"/>
        <w:gridCol w:w="583"/>
        <w:gridCol w:w="584"/>
        <w:gridCol w:w="583"/>
        <w:gridCol w:w="583"/>
        <w:gridCol w:w="586"/>
        <w:gridCol w:w="584"/>
        <w:gridCol w:w="583"/>
        <w:gridCol w:w="586"/>
        <w:gridCol w:w="578"/>
      </w:tblGrid>
      <w:tr>
        <w:trPr>
          <w:trHeight w:val="402" w:hRule="exact"/>
        </w:trPr>
        <w:tc>
          <w:tcPr>
            <w:tcW w:w="1241" w:type="dxa"/>
            <w:vMerge w:val="restart"/>
            <w:tcBorders>
              <w:top w:val="single" w:sz="4" w:space="0" w:color="000000"/>
              <w:left w:val="single" w:sz="4" w:space="0" w:color="000000"/>
              <w:right w:val="single" w:sz="4" w:space="0" w:color="000000"/>
            </w:tcBorders>
            <w:shd w:val="clear" w:color="auto" w:fill="D2D2D2"/>
          </w:tcPr>
          <w:p>
            <w:pPr/>
          </w:p>
        </w:tc>
        <w:tc>
          <w:tcPr>
            <w:tcW w:w="8313"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95" w:hRule="exact"/>
        </w:trPr>
        <w:tc>
          <w:tcPr>
            <w:tcW w:w="1241" w:type="dxa"/>
            <w:vMerge/>
            <w:tcBorders>
              <w:left w:val="single" w:sz="4" w:space="0" w:color="000000"/>
              <w:right w:val="single" w:sz="4" w:space="0" w:color="000000"/>
            </w:tcBorders>
            <w:shd w:val="clear" w:color="auto" w:fill="D2D2D2"/>
          </w:tcPr>
          <w:p>
            <w:pPr/>
          </w:p>
        </w:tc>
        <w:tc>
          <w:tcPr>
            <w:tcW w:w="7149"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
        </w:tc>
        <w:tc>
          <w:tcPr>
            <w:tcW w:w="57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241" w:type="dxa"/>
            <w:vMerge/>
            <w:tcBorders>
              <w:left w:val="single" w:sz="4" w:space="0" w:color="000000"/>
              <w:right w:val="single" w:sz="4" w:space="0" w:color="000000"/>
            </w:tcBorders>
            <w:shd w:val="clear" w:color="auto" w:fill="D2D2D2"/>
          </w:tcPr>
          <w:p>
            <w:pPr/>
          </w:p>
        </w:tc>
        <w:tc>
          <w:tcPr>
            <w:tcW w:w="7149" w:type="dxa"/>
            <w:gridSpan w:val="13"/>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5" w:right="101"/>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151" w:hRule="exact"/>
        </w:trPr>
        <w:tc>
          <w:tcPr>
            <w:tcW w:w="1241" w:type="dxa"/>
            <w:vMerge/>
            <w:tcBorders>
              <w:left w:val="single" w:sz="4" w:space="0" w:color="000000"/>
              <w:bottom w:val="nil" w:sz="6" w:space="0" w:color="auto"/>
              <w:right w:val="single" w:sz="4" w:space="0" w:color="000000"/>
            </w:tcBorders>
            <w:shd w:val="clear" w:color="auto" w:fill="D2D2D2"/>
          </w:tcPr>
          <w:p>
            <w:pPr/>
          </w:p>
        </w:tc>
        <w:tc>
          <w:tcPr>
            <w:tcW w:w="7149" w:type="dxa"/>
            <w:gridSpan w:val="13"/>
            <w:vMerge/>
            <w:tcBorders>
              <w:left w:val="single" w:sz="4" w:space="0" w:color="000000"/>
              <w:bottom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0" w:right="103"/>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78" w:type="dxa"/>
            <w:vMerge/>
            <w:tcBorders>
              <w:left w:val="single" w:sz="4" w:space="0" w:color="000000"/>
              <w:right w:val="single" w:sz="4" w:space="0" w:color="000000"/>
            </w:tcBorders>
            <w:shd w:val="clear" w:color="auto" w:fill="D2D2D2"/>
          </w:tcPr>
          <w:p>
            <w:pPr/>
          </w:p>
        </w:tc>
      </w:tr>
      <w:tr>
        <w:trPr>
          <w:trHeight w:val="206" w:hRule="exact"/>
        </w:trPr>
        <w:tc>
          <w:tcPr>
            <w:tcW w:w="12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494" w:type="dxa"/>
            <w:vMerge w:val="restart"/>
            <w:tcBorders>
              <w:top w:val="single" w:sz="4" w:space="0" w:color="000000"/>
              <w:left w:val="single" w:sz="4" w:space="0" w:color="000000"/>
              <w:right w:val="single" w:sz="4" w:space="0" w:color="000000"/>
            </w:tcBorders>
            <w:shd w:val="clear" w:color="auto" w:fill="D2D2D2"/>
          </w:tcPr>
          <w:p>
            <w:pPr/>
          </w:p>
        </w:tc>
        <w:tc>
          <w:tcPr>
            <w:tcW w:w="14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3" w:type="dxa"/>
            <w:tcBorders>
              <w:top w:val="single" w:sz="4" w:space="0" w:color="000000"/>
              <w:left w:val="single" w:sz="4" w:space="0" w:color="000000"/>
              <w:bottom w:val="nil" w:sz="6" w:space="0" w:color="auto"/>
              <w:right w:val="single" w:sz="4" w:space="0" w:color="000000"/>
            </w:tcBorders>
            <w:shd w:val="clear" w:color="auto" w:fill="D2D2D2"/>
          </w:tcPr>
          <w:p>
            <w:pPr/>
          </w:p>
        </w:tc>
        <w:tc>
          <w:tcPr>
            <w:tcW w:w="586"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8"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4"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7"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10"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4" w:type="dxa"/>
            <w:vMerge w:val="restart"/>
            <w:tcBorders>
              <w:top w:val="single" w:sz="4" w:space="0" w:color="000000"/>
              <w:left w:val="single" w:sz="4" w:space="0" w:color="000000"/>
              <w:right w:val="single" w:sz="4" w:space="0" w:color="000000"/>
            </w:tcBorders>
            <w:shd w:val="clear" w:color="auto" w:fill="D2D2D2"/>
          </w:tcPr>
          <w:p>
            <w:pPr/>
          </w:p>
        </w:tc>
        <w:tc>
          <w:tcPr>
            <w:tcW w:w="583" w:type="dxa"/>
            <w:vMerge w:val="restart"/>
            <w:tcBorders>
              <w:top w:val="single" w:sz="4" w:space="0" w:color="000000"/>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65" w:hRule="exact"/>
        </w:trPr>
        <w:tc>
          <w:tcPr>
            <w:tcW w:w="1241" w:type="dxa"/>
            <w:vMerge/>
            <w:tcBorders>
              <w:left w:val="single" w:sz="4" w:space="0" w:color="000000"/>
              <w:bottom w:val="nil" w:sz="6" w:space="0" w:color="auto"/>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1400" w:type="dxa"/>
            <w:gridSpan w:val="3"/>
            <w:vMerge/>
            <w:tcBorders>
              <w:left w:val="single" w:sz="4" w:space="0" w:color="000000"/>
              <w:bottom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8" w:right="103"/>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7" w:right="22" w:hanging="84"/>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583"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8" w:right="10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7"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93" w:hRule="exact"/>
        </w:trPr>
        <w:tc>
          <w:tcPr>
            <w:tcW w:w="1241" w:type="dxa"/>
            <w:vMerge w:val="restart"/>
            <w:tcBorders>
              <w:top w:val="nil" w:sz="6" w:space="0" w:color="auto"/>
              <w:left w:val="single" w:sz="4"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0"/>
              <w:ind w:left="139" w:right="47"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0"/>
              <w:ind w:left="139" w:right="4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8"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0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90" w:hRule="exact"/>
        </w:trPr>
        <w:tc>
          <w:tcPr>
            <w:tcW w:w="1241" w:type="dxa"/>
            <w:vMerge/>
            <w:tcBorders>
              <w:left w:val="single" w:sz="4" w:space="0" w:color="000000"/>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33" w:hRule="exact"/>
        </w:trPr>
        <w:tc>
          <w:tcPr>
            <w:tcW w:w="1241" w:type="dxa"/>
            <w:vMerge/>
            <w:tcBorders>
              <w:left w:val="single" w:sz="4"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22" w:hRule="exact"/>
        </w:trPr>
        <w:tc>
          <w:tcPr>
            <w:tcW w:w="1241" w:type="dxa"/>
            <w:vMerge/>
            <w:tcBorders>
              <w:left w:val="single" w:sz="4" w:space="0" w:color="000000"/>
              <w:right w:val="single" w:sz="4" w:space="0" w:color="000000"/>
            </w:tcBorders>
            <w:shd w:val="clear" w:color="auto" w:fill="D2D2D2"/>
          </w:tcPr>
          <w:p>
            <w:pPr/>
          </w:p>
        </w:tc>
        <w:tc>
          <w:tcPr>
            <w:tcW w:w="494"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78" w:type="dxa"/>
            <w:vMerge/>
            <w:tcBorders>
              <w:left w:val="single" w:sz="4" w:space="0" w:color="000000"/>
              <w:bottom w:val="nil" w:sz="6" w:space="0" w:color="auto"/>
              <w:right w:val="single" w:sz="4" w:space="0" w:color="000000"/>
            </w:tcBorders>
            <w:shd w:val="clear" w:color="auto" w:fill="D2D2D2"/>
          </w:tcPr>
          <w:p>
            <w:pPr/>
          </w:p>
        </w:tc>
      </w:tr>
      <w:tr>
        <w:trPr>
          <w:trHeight w:val="96" w:hRule="exact"/>
        </w:trPr>
        <w:tc>
          <w:tcPr>
            <w:tcW w:w="1241"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8"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264,7</w:t>
            </w:r>
          </w:p>
          <w:p>
            <w:pPr>
              <w:pStyle w:val="TableParagraph"/>
              <w:spacing w:line="240" w:lineRule="auto" w:before="105"/>
              <w:ind w:left="49" w:right="0"/>
              <w:jc w:val="left"/>
              <w:rPr>
                <w:rFonts w:ascii="Times New Roman" w:hAnsi="Times New Roman" w:cs="Times New Roman" w:eastAsia="Times New Roman" w:hint="default"/>
                <w:sz w:val="18"/>
                <w:szCs w:val="18"/>
              </w:rPr>
            </w:pPr>
            <w:r>
              <w:rPr>
                <w:rFonts w:ascii="Times New Roman"/>
                <w:sz w:val="18"/>
              </w:rPr>
              <w:t>08,60</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0.00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322,53</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2,057.</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77</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22,754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583" w:type="dxa"/>
            <w:vMerge w:val="restart"/>
            <w:tcBorders>
              <w:top w:val="single" w:sz="22" w:space="0" w:color="D2D2D2"/>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-3,169,</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073.79</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55,072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,269.9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83" w:type="dxa"/>
            <w:vMerge w:val="restart"/>
            <w:tcBorders>
              <w:top w:val="single" w:sz="22" w:space="0" w:color="D2D2D2"/>
              <w:left w:val="single" w:sz="4" w:space="0" w:color="000000"/>
              <w:right w:val="single" w:sz="4" w:space="0" w:color="000000"/>
            </w:tcBorders>
          </w:tcPr>
          <w:p>
            <w:pPr/>
          </w:p>
        </w:tc>
        <w:tc>
          <w:tcPr>
            <w:tcW w:w="586" w:type="dxa"/>
            <w:vMerge w:val="restart"/>
            <w:tcBorders>
              <w:top w:val="single" w:sz="22" w:space="0" w:color="D2D2D2"/>
              <w:left w:val="single" w:sz="4" w:space="0" w:color="000000"/>
              <w:right w:val="single" w:sz="4" w:space="0" w:color="000000"/>
            </w:tcBorders>
          </w:tcPr>
          <w:p>
            <w:pPr>
              <w:pStyle w:val="TableParagraph"/>
              <w:spacing w:line="240" w:lineRule="auto" w:before="68"/>
              <w:ind w:left="60" w:right="0"/>
              <w:jc w:val="left"/>
              <w:rPr>
                <w:rFonts w:ascii="Times New Roman" w:hAnsi="Times New Roman" w:cs="Times New Roman" w:eastAsia="Times New Roman" w:hint="default"/>
                <w:sz w:val="18"/>
                <w:szCs w:val="18"/>
              </w:rPr>
            </w:pPr>
            <w:r>
              <w:rPr>
                <w:rFonts w:ascii="Times New Roman"/>
                <w:sz w:val="18"/>
              </w:rPr>
              <w:t>133,23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9,250.</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29</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749,62</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9,104.</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19</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15,334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,022.7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78" w:type="dxa"/>
            <w:vMerge w:val="restart"/>
            <w:tcBorders>
              <w:top w:val="single" w:sz="40" w:space="0" w:color="D2D2D2"/>
              <w:left w:val="single" w:sz="4" w:space="0" w:color="000000"/>
              <w:right w:val="single" w:sz="4" w:space="0" w:color="000000"/>
            </w:tcBorders>
          </w:tcPr>
          <w:p>
            <w:pPr>
              <w:pStyle w:val="TableParagraph"/>
              <w:spacing w:line="240" w:lineRule="auto" w:before="45"/>
              <w:ind w:left="52" w:right="0"/>
              <w:jc w:val="left"/>
              <w:rPr>
                <w:rFonts w:ascii="Times New Roman" w:hAnsi="Times New Roman" w:cs="Times New Roman" w:eastAsia="Times New Roman" w:hint="default"/>
                <w:sz w:val="18"/>
                <w:szCs w:val="18"/>
              </w:rPr>
            </w:pPr>
            <w:r>
              <w:rPr>
                <w:rFonts w:ascii="Times New Roman"/>
                <w:sz w:val="18"/>
              </w:rPr>
              <w:t>764,96</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3,126.</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98</w:t>
            </w:r>
          </w:p>
        </w:tc>
      </w:tr>
      <w:tr>
        <w:trPr>
          <w:trHeight w:val="703"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z w:val="18"/>
                <w:szCs w:val="18"/>
              </w:rPr>
              <w:t> 额</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715"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9" w:firstLine="360"/>
              <w:jc w:val="left"/>
              <w:rPr>
                <w:rFonts w:ascii="宋体" w:hAnsi="宋体" w:cs="宋体" w:eastAsia="宋体" w:hint="default"/>
                <w:sz w:val="18"/>
                <w:szCs w:val="18"/>
              </w:rPr>
            </w:pPr>
            <w:r>
              <w:rPr>
                <w:rFonts w:ascii="宋体" w:hAnsi="宋体" w:cs="宋体" w:eastAsia="宋体" w:hint="default"/>
                <w:spacing w:val="-13"/>
                <w:sz w:val="18"/>
                <w:szCs w:val="18"/>
              </w:rPr>
              <w:t>加：会计政</w:t>
            </w:r>
            <w:r>
              <w:rPr>
                <w:rFonts w:ascii="宋体" w:hAnsi="宋体" w:cs="宋体" w:eastAsia="宋体" w:hint="default"/>
                <w:sz w:val="18"/>
                <w:szCs w:val="18"/>
              </w:rPr>
              <w:t> 策变更</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37"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Style w:val="TableParagraph"/>
              <w:spacing w:line="240" w:lineRule="auto" w:before="93"/>
              <w:ind w:left="49" w:right="0"/>
              <w:jc w:val="left"/>
              <w:rPr>
                <w:rFonts w:ascii="Times New Roman" w:hAnsi="Times New Roman" w:cs="Times New Roman" w:eastAsia="Times New Roman" w:hint="default"/>
                <w:sz w:val="18"/>
                <w:szCs w:val="18"/>
              </w:rPr>
            </w:pPr>
            <w:r>
              <w:rPr>
                <w:rFonts w:ascii="Times New Roman"/>
                <w:sz w:val="18"/>
              </w:rPr>
              <w:t>264,7</w:t>
            </w:r>
          </w:p>
          <w:p>
            <w:pPr>
              <w:pStyle w:val="TableParagraph"/>
              <w:spacing w:line="240" w:lineRule="auto" w:before="102"/>
              <w:ind w:left="49" w:right="0"/>
              <w:jc w:val="left"/>
              <w:rPr>
                <w:rFonts w:ascii="Times New Roman" w:hAnsi="Times New Roman" w:cs="Times New Roman" w:eastAsia="Times New Roman" w:hint="default"/>
                <w:sz w:val="18"/>
                <w:szCs w:val="18"/>
              </w:rPr>
            </w:pPr>
            <w:r>
              <w:rPr>
                <w:rFonts w:ascii="Times New Roman"/>
                <w:sz w:val="18"/>
              </w:rPr>
              <w:t>08,60</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0.00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322,53</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2,057.</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77</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22,754</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-3,169,</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073.79</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55,072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,269.9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133,23</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9,250.</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29</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749,62</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9,104.</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19</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15,334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,022.7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764,96</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3,126.</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98</w:t>
            </w:r>
          </w:p>
        </w:tc>
      </w:tr>
      <w:tr>
        <w:trPr>
          <w:trHeight w:val="703"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20"/>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z w:val="18"/>
                <w:szCs w:val="18"/>
              </w:rPr>
              <w:t> 额</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1025"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z w:val="18"/>
                <w:szCs w:val="18"/>
              </w:rPr>
              <w:t> </w:t>
            </w:r>
            <w:r>
              <w:rPr>
                <w:rFonts w:ascii="宋体" w:hAnsi="宋体" w:cs="宋体" w:eastAsia="宋体" w:hint="default"/>
                <w:spacing w:val="-9"/>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-1,43</w:t>
            </w:r>
          </w:p>
          <w:p>
            <w:pPr>
              <w:pStyle w:val="TableParagraph"/>
              <w:spacing w:line="240" w:lineRule="auto" w:before="105"/>
              <w:ind w:left="21" w:right="0"/>
              <w:jc w:val="center"/>
              <w:rPr>
                <w:rFonts w:ascii="Times New Roman" w:hAnsi="Times New Roman" w:cs="Times New Roman" w:eastAsia="Times New Roman" w:hint="default"/>
                <w:sz w:val="18"/>
                <w:szCs w:val="18"/>
              </w:rPr>
            </w:pPr>
            <w:r>
              <w:rPr>
                <w:rFonts w:ascii="Times New Roman"/>
                <w:sz w:val="18"/>
              </w:rPr>
              <w:t>9,300</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66,287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,269.4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-8,968,</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274.00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-35,76</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7,217.</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766,27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3.37</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45,700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,017.8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84,515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,317.5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-7,433,</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376.76</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77,081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,940.7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163"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-916,1</w:t>
            </w:r>
          </w:p>
          <w:p>
            <w:pPr>
              <w:pStyle w:val="TableParagraph"/>
              <w:spacing w:line="240" w:lineRule="auto" w:before="102"/>
              <w:ind w:left="146" w:right="0"/>
              <w:jc w:val="left"/>
              <w:rPr>
                <w:rFonts w:ascii="Times New Roman" w:hAnsi="Times New Roman" w:cs="Times New Roman" w:eastAsia="Times New Roman" w:hint="default"/>
                <w:sz w:val="18"/>
                <w:szCs w:val="18"/>
              </w:rPr>
            </w:pPr>
            <w:r>
              <w:rPr>
                <w:rFonts w:ascii="Times New Roman"/>
                <w:sz w:val="18"/>
              </w:rPr>
              <w:t>38.61</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51,723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,043.2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50,806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,904.6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-2,145,</w:t>
            </w:r>
          </w:p>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091.84</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48,661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,812.8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703"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20"/>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z w:val="18"/>
                <w:szCs w:val="18"/>
              </w:rPr>
              <w:t> 总额</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161"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-1,43</w:t>
            </w:r>
          </w:p>
          <w:p>
            <w:pPr>
              <w:pStyle w:val="TableParagraph"/>
              <w:spacing w:line="240" w:lineRule="auto" w:before="105"/>
              <w:ind w:left="25" w:right="0"/>
              <w:jc w:val="center"/>
              <w:rPr>
                <w:rFonts w:ascii="Times New Roman" w:hAnsi="Times New Roman" w:cs="Times New Roman" w:eastAsia="Times New Roman" w:hint="default"/>
                <w:sz w:val="18"/>
                <w:szCs w:val="18"/>
              </w:rPr>
            </w:pPr>
            <w:r>
              <w:rPr>
                <w:rFonts w:ascii="Times New Roman"/>
                <w:sz w:val="18"/>
              </w:rPr>
              <w:t>9,300</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-2,826,</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514.62</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-8,932,</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294.00</w:t>
            </w: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4,666,</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479.38</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-4,655,</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000.00</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11,479</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.38</w:t>
            </w:r>
          </w:p>
        </w:tc>
      </w:tr>
      <w:tr>
        <w:trPr>
          <w:trHeight w:val="703"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z w:val="18"/>
                <w:szCs w:val="18"/>
              </w:rPr>
              <w:t> 入和减少资本</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715"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-4,655,</w:t>
            </w:r>
          </w:p>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000.00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-4,655,</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000.00</w:t>
            </w:r>
          </w:p>
        </w:tc>
      </w:tr>
      <w:tr>
        <w:trPr>
          <w:trHeight w:val="1025"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4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52" w:right="0"/>
              <w:jc w:val="center"/>
              <w:rPr>
                <w:rFonts w:ascii="Times New Roman" w:hAnsi="Times New Roman" w:cs="Times New Roman" w:eastAsia="Times New Roman" w:hint="default"/>
                <w:sz w:val="18"/>
                <w:szCs w:val="18"/>
              </w:rPr>
            </w:pPr>
            <w:r>
              <w:rPr>
                <w:rFonts w:ascii="Times New Roman"/>
                <w:sz w:val="18"/>
              </w:rPr>
              <w:t>-1,43</w:t>
            </w:r>
          </w:p>
          <w:p>
            <w:pPr>
              <w:pStyle w:val="TableParagraph"/>
              <w:spacing w:line="240" w:lineRule="auto" w:before="102"/>
              <w:ind w:left="21" w:right="0"/>
              <w:jc w:val="center"/>
              <w:rPr>
                <w:rFonts w:ascii="Times New Roman" w:hAnsi="Times New Roman" w:cs="Times New Roman" w:eastAsia="Times New Roman" w:hint="default"/>
                <w:sz w:val="18"/>
                <w:szCs w:val="18"/>
              </w:rPr>
            </w:pPr>
            <w:r>
              <w:rPr>
                <w:rFonts w:ascii="Times New Roman"/>
                <w:sz w:val="18"/>
              </w:rPr>
              <w:t>9,300</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-2,826,</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514.62</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-8,932,</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294.00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4,666,</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479.38</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4,666,</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479.38</w:t>
            </w:r>
          </w:p>
        </w:tc>
      </w:tr>
      <w:tr>
        <w:trPr>
          <w:trHeight w:val="401"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3"/>
              <w:ind w:left="63" w:right="0"/>
              <w:jc w:val="center"/>
              <w:rPr>
                <w:rFonts w:ascii="Times New Roman" w:hAnsi="Times New Roman" w:cs="Times New Roman" w:eastAsia="Times New Roman" w:hint="default"/>
                <w:sz w:val="18"/>
                <w:szCs w:val="18"/>
              </w:rPr>
            </w:pPr>
            <w:r>
              <w:rPr>
                <w:rFonts w:ascii="Times New Roman"/>
                <w:sz w:val="18"/>
              </w:rPr>
              <w:t>-35,98</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0.00</w:t>
            </w: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3"/>
              <w:ind w:left="36" w:right="0"/>
              <w:jc w:val="center"/>
              <w:rPr>
                <w:rFonts w:ascii="Times New Roman" w:hAnsi="Times New Roman" w:cs="Times New Roman" w:eastAsia="Times New Roman" w:hint="default"/>
                <w:sz w:val="18"/>
                <w:szCs w:val="18"/>
              </w:rPr>
            </w:pPr>
            <w:r>
              <w:rPr>
                <w:rFonts w:ascii="Times New Roman"/>
                <w:sz w:val="18"/>
              </w:rPr>
              <w:t>766,27</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3.37</w:t>
            </w: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-6,023,</w:t>
            </w:r>
          </w:p>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025.37</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-5,220,</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772.00</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0.00</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-5,220,</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772.00</w:t>
            </w:r>
          </w:p>
        </w:tc>
      </w:tr>
      <w:tr>
        <w:trPr>
          <w:trHeight w:val="391"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766,27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3.37</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-766,2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73.37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-35,98</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0.00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-5,256,</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752.00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-5,220,</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772.00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-5,220,</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772.00</w:t>
            </w: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z w:val="18"/>
                <w:szCs w:val="18"/>
              </w:rPr>
              <w:t> 益内部结转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69,113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,784.0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-34,85</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1,078.</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50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34,262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-633,2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84.92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33,629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,420.6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263,2</w:t>
            </w:r>
          </w:p>
          <w:p>
            <w:pPr>
              <w:pStyle w:val="TableParagraph"/>
              <w:spacing w:line="240" w:lineRule="auto" w:before="102"/>
              <w:ind w:left="55" w:right="0"/>
              <w:jc w:val="left"/>
              <w:rPr>
                <w:rFonts w:ascii="Times New Roman" w:hAnsi="Times New Roman" w:cs="Times New Roman" w:eastAsia="Times New Roman" w:hint="default"/>
                <w:sz w:val="18"/>
                <w:szCs w:val="18"/>
              </w:rPr>
            </w:pPr>
            <w:r>
              <w:rPr>
                <w:rFonts w:ascii="Times New Roman"/>
                <w:sz w:val="18"/>
              </w:rPr>
              <w:t>69,30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388,81</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9,327.</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17</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13,785</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,726.0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-38,93</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6,290.</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90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55,838</w:t>
            </w:r>
            <w:r>
              <w:rPr>
                <w:rFonts w:ascii="Times New Roman"/>
                <w:sz w:val="18"/>
              </w:rPr>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,543.2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178,93</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9,268.</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17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834,14</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4,421.</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73</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7,900,</w:t>
            </w:r>
          </w:p>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646.03</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842,04</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5,067.</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76</w:t>
            </w:r>
          </w:p>
        </w:tc>
      </w:tr>
    </w:tbl>
    <w:p>
      <w:pPr>
        <w:spacing w:before="49"/>
        <w:ind w:left="152" w:right="996"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1390"/>
        <w:gridCol w:w="576"/>
        <w:gridCol w:w="576"/>
        <w:gridCol w:w="578"/>
        <w:gridCol w:w="576"/>
        <w:gridCol w:w="576"/>
        <w:gridCol w:w="578"/>
        <w:gridCol w:w="588"/>
        <w:gridCol w:w="567"/>
        <w:gridCol w:w="569"/>
        <w:gridCol w:w="641"/>
        <w:gridCol w:w="653"/>
      </w:tblGrid>
      <w:tr>
        <w:trPr>
          <w:trHeight w:val="403" w:hRule="exact"/>
        </w:trPr>
        <w:tc>
          <w:tcPr>
            <w:tcW w:w="12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58" w:type="dxa"/>
            <w:gridSpan w:val="13"/>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401" w:hRule="exact"/>
        </w:trPr>
        <w:tc>
          <w:tcPr>
            <w:tcW w:w="1211" w:type="dxa"/>
            <w:vMerge/>
            <w:tcBorders>
              <w:left w:val="single" w:sz="4" w:space="0" w:color="000000"/>
              <w:right w:val="single" w:sz="4" w:space="0" w:color="000000"/>
            </w:tcBorders>
            <w:shd w:val="clear" w:color="auto" w:fill="D2D2D2"/>
          </w:tcPr>
          <w:p>
            <w:pPr/>
          </w:p>
        </w:tc>
        <w:tc>
          <w:tcPr>
            <w:tcW w:w="7065" w:type="dxa"/>
            <w:gridSpan w:val="11"/>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1" w:type="dxa"/>
            <w:vMerge w:val="restart"/>
            <w:tcBorders>
              <w:top w:val="single" w:sz="4" w:space="0" w:color="FFFFFF"/>
              <w:left w:val="single" w:sz="4" w:space="0" w:color="000000"/>
              <w:right w:val="single" w:sz="4" w:space="0" w:color="000000"/>
            </w:tcBorders>
            <w:shd w:val="clear" w:color="auto" w:fill="D2D2D2"/>
          </w:tcPr>
          <w:p>
            <w:pPr>
              <w:pStyle w:val="TableParagraph"/>
              <w:spacing w:line="314" w:lineRule="auto" w:before="94"/>
              <w:ind w:left="48" w:right="4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3"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113"/>
              <w:ind w:left="52" w:right="48"/>
              <w:jc w:val="left"/>
              <w:rPr>
                <w:rFonts w:ascii="宋体" w:hAnsi="宋体" w:cs="宋体" w:eastAsia="宋体" w:hint="default"/>
                <w:sz w:val="18"/>
                <w:szCs w:val="18"/>
              </w:rPr>
            </w:pPr>
            <w:r>
              <w:rPr>
                <w:rFonts w:ascii="宋体" w:hAnsi="宋体" w:cs="宋体" w:eastAsia="宋体" w:hint="default"/>
                <w:sz w:val="18"/>
                <w:szCs w:val="18"/>
              </w:rPr>
              <w:t>所有者 权益合</w:t>
            </w:r>
          </w:p>
        </w:tc>
      </w:tr>
      <w:tr>
        <w:trPr>
          <w:trHeight w:val="403" w:hRule="exact"/>
        </w:trPr>
        <w:tc>
          <w:tcPr>
            <w:tcW w:w="1211" w:type="dxa"/>
            <w:vMerge/>
            <w:tcBorders>
              <w:left w:val="single" w:sz="4" w:space="0" w:color="000000"/>
              <w:bottom w:val="single" w:sz="4" w:space="0" w:color="000000"/>
              <w:right w:val="single" w:sz="4" w:space="0" w:color="000000"/>
            </w:tcBorders>
            <w:shd w:val="clear" w:color="auto" w:fill="D2D2D2"/>
          </w:tcPr>
          <w:p>
            <w:pPr/>
          </w:p>
        </w:tc>
        <w:tc>
          <w:tcPr>
            <w:tcW w:w="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pacing w:val="-7"/>
                <w:sz w:val="18"/>
                <w:szCs w:val="18"/>
              </w:rPr>
              <w:t>减：库</w:t>
            </w:r>
          </w:p>
        </w:tc>
        <w:tc>
          <w:tcPr>
            <w:tcW w:w="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专项</w:t>
            </w: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盈余</w:t>
            </w:r>
          </w:p>
        </w:tc>
        <w:tc>
          <w:tcPr>
            <w:tcW w:w="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一般</w:t>
            </w:r>
          </w:p>
        </w:tc>
        <w:tc>
          <w:tcPr>
            <w:tcW w:w="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10" w:right="0"/>
              <w:jc w:val="left"/>
              <w:rPr>
                <w:rFonts w:ascii="宋体" w:hAnsi="宋体" w:cs="宋体" w:eastAsia="宋体" w:hint="default"/>
                <w:sz w:val="18"/>
                <w:szCs w:val="18"/>
              </w:rPr>
            </w:pPr>
            <w:r>
              <w:rPr>
                <w:rFonts w:ascii="宋体" w:hAnsi="宋体" w:cs="宋体" w:eastAsia="宋体" w:hint="default"/>
                <w:sz w:val="18"/>
                <w:szCs w:val="18"/>
              </w:rPr>
              <w:t>未分</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1"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12"/>
        <w:gridCol w:w="490"/>
        <w:gridCol w:w="449"/>
        <w:gridCol w:w="449"/>
        <w:gridCol w:w="492"/>
        <w:gridCol w:w="576"/>
        <w:gridCol w:w="576"/>
        <w:gridCol w:w="578"/>
        <w:gridCol w:w="576"/>
        <w:gridCol w:w="576"/>
        <w:gridCol w:w="578"/>
        <w:gridCol w:w="588"/>
        <w:gridCol w:w="567"/>
        <w:gridCol w:w="569"/>
        <w:gridCol w:w="641"/>
        <w:gridCol w:w="653"/>
      </w:tblGrid>
      <w:tr>
        <w:trPr>
          <w:trHeight w:val="161" w:hRule="exact"/>
        </w:trPr>
        <w:tc>
          <w:tcPr>
            <w:tcW w:w="1212" w:type="dxa"/>
            <w:vMerge w:val="restart"/>
            <w:tcBorders>
              <w:top w:val="single" w:sz="4" w:space="0" w:color="000000"/>
              <w:left w:val="single" w:sz="4" w:space="0" w:color="000000"/>
              <w:right w:val="single" w:sz="4" w:space="0" w:color="000000"/>
            </w:tcBorders>
            <w:shd w:val="clear" w:color="auto" w:fill="D2D2D2"/>
          </w:tcPr>
          <w:p>
            <w:pPr/>
          </w:p>
        </w:tc>
        <w:tc>
          <w:tcPr>
            <w:tcW w:w="490" w:type="dxa"/>
            <w:vMerge w:val="restart"/>
            <w:tcBorders>
              <w:top w:val="single" w:sz="4" w:space="0" w:color="000000"/>
              <w:left w:val="single" w:sz="4" w:space="0" w:color="000000"/>
              <w:right w:val="single" w:sz="4" w:space="0" w:color="000000"/>
            </w:tcBorders>
            <w:shd w:val="clear" w:color="auto" w:fill="D2D2D2"/>
          </w:tcPr>
          <w:p>
            <w:pP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29" w:right="3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29" w:right="38"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2"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公积</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存股</w:t>
            </w: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8"/>
              <w:ind w:left="103" w:right="103"/>
              <w:jc w:val="left"/>
              <w:rPr>
                <w:rFonts w:ascii="宋体" w:hAnsi="宋体" w:cs="宋体" w:eastAsia="宋体" w:hint="default"/>
                <w:sz w:val="18"/>
                <w:szCs w:val="18"/>
              </w:rPr>
            </w:pPr>
            <w:r>
              <w:rPr>
                <w:rFonts w:ascii="宋体" w:hAnsi="宋体" w:cs="宋体" w:eastAsia="宋体" w:hint="default"/>
                <w:sz w:val="18"/>
                <w:szCs w:val="18"/>
              </w:rPr>
              <w:t>综合 收益</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储备</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公积</w:t>
            </w: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8"/>
              <w:ind w:left="103" w:right="103"/>
              <w:jc w:val="left"/>
              <w:rPr>
                <w:rFonts w:ascii="宋体" w:hAnsi="宋体" w:cs="宋体" w:eastAsia="宋体" w:hint="default"/>
                <w:sz w:val="18"/>
                <w:szCs w:val="18"/>
              </w:rPr>
            </w:pPr>
            <w:r>
              <w:rPr>
                <w:rFonts w:ascii="宋体" w:hAnsi="宋体" w:cs="宋体" w:eastAsia="宋体" w:hint="default"/>
                <w:sz w:val="18"/>
                <w:szCs w:val="18"/>
              </w:rPr>
              <w:t>风险 准备</w:t>
            </w:r>
          </w:p>
        </w:tc>
        <w:tc>
          <w:tcPr>
            <w:tcW w:w="58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8"/>
              <w:ind w:left="199" w:right="107" w:hanging="89"/>
              <w:jc w:val="left"/>
              <w:rPr>
                <w:rFonts w:ascii="宋体" w:hAnsi="宋体" w:cs="宋体" w:eastAsia="宋体" w:hint="default"/>
                <w:sz w:val="18"/>
                <w:szCs w:val="18"/>
              </w:rPr>
            </w:pPr>
            <w:r>
              <w:rPr>
                <w:rFonts w:ascii="宋体" w:hAnsi="宋体" w:cs="宋体" w:eastAsia="宋体" w:hint="default"/>
                <w:sz w:val="18"/>
                <w:szCs w:val="18"/>
              </w:rPr>
              <w:t>配利 润</w:t>
            </w:r>
          </w:p>
        </w:tc>
        <w:tc>
          <w:tcPr>
            <w:tcW w:w="567" w:type="dxa"/>
            <w:vMerge w:val="restart"/>
            <w:tcBorders>
              <w:top w:val="single" w:sz="4" w:space="0" w:color="000000"/>
              <w:left w:val="single" w:sz="4" w:space="0" w:color="000000"/>
              <w:right w:val="single" w:sz="4" w:space="0" w:color="000000"/>
            </w:tcBorders>
            <w:shd w:val="clear" w:color="auto" w:fill="D2D2D2"/>
          </w:tcPr>
          <w:p>
            <w:pPr/>
          </w:p>
        </w:tc>
        <w:tc>
          <w:tcPr>
            <w:tcW w:w="569" w:type="dxa"/>
            <w:vMerge w:val="restart"/>
            <w:tcBorders>
              <w:top w:val="single" w:sz="4" w:space="0" w:color="000000"/>
              <w:left w:val="single" w:sz="4" w:space="0" w:color="000000"/>
              <w:right w:val="single" w:sz="4" w:space="0" w:color="000000"/>
            </w:tcBorders>
            <w:shd w:val="clear" w:color="auto" w:fill="D2D2D2"/>
          </w:tcPr>
          <w:p>
            <w:pPr/>
          </w:p>
        </w:tc>
        <w:tc>
          <w:tcPr>
            <w:tcW w:w="641" w:type="dxa"/>
            <w:vMerge w:val="restart"/>
            <w:tcBorders>
              <w:top w:val="single" w:sz="4" w:space="0" w:color="000000"/>
              <w:left w:val="single" w:sz="4" w:space="0" w:color="000000"/>
              <w:right w:val="single" w:sz="4" w:space="0" w:color="000000"/>
            </w:tcBorders>
            <w:shd w:val="clear" w:color="auto" w:fill="D2D2D2"/>
          </w:tcPr>
          <w:p>
            <w:pP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计</w:t>
            </w:r>
          </w:p>
        </w:tc>
      </w:tr>
      <w:tr>
        <w:trPr>
          <w:trHeight w:val="197" w:hRule="exact"/>
        </w:trPr>
        <w:tc>
          <w:tcPr>
            <w:tcW w:w="1212" w:type="dxa"/>
            <w:vMerge/>
            <w:tcBorders>
              <w:left w:val="single" w:sz="4" w:space="0" w:color="000000"/>
              <w:right w:val="single" w:sz="4" w:space="0" w:color="000000"/>
            </w:tcBorders>
            <w:shd w:val="clear" w:color="auto" w:fill="D2D2D2"/>
          </w:tcPr>
          <w:p>
            <w:pPr/>
          </w:p>
        </w:tc>
        <w:tc>
          <w:tcPr>
            <w:tcW w:w="490"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tcBorders>
              <w:left w:val="single" w:sz="4" w:space="0" w:color="000000"/>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tcPr>
          <w:p>
            <w:pPr/>
          </w:p>
        </w:tc>
      </w:tr>
      <w:tr>
        <w:trPr>
          <w:trHeight w:val="195" w:hRule="exact"/>
        </w:trPr>
        <w:tc>
          <w:tcPr>
            <w:tcW w:w="1212" w:type="dxa"/>
            <w:vMerge/>
            <w:tcBorders>
              <w:left w:val="single" w:sz="4" w:space="0" w:color="000000"/>
              <w:right w:val="single" w:sz="4" w:space="0" w:color="000000"/>
            </w:tcBorders>
            <w:shd w:val="clear" w:color="auto" w:fill="D2D2D2"/>
          </w:tcPr>
          <w:p>
            <w:pPr/>
          </w:p>
        </w:tc>
        <w:tc>
          <w:tcPr>
            <w:tcW w:w="490"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2" w:type="dxa"/>
            <w:vMerge/>
            <w:tcBorders>
              <w:left w:val="single" w:sz="4" w:space="0" w:color="000000"/>
              <w:bottom w:val="nil" w:sz="6" w:space="0" w:color="auto"/>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tcBorders>
              <w:left w:val="single" w:sz="4" w:space="0" w:color="000000"/>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tcPr>
          <w:p>
            <w:pPr/>
          </w:p>
        </w:tc>
      </w:tr>
      <w:tr>
        <w:trPr>
          <w:trHeight w:val="161" w:hRule="exact"/>
        </w:trPr>
        <w:tc>
          <w:tcPr>
            <w:tcW w:w="1212"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92"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88"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tcPr>
          <w:p>
            <w:pPr/>
          </w:p>
        </w:tc>
      </w:tr>
      <w:tr>
        <w:trPr>
          <w:trHeight w:val="163" w:hRule="exact"/>
        </w:trPr>
        <w:tc>
          <w:tcPr>
            <w:tcW w:w="1212" w:type="dxa"/>
            <w:tcBorders>
              <w:top w:val="single" w:sz="4" w:space="0" w:color="000000"/>
              <w:left w:val="single" w:sz="4" w:space="0" w:color="000000"/>
              <w:bottom w:val="nil" w:sz="6" w:space="0" w:color="auto"/>
              <w:right w:val="single" w:sz="4" w:space="0" w:color="000000"/>
            </w:tcBorders>
            <w:shd w:val="clear" w:color="auto" w:fill="D2D2D2"/>
          </w:tcPr>
          <w:p>
            <w:pPr/>
          </w:p>
        </w:tc>
        <w:tc>
          <w:tcPr>
            <w:tcW w:w="490" w:type="dxa"/>
            <w:vMerge w:val="restart"/>
            <w:tcBorders>
              <w:top w:val="single" w:sz="4" w:space="0" w:color="000000"/>
              <w:left w:val="single" w:sz="9" w:space="0" w:color="D2D2D2"/>
              <w:right w:val="single" w:sz="4" w:space="0" w:color="000000"/>
            </w:tcBorders>
          </w:tcPr>
          <w:p>
            <w:pPr>
              <w:pStyle w:val="TableParagraph"/>
              <w:spacing w:line="240" w:lineRule="auto" w:before="93"/>
              <w:ind w:left="46" w:right="0"/>
              <w:jc w:val="left"/>
              <w:rPr>
                <w:rFonts w:ascii="Times New Roman" w:hAnsi="Times New Roman" w:cs="Times New Roman" w:eastAsia="Times New Roman" w:hint="default"/>
                <w:sz w:val="18"/>
                <w:szCs w:val="18"/>
              </w:rPr>
            </w:pPr>
            <w:r>
              <w:rPr>
                <w:rFonts w:ascii="Times New Roman"/>
                <w:sz w:val="18"/>
              </w:rPr>
              <w:t>261,0</w:t>
            </w:r>
          </w:p>
          <w:p>
            <w:pPr>
              <w:pStyle w:val="TableParagraph"/>
              <w:spacing w:line="240" w:lineRule="auto" w:before="102"/>
              <w:ind w:left="46" w:right="0"/>
              <w:jc w:val="left"/>
              <w:rPr>
                <w:rFonts w:ascii="Times New Roman" w:hAnsi="Times New Roman" w:cs="Times New Roman" w:eastAsia="Times New Roman" w:hint="default"/>
                <w:sz w:val="18"/>
                <w:szCs w:val="18"/>
              </w:rPr>
            </w:pPr>
            <w:r>
              <w:rPr>
                <w:rFonts w:ascii="Times New Roman"/>
                <w:sz w:val="18"/>
              </w:rPr>
              <w:t>38,60</w:t>
            </w:r>
          </w:p>
          <w:p>
            <w:pPr>
              <w:pStyle w:val="TableParagraph"/>
              <w:spacing w:line="240" w:lineRule="auto" w:before="105"/>
              <w:ind w:left="138" w:right="0"/>
              <w:jc w:val="left"/>
              <w:rPr>
                <w:rFonts w:ascii="Times New Roman" w:hAnsi="Times New Roman" w:cs="Times New Roman" w:eastAsia="Times New Roman" w:hint="default"/>
                <w:sz w:val="18"/>
                <w:szCs w:val="18"/>
              </w:rPr>
            </w:pPr>
            <w:r>
              <w:rPr>
                <w:rFonts w:ascii="Times New Roman"/>
                <w:sz w:val="18"/>
              </w:rPr>
              <w:t>0.00</w:t>
            </w: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2"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334,31</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2,669.</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76</w:t>
            </w: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19" w:space="0" w:color="D2D2D2"/>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-736,1</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91.58</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54,252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,466.7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78" w:type="dxa"/>
            <w:vMerge w:val="restart"/>
            <w:tcBorders>
              <w:top w:val="single" w:sz="19" w:space="0" w:color="D2D2D2"/>
              <w:left w:val="single" w:sz="4" w:space="0" w:color="000000"/>
              <w:right w:val="single" w:sz="4" w:space="0" w:color="000000"/>
            </w:tcBorders>
          </w:tcPr>
          <w:p>
            <w:pPr/>
          </w:p>
        </w:tc>
        <w:tc>
          <w:tcPr>
            <w:tcW w:w="588" w:type="dxa"/>
            <w:vMerge w:val="restart"/>
            <w:tcBorders>
              <w:top w:val="single" w:sz="19" w:space="0" w:color="D2D2D2"/>
              <w:left w:val="single" w:sz="4" w:space="0" w:color="000000"/>
              <w:right w:val="single" w:sz="4" w:space="0" w:color="000000"/>
            </w:tcBorders>
          </w:tcPr>
          <w:p>
            <w:pPr>
              <w:pStyle w:val="TableParagraph"/>
              <w:spacing w:line="240" w:lineRule="auto" w:before="74"/>
              <w:ind w:left="62" w:right="0"/>
              <w:jc w:val="left"/>
              <w:rPr>
                <w:rFonts w:ascii="Times New Roman" w:hAnsi="Times New Roman" w:cs="Times New Roman" w:eastAsia="Times New Roman" w:hint="default"/>
                <w:sz w:val="18"/>
                <w:szCs w:val="18"/>
              </w:rPr>
            </w:pPr>
            <w:r>
              <w:rPr>
                <w:rFonts w:ascii="Times New Roman"/>
                <w:sz w:val="18"/>
              </w:rPr>
              <w:t>102,91</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7,962.</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24</w:t>
            </w:r>
          </w:p>
        </w:tc>
        <w:tc>
          <w:tcPr>
            <w:tcW w:w="567"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751,78</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5,507.</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16</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31,784,</w:t>
            </w:r>
          </w:p>
          <w:p>
            <w:pPr>
              <w:pStyle w:val="TableParagraph"/>
              <w:spacing w:line="240" w:lineRule="auto" w:before="102"/>
              <w:ind w:left="117" w:right="0"/>
              <w:jc w:val="left"/>
              <w:rPr>
                <w:rFonts w:ascii="Times New Roman" w:hAnsi="Times New Roman" w:cs="Times New Roman" w:eastAsia="Times New Roman" w:hint="default"/>
                <w:sz w:val="18"/>
                <w:szCs w:val="18"/>
              </w:rPr>
            </w:pPr>
            <w:r>
              <w:rPr>
                <w:rFonts w:ascii="Times New Roman"/>
                <w:sz w:val="18"/>
              </w:rPr>
              <w:t>464.93</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783,569</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,972.09</w:t>
            </w:r>
          </w:p>
        </w:tc>
      </w:tr>
      <w:tr>
        <w:trPr>
          <w:trHeight w:val="703" w:hRule="exact"/>
        </w:trPr>
        <w:tc>
          <w:tcPr>
            <w:tcW w:w="12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49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2"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161" w:hRule="exact"/>
        </w:trPr>
        <w:tc>
          <w:tcPr>
            <w:tcW w:w="1212" w:type="dxa"/>
            <w:tcBorders>
              <w:top w:val="nil" w:sz="6" w:space="0" w:color="auto"/>
              <w:left w:val="single" w:sz="4" w:space="0" w:color="000000"/>
              <w:bottom w:val="single" w:sz="4" w:space="0" w:color="000000"/>
              <w:right w:val="single" w:sz="4" w:space="0" w:color="000000"/>
            </w:tcBorders>
            <w:shd w:val="clear" w:color="auto" w:fill="D2D2D2"/>
          </w:tcPr>
          <w:p>
            <w:pPr/>
          </w:p>
        </w:tc>
        <w:tc>
          <w:tcPr>
            <w:tcW w:w="49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713"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6"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6"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12" w:type="dxa"/>
            <w:tcBorders>
              <w:top w:val="single" w:sz="4" w:space="0" w:color="000000"/>
              <w:left w:val="single" w:sz="4" w:space="0" w:color="000000"/>
              <w:bottom w:val="nil" w:sz="6" w:space="0" w:color="auto"/>
              <w:right w:val="single" w:sz="4" w:space="0" w:color="000000"/>
            </w:tcBorders>
            <w:shd w:val="clear" w:color="auto" w:fill="D2D2D2"/>
          </w:tcPr>
          <w:p>
            <w:pPr/>
          </w:p>
        </w:tc>
        <w:tc>
          <w:tcPr>
            <w:tcW w:w="490" w:type="dxa"/>
            <w:vMerge w:val="restart"/>
            <w:tcBorders>
              <w:top w:val="single" w:sz="4" w:space="0" w:color="000000"/>
              <w:left w:val="single" w:sz="9" w:space="0" w:color="D2D2D2"/>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261,0</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38,60</w:t>
            </w:r>
          </w:p>
          <w:p>
            <w:pPr>
              <w:pStyle w:val="TableParagraph"/>
              <w:spacing w:line="240" w:lineRule="auto" w:before="105"/>
              <w:ind w:left="138" w:right="0"/>
              <w:jc w:val="left"/>
              <w:rPr>
                <w:rFonts w:ascii="Times New Roman" w:hAnsi="Times New Roman" w:cs="Times New Roman" w:eastAsia="Times New Roman" w:hint="default"/>
                <w:sz w:val="18"/>
                <w:szCs w:val="18"/>
              </w:rPr>
            </w:pPr>
            <w:r>
              <w:rPr>
                <w:rFonts w:ascii="Times New Roman"/>
                <w:sz w:val="18"/>
              </w:rPr>
              <w:t>0.00</w:t>
            </w: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2"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334,31</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2,669.</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76</w:t>
            </w: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-736,1</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91.58</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54,252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,466.7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78"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102,91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7,962.</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24</w:t>
            </w:r>
          </w:p>
        </w:tc>
        <w:tc>
          <w:tcPr>
            <w:tcW w:w="567"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751,78</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5,507.</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16</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31,784,</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464.93</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783,569</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,972.09</w:t>
            </w:r>
          </w:p>
        </w:tc>
      </w:tr>
      <w:tr>
        <w:trPr>
          <w:trHeight w:val="703" w:hRule="exact"/>
        </w:trPr>
        <w:tc>
          <w:tcPr>
            <w:tcW w:w="12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49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2"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161" w:hRule="exact"/>
        </w:trPr>
        <w:tc>
          <w:tcPr>
            <w:tcW w:w="1212" w:type="dxa"/>
            <w:tcBorders>
              <w:top w:val="nil" w:sz="6" w:space="0" w:color="auto"/>
              <w:left w:val="single" w:sz="4" w:space="0" w:color="000000"/>
              <w:bottom w:val="single" w:sz="4" w:space="0" w:color="000000"/>
              <w:right w:val="single" w:sz="4" w:space="0" w:color="000000"/>
            </w:tcBorders>
            <w:shd w:val="clear" w:color="auto" w:fill="D2D2D2"/>
          </w:tcPr>
          <w:p>
            <w:pPr/>
          </w:p>
        </w:tc>
        <w:tc>
          <w:tcPr>
            <w:tcW w:w="49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1339"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4" w:right="96"/>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4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3,670</w:t>
            </w:r>
          </w:p>
          <w:p>
            <w:pPr>
              <w:pStyle w:val="TableParagraph"/>
              <w:spacing w:line="240" w:lineRule="auto" w:before="102"/>
              <w:ind w:left="67"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-11,78</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0,611.</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99</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22,754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-2,432,</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882.21</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819,80</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3.18</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30,321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,288.0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-2,156,</w:t>
            </w:r>
          </w:p>
          <w:p>
            <w:pPr>
              <w:pStyle w:val="TableParagraph"/>
              <w:spacing w:line="240" w:lineRule="auto" w:before="102"/>
              <w:ind w:left="40" w:right="0"/>
              <w:jc w:val="left"/>
              <w:rPr>
                <w:rFonts w:ascii="Times New Roman" w:hAnsi="Times New Roman" w:cs="Times New Roman" w:eastAsia="Times New Roman" w:hint="default"/>
                <w:sz w:val="18"/>
                <w:szCs w:val="18"/>
              </w:rPr>
            </w:pPr>
            <w:r>
              <w:rPr>
                <w:rFonts w:ascii="Times New Roman"/>
                <w:sz w:val="18"/>
              </w:rPr>
              <w:t>402.97</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-16,450</w:t>
            </w:r>
          </w:p>
          <w:p>
            <w:pPr>
              <w:pStyle w:val="TableParagraph"/>
              <w:spacing w:line="240" w:lineRule="auto" w:before="102"/>
              <w:ind w:left="72" w:right="0"/>
              <w:jc w:val="left"/>
              <w:rPr>
                <w:rFonts w:ascii="Times New Roman" w:hAnsi="Times New Roman" w:cs="Times New Roman" w:eastAsia="Times New Roman" w:hint="default"/>
                <w:sz w:val="18"/>
                <w:szCs w:val="18"/>
              </w:rPr>
            </w:pPr>
            <w:r>
              <w:rPr>
                <w:rFonts w:ascii="Times New Roman"/>
                <w:sz w:val="18"/>
              </w:rPr>
              <w:t>,442.14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-18,606</w:t>
            </w:r>
          </w:p>
          <w:p>
            <w:pPr>
              <w:pStyle w:val="TableParagraph"/>
              <w:spacing w:line="240" w:lineRule="auto" w:before="102"/>
              <w:ind w:left="88" w:right="0"/>
              <w:jc w:val="left"/>
              <w:rPr>
                <w:rFonts w:ascii="Times New Roman" w:hAnsi="Times New Roman" w:cs="Times New Roman" w:eastAsia="Times New Roman" w:hint="default"/>
                <w:sz w:val="18"/>
                <w:szCs w:val="18"/>
              </w:rPr>
            </w:pPr>
            <w:r>
              <w:rPr>
                <w:rFonts w:ascii="Times New Roman"/>
                <w:sz w:val="18"/>
              </w:rPr>
              <w:t>,845.11</w:t>
            </w:r>
          </w:p>
        </w:tc>
      </w:tr>
      <w:tr>
        <w:trPr>
          <w:trHeight w:val="161" w:hRule="exact"/>
        </w:trPr>
        <w:tc>
          <w:tcPr>
            <w:tcW w:w="1212" w:type="dxa"/>
            <w:tcBorders>
              <w:top w:val="single" w:sz="4" w:space="0" w:color="000000"/>
              <w:left w:val="single" w:sz="4" w:space="0" w:color="000000"/>
              <w:bottom w:val="nil" w:sz="6" w:space="0" w:color="auto"/>
              <w:right w:val="single" w:sz="4" w:space="0" w:color="000000"/>
            </w:tcBorders>
            <w:shd w:val="clear" w:color="auto" w:fill="D2D2D2"/>
          </w:tcPr>
          <w:p>
            <w:pPr/>
          </w:p>
        </w:tc>
        <w:tc>
          <w:tcPr>
            <w:tcW w:w="490" w:type="dxa"/>
            <w:vMerge w:val="restart"/>
            <w:tcBorders>
              <w:top w:val="single" w:sz="4" w:space="0" w:color="000000"/>
              <w:left w:val="single" w:sz="9" w:space="0" w:color="D2D2D2"/>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2"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-2,432,</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882.21</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36,361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,863.2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67"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33,928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,981.0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1,684,9</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45.87</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35,613,</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926.89</w:t>
            </w:r>
          </w:p>
        </w:tc>
      </w:tr>
      <w:tr>
        <w:trPr>
          <w:trHeight w:val="703" w:hRule="exact"/>
        </w:trPr>
        <w:tc>
          <w:tcPr>
            <w:tcW w:w="12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9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2"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161" w:hRule="exact"/>
        </w:trPr>
        <w:tc>
          <w:tcPr>
            <w:tcW w:w="1212" w:type="dxa"/>
            <w:tcBorders>
              <w:top w:val="nil" w:sz="6" w:space="0" w:color="auto"/>
              <w:left w:val="single" w:sz="4" w:space="0" w:color="000000"/>
              <w:bottom w:val="single" w:sz="4" w:space="0" w:color="000000"/>
              <w:right w:val="single" w:sz="4" w:space="0" w:color="000000"/>
            </w:tcBorders>
            <w:shd w:val="clear" w:color="auto" w:fill="D2D2D2"/>
          </w:tcPr>
          <w:p>
            <w:pPr/>
          </w:p>
        </w:tc>
        <w:tc>
          <w:tcPr>
            <w:tcW w:w="49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1027"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96"/>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4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42" w:right="0"/>
              <w:jc w:val="left"/>
              <w:rPr>
                <w:rFonts w:ascii="Times New Roman" w:hAnsi="Times New Roman" w:cs="Times New Roman" w:eastAsia="Times New Roman" w:hint="default"/>
                <w:sz w:val="18"/>
                <w:szCs w:val="18"/>
              </w:rPr>
            </w:pPr>
            <w:r>
              <w:rPr>
                <w:rFonts w:ascii="Times New Roman"/>
                <w:sz w:val="18"/>
              </w:rPr>
              <w:t>3,670</w:t>
            </w:r>
          </w:p>
          <w:p>
            <w:pPr>
              <w:pStyle w:val="TableParagraph"/>
              <w:spacing w:line="240" w:lineRule="auto" w:before="102"/>
              <w:ind w:left="67"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19,084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22,754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z w:val="18"/>
                <w:szCs w:val="18"/>
              </w:rPr>
              <w:t> 的普通股</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4"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z w:val="18"/>
                <w:szCs w:val="18"/>
              </w:rPr>
              <w:t> 具持有者投入 资本</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z w:val="18"/>
                <w:szCs w:val="18"/>
              </w:rPr>
              <w:t> 入所有者权益 的金额</w:t>
            </w:r>
          </w:p>
        </w:tc>
        <w:tc>
          <w:tcPr>
            <w:tcW w:w="4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42" w:right="0"/>
              <w:jc w:val="left"/>
              <w:rPr>
                <w:rFonts w:ascii="Times New Roman" w:hAnsi="Times New Roman" w:cs="Times New Roman" w:eastAsia="Times New Roman" w:hint="default"/>
                <w:sz w:val="18"/>
                <w:szCs w:val="18"/>
              </w:rPr>
            </w:pPr>
            <w:r>
              <w:rPr>
                <w:rFonts w:ascii="Times New Roman"/>
                <w:sz w:val="18"/>
              </w:rPr>
              <w:t>3,670</w:t>
            </w:r>
          </w:p>
          <w:p>
            <w:pPr>
              <w:pStyle w:val="TableParagraph"/>
              <w:spacing w:line="240" w:lineRule="auto" w:before="105"/>
              <w:ind w:left="67"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19,084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22,754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819,80</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3.18</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-6,040,</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575.18</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-5,220,</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772.00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-5,220,</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772.00</w:t>
            </w:r>
          </w:p>
        </w:tc>
      </w:tr>
      <w:tr>
        <w:trPr>
          <w:trHeight w:val="715"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z w:val="18"/>
                <w:szCs w:val="18"/>
              </w:rPr>
              <w:t> 积</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 w:right="0"/>
              <w:jc w:val="center"/>
              <w:rPr>
                <w:rFonts w:ascii="Times New Roman" w:hAnsi="Times New Roman" w:cs="Times New Roman" w:eastAsia="Times New Roman" w:hint="default"/>
                <w:sz w:val="18"/>
                <w:szCs w:val="18"/>
              </w:rPr>
            </w:pPr>
            <w:r>
              <w:rPr>
                <w:rFonts w:ascii="Times New Roman"/>
                <w:sz w:val="18"/>
              </w:rPr>
              <w:t>819,80</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3.18</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-819,8</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03.18</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2"/>
        <w:gridCol w:w="576"/>
        <w:gridCol w:w="576"/>
        <w:gridCol w:w="578"/>
        <w:gridCol w:w="576"/>
        <w:gridCol w:w="576"/>
        <w:gridCol w:w="578"/>
        <w:gridCol w:w="588"/>
        <w:gridCol w:w="567"/>
        <w:gridCol w:w="569"/>
        <w:gridCol w:w="641"/>
        <w:gridCol w:w="653"/>
      </w:tblGrid>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z w:val="18"/>
                <w:szCs w:val="18"/>
              </w:rPr>
              <w:t> 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0"/>
              <w:ind w:left="22" w:right="96"/>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-5,220,</w:t>
            </w:r>
          </w:p>
          <w:p>
            <w:pPr>
              <w:pStyle w:val="TableParagraph"/>
              <w:spacing w:line="240" w:lineRule="auto" w:before="102"/>
              <w:ind w:left="62" w:right="0"/>
              <w:jc w:val="left"/>
              <w:rPr>
                <w:rFonts w:ascii="Times New Roman" w:hAnsi="Times New Roman" w:cs="Times New Roman" w:eastAsia="Times New Roman" w:hint="default"/>
                <w:sz w:val="18"/>
                <w:szCs w:val="18"/>
              </w:rPr>
            </w:pPr>
            <w:r>
              <w:rPr>
                <w:rFonts w:ascii="Times New Roman"/>
                <w:sz w:val="18"/>
              </w:rPr>
              <w:t>772.00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-5,220,</w:t>
            </w:r>
          </w:p>
          <w:p>
            <w:pPr>
              <w:pStyle w:val="TableParagraph"/>
              <w:spacing w:line="240" w:lineRule="auto" w:before="102"/>
              <w:ind w:left="40" w:right="0"/>
              <w:jc w:val="left"/>
              <w:rPr>
                <w:rFonts w:ascii="Times New Roman" w:hAnsi="Times New Roman" w:cs="Times New Roman" w:eastAsia="Times New Roman" w:hint="default"/>
                <w:sz w:val="18"/>
                <w:szCs w:val="18"/>
              </w:rPr>
            </w:pPr>
            <w:r>
              <w:rPr>
                <w:rFonts w:ascii="Times New Roman"/>
                <w:sz w:val="18"/>
              </w:rPr>
              <w:t>772.00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-5,220,</w:t>
            </w:r>
          </w:p>
          <w:p>
            <w:pPr>
              <w:pStyle w:val="TableParagraph"/>
              <w:spacing w:line="240" w:lineRule="auto" w:before="102"/>
              <w:ind w:left="127" w:right="0"/>
              <w:jc w:val="left"/>
              <w:rPr>
                <w:rFonts w:ascii="Times New Roman" w:hAnsi="Times New Roman" w:cs="Times New Roman" w:eastAsia="Times New Roman" w:hint="default"/>
                <w:sz w:val="18"/>
                <w:szCs w:val="18"/>
              </w:rPr>
            </w:pPr>
            <w:r>
              <w:rPr>
                <w:rFonts w:ascii="Times New Roman"/>
                <w:sz w:val="18"/>
              </w:rPr>
              <w:t>772.00</w:t>
            </w: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2"/>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z w:val="18"/>
                <w:szCs w:val="18"/>
              </w:rPr>
              <w:t> 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z w:val="18"/>
                <w:szCs w:val="18"/>
              </w:rPr>
              <w:t> 划变动额结转 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z w:val="18"/>
                <w:szCs w:val="18"/>
              </w:rPr>
              <w:t> 益结转留存收 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-30,86</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4,611.</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99</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left"/>
              <w:rPr>
                <w:rFonts w:ascii="Times New Roman" w:hAnsi="Times New Roman" w:cs="Times New Roman" w:eastAsia="Times New Roman" w:hint="default"/>
                <w:sz w:val="18"/>
                <w:szCs w:val="18"/>
              </w:rPr>
            </w:pPr>
            <w:r>
              <w:rPr>
                <w:rFonts w:ascii="Times New Roman"/>
                <w:sz w:val="18"/>
              </w:rPr>
              <w:t>-30,86</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4,611.</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99</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-18,135</w:t>
            </w:r>
          </w:p>
          <w:p>
            <w:pPr>
              <w:pStyle w:val="TableParagraph"/>
              <w:spacing w:line="240" w:lineRule="auto" w:before="102"/>
              <w:ind w:left="72" w:right="0"/>
              <w:jc w:val="left"/>
              <w:rPr>
                <w:rFonts w:ascii="Times New Roman" w:hAnsi="Times New Roman" w:cs="Times New Roman" w:eastAsia="Times New Roman" w:hint="default"/>
                <w:sz w:val="18"/>
                <w:szCs w:val="18"/>
              </w:rPr>
            </w:pPr>
            <w:r>
              <w:rPr>
                <w:rFonts w:ascii="Times New Roman"/>
                <w:sz w:val="18"/>
              </w:rPr>
              <w:t>,388.01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-49,000</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,000.00</w:t>
            </w: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264,7</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08,60</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322,53</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2,057.</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77</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22,754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-3,169,</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073.79</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55,072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,269.9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133,23</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9,250.</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29</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749,62</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9,104.</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19</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15,334,</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022.79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764,963</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,126.98</w:t>
            </w:r>
          </w:p>
        </w:tc>
      </w:tr>
    </w:tbl>
    <w:p>
      <w:pPr>
        <w:spacing w:line="240" w:lineRule="auto" w:before="10"/>
        <w:rPr>
          <w:rFonts w:ascii="Times New Roman" w:hAnsi="Times New Roman" w:cs="Times New Roman" w:eastAsia="Times New Roman" w:hint="default"/>
          <w:sz w:val="21"/>
          <w:szCs w:val="21"/>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、母公司所有者权益变动表</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152" w:right="996"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05"/>
        <w:gridCol w:w="8252"/>
      </w:tblGrid>
      <w:tr>
        <w:trPr>
          <w:trHeight w:val="402"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bl>
    <w:p>
      <w:pPr>
        <w:spacing w:after="0" w:line="240" w:lineRule="auto"/>
        <w:jc w:val="center"/>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1283"/>
        <w:gridCol w:w="640"/>
        <w:gridCol w:w="605"/>
        <w:gridCol w:w="603"/>
        <w:gridCol w:w="605"/>
        <w:gridCol w:w="727"/>
        <w:gridCol w:w="728"/>
        <w:gridCol w:w="725"/>
        <w:gridCol w:w="727"/>
        <w:gridCol w:w="727"/>
        <w:gridCol w:w="615"/>
        <w:gridCol w:w="710"/>
        <w:gridCol w:w="862"/>
      </w:tblGrid>
      <w:tr>
        <w:trPr>
          <w:trHeight w:val="184" w:hRule="exact"/>
        </w:trPr>
        <w:tc>
          <w:tcPr>
            <w:tcW w:w="1283" w:type="dxa"/>
            <w:vMerge w:val="restart"/>
            <w:tcBorders>
              <w:top w:val="single" w:sz="4" w:space="0" w:color="000000"/>
              <w:left w:val="single" w:sz="4" w:space="0" w:color="000000"/>
              <w:right w:val="single" w:sz="4" w:space="0" w:color="000000"/>
            </w:tcBorders>
            <w:shd w:val="clear" w:color="auto" w:fill="D2D2D2"/>
          </w:tcPr>
          <w:p>
            <w:pPr/>
          </w:p>
        </w:tc>
        <w:tc>
          <w:tcPr>
            <w:tcW w:w="6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8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3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1"/>
              <w:ind w:left="268" w:right="8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2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1"/>
              <w:ind w:left="268" w:right="20" w:hanging="245"/>
              <w:jc w:val="left"/>
              <w:rPr>
                <w:rFonts w:ascii="宋体" w:hAnsi="宋体" w:cs="宋体" w:eastAsia="宋体" w:hint="default"/>
                <w:sz w:val="18"/>
                <w:szCs w:val="18"/>
              </w:rPr>
            </w:pPr>
            <w:r>
              <w:rPr>
                <w:rFonts w:ascii="宋体" w:hAnsi="宋体" w:cs="宋体" w:eastAsia="宋体" w:hint="default"/>
                <w:spacing w:val="-13"/>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1"/>
              <w:ind w:left="88" w:right="84"/>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1"/>
              <w:ind w:left="268" w:right="8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1"/>
              <w:ind w:left="268" w:right="8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1"/>
              <w:ind w:left="122" w:right="29"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1"/>
              <w:ind w:left="155" w:right="6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6" w:hRule="exact"/>
        </w:trPr>
        <w:tc>
          <w:tcPr>
            <w:tcW w:w="1283" w:type="dxa"/>
            <w:vMerge/>
            <w:tcBorders>
              <w:left w:val="single" w:sz="4" w:space="0" w:color="000000"/>
              <w:right w:val="single" w:sz="4" w:space="0" w:color="000000"/>
            </w:tcBorders>
            <w:shd w:val="clear" w:color="auto" w:fill="D2D2D2"/>
          </w:tcPr>
          <w:p>
            <w:pPr/>
          </w:p>
        </w:tc>
        <w:tc>
          <w:tcPr>
            <w:tcW w:w="6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3" w:type="dxa"/>
            <w:gridSpan w:val="3"/>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8"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15" w:type="dxa"/>
            <w:vMerge/>
            <w:tcBorders>
              <w:left w:val="single" w:sz="4" w:space="0" w:color="000000"/>
              <w:right w:val="single" w:sz="4" w:space="0" w:color="000000"/>
            </w:tcBorders>
            <w:shd w:val="clear" w:color="auto" w:fill="D2D2D2"/>
          </w:tcPr>
          <w:p>
            <w:pP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2" w:type="dxa"/>
            <w:vMerge/>
            <w:tcBorders>
              <w:left w:val="single" w:sz="4" w:space="0" w:color="000000"/>
              <w:right w:val="single" w:sz="4" w:space="0" w:color="000000"/>
            </w:tcBorders>
            <w:shd w:val="clear" w:color="auto" w:fill="D2D2D2"/>
          </w:tcPr>
          <w:p>
            <w:pPr/>
          </w:p>
        </w:tc>
      </w:tr>
      <w:tr>
        <w:trPr>
          <w:trHeight w:val="196" w:hRule="exact"/>
        </w:trPr>
        <w:tc>
          <w:tcPr>
            <w:tcW w:w="1283" w:type="dxa"/>
            <w:vMerge/>
            <w:tcBorders>
              <w:left w:val="single" w:sz="4" w:space="0" w:color="000000"/>
              <w:right w:val="single" w:sz="4" w:space="0" w:color="000000"/>
            </w:tcBorders>
            <w:shd w:val="clear" w:color="auto" w:fill="D2D2D2"/>
          </w:tcPr>
          <w:p>
            <w:pPr/>
          </w:p>
        </w:tc>
        <w:tc>
          <w:tcPr>
            <w:tcW w:w="640" w:type="dxa"/>
            <w:vMerge/>
            <w:tcBorders>
              <w:left w:val="single" w:sz="4" w:space="0" w:color="000000"/>
              <w:bottom w:val="nil" w:sz="6" w:space="0" w:color="auto"/>
              <w:right w:val="single" w:sz="4" w:space="0" w:color="000000"/>
            </w:tcBorders>
            <w:shd w:val="clear" w:color="auto" w:fill="D2D2D2"/>
          </w:tcPr>
          <w:p>
            <w:pP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7" w:type="dxa"/>
            <w:vMerge/>
            <w:tcBorders>
              <w:left w:val="single" w:sz="4" w:space="0" w:color="000000"/>
              <w:right w:val="single" w:sz="4" w:space="0" w:color="000000"/>
            </w:tcBorders>
            <w:shd w:val="clear" w:color="auto" w:fill="D2D2D2"/>
          </w:tcPr>
          <w:p>
            <w:pPr/>
          </w:p>
        </w:tc>
        <w:tc>
          <w:tcPr>
            <w:tcW w:w="728"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15" w:type="dxa"/>
            <w:vMerge/>
            <w:tcBorders>
              <w:left w:val="single" w:sz="4" w:space="0" w:color="000000"/>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r>
      <w:tr>
        <w:trPr>
          <w:trHeight w:val="184" w:hRule="exact"/>
        </w:trPr>
        <w:tc>
          <w:tcPr>
            <w:tcW w:w="1283" w:type="dxa"/>
            <w:vMerge/>
            <w:tcBorders>
              <w:left w:val="single" w:sz="4" w:space="0" w:color="000000"/>
              <w:bottom w:val="single" w:sz="4" w:space="0" w:color="000000"/>
              <w:right w:val="single" w:sz="4" w:space="0" w:color="000000"/>
            </w:tcBorders>
            <w:shd w:val="clear" w:color="auto" w:fill="D2D2D2"/>
          </w:tcPr>
          <w:p>
            <w:pPr/>
          </w:p>
        </w:tc>
        <w:tc>
          <w:tcPr>
            <w:tcW w:w="640" w:type="dxa"/>
            <w:tcBorders>
              <w:top w:val="nil" w:sz="6" w:space="0" w:color="auto"/>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603" w:type="dxa"/>
            <w:vMerge/>
            <w:tcBorders>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8"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615" w:type="dxa"/>
            <w:vMerge/>
            <w:tcBorders>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r>
      <w:tr>
        <w:trPr>
          <w:trHeight w:val="184" w:hRule="exact"/>
        </w:trPr>
        <w:tc>
          <w:tcPr>
            <w:tcW w:w="1283" w:type="dxa"/>
            <w:tcBorders>
              <w:top w:val="single" w:sz="4" w:space="0" w:color="000000"/>
              <w:left w:val="single" w:sz="4" w:space="0" w:color="000000"/>
              <w:bottom w:val="nil" w:sz="6" w:space="0" w:color="auto"/>
              <w:right w:val="single" w:sz="4" w:space="0" w:color="000000"/>
            </w:tcBorders>
            <w:shd w:val="clear" w:color="auto" w:fill="D2D2D2"/>
          </w:tcPr>
          <w:p>
            <w:pPr/>
          </w:p>
        </w:tc>
        <w:tc>
          <w:tcPr>
            <w:tcW w:w="640" w:type="dxa"/>
            <w:vMerge w:val="restart"/>
            <w:tcBorders>
              <w:top w:val="single" w:sz="4" w:space="0" w:color="000000"/>
              <w:left w:val="single" w:sz="10" w:space="0" w:color="D2D2D2"/>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pacing w:val="-1"/>
                <w:sz w:val="18"/>
              </w:rPr>
              <w:t>264,70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8,600.0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0.00</w:t>
            </w:r>
          </w:p>
        </w:tc>
        <w:tc>
          <w:tcPr>
            <w:tcW w:w="6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57" w:right="0"/>
              <w:jc w:val="left"/>
              <w:rPr>
                <w:rFonts w:ascii="Times New Roman" w:hAnsi="Times New Roman" w:cs="Times New Roman" w:eastAsia="Times New Roman" w:hint="default"/>
                <w:sz w:val="18"/>
                <w:szCs w:val="18"/>
              </w:rPr>
            </w:pPr>
            <w:r>
              <w:rPr>
                <w:rFonts w:ascii="Times New Roman"/>
                <w:sz w:val="18"/>
              </w:rPr>
              <w:t>0.00</w:t>
            </w:r>
          </w:p>
        </w:tc>
        <w:tc>
          <w:tcPr>
            <w:tcW w:w="60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0.00</w:t>
            </w:r>
          </w:p>
        </w:tc>
        <w:tc>
          <w:tcPr>
            <w:tcW w:w="727" w:type="dxa"/>
            <w:vMerge w:val="restart"/>
            <w:tcBorders>
              <w:top w:val="single" w:sz="22" w:space="0" w:color="D2D2D2"/>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280,258,</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413.96</w:t>
            </w:r>
          </w:p>
        </w:tc>
        <w:tc>
          <w:tcPr>
            <w:tcW w:w="728" w:type="dxa"/>
            <w:vMerge w:val="restart"/>
            <w:tcBorders>
              <w:top w:val="single" w:sz="22" w:space="0" w:color="D2D2D2"/>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22,754,0</w:t>
            </w:r>
          </w:p>
          <w:p>
            <w:pPr>
              <w:pStyle w:val="TableParagraph"/>
              <w:spacing w:line="240" w:lineRule="auto" w:before="105"/>
              <w:ind w:left="290" w:right="0"/>
              <w:jc w:val="left"/>
              <w:rPr>
                <w:rFonts w:ascii="Times New Roman" w:hAnsi="Times New Roman" w:cs="Times New Roman" w:eastAsia="Times New Roman" w:hint="default"/>
                <w:sz w:val="18"/>
                <w:szCs w:val="18"/>
              </w:rPr>
            </w:pPr>
            <w:r>
              <w:rPr>
                <w:rFonts w:ascii="Times New Roman"/>
                <w:sz w:val="18"/>
              </w:rPr>
              <w:t>00.00</w:t>
            </w:r>
          </w:p>
        </w:tc>
        <w:tc>
          <w:tcPr>
            <w:tcW w:w="725" w:type="dxa"/>
            <w:vMerge w:val="restart"/>
            <w:tcBorders>
              <w:top w:val="single" w:sz="22" w:space="0" w:color="D2D2D2"/>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79" w:right="0"/>
              <w:jc w:val="left"/>
              <w:rPr>
                <w:rFonts w:ascii="Times New Roman" w:hAnsi="Times New Roman" w:cs="Times New Roman" w:eastAsia="Times New Roman" w:hint="default"/>
                <w:sz w:val="18"/>
                <w:szCs w:val="18"/>
              </w:rPr>
            </w:pPr>
            <w:r>
              <w:rPr>
                <w:rFonts w:ascii="Times New Roman"/>
                <w:sz w:val="18"/>
              </w:rPr>
              <w:t>0.00</w:t>
            </w:r>
          </w:p>
        </w:tc>
        <w:tc>
          <w:tcPr>
            <w:tcW w:w="727" w:type="dxa"/>
            <w:vMerge w:val="restart"/>
            <w:tcBorders>
              <w:top w:val="single" w:sz="22" w:space="0" w:color="D2D2D2"/>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0.00</w:t>
            </w:r>
          </w:p>
        </w:tc>
        <w:tc>
          <w:tcPr>
            <w:tcW w:w="727" w:type="dxa"/>
            <w:vMerge w:val="restart"/>
            <w:tcBorders>
              <w:top w:val="single" w:sz="22" w:space="0" w:color="D2D2D2"/>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55,072,2</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69.92</w:t>
            </w:r>
          </w:p>
        </w:tc>
        <w:tc>
          <w:tcPr>
            <w:tcW w:w="615" w:type="dxa"/>
            <w:vMerge w:val="restart"/>
            <w:tcBorders>
              <w:top w:val="single" w:sz="22" w:space="0" w:color="D2D2D2"/>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4,192.8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0.00</w:t>
            </w:r>
          </w:p>
        </w:tc>
        <w:tc>
          <w:tcPr>
            <w:tcW w:w="862" w:type="dxa"/>
            <w:vMerge w:val="restart"/>
            <w:tcBorders>
              <w:top w:val="single" w:sz="22" w:space="0" w:color="D2D2D2"/>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800,549,4</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76.70</w:t>
            </w:r>
          </w:p>
        </w:tc>
      </w:tr>
      <w:tr>
        <w:trPr>
          <w:trHeight w:val="703" w:hRule="exact"/>
        </w:trPr>
        <w:tc>
          <w:tcPr>
            <w:tcW w:w="12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2"/>
                <w:sz w:val="18"/>
                <w:szCs w:val="18"/>
              </w:rPr>
              <w:t>一、上年期末余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40"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83" w:type="dxa"/>
            <w:tcBorders>
              <w:top w:val="nil" w:sz="6" w:space="0" w:color="auto"/>
              <w:left w:val="single" w:sz="4" w:space="0" w:color="000000"/>
              <w:bottom w:val="single" w:sz="4" w:space="0" w:color="000000"/>
              <w:right w:val="single" w:sz="4" w:space="0" w:color="000000"/>
            </w:tcBorders>
            <w:shd w:val="clear" w:color="auto" w:fill="D2D2D2"/>
          </w:tcPr>
          <w:p>
            <w:pPr/>
          </w:p>
        </w:tc>
        <w:tc>
          <w:tcPr>
            <w:tcW w:w="640"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715"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8" w:firstLine="360"/>
              <w:jc w:val="left"/>
              <w:rPr>
                <w:rFonts w:ascii="宋体" w:hAnsi="宋体" w:cs="宋体" w:eastAsia="宋体" w:hint="default"/>
                <w:sz w:val="18"/>
                <w:szCs w:val="18"/>
              </w:rPr>
            </w:pPr>
            <w:r>
              <w:rPr>
                <w:rFonts w:ascii="宋体" w:hAnsi="宋体" w:cs="宋体" w:eastAsia="宋体" w:hint="default"/>
                <w:spacing w:val="-2"/>
                <w:sz w:val="18"/>
                <w:szCs w:val="18"/>
              </w:rPr>
              <w:t>加：会计政</w:t>
            </w:r>
            <w:r>
              <w:rPr>
                <w:rFonts w:ascii="宋体" w:hAnsi="宋体" w:cs="宋体" w:eastAsia="宋体" w:hint="default"/>
                <w:sz w:val="18"/>
                <w:szCs w:val="18"/>
              </w:rPr>
              <w:t> 策变更</w:t>
            </w:r>
          </w:p>
        </w:tc>
        <w:tc>
          <w:tcPr>
            <w:tcW w:w="6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61" w:hRule="exact"/>
        </w:trPr>
        <w:tc>
          <w:tcPr>
            <w:tcW w:w="1283" w:type="dxa"/>
            <w:tcBorders>
              <w:top w:val="single" w:sz="4" w:space="0" w:color="000000"/>
              <w:left w:val="single" w:sz="4" w:space="0" w:color="000000"/>
              <w:bottom w:val="nil" w:sz="6" w:space="0" w:color="auto"/>
              <w:right w:val="single" w:sz="4" w:space="0" w:color="000000"/>
            </w:tcBorders>
            <w:shd w:val="clear" w:color="auto" w:fill="D2D2D2"/>
          </w:tcPr>
          <w:p>
            <w:pPr/>
          </w:p>
        </w:tc>
        <w:tc>
          <w:tcPr>
            <w:tcW w:w="640"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8,600.0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0.00</w:t>
            </w:r>
          </w:p>
        </w:tc>
        <w:tc>
          <w:tcPr>
            <w:tcW w:w="6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57" w:right="0"/>
              <w:jc w:val="left"/>
              <w:rPr>
                <w:rFonts w:ascii="Times New Roman" w:hAnsi="Times New Roman" w:cs="Times New Roman" w:eastAsia="Times New Roman" w:hint="default"/>
                <w:sz w:val="18"/>
                <w:szCs w:val="18"/>
              </w:rPr>
            </w:pPr>
            <w:r>
              <w:rPr>
                <w:rFonts w:ascii="Times New Roman"/>
                <w:sz w:val="18"/>
              </w:rPr>
              <w:t>0.00</w:t>
            </w:r>
          </w:p>
        </w:tc>
        <w:tc>
          <w:tcPr>
            <w:tcW w:w="60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0.00</w:t>
            </w: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280,258,</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413.96</w:t>
            </w:r>
          </w:p>
        </w:tc>
        <w:tc>
          <w:tcPr>
            <w:tcW w:w="72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22,754,0</w:t>
            </w:r>
          </w:p>
          <w:p>
            <w:pPr>
              <w:pStyle w:val="TableParagraph"/>
              <w:spacing w:line="240" w:lineRule="auto" w:before="105"/>
              <w:ind w:left="290" w:right="0"/>
              <w:jc w:val="left"/>
              <w:rPr>
                <w:rFonts w:ascii="Times New Roman" w:hAnsi="Times New Roman" w:cs="Times New Roman" w:eastAsia="Times New Roman" w:hint="default"/>
                <w:sz w:val="18"/>
                <w:szCs w:val="18"/>
              </w:rPr>
            </w:pPr>
            <w:r>
              <w:rPr>
                <w:rFonts w:ascii="Times New Roman"/>
                <w:sz w:val="18"/>
              </w:rPr>
              <w:t>00.00</w:t>
            </w: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79" w:right="0"/>
              <w:jc w:val="left"/>
              <w:rPr>
                <w:rFonts w:ascii="Times New Roman" w:hAnsi="Times New Roman" w:cs="Times New Roman" w:eastAsia="Times New Roman" w:hint="default"/>
                <w:sz w:val="18"/>
                <w:szCs w:val="18"/>
              </w:rPr>
            </w:pPr>
            <w:r>
              <w:rPr>
                <w:rFonts w:ascii="Times New Roman"/>
                <w:sz w:val="18"/>
              </w:rPr>
              <w:t>0.00</w:t>
            </w: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0.00</w:t>
            </w: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55,072,2</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69.92</w:t>
            </w:r>
          </w:p>
        </w:tc>
        <w:tc>
          <w:tcPr>
            <w:tcW w:w="61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4,192.8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0.00</w:t>
            </w:r>
          </w:p>
        </w:tc>
        <w:tc>
          <w:tcPr>
            <w:tcW w:w="86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800,549,4</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76.70</w:t>
            </w:r>
          </w:p>
        </w:tc>
      </w:tr>
      <w:tr>
        <w:trPr>
          <w:trHeight w:val="704" w:hRule="exact"/>
        </w:trPr>
        <w:tc>
          <w:tcPr>
            <w:tcW w:w="12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49"/>
              <w:ind w:left="12" w:right="8"/>
              <w:jc w:val="left"/>
              <w:rPr>
                <w:rFonts w:ascii="宋体" w:hAnsi="宋体" w:cs="宋体" w:eastAsia="宋体" w:hint="default"/>
                <w:sz w:val="18"/>
                <w:szCs w:val="18"/>
              </w:rPr>
            </w:pPr>
            <w:r>
              <w:rPr>
                <w:rFonts w:ascii="宋体" w:hAnsi="宋体" w:cs="宋体" w:eastAsia="宋体" w:hint="default"/>
                <w:spacing w:val="-2"/>
                <w:sz w:val="18"/>
                <w:szCs w:val="18"/>
              </w:rPr>
              <w:t>二、本年期初余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40"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83" w:type="dxa"/>
            <w:tcBorders>
              <w:top w:val="nil" w:sz="6" w:space="0" w:color="auto"/>
              <w:left w:val="single" w:sz="4" w:space="0" w:color="000000"/>
              <w:bottom w:val="single" w:sz="4" w:space="0" w:color="000000"/>
              <w:right w:val="single" w:sz="4" w:space="0" w:color="000000"/>
            </w:tcBorders>
            <w:shd w:val="clear" w:color="auto" w:fill="D2D2D2"/>
          </w:tcPr>
          <w:p>
            <w:pPr/>
          </w:p>
        </w:tc>
        <w:tc>
          <w:tcPr>
            <w:tcW w:w="640"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1027"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9"/>
              <w:jc w:val="both"/>
              <w:rPr>
                <w:rFonts w:ascii="宋体" w:hAnsi="宋体" w:cs="宋体" w:eastAsia="宋体" w:hint="default"/>
                <w:sz w:val="18"/>
                <w:szCs w:val="18"/>
              </w:rPr>
            </w:pPr>
            <w:r>
              <w:rPr>
                <w:rFonts w:ascii="宋体" w:hAnsi="宋体" w:cs="宋体" w:eastAsia="宋体" w:hint="default"/>
                <w:spacing w:val="-2"/>
                <w:sz w:val="18"/>
                <w:szCs w:val="18"/>
              </w:rPr>
              <w:t>三、本期增减变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动金额（减少以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-1,439,</w:t>
            </w:r>
          </w:p>
          <w:p>
            <w:pPr>
              <w:pStyle w:val="TableParagraph"/>
              <w:spacing w:line="240" w:lineRule="auto" w:before="102"/>
              <w:ind w:left="104" w:right="0"/>
              <w:jc w:val="left"/>
              <w:rPr>
                <w:rFonts w:ascii="Times New Roman" w:hAnsi="Times New Roman" w:cs="Times New Roman" w:eastAsia="Times New Roman" w:hint="default"/>
                <w:sz w:val="18"/>
                <w:szCs w:val="18"/>
              </w:rPr>
            </w:pPr>
            <w:r>
              <w:rPr>
                <w:rFonts w:ascii="Times New Roman"/>
                <w:sz w:val="18"/>
              </w:rPr>
              <w:t>300.00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31,387,0</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78.73</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-8,968,2</w:t>
            </w:r>
          </w:p>
          <w:p>
            <w:pPr>
              <w:pStyle w:val="TableParagraph"/>
              <w:spacing w:line="240" w:lineRule="auto" w:before="102"/>
              <w:ind w:left="269" w:right="0"/>
              <w:jc w:val="center"/>
              <w:rPr>
                <w:rFonts w:ascii="Times New Roman" w:hAnsi="Times New Roman" w:cs="Times New Roman" w:eastAsia="Times New Roman" w:hint="default"/>
                <w:sz w:val="18"/>
                <w:szCs w:val="18"/>
              </w:rPr>
            </w:pPr>
            <w:r>
              <w:rPr>
                <w:rFonts w:ascii="Times New Roman"/>
                <w:sz w:val="18"/>
              </w:rPr>
              <w:t>74.00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-10,583,</w:t>
            </w:r>
          </w:p>
          <w:p>
            <w:pPr>
              <w:pStyle w:val="TableParagraph"/>
              <w:spacing w:line="240" w:lineRule="auto" w:before="102"/>
              <w:ind w:left="178" w:right="0"/>
              <w:jc w:val="center"/>
              <w:rPr>
                <w:rFonts w:ascii="Times New Roman" w:hAnsi="Times New Roman" w:cs="Times New Roman" w:eastAsia="Times New Roman" w:hint="default"/>
                <w:sz w:val="18"/>
                <w:szCs w:val="18"/>
              </w:rPr>
            </w:pPr>
            <w:r>
              <w:rPr>
                <w:rFonts w:ascii="Times New Roman"/>
                <w:sz w:val="18"/>
              </w:rPr>
              <w:t>864.28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766,273.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37</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1,639,7</w:t>
            </w:r>
          </w:p>
          <w:p>
            <w:pPr>
              <w:pStyle w:val="TableParagraph"/>
              <w:spacing w:line="240" w:lineRule="auto" w:before="102"/>
              <w:ind w:left="157" w:right="0"/>
              <w:jc w:val="center"/>
              <w:rPr>
                <w:rFonts w:ascii="Times New Roman" w:hAnsi="Times New Roman" w:cs="Times New Roman" w:eastAsia="Times New Roman" w:hint="default"/>
                <w:sz w:val="18"/>
                <w:szCs w:val="18"/>
              </w:rPr>
            </w:pPr>
            <w:r>
              <w:rPr>
                <w:rFonts w:ascii="Times New Roman"/>
                <w:sz w:val="18"/>
              </w:rPr>
              <w:t>08.33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30,738,17</w:t>
            </w:r>
          </w:p>
          <w:p>
            <w:pPr>
              <w:pStyle w:val="TableParagraph"/>
              <w:spacing w:line="240" w:lineRule="auto" w:before="102"/>
              <w:ind w:left="515" w:right="0"/>
              <w:jc w:val="left"/>
              <w:rPr>
                <w:rFonts w:ascii="Times New Roman" w:hAnsi="Times New Roman" w:cs="Times New Roman" w:eastAsia="Times New Roman" w:hint="default"/>
                <w:sz w:val="18"/>
                <w:szCs w:val="18"/>
              </w:rPr>
            </w:pPr>
            <w:r>
              <w:rPr>
                <w:rFonts w:ascii="Times New Roman"/>
                <w:sz w:val="18"/>
              </w:rPr>
              <w:t>0.15</w:t>
            </w:r>
          </w:p>
        </w:tc>
      </w:tr>
      <w:tr>
        <w:trPr>
          <w:trHeight w:val="713"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2"/>
                <w:sz w:val="18"/>
                <w:szCs w:val="18"/>
              </w:rPr>
              <w:t>（一）综合收益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6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-10,583,</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864.28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7,662,7</w:t>
            </w:r>
          </w:p>
          <w:p>
            <w:pPr>
              <w:pStyle w:val="TableParagraph"/>
              <w:spacing w:line="240" w:lineRule="auto" w:before="105"/>
              <w:ind w:left="157" w:right="0"/>
              <w:jc w:val="center"/>
              <w:rPr>
                <w:rFonts w:ascii="Times New Roman" w:hAnsi="Times New Roman" w:cs="Times New Roman" w:eastAsia="Times New Roman" w:hint="default"/>
                <w:sz w:val="18"/>
                <w:szCs w:val="18"/>
              </w:rPr>
            </w:pPr>
            <w:r>
              <w:rPr>
                <w:rFonts w:ascii="Times New Roman"/>
                <w:sz w:val="18"/>
              </w:rPr>
              <w:t>33.70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-2,921,130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.58</w:t>
            </w:r>
          </w:p>
        </w:tc>
      </w:tr>
      <w:tr>
        <w:trPr>
          <w:trHeight w:val="715"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pacing w:val="-2"/>
                <w:sz w:val="18"/>
                <w:szCs w:val="18"/>
              </w:rPr>
              <w:t>（二）所有者投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入和减少资本</w:t>
            </w:r>
          </w:p>
        </w:tc>
        <w:tc>
          <w:tcPr>
            <w:tcW w:w="6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-1,439,</w:t>
            </w:r>
          </w:p>
          <w:p>
            <w:pPr>
              <w:pStyle w:val="TableParagraph"/>
              <w:spacing w:line="240" w:lineRule="auto" w:before="102"/>
              <w:ind w:left="104" w:right="0"/>
              <w:jc w:val="left"/>
              <w:rPr>
                <w:rFonts w:ascii="Times New Roman" w:hAnsi="Times New Roman" w:cs="Times New Roman" w:eastAsia="Times New Roman" w:hint="default"/>
                <w:sz w:val="18"/>
                <w:szCs w:val="18"/>
              </w:rPr>
            </w:pPr>
            <w:r>
              <w:rPr>
                <w:rFonts w:ascii="Times New Roman"/>
                <w:sz w:val="18"/>
              </w:rPr>
              <w:t>300.00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center"/>
              <w:rPr>
                <w:rFonts w:ascii="Times New Roman" w:hAnsi="Times New Roman" w:cs="Times New Roman" w:eastAsia="Times New Roman" w:hint="default"/>
                <w:sz w:val="18"/>
                <w:szCs w:val="18"/>
              </w:rPr>
            </w:pPr>
            <w:r>
              <w:rPr>
                <w:rFonts w:ascii="Times New Roman"/>
                <w:sz w:val="18"/>
              </w:rPr>
              <w:t>-2,826,5</w:t>
            </w:r>
          </w:p>
          <w:p>
            <w:pPr>
              <w:pStyle w:val="TableParagraph"/>
              <w:spacing w:line="240" w:lineRule="auto" w:before="102"/>
              <w:ind w:left="264" w:right="0"/>
              <w:jc w:val="center"/>
              <w:rPr>
                <w:rFonts w:ascii="Times New Roman" w:hAnsi="Times New Roman" w:cs="Times New Roman" w:eastAsia="Times New Roman" w:hint="default"/>
                <w:sz w:val="18"/>
                <w:szCs w:val="18"/>
              </w:rPr>
            </w:pPr>
            <w:r>
              <w:rPr>
                <w:rFonts w:ascii="Times New Roman"/>
                <w:sz w:val="18"/>
              </w:rPr>
              <w:t>14.62</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center"/>
              <w:rPr>
                <w:rFonts w:ascii="Times New Roman" w:hAnsi="Times New Roman" w:cs="Times New Roman" w:eastAsia="Times New Roman" w:hint="default"/>
                <w:sz w:val="18"/>
                <w:szCs w:val="18"/>
              </w:rPr>
            </w:pPr>
            <w:r>
              <w:rPr>
                <w:rFonts w:ascii="Times New Roman"/>
                <w:sz w:val="18"/>
              </w:rPr>
              <w:t>-8,932,2</w:t>
            </w:r>
          </w:p>
          <w:p>
            <w:pPr>
              <w:pStyle w:val="TableParagraph"/>
              <w:spacing w:line="240" w:lineRule="auto" w:before="102"/>
              <w:ind w:left="269" w:right="0"/>
              <w:jc w:val="center"/>
              <w:rPr>
                <w:rFonts w:ascii="Times New Roman" w:hAnsi="Times New Roman" w:cs="Times New Roman" w:eastAsia="Times New Roman" w:hint="default"/>
                <w:sz w:val="18"/>
                <w:szCs w:val="18"/>
              </w:rPr>
            </w:pPr>
            <w:r>
              <w:rPr>
                <w:rFonts w:ascii="Times New Roman"/>
                <w:sz w:val="18"/>
              </w:rPr>
              <w:t>94.00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4,666,479.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38</w:t>
            </w:r>
          </w:p>
        </w:tc>
      </w:tr>
      <w:tr>
        <w:trPr>
          <w:trHeight w:val="713"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-1,439,</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300.00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-2,826,5</w:t>
            </w:r>
          </w:p>
          <w:p>
            <w:pPr>
              <w:pStyle w:val="TableParagraph"/>
              <w:spacing w:line="240" w:lineRule="auto" w:before="105"/>
              <w:ind w:left="264" w:right="0"/>
              <w:jc w:val="center"/>
              <w:rPr>
                <w:rFonts w:ascii="Times New Roman" w:hAnsi="Times New Roman" w:cs="Times New Roman" w:eastAsia="Times New Roman" w:hint="default"/>
                <w:sz w:val="18"/>
                <w:szCs w:val="18"/>
              </w:rPr>
            </w:pPr>
            <w:r>
              <w:rPr>
                <w:rFonts w:ascii="Times New Roman"/>
                <w:sz w:val="18"/>
              </w:rPr>
              <w:t>14.62</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-8,932,2</w:t>
            </w:r>
          </w:p>
          <w:p>
            <w:pPr>
              <w:pStyle w:val="TableParagraph"/>
              <w:spacing w:line="240" w:lineRule="auto" w:before="105"/>
              <w:ind w:left="269" w:right="0"/>
              <w:jc w:val="center"/>
              <w:rPr>
                <w:rFonts w:ascii="Times New Roman" w:hAnsi="Times New Roman" w:cs="Times New Roman" w:eastAsia="Times New Roman" w:hint="default"/>
                <w:sz w:val="18"/>
                <w:szCs w:val="18"/>
              </w:rPr>
            </w:pPr>
            <w:r>
              <w:rPr>
                <w:rFonts w:ascii="Times New Roman"/>
                <w:sz w:val="18"/>
              </w:rPr>
              <w:t>94.00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4,666,479.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38</w:t>
            </w:r>
          </w:p>
        </w:tc>
      </w:tr>
      <w:tr>
        <w:trPr>
          <w:trHeight w:val="403"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61" w:hRule="exact"/>
        </w:trPr>
        <w:tc>
          <w:tcPr>
            <w:tcW w:w="1283" w:type="dxa"/>
            <w:tcBorders>
              <w:top w:val="single" w:sz="4" w:space="0" w:color="000000"/>
              <w:left w:val="single" w:sz="4" w:space="0" w:color="000000"/>
              <w:bottom w:val="nil" w:sz="6" w:space="0" w:color="auto"/>
              <w:right w:val="single" w:sz="4" w:space="0" w:color="000000"/>
            </w:tcBorders>
            <w:shd w:val="clear" w:color="auto" w:fill="D2D2D2"/>
          </w:tcPr>
          <w:p>
            <w:pPr/>
          </w:p>
        </w:tc>
        <w:tc>
          <w:tcPr>
            <w:tcW w:w="640" w:type="dxa"/>
            <w:vMerge w:val="restart"/>
            <w:tcBorders>
              <w:top w:val="single" w:sz="4" w:space="0" w:color="000000"/>
              <w:left w:val="single" w:sz="10"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4" w:right="0"/>
              <w:jc w:val="left"/>
              <w:rPr>
                <w:rFonts w:ascii="Times New Roman" w:hAnsi="Times New Roman" w:cs="Times New Roman" w:eastAsia="Times New Roman" w:hint="default"/>
                <w:sz w:val="18"/>
                <w:szCs w:val="18"/>
              </w:rPr>
            </w:pPr>
            <w:r>
              <w:rPr>
                <w:rFonts w:ascii="Times New Roman"/>
                <w:sz w:val="18"/>
              </w:rPr>
              <w:t>0.00</w:t>
            </w:r>
          </w:p>
        </w:tc>
        <w:tc>
          <w:tcPr>
            <w:tcW w:w="60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0.00</w:t>
            </w:r>
          </w:p>
        </w:tc>
        <w:tc>
          <w:tcPr>
            <w:tcW w:w="60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7" w:right="0"/>
              <w:jc w:val="left"/>
              <w:rPr>
                <w:rFonts w:ascii="Times New Roman" w:hAnsi="Times New Roman" w:cs="Times New Roman" w:eastAsia="Times New Roman" w:hint="default"/>
                <w:sz w:val="18"/>
                <w:szCs w:val="18"/>
              </w:rPr>
            </w:pPr>
            <w:r>
              <w:rPr>
                <w:rFonts w:ascii="Times New Roman"/>
                <w:sz w:val="18"/>
              </w:rPr>
              <w:t>0.00</w:t>
            </w:r>
          </w:p>
        </w:tc>
        <w:tc>
          <w:tcPr>
            <w:tcW w:w="60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0.00</w:t>
            </w: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79" w:right="0"/>
              <w:jc w:val="left"/>
              <w:rPr>
                <w:rFonts w:ascii="Times New Roman" w:hAnsi="Times New Roman" w:cs="Times New Roman" w:eastAsia="Times New Roman" w:hint="default"/>
                <w:sz w:val="18"/>
                <w:szCs w:val="18"/>
              </w:rPr>
            </w:pPr>
            <w:r>
              <w:rPr>
                <w:rFonts w:ascii="Times New Roman"/>
                <w:sz w:val="18"/>
              </w:rPr>
              <w:t>0.00</w:t>
            </w:r>
          </w:p>
        </w:tc>
        <w:tc>
          <w:tcPr>
            <w:tcW w:w="728"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-35,980.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79" w:right="0"/>
              <w:jc w:val="left"/>
              <w:rPr>
                <w:rFonts w:ascii="Times New Roman" w:hAnsi="Times New Roman" w:cs="Times New Roman" w:eastAsia="Times New Roman" w:hint="default"/>
                <w:sz w:val="18"/>
                <w:szCs w:val="18"/>
              </w:rPr>
            </w:pPr>
            <w:r>
              <w:rPr>
                <w:rFonts w:ascii="Times New Roman"/>
                <w:sz w:val="18"/>
              </w:rPr>
              <w:t>0.00</w:t>
            </w: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0.00</w:t>
            </w: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766,273.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37</w:t>
            </w:r>
          </w:p>
        </w:tc>
        <w:tc>
          <w:tcPr>
            <w:tcW w:w="615" w:type="dxa"/>
            <w:vMerge w:val="restart"/>
            <w:tcBorders>
              <w:top w:val="single" w:sz="4" w:space="0" w:color="000000"/>
              <w:left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-6,023,</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025.37</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0.00</w:t>
            </w:r>
          </w:p>
        </w:tc>
        <w:tc>
          <w:tcPr>
            <w:tcW w:w="86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-5,220,772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r>
      <w:tr>
        <w:trPr>
          <w:trHeight w:val="391" w:hRule="exact"/>
        </w:trPr>
        <w:tc>
          <w:tcPr>
            <w:tcW w:w="12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40"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83" w:type="dxa"/>
            <w:tcBorders>
              <w:top w:val="nil" w:sz="6" w:space="0" w:color="auto"/>
              <w:left w:val="single" w:sz="4" w:space="0" w:color="000000"/>
              <w:bottom w:val="single" w:sz="4" w:space="0" w:color="000000"/>
              <w:right w:val="single" w:sz="4" w:space="0" w:color="000000"/>
            </w:tcBorders>
            <w:shd w:val="clear" w:color="auto" w:fill="D2D2D2"/>
          </w:tcPr>
          <w:p>
            <w:pPr/>
          </w:p>
        </w:tc>
        <w:tc>
          <w:tcPr>
            <w:tcW w:w="640"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716"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766,273.</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37</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-766,27</w:t>
            </w:r>
          </w:p>
          <w:p>
            <w:pPr>
              <w:pStyle w:val="TableParagraph"/>
              <w:spacing w:line="240" w:lineRule="auto" w:before="103"/>
              <w:ind w:left="269" w:right="0"/>
              <w:jc w:val="left"/>
              <w:rPr>
                <w:rFonts w:ascii="Times New Roman" w:hAnsi="Times New Roman" w:cs="Times New Roman" w:eastAsia="Times New Roman" w:hint="default"/>
                <w:sz w:val="18"/>
                <w:szCs w:val="18"/>
              </w:rPr>
            </w:pPr>
            <w:r>
              <w:rPr>
                <w:rFonts w:ascii="Times New Roman"/>
                <w:sz w:val="18"/>
              </w:rPr>
              <w:t>3.37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-35,980.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-5,256,</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752.00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-5,220,772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r>
      <w:tr>
        <w:trPr>
          <w:trHeight w:val="403"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2"/>
                <w:sz w:val="18"/>
                <w:szCs w:val="18"/>
              </w:rPr>
              <w:t>（四）所有者权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益内部结转</w:t>
            </w:r>
          </w:p>
        </w:tc>
        <w:tc>
          <w:tcPr>
            <w:tcW w:w="6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8"/>
        <w:gridCol w:w="725"/>
        <w:gridCol w:w="727"/>
        <w:gridCol w:w="727"/>
        <w:gridCol w:w="615"/>
        <w:gridCol w:w="710"/>
        <w:gridCol w:w="862"/>
      </w:tblGrid>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34,213,5</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93.35</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0" w:right="0"/>
              <w:jc w:val="left"/>
              <w:rPr>
                <w:rFonts w:ascii="Times New Roman" w:hAnsi="Times New Roman" w:cs="Times New Roman" w:eastAsia="Times New Roman" w:hint="default"/>
                <w:sz w:val="18"/>
                <w:szCs w:val="18"/>
              </w:rPr>
            </w:pPr>
            <w:r>
              <w:rPr>
                <w:rFonts w:ascii="Times New Roman"/>
                <w:sz w:val="18"/>
              </w:rPr>
              <w:t>34,213,59</w:t>
            </w:r>
          </w:p>
          <w:p>
            <w:pPr>
              <w:pStyle w:val="TableParagraph"/>
              <w:spacing w:line="240" w:lineRule="auto" w:before="102"/>
              <w:ind w:left="515" w:right="0"/>
              <w:jc w:val="left"/>
              <w:rPr>
                <w:rFonts w:ascii="Times New Roman" w:hAnsi="Times New Roman" w:cs="Times New Roman" w:eastAsia="Times New Roman" w:hint="default"/>
                <w:sz w:val="18"/>
                <w:szCs w:val="18"/>
              </w:rPr>
            </w:pPr>
            <w:r>
              <w:rPr>
                <w:rFonts w:ascii="Times New Roman"/>
                <w:sz w:val="18"/>
              </w:rPr>
              <w:t>3.35</w:t>
            </w:r>
          </w:p>
        </w:tc>
      </w:tr>
      <w:tr>
        <w:trPr>
          <w:trHeight w:val="1028"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四、本期期末余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263,26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9,300.0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311,645,</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492.69</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13,785,7</w:t>
            </w:r>
          </w:p>
          <w:p>
            <w:pPr>
              <w:pStyle w:val="TableParagraph"/>
              <w:spacing w:line="240" w:lineRule="auto" w:before="105"/>
              <w:ind w:left="290" w:right="0"/>
              <w:jc w:val="left"/>
              <w:rPr>
                <w:rFonts w:ascii="Times New Roman" w:hAnsi="Times New Roman" w:cs="Times New Roman" w:eastAsia="Times New Roman" w:hint="default"/>
                <w:sz w:val="18"/>
                <w:szCs w:val="18"/>
              </w:rPr>
            </w:pPr>
            <w:r>
              <w:rPr>
                <w:rFonts w:ascii="Times New Roman"/>
                <w:sz w:val="18"/>
              </w:rPr>
              <w:t>26.00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-10,583,</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864.28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55,838,5</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43.29</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224,90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3,901.1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831,287,6</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46.85</w:t>
            </w:r>
          </w:p>
        </w:tc>
      </w:tr>
    </w:tbl>
    <w:p>
      <w:pPr>
        <w:spacing w:before="49"/>
        <w:ind w:left="152" w:right="996"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20"/>
        <w:gridCol w:w="593"/>
        <w:gridCol w:w="574"/>
        <w:gridCol w:w="572"/>
        <w:gridCol w:w="571"/>
        <w:gridCol w:w="686"/>
        <w:gridCol w:w="686"/>
        <w:gridCol w:w="684"/>
        <w:gridCol w:w="782"/>
        <w:gridCol w:w="665"/>
        <w:gridCol w:w="797"/>
        <w:gridCol w:w="797"/>
        <w:gridCol w:w="931"/>
      </w:tblGrid>
      <w:tr>
        <w:trPr>
          <w:trHeight w:val="396" w:hRule="exact"/>
        </w:trPr>
        <w:tc>
          <w:tcPr>
            <w:tcW w:w="1220" w:type="dxa"/>
            <w:vMerge w:val="restart"/>
            <w:tcBorders>
              <w:top w:val="single" w:sz="4" w:space="0" w:color="000000"/>
              <w:left w:val="single" w:sz="4" w:space="0" w:color="000000"/>
              <w:right w:val="single" w:sz="4" w:space="0" w:color="000000"/>
            </w:tcBorders>
            <w:shd w:val="clear" w:color="auto" w:fill="D2D2D2"/>
          </w:tcPr>
          <w:p>
            <w:pPr/>
          </w:p>
        </w:tc>
        <w:tc>
          <w:tcPr>
            <w:tcW w:w="833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188" w:hRule="exact"/>
        </w:trPr>
        <w:tc>
          <w:tcPr>
            <w:tcW w:w="1220" w:type="dxa"/>
            <w:vMerge/>
            <w:tcBorders>
              <w:left w:val="single" w:sz="4" w:space="0" w:color="000000"/>
              <w:bottom w:val="nil" w:sz="6" w:space="0" w:color="auto"/>
              <w:right w:val="single" w:sz="4" w:space="0" w:color="000000"/>
            </w:tcBorders>
            <w:shd w:val="clear" w:color="auto" w:fill="D2D2D2"/>
          </w:tcPr>
          <w:p>
            <w:pPr/>
          </w:p>
        </w:tc>
        <w:tc>
          <w:tcPr>
            <w:tcW w:w="593" w:type="dxa"/>
            <w:vMerge w:val="restart"/>
            <w:tcBorders>
              <w:top w:val="single" w:sz="4" w:space="0" w:color="000000"/>
              <w:left w:val="single" w:sz="4" w:space="0" w:color="000000"/>
              <w:right w:val="single" w:sz="4" w:space="0" w:color="000000"/>
            </w:tcBorders>
            <w:shd w:val="clear" w:color="auto" w:fill="D2D2D2"/>
          </w:tcPr>
          <w:p>
            <w:pPr/>
          </w:p>
        </w:tc>
        <w:tc>
          <w:tcPr>
            <w:tcW w:w="17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2" w:type="dxa"/>
            <w:vMerge w:val="restart"/>
            <w:tcBorders>
              <w:top w:val="single" w:sz="4" w:space="0" w:color="000000"/>
              <w:left w:val="single" w:sz="4" w:space="0" w:color="000000"/>
              <w:right w:val="single" w:sz="4" w:space="0" w:color="FFFFFF"/>
            </w:tcBorders>
            <w:shd w:val="clear" w:color="auto" w:fill="D2D2D2"/>
          </w:tcPr>
          <w:p>
            <w:pPr/>
          </w:p>
        </w:tc>
        <w:tc>
          <w:tcPr>
            <w:tcW w:w="665" w:type="dxa"/>
            <w:tcBorders>
              <w:top w:val="single" w:sz="4" w:space="0" w:color="000000"/>
              <w:left w:val="single" w:sz="4" w:space="0" w:color="FFFFFF"/>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FFFFFF"/>
            </w:tcBorders>
            <w:shd w:val="clear" w:color="auto" w:fill="D2D2D2"/>
          </w:tcPr>
          <w:p>
            <w:pPr/>
          </w:p>
        </w:tc>
        <w:tc>
          <w:tcPr>
            <w:tcW w:w="931" w:type="dxa"/>
            <w:tcBorders>
              <w:top w:val="single" w:sz="4" w:space="0" w:color="000000"/>
              <w:left w:val="single" w:sz="4" w:space="0" w:color="FFFFFF"/>
              <w:bottom w:val="nil" w:sz="6" w:space="0" w:color="auto"/>
              <w:right w:val="single" w:sz="4" w:space="0" w:color="000000"/>
            </w:tcBorders>
            <w:shd w:val="clear" w:color="auto" w:fill="D2D2D2"/>
          </w:tcPr>
          <w:p>
            <w:pPr/>
          </w:p>
        </w:tc>
      </w:tr>
      <w:tr>
        <w:trPr>
          <w:trHeight w:val="180" w:hRule="exact"/>
        </w:trPr>
        <w:tc>
          <w:tcPr>
            <w:tcW w:w="12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593" w:type="dxa"/>
            <w:vMerge/>
            <w:tcBorders>
              <w:left w:val="single" w:sz="4" w:space="0" w:color="000000"/>
              <w:bottom w:val="nil" w:sz="6" w:space="0" w:color="auto"/>
              <w:right w:val="single" w:sz="4" w:space="0" w:color="000000"/>
            </w:tcBorders>
            <w:shd w:val="clear" w:color="auto" w:fill="D2D2D2"/>
          </w:tcPr>
          <w:p>
            <w:pPr/>
          </w:p>
        </w:tc>
        <w:tc>
          <w:tcPr>
            <w:tcW w:w="1717" w:type="dxa"/>
            <w:gridSpan w:val="3"/>
            <w:vMerge/>
            <w:tcBorders>
              <w:left w:val="single" w:sz="4" w:space="0" w:color="000000"/>
              <w:bottom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67" w:right="6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2" w:type="dxa"/>
            <w:vMerge/>
            <w:tcBorders>
              <w:left w:val="single" w:sz="4" w:space="0" w:color="000000"/>
              <w:bottom w:val="nil" w:sz="6" w:space="0" w:color="auto"/>
              <w:right w:val="single" w:sz="4" w:space="0" w:color="FFFFFF"/>
            </w:tcBorders>
            <w:shd w:val="clear" w:color="auto" w:fill="D2D2D2"/>
          </w:tcPr>
          <w:p>
            <w:pPr/>
          </w:p>
        </w:tc>
        <w:tc>
          <w:tcPr>
            <w:tcW w:w="665"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54"/>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304" w:right="32"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7" w:type="dxa"/>
            <w:vMerge/>
            <w:tcBorders>
              <w:left w:val="single" w:sz="4" w:space="0" w:color="000000"/>
              <w:bottom w:val="nil" w:sz="6" w:space="0" w:color="auto"/>
              <w:right w:val="single" w:sz="4" w:space="0" w:color="FFFFFF"/>
            </w:tcBorders>
            <w:shd w:val="clear" w:color="auto" w:fill="D2D2D2"/>
          </w:tcPr>
          <w:p>
            <w:pPr/>
          </w:p>
        </w:tc>
        <w:tc>
          <w:tcPr>
            <w:tcW w:w="931"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54"/>
              <w:ind w:left="189" w:right="98"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88" w:hRule="exact"/>
        </w:trPr>
        <w:tc>
          <w:tcPr>
            <w:tcW w:w="1220" w:type="dxa"/>
            <w:vMerge/>
            <w:tcBorders>
              <w:left w:val="single" w:sz="4" w:space="0" w:color="000000"/>
              <w:bottom w:val="nil" w:sz="6" w:space="0" w:color="auto"/>
              <w:right w:val="single" w:sz="4" w:space="0" w:color="000000"/>
            </w:tcBorders>
            <w:shd w:val="clear" w:color="auto" w:fill="D2D2D2"/>
          </w:tcPr>
          <w:p>
            <w:pPr/>
          </w:p>
        </w:tc>
        <w:tc>
          <w:tcPr>
            <w:tcW w:w="5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11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7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94" w:right="98"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92" w:right="99"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1"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40"/>
              <w:ind w:left="2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5" w:type="dxa"/>
            <w:vMerge/>
            <w:tcBorders>
              <w:left w:val="single" w:sz="4" w:space="0" w:color="FFFFFF"/>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40"/>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vMerge/>
            <w:tcBorders>
              <w:left w:val="single" w:sz="4" w:space="0" w:color="FFFFFF"/>
              <w:right w:val="single" w:sz="4" w:space="0" w:color="000000"/>
            </w:tcBorders>
            <w:shd w:val="clear" w:color="auto" w:fill="D2D2D2"/>
          </w:tcPr>
          <w:p>
            <w:pPr/>
          </w:p>
        </w:tc>
      </w:tr>
      <w:tr>
        <w:trPr>
          <w:trHeight w:val="194" w:hRule="exact"/>
        </w:trPr>
        <w:tc>
          <w:tcPr>
            <w:tcW w:w="1220" w:type="dxa"/>
            <w:vMerge w:val="restart"/>
            <w:tcBorders>
              <w:top w:val="nil" w:sz="6" w:space="0" w:color="auto"/>
              <w:left w:val="single" w:sz="4" w:space="0" w:color="000000"/>
              <w:right w:val="single" w:sz="4" w:space="0" w:color="000000"/>
            </w:tcBorders>
            <w:shd w:val="clear" w:color="auto" w:fill="D2D2D2"/>
          </w:tcPr>
          <w:p>
            <w:pPr/>
          </w:p>
        </w:tc>
        <w:tc>
          <w:tcPr>
            <w:tcW w:w="593"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tcBorders>
              <w:left w:val="single" w:sz="4" w:space="0" w:color="000000"/>
              <w:bottom w:val="nil" w:sz="6" w:space="0" w:color="auto"/>
              <w:right w:val="single" w:sz="4" w:space="0" w:color="FFFFFF"/>
            </w:tcBorders>
            <w:shd w:val="clear" w:color="auto" w:fill="D2D2D2"/>
          </w:tcPr>
          <w:p>
            <w:pPr/>
          </w:p>
        </w:tc>
        <w:tc>
          <w:tcPr>
            <w:tcW w:w="665" w:type="dxa"/>
            <w:vMerge/>
            <w:tcBorders>
              <w:left w:val="single" w:sz="4" w:space="0" w:color="FFFFFF"/>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FFFFFF"/>
            </w:tcBorders>
            <w:shd w:val="clear" w:color="auto" w:fill="D2D2D2"/>
          </w:tcPr>
          <w:p>
            <w:pPr/>
          </w:p>
        </w:tc>
        <w:tc>
          <w:tcPr>
            <w:tcW w:w="931" w:type="dxa"/>
            <w:vMerge/>
            <w:tcBorders>
              <w:left w:val="single" w:sz="4" w:space="0" w:color="FFFFFF"/>
              <w:right w:val="single" w:sz="4" w:space="0" w:color="000000"/>
            </w:tcBorders>
            <w:shd w:val="clear" w:color="auto" w:fill="D2D2D2"/>
          </w:tcPr>
          <w:p>
            <w:pPr/>
          </w:p>
        </w:tc>
      </w:tr>
      <w:tr>
        <w:trPr>
          <w:trHeight w:val="156" w:hRule="exact"/>
        </w:trPr>
        <w:tc>
          <w:tcPr>
            <w:tcW w:w="1220" w:type="dxa"/>
            <w:vMerge/>
            <w:tcBorders>
              <w:left w:val="single" w:sz="4" w:space="0" w:color="000000"/>
              <w:right w:val="single" w:sz="4" w:space="0" w:color="000000"/>
            </w:tcBorders>
            <w:shd w:val="clear" w:color="auto" w:fill="D2D2D2"/>
          </w:tcPr>
          <w:p>
            <w:pPr/>
          </w:p>
        </w:tc>
        <w:tc>
          <w:tcPr>
            <w:tcW w:w="593" w:type="dxa"/>
            <w:vMerge w:val="restart"/>
            <w:tcBorders>
              <w:top w:val="nil" w:sz="6" w:space="0" w:color="auto"/>
              <w:left w:val="single" w:sz="4" w:space="0" w:color="000000"/>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FFFFFF"/>
            </w:tcBorders>
            <w:shd w:val="clear" w:color="auto" w:fill="D2D2D2"/>
          </w:tcPr>
          <w:p>
            <w:pPr/>
          </w:p>
        </w:tc>
        <w:tc>
          <w:tcPr>
            <w:tcW w:w="665" w:type="dxa"/>
            <w:vMerge/>
            <w:tcBorders>
              <w:left w:val="single" w:sz="4" w:space="0" w:color="FFFFFF"/>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FFFFFF"/>
            </w:tcBorders>
            <w:shd w:val="clear" w:color="auto" w:fill="D2D2D2"/>
          </w:tcPr>
          <w:p>
            <w:pPr/>
          </w:p>
        </w:tc>
        <w:tc>
          <w:tcPr>
            <w:tcW w:w="931" w:type="dxa"/>
            <w:vMerge/>
            <w:tcBorders>
              <w:left w:val="single" w:sz="4" w:space="0" w:color="FFFFFF"/>
              <w:bottom w:val="nil" w:sz="6" w:space="0" w:color="auto"/>
              <w:right w:val="single" w:sz="4" w:space="0" w:color="000000"/>
            </w:tcBorders>
            <w:shd w:val="clear" w:color="auto" w:fill="D2D2D2"/>
          </w:tcPr>
          <w:p>
            <w:pPr/>
          </w:p>
        </w:tc>
      </w:tr>
      <w:tr>
        <w:trPr>
          <w:trHeight w:val="206" w:hRule="exact"/>
        </w:trPr>
        <w:tc>
          <w:tcPr>
            <w:tcW w:w="1220" w:type="dxa"/>
            <w:vMerge/>
            <w:tcBorders>
              <w:left w:val="single" w:sz="4" w:space="0" w:color="000000"/>
              <w:bottom w:val="single" w:sz="4" w:space="0" w:color="000000"/>
              <w:right w:val="single" w:sz="4" w:space="0" w:color="000000"/>
            </w:tcBorders>
            <w:shd w:val="clear" w:color="auto" w:fill="D2D2D2"/>
          </w:tcPr>
          <w:p>
            <w:pPr/>
          </w:p>
        </w:tc>
        <w:tc>
          <w:tcPr>
            <w:tcW w:w="593"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71"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FFFFFF"/>
            </w:tcBorders>
            <w:shd w:val="clear" w:color="auto" w:fill="D2D2D2"/>
          </w:tcPr>
          <w:p>
            <w:pPr/>
          </w:p>
        </w:tc>
        <w:tc>
          <w:tcPr>
            <w:tcW w:w="665" w:type="dxa"/>
            <w:tcBorders>
              <w:top w:val="nil" w:sz="6" w:space="0" w:color="auto"/>
              <w:left w:val="single" w:sz="4" w:space="0" w:color="FFFFFF"/>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FFFFFF"/>
            </w:tcBorders>
            <w:shd w:val="clear" w:color="auto" w:fill="D2D2D2"/>
          </w:tcPr>
          <w:p>
            <w:pPr/>
          </w:p>
        </w:tc>
        <w:tc>
          <w:tcPr>
            <w:tcW w:w="931" w:type="dxa"/>
            <w:tcBorders>
              <w:top w:val="nil" w:sz="6" w:space="0" w:color="auto"/>
              <w:left w:val="single" w:sz="4" w:space="0" w:color="FFFFFF"/>
              <w:bottom w:val="single" w:sz="4" w:space="0" w:color="000000"/>
              <w:right w:val="single" w:sz="4" w:space="0" w:color="000000"/>
            </w:tcBorders>
            <w:shd w:val="clear" w:color="auto" w:fill="D2D2D2"/>
          </w:tcPr>
          <w:p>
            <w:pPr/>
          </w:p>
        </w:tc>
      </w:tr>
      <w:tr>
        <w:trPr>
          <w:trHeight w:val="161" w:hRule="exact"/>
        </w:trPr>
        <w:tc>
          <w:tcPr>
            <w:tcW w:w="122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3" w:type="dxa"/>
            <w:vMerge w:val="restart"/>
            <w:tcBorders>
              <w:top w:val="single" w:sz="4" w:space="0" w:color="000000"/>
              <w:left w:val="single" w:sz="9" w:space="0" w:color="D2D2D2"/>
              <w:right w:val="single" w:sz="4" w:space="0" w:color="000000"/>
            </w:tcBorders>
          </w:tcPr>
          <w:p>
            <w:pPr>
              <w:pStyle w:val="TableParagraph"/>
              <w:spacing w:line="240" w:lineRule="auto" w:before="91"/>
              <w:ind w:left="61" w:right="0"/>
              <w:jc w:val="left"/>
              <w:rPr>
                <w:rFonts w:ascii="Times New Roman" w:hAnsi="Times New Roman" w:cs="Times New Roman" w:eastAsia="Times New Roman" w:hint="default"/>
                <w:sz w:val="18"/>
                <w:szCs w:val="18"/>
              </w:rPr>
            </w:pPr>
            <w:r>
              <w:rPr>
                <w:rFonts w:ascii="Times New Roman"/>
                <w:sz w:val="18"/>
              </w:rPr>
              <w:t>261,03</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8,600.</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00</w:t>
            </w:r>
          </w:p>
        </w:tc>
        <w:tc>
          <w:tcPr>
            <w:tcW w:w="5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0.00</w:t>
            </w:r>
          </w:p>
        </w:tc>
        <w:tc>
          <w:tcPr>
            <w:tcW w:w="5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0.00</w:t>
            </w:r>
          </w:p>
        </w:tc>
        <w:tc>
          <w:tcPr>
            <w:tcW w:w="57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261,174</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,413.96</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0.00</w:t>
            </w:r>
          </w:p>
        </w:tc>
        <w:tc>
          <w:tcPr>
            <w:tcW w:w="782" w:type="dxa"/>
            <w:vMerge w:val="restart"/>
            <w:tcBorders>
              <w:top w:val="single" w:sz="4" w:space="0" w:color="000000"/>
              <w:left w:val="single" w:sz="4" w:space="0" w:color="000000"/>
              <w:right w:val="single" w:sz="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FFFFFF"/>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54,252,</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466.74</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221,106,7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36.21</w:t>
            </w:r>
          </w:p>
        </w:tc>
        <w:tc>
          <w:tcPr>
            <w:tcW w:w="797" w:type="dxa"/>
            <w:vMerge w:val="restart"/>
            <w:tcBorders>
              <w:top w:val="single" w:sz="4" w:space="0" w:color="000000"/>
              <w:left w:val="single" w:sz="4" w:space="0" w:color="000000"/>
              <w:right w:val="single" w:sz="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931" w:type="dxa"/>
            <w:vMerge w:val="restart"/>
            <w:tcBorders>
              <w:top w:val="single" w:sz="4" w:space="0" w:color="000000"/>
              <w:left w:val="single" w:sz="4" w:space="0" w:color="FFFFFF"/>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797,572,21</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6.91</w:t>
            </w:r>
          </w:p>
        </w:tc>
      </w:tr>
      <w:tr>
        <w:trPr>
          <w:trHeight w:val="706" w:hRule="exact"/>
        </w:trPr>
        <w:tc>
          <w:tcPr>
            <w:tcW w:w="12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FFFFFF"/>
            </w:tcBorders>
          </w:tcPr>
          <w:p>
            <w:pPr/>
          </w:p>
        </w:tc>
        <w:tc>
          <w:tcPr>
            <w:tcW w:w="665" w:type="dxa"/>
            <w:vMerge/>
            <w:tcBorders>
              <w:left w:val="single" w:sz="4" w:space="0" w:color="FFFFFF"/>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FFFFFF"/>
            </w:tcBorders>
          </w:tcPr>
          <w:p>
            <w:pPr/>
          </w:p>
        </w:tc>
        <w:tc>
          <w:tcPr>
            <w:tcW w:w="931" w:type="dxa"/>
            <w:vMerge/>
            <w:tcBorders>
              <w:left w:val="single" w:sz="4" w:space="0" w:color="FFFFFF"/>
              <w:right w:val="single" w:sz="4" w:space="0" w:color="000000"/>
            </w:tcBorders>
          </w:tcPr>
          <w:p>
            <w:pPr/>
          </w:p>
        </w:tc>
      </w:tr>
      <w:tr>
        <w:trPr>
          <w:trHeight w:val="161" w:hRule="exact"/>
        </w:trPr>
        <w:tc>
          <w:tcPr>
            <w:tcW w:w="1220" w:type="dxa"/>
            <w:tcBorders>
              <w:top w:val="nil" w:sz="6" w:space="0" w:color="auto"/>
              <w:left w:val="single" w:sz="4" w:space="0" w:color="000000"/>
              <w:bottom w:val="single" w:sz="4" w:space="0" w:color="000000"/>
              <w:right w:val="single" w:sz="4" w:space="0" w:color="000000"/>
            </w:tcBorders>
            <w:shd w:val="clear" w:color="auto" w:fill="D2D2D2"/>
          </w:tcPr>
          <w:p>
            <w:pPr/>
          </w:p>
        </w:tc>
        <w:tc>
          <w:tcPr>
            <w:tcW w:w="593"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FFFFFF"/>
            </w:tcBorders>
          </w:tcPr>
          <w:p>
            <w:pPr/>
          </w:p>
        </w:tc>
        <w:tc>
          <w:tcPr>
            <w:tcW w:w="665" w:type="dxa"/>
            <w:vMerge/>
            <w:tcBorders>
              <w:left w:val="single" w:sz="4" w:space="0" w:color="FFFFFF"/>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FFFFFF"/>
            </w:tcBorders>
          </w:tcPr>
          <w:p>
            <w:pPr/>
          </w:p>
        </w:tc>
        <w:tc>
          <w:tcPr>
            <w:tcW w:w="931" w:type="dxa"/>
            <w:vMerge/>
            <w:tcBorders>
              <w:left w:val="single" w:sz="4" w:space="0" w:color="FFFFFF"/>
              <w:bottom w:val="single" w:sz="4" w:space="0" w:color="000000"/>
              <w:right w:val="single" w:sz="4" w:space="0" w:color="000000"/>
            </w:tcBorders>
          </w:tcPr>
          <w:p>
            <w:pPr/>
          </w:p>
        </w:tc>
      </w:tr>
      <w:tr>
        <w:trPr>
          <w:trHeight w:val="713"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9" w:firstLine="360"/>
              <w:jc w:val="left"/>
              <w:rPr>
                <w:rFonts w:ascii="宋体" w:hAnsi="宋体" w:cs="宋体" w:eastAsia="宋体" w:hint="default"/>
                <w:sz w:val="18"/>
                <w:szCs w:val="18"/>
              </w:rPr>
            </w:pPr>
            <w:r>
              <w:rPr>
                <w:rFonts w:ascii="宋体" w:hAnsi="宋体" w:cs="宋体" w:eastAsia="宋体" w:hint="default"/>
                <w:spacing w:val="-17"/>
                <w:sz w:val="18"/>
                <w:szCs w:val="18"/>
              </w:rPr>
              <w:t>加：会计政</w:t>
            </w:r>
            <w:r>
              <w:rPr>
                <w:rFonts w:ascii="宋体" w:hAnsi="宋体" w:cs="宋体" w:eastAsia="宋体" w:hint="default"/>
                <w:sz w:val="18"/>
                <w:szCs w:val="18"/>
              </w:rPr>
              <w:t> 策变更</w:t>
            </w:r>
          </w:p>
        </w:tc>
        <w:tc>
          <w:tcPr>
            <w:tcW w:w="5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8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8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8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261,03</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8,600.</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261,174</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,413.96</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54,252,</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466.74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221,106,7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36.21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797,572,21</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6.91</w:t>
            </w: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3,670,</w:t>
            </w:r>
          </w:p>
          <w:p>
            <w:pPr>
              <w:pStyle w:val="TableParagraph"/>
              <w:spacing w:line="240" w:lineRule="auto" w:before="102"/>
              <w:ind w:left="67" w:right="0"/>
              <w:jc w:val="left"/>
              <w:rPr>
                <w:rFonts w:ascii="Times New Roman" w:hAnsi="Times New Roman" w:cs="Times New Roman" w:eastAsia="Times New Roman" w:hint="default"/>
                <w:sz w:val="18"/>
                <w:szCs w:val="18"/>
              </w:rPr>
            </w:pPr>
            <w:r>
              <w:rPr>
                <w:rFonts w:ascii="Times New Roman"/>
                <w:sz w:val="18"/>
              </w:rPr>
              <w:t>000.00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19,084,</w:t>
            </w:r>
          </w:p>
          <w:p>
            <w:pPr>
              <w:pStyle w:val="TableParagraph"/>
              <w:spacing w:line="240" w:lineRule="auto" w:before="102"/>
              <w:ind w:left="160"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22,754,0</w:t>
            </w:r>
          </w:p>
          <w:p>
            <w:pPr>
              <w:pStyle w:val="TableParagraph"/>
              <w:spacing w:line="240" w:lineRule="auto" w:before="102"/>
              <w:ind w:left="249" w:right="0"/>
              <w:jc w:val="left"/>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819,803</w:t>
            </w:r>
          </w:p>
          <w:p>
            <w:pPr>
              <w:pStyle w:val="TableParagraph"/>
              <w:spacing w:line="240" w:lineRule="auto" w:before="102"/>
              <w:ind w:left="407" w:right="0"/>
              <w:jc w:val="left"/>
              <w:rPr>
                <w:rFonts w:ascii="Times New Roman" w:hAnsi="Times New Roman" w:cs="Times New Roman" w:eastAsia="Times New Roman" w:hint="default"/>
                <w:sz w:val="18"/>
                <w:szCs w:val="18"/>
              </w:rPr>
            </w:pPr>
            <w:r>
              <w:rPr>
                <w:rFonts w:ascii="Times New Roman"/>
                <w:sz w:val="18"/>
              </w:rPr>
              <w:t>.18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2,157,456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2,977,259.7</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9</w:t>
            </w: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8,198,031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8,198,031.7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0" w:right="0"/>
              <w:jc w:val="left"/>
              <w:rPr>
                <w:rFonts w:ascii="Times New Roman" w:hAnsi="Times New Roman" w:cs="Times New Roman" w:eastAsia="Times New Roman" w:hint="default"/>
                <w:sz w:val="18"/>
                <w:szCs w:val="18"/>
              </w:rPr>
            </w:pPr>
            <w:r>
              <w:rPr>
                <w:rFonts w:ascii="Times New Roman"/>
                <w:sz w:val="18"/>
              </w:rPr>
              <w:t>3,670,</w:t>
            </w:r>
          </w:p>
          <w:p>
            <w:pPr>
              <w:pStyle w:val="TableParagraph"/>
              <w:spacing w:line="240" w:lineRule="auto" w:before="102"/>
              <w:ind w:left="67" w:right="0"/>
              <w:jc w:val="left"/>
              <w:rPr>
                <w:rFonts w:ascii="Times New Roman" w:hAnsi="Times New Roman" w:cs="Times New Roman" w:eastAsia="Times New Roman" w:hint="default"/>
                <w:sz w:val="18"/>
                <w:szCs w:val="18"/>
              </w:rPr>
            </w:pPr>
            <w:r>
              <w:rPr>
                <w:rFonts w:ascii="Times New Roman"/>
                <w:sz w:val="18"/>
              </w:rPr>
              <w:t>000.00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5" w:right="0"/>
              <w:jc w:val="left"/>
              <w:rPr>
                <w:rFonts w:ascii="Times New Roman" w:hAnsi="Times New Roman" w:cs="Times New Roman" w:eastAsia="Times New Roman" w:hint="default"/>
                <w:sz w:val="18"/>
                <w:szCs w:val="18"/>
              </w:rPr>
            </w:pPr>
            <w:r>
              <w:rPr>
                <w:rFonts w:ascii="Times New Roman"/>
                <w:sz w:val="18"/>
              </w:rPr>
              <w:t>19,084,</w:t>
            </w:r>
          </w:p>
          <w:p>
            <w:pPr>
              <w:pStyle w:val="TableParagraph"/>
              <w:spacing w:line="240" w:lineRule="auto" w:before="102"/>
              <w:ind w:left="160"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22,754,0</w:t>
            </w:r>
          </w:p>
          <w:p>
            <w:pPr>
              <w:pStyle w:val="TableParagraph"/>
              <w:spacing w:line="240" w:lineRule="auto" w:before="102"/>
              <w:ind w:left="249" w:right="0"/>
              <w:jc w:val="left"/>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3,670,</w:t>
            </w:r>
          </w:p>
          <w:p>
            <w:pPr>
              <w:pStyle w:val="TableParagraph"/>
              <w:spacing w:line="240" w:lineRule="auto" w:before="105"/>
              <w:ind w:left="67" w:right="0"/>
              <w:jc w:val="left"/>
              <w:rPr>
                <w:rFonts w:ascii="Times New Roman" w:hAnsi="Times New Roman" w:cs="Times New Roman" w:eastAsia="Times New Roman" w:hint="default"/>
                <w:sz w:val="18"/>
                <w:szCs w:val="18"/>
              </w:rPr>
            </w:pPr>
            <w:r>
              <w:rPr>
                <w:rFonts w:ascii="Times New Roman"/>
                <w:sz w:val="18"/>
              </w:rPr>
              <w:t>000.00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19,084,</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22,754,0</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5"/>
                <w:sz w:val="18"/>
                <w:szCs w:val="18"/>
              </w:rPr>
              <w:t>）</w:t>
            </w:r>
            <w:r>
              <w:rPr>
                <w:rFonts w:ascii="宋体" w:hAnsi="宋体" w:cs="宋体" w:eastAsia="宋体" w:hint="default"/>
                <w:sz w:val="18"/>
                <w:szCs w:val="18"/>
              </w:rPr>
              <w:t>利润分配</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819,803</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-6,040,57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-5,220,772.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r>
      <w:tr>
        <w:trPr>
          <w:trHeight w:val="716"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 w:right="0"/>
              <w:jc w:val="left"/>
              <w:rPr>
                <w:rFonts w:ascii="Times New Roman" w:hAnsi="Times New Roman" w:cs="Times New Roman" w:eastAsia="Times New Roman" w:hint="default"/>
                <w:sz w:val="18"/>
                <w:szCs w:val="18"/>
              </w:rPr>
            </w:pPr>
            <w:r>
              <w:rPr>
                <w:rFonts w:ascii="Times New Roman"/>
                <w:sz w:val="18"/>
              </w:rPr>
              <w:t>819,803</w:t>
            </w:r>
          </w:p>
          <w:p>
            <w:pPr>
              <w:pStyle w:val="TableParagraph"/>
              <w:spacing w:line="240" w:lineRule="auto" w:before="103"/>
              <w:ind w:left="407" w:right="0"/>
              <w:jc w:val="left"/>
              <w:rPr>
                <w:rFonts w:ascii="Times New Roman" w:hAnsi="Times New Roman" w:cs="Times New Roman" w:eastAsia="Times New Roman" w:hint="default"/>
                <w:sz w:val="18"/>
                <w:szCs w:val="18"/>
              </w:rPr>
            </w:pPr>
            <w:r>
              <w:rPr>
                <w:rFonts w:ascii="Times New Roman"/>
                <w:sz w:val="18"/>
              </w:rPr>
              <w:t>.18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-819,803.</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7"/>
              <w:jc w:val="left"/>
              <w:rPr>
                <w:rFonts w:ascii="宋体" w:hAnsi="宋体" w:cs="宋体" w:eastAsia="宋体" w:hint="default"/>
                <w:sz w:val="18"/>
                <w:szCs w:val="18"/>
              </w:rPr>
            </w:pP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-5,220,77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-5,220,772.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footerReference w:type="default" r:id="rId31"/>
          <w:pgSz w:w="11910" w:h="16840"/>
          <w:pgMar w:footer="980" w:header="877" w:top="1060" w:bottom="1160" w:left="980" w:right="0"/>
          <w:pgNumType w:start="1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5"/>
                <w:sz w:val="18"/>
                <w:szCs w:val="18"/>
              </w:rPr>
              <w:t>）</w:t>
            </w:r>
            <w:r>
              <w:rPr>
                <w:rFonts w:ascii="宋体" w:hAnsi="宋体" w:cs="宋体" w:eastAsia="宋体" w:hint="default"/>
                <w:sz w:val="18"/>
                <w:szCs w:val="18"/>
              </w:rPr>
              <w:t>专项储备</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264,70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8,600.</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280,258</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,413.96</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22,754,0</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55,072,</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269.92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223,264,1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92.82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800,549,47</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6.70</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996"/>
        <w:jc w:val="left"/>
        <w:rPr>
          <w:b w:val="0"/>
          <w:bCs w:val="0"/>
        </w:rPr>
      </w:pPr>
      <w:r>
        <w:rPr/>
        <w:t>三、公司基本情况</w:t>
      </w:r>
      <w:r>
        <w:rPr>
          <w:b w:val="0"/>
          <w:bCs w:val="0"/>
        </w:rPr>
      </w:r>
    </w:p>
    <w:p>
      <w:pPr>
        <w:pStyle w:val="BodyText"/>
        <w:spacing w:line="550" w:lineRule="atLeast" w:before="52"/>
        <w:ind w:left="592" w:right="996" w:firstLine="2"/>
        <w:jc w:val="left"/>
      </w:pPr>
      <w:r>
        <w:rPr>
          <w:rFonts w:ascii="宋体" w:hAnsi="宋体" w:cs="宋体" w:eastAsia="宋体" w:hint="default"/>
          <w:b/>
          <w:bCs/>
        </w:rPr>
        <w:t>（一）企业概况</w:t>
      </w:r>
      <w:r>
        <w:rPr>
          <w:rFonts w:ascii="宋体" w:hAnsi="宋体" w:cs="宋体" w:eastAsia="宋体" w:hint="default"/>
          <w:b/>
          <w:bCs/>
          <w:w w:val="99"/>
        </w:rPr>
        <w:t> </w:t>
      </w:r>
      <w:r>
        <w:rPr>
          <w:spacing w:val="-2"/>
        </w:rPr>
        <w:t>深圳中青宝互动网络股份有限公司（以下简称本公司、公司）原名深圳市中青宝网网络科技股份</w:t>
      </w:r>
    </w:p>
    <w:p>
      <w:pPr>
        <w:pStyle w:val="BodyText"/>
        <w:spacing w:line="249" w:lineRule="auto" w:before="24"/>
        <w:ind w:right="996"/>
        <w:jc w:val="left"/>
      </w:pPr>
      <w:r>
        <w:rPr/>
        <w:t>有限公司，系由深圳市宝德网络技术有限公司整体变更设立。</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日，深圳市宝德网络技术</w:t>
      </w:r>
      <w:r>
        <w:rPr>
          <w:spacing w:val="-45"/>
        </w:rPr>
        <w:t> </w:t>
      </w:r>
      <w:r>
        <w:rPr>
          <w:spacing w:val="-45"/>
        </w:rPr>
      </w:r>
      <w:r>
        <w:rPr/>
        <w:t>有限公司股东会通过关于公司股份制改制的决议：同意以经审计的净资产折股方式整体变更为股份有</w:t>
      </w:r>
      <w:r>
        <w:rPr>
          <w:w w:val="100"/>
        </w:rPr>
        <w:t> </w:t>
      </w:r>
      <w:r>
        <w:rPr/>
        <w:t>限公司。具体方案为：截至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29</w:t>
      </w:r>
      <w:r>
        <w:rPr/>
        <w:t>日公司经深圳市鹏城会计事务所有限公司审计（深鹏所审字</w:t>
      </w:r>
      <w:r>
        <w:rPr>
          <w:spacing w:val="-45"/>
        </w:rPr>
        <w:t> </w:t>
      </w:r>
      <w:r>
        <w:rPr>
          <w:spacing w:val="-45"/>
        </w:rPr>
      </w:r>
      <w:r>
        <w:rPr>
          <w:rFonts w:ascii="Times New Roman" w:hAnsi="Times New Roman" w:cs="Times New Roman" w:eastAsia="Times New Roman" w:hint="default"/>
          <w:spacing w:val="-2"/>
        </w:rPr>
        <w:t>[2008]565</w:t>
      </w:r>
      <w:r>
        <w:rPr>
          <w:spacing w:val="-2"/>
        </w:rPr>
        <w:t>号《审计报告》）的净资产为人民币</w:t>
      </w:r>
      <w:r>
        <w:rPr>
          <w:rFonts w:ascii="Times New Roman" w:hAnsi="Times New Roman" w:cs="Times New Roman" w:eastAsia="Times New Roman" w:hint="default"/>
          <w:spacing w:val="-2"/>
        </w:rPr>
        <w:t>113,045,163.72</w:t>
      </w:r>
      <w:r>
        <w:rPr>
          <w:spacing w:val="-2"/>
        </w:rPr>
        <w:t>元，将其中的人民币</w:t>
      </w:r>
      <w:r>
        <w:rPr>
          <w:rFonts w:ascii="Times New Roman" w:hAnsi="Times New Roman" w:cs="Times New Roman" w:eastAsia="Times New Roman" w:hint="default"/>
          <w:spacing w:val="-2"/>
        </w:rPr>
        <w:t>75,000,000.00</w:t>
      </w:r>
      <w:r>
        <w:rPr>
          <w:spacing w:val="-2"/>
        </w:rPr>
        <w:t>元按</w:t>
      </w:r>
      <w:r>
        <w:rPr>
          <w:rFonts w:ascii="Times New Roman" w:hAnsi="Times New Roman" w:cs="Times New Roman" w:eastAsia="Times New Roman" w:hint="default"/>
          <w:spacing w:val="-2"/>
        </w:rPr>
        <w:t>1</w:t>
      </w:r>
      <w:r>
        <w:rPr>
          <w:spacing w:val="-2"/>
        </w:rPr>
        <w:t>：</w:t>
      </w:r>
      <w:r>
        <w:rPr>
          <w:spacing w:val="-70"/>
        </w:rPr>
        <w:t> </w:t>
      </w:r>
      <w:r>
        <w:rPr>
          <w:rFonts w:ascii="Times New Roman" w:hAnsi="Times New Roman" w:cs="Times New Roman" w:eastAsia="Times New Roman" w:hint="default"/>
        </w:rPr>
        <w:t>1</w:t>
      </w:r>
      <w:r>
        <w:rPr/>
        <w:t>的比例折为</w:t>
      </w:r>
      <w:r>
        <w:rPr>
          <w:rFonts w:ascii="Times New Roman" w:hAnsi="Times New Roman" w:cs="Times New Roman" w:eastAsia="Times New Roman" w:hint="default"/>
        </w:rPr>
        <w:t>75,000,000</w:t>
      </w:r>
      <w:r>
        <w:rPr/>
        <w:t>股，每股面值人民币</w:t>
      </w:r>
      <w:r>
        <w:rPr>
          <w:rFonts w:ascii="Times New Roman" w:hAnsi="Times New Roman" w:cs="Times New Roman" w:eastAsia="Times New Roman" w:hint="default"/>
        </w:rPr>
        <w:t>1.00</w:t>
      </w:r>
      <w:r>
        <w:rPr/>
        <w:t>元，其余人民币</w:t>
      </w:r>
      <w:r>
        <w:rPr>
          <w:rFonts w:ascii="Times New Roman" w:hAnsi="Times New Roman" w:cs="Times New Roman" w:eastAsia="Times New Roman" w:hint="default"/>
        </w:rPr>
        <w:t>38,045,163.72</w:t>
      </w:r>
      <w:r>
        <w:rPr/>
        <w:t>元转入资本公积，公司</w:t>
      </w:r>
      <w:r>
        <w:rPr>
          <w:spacing w:val="-49"/>
        </w:rPr>
        <w:t> </w:t>
      </w:r>
      <w:r>
        <w:rPr>
          <w:spacing w:val="-49"/>
        </w:rPr>
      </w:r>
      <w:r>
        <w:rPr/>
        <w:t>全体股东以其所持公司股权所对应的经审计的净资产作为出资，认购本公司的全部股份，股权比例保</w:t>
      </w:r>
      <w:r>
        <w:rPr>
          <w:w w:val="100"/>
        </w:rPr>
        <w:t> </w:t>
      </w:r>
      <w:r>
        <w:rPr/>
        <w:t>持不变。</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日深圳市工商行政管理局核准了股份公司设立登记，并颁发了统一社会信用代</w:t>
      </w:r>
      <w:r>
        <w:rPr>
          <w:spacing w:val="-46"/>
        </w:rPr>
        <w:t> </w:t>
      </w:r>
      <w:r>
        <w:rPr>
          <w:spacing w:val="-46"/>
        </w:rPr>
      </w:r>
      <w:r>
        <w:rPr/>
        <w:t>码为</w:t>
      </w:r>
      <w:r>
        <w:rPr>
          <w:rFonts w:ascii="Times New Roman" w:hAnsi="Times New Roman" w:cs="Times New Roman" w:eastAsia="Times New Roman" w:hint="default"/>
        </w:rPr>
        <w:t>914403007525245953</w:t>
      </w:r>
      <w:r>
        <w:rPr/>
        <w:t>的《企业法人营业执照》。</w:t>
      </w:r>
    </w:p>
    <w:p>
      <w:pPr>
        <w:pStyle w:val="BodyText"/>
        <w:spacing w:line="552" w:lineRule="exact" w:before="53"/>
        <w:ind w:left="592" w:right="996"/>
        <w:jc w:val="left"/>
      </w:pPr>
      <w:r>
        <w:rPr/>
        <w:t>本公司于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11</w:t>
      </w:r>
      <w:r>
        <w:rPr/>
        <w:t>日在深圳证劵交易所创业板上市，股票代码</w:t>
      </w:r>
      <w:r>
        <w:rPr>
          <w:rFonts w:ascii="Times New Roman" w:hAnsi="Times New Roman" w:cs="Times New Roman" w:eastAsia="Times New Roman" w:hint="default"/>
        </w:rPr>
        <w:t>300052</w:t>
      </w:r>
      <w:r>
        <w:rPr/>
        <w:t>。</w:t>
      </w:r>
      <w:r>
        <w:rPr>
          <w:w w:val="100"/>
        </w:rPr>
        <w:t> </w:t>
      </w: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日，本公司累计股本总数</w:t>
      </w:r>
      <w:r>
        <w:rPr>
          <w:rFonts w:ascii="Times New Roman" w:hAnsi="Times New Roman" w:cs="Times New Roman" w:eastAsia="Times New Roman" w:hint="default"/>
        </w:rPr>
        <w:t>263,269,300.00</w:t>
      </w:r>
      <w:r>
        <w:rPr/>
        <w:t>股，注册资本为</w:t>
      </w:r>
      <w:r>
        <w:rPr>
          <w:rFonts w:ascii="Times New Roman" w:hAnsi="Times New Roman" w:cs="Times New Roman" w:eastAsia="Times New Roman" w:hint="default"/>
        </w:rPr>
        <w:t>263,269,300.00</w:t>
      </w:r>
      <w:r>
        <w:rPr/>
        <w:t>元，股</w:t>
      </w:r>
    </w:p>
    <w:p>
      <w:pPr>
        <w:pStyle w:val="BodyText"/>
        <w:spacing w:line="233" w:lineRule="exact"/>
        <w:ind w:right="996"/>
        <w:jc w:val="left"/>
      </w:pPr>
      <w:r>
        <w:rPr/>
        <w:t>本及股权结构情况如下：</w:t>
      </w:r>
    </w:p>
    <w:p>
      <w:pPr>
        <w:spacing w:line="240" w:lineRule="auto" w:before="11"/>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3721"/>
        <w:gridCol w:w="2247"/>
        <w:gridCol w:w="2557"/>
      </w:tblGrid>
      <w:tr>
        <w:trPr>
          <w:trHeight w:val="343" w:hRule="exact"/>
        </w:trPr>
        <w:tc>
          <w:tcPr>
            <w:tcW w:w="3721"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17" w:right="0"/>
              <w:jc w:val="left"/>
              <w:rPr>
                <w:rFonts w:ascii="宋体" w:hAnsi="宋体" w:cs="宋体" w:eastAsia="宋体" w:hint="default"/>
                <w:sz w:val="20"/>
                <w:szCs w:val="20"/>
              </w:rPr>
            </w:pPr>
            <w:r>
              <w:rPr>
                <w:rFonts w:ascii="宋体" w:hAnsi="宋体" w:cs="宋体" w:eastAsia="宋体" w:hint="default"/>
                <w:b/>
                <w:bCs/>
                <w:sz w:val="20"/>
                <w:szCs w:val="20"/>
              </w:rPr>
              <w:t>股份数量（股）</w:t>
            </w:r>
            <w:r>
              <w:rPr>
                <w:rFonts w:ascii="宋体" w:hAnsi="宋体" w:cs="宋体" w:eastAsia="宋体" w:hint="default"/>
                <w:sz w:val="20"/>
                <w:szCs w:val="20"/>
              </w:rPr>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71" w:right="0"/>
              <w:jc w:val="left"/>
              <w:rPr>
                <w:rFonts w:ascii="宋体" w:hAnsi="宋体" w:cs="宋体" w:eastAsia="宋体" w:hint="default"/>
                <w:sz w:val="20"/>
                <w:szCs w:val="20"/>
              </w:rPr>
            </w:pPr>
            <w:r>
              <w:rPr>
                <w:rFonts w:ascii="宋体" w:hAnsi="宋体" w:cs="宋体" w:eastAsia="宋体" w:hint="default"/>
                <w:b/>
                <w:bCs/>
                <w:sz w:val="20"/>
                <w:szCs w:val="20"/>
              </w:rPr>
              <w:t>持股比例（</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r>
      <w:tr>
        <w:trPr>
          <w:trHeight w:val="341"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b/>
                <w:bCs/>
                <w:sz w:val="20"/>
                <w:szCs w:val="20"/>
              </w:rPr>
              <w:t>一、有限售条件股份</w:t>
            </w:r>
            <w:r>
              <w:rPr>
                <w:rFonts w:ascii="宋体" w:hAnsi="宋体" w:cs="宋体" w:eastAsia="宋体" w:hint="default"/>
                <w:sz w:val="20"/>
                <w:szCs w:val="20"/>
              </w:rPr>
            </w:r>
          </w:p>
        </w:tc>
        <w:tc>
          <w:tcPr>
            <w:tcW w:w="2247" w:type="dxa"/>
            <w:tcBorders>
              <w:top w:val="single" w:sz="4" w:space="0" w:color="000000"/>
              <w:left w:val="single" w:sz="4" w:space="0" w:color="000000"/>
              <w:bottom w:val="single" w:sz="4" w:space="0" w:color="000000"/>
              <w:right w:val="single" w:sz="4" w:space="0" w:color="000000"/>
            </w:tcBorders>
          </w:tcPr>
          <w:p>
            <w:pPr/>
          </w:p>
        </w:tc>
        <w:tc>
          <w:tcPr>
            <w:tcW w:w="2557"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、高管锁定股</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997,443.00</w:t>
            </w:r>
            <w:r>
              <w:rPr>
                <w:rFonts w:ascii="Times New Roman"/>
                <w:sz w:val="20"/>
              </w:rPr>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spacing w:val="-1"/>
                <w:sz w:val="20"/>
              </w:rPr>
              <w:t>0.38</w:t>
            </w:r>
          </w:p>
        </w:tc>
      </w:tr>
      <w:tr>
        <w:trPr>
          <w:trHeight w:val="341"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、股权激励限售股</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2,230,700.00</w:t>
            </w:r>
            <w:r>
              <w:rPr>
                <w:rFonts w:ascii="Times New Roman"/>
                <w:sz w:val="20"/>
              </w:rPr>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
              <w:jc w:val="right"/>
              <w:rPr>
                <w:rFonts w:ascii="Times New Roman" w:hAnsi="Times New Roman" w:cs="Times New Roman" w:eastAsia="Times New Roman" w:hint="default"/>
                <w:sz w:val="20"/>
                <w:szCs w:val="20"/>
              </w:rPr>
            </w:pPr>
            <w:r>
              <w:rPr>
                <w:rFonts w:ascii="Times New Roman"/>
                <w:spacing w:val="-1"/>
                <w:sz w:val="20"/>
              </w:rPr>
              <w:t>0.85</w:t>
            </w:r>
          </w:p>
        </w:tc>
      </w:tr>
      <w:tr>
        <w:trPr>
          <w:trHeight w:val="344"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宋体" w:hAnsi="宋体" w:cs="宋体" w:eastAsia="宋体" w:hint="default"/>
                <w:b/>
                <w:bCs/>
                <w:sz w:val="20"/>
                <w:szCs w:val="20"/>
              </w:rPr>
              <w:t>小计</w:t>
            </w:r>
            <w:r>
              <w:rPr>
                <w:rFonts w:ascii="宋体" w:hAnsi="宋体" w:cs="宋体" w:eastAsia="宋体" w:hint="default"/>
                <w:sz w:val="20"/>
                <w:szCs w:val="20"/>
              </w:rPr>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right"/>
              <w:rPr>
                <w:rFonts w:ascii="Times New Roman" w:hAnsi="Times New Roman" w:cs="Times New Roman" w:eastAsia="Times New Roman" w:hint="default"/>
                <w:sz w:val="20"/>
                <w:szCs w:val="20"/>
              </w:rPr>
            </w:pPr>
            <w:r>
              <w:rPr>
                <w:rFonts w:ascii="Times New Roman"/>
                <w:b/>
                <w:w w:val="95"/>
                <w:sz w:val="20"/>
              </w:rPr>
              <w:t>3,228,143.00</w:t>
            </w:r>
            <w:r>
              <w:rPr>
                <w:rFonts w:ascii="Times New Roman"/>
                <w:sz w:val="20"/>
              </w:rPr>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20"/>
                <w:szCs w:val="20"/>
              </w:rPr>
            </w:pPr>
            <w:r>
              <w:rPr>
                <w:rFonts w:ascii="Times New Roman"/>
                <w:b/>
                <w:w w:val="95"/>
                <w:sz w:val="20"/>
              </w:rPr>
              <w:t>1.23</w:t>
            </w:r>
            <w:r>
              <w:rPr>
                <w:rFonts w:ascii="Times New Roman"/>
                <w:sz w:val="20"/>
              </w:rPr>
            </w:r>
          </w:p>
        </w:tc>
      </w:tr>
      <w:tr>
        <w:trPr>
          <w:trHeight w:val="341"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b/>
                <w:bCs/>
                <w:sz w:val="20"/>
                <w:szCs w:val="20"/>
              </w:rPr>
              <w:t>二、无限售条件股份</w:t>
            </w:r>
            <w:r>
              <w:rPr>
                <w:rFonts w:ascii="宋体" w:hAnsi="宋体" w:cs="宋体" w:eastAsia="宋体" w:hint="default"/>
                <w:sz w:val="20"/>
                <w:szCs w:val="20"/>
              </w:rPr>
            </w:r>
          </w:p>
        </w:tc>
        <w:tc>
          <w:tcPr>
            <w:tcW w:w="2247" w:type="dxa"/>
            <w:tcBorders>
              <w:top w:val="single" w:sz="4" w:space="0" w:color="000000"/>
              <w:left w:val="single" w:sz="4" w:space="0" w:color="000000"/>
              <w:bottom w:val="single" w:sz="4" w:space="0" w:color="000000"/>
              <w:right w:val="single" w:sz="4" w:space="0" w:color="000000"/>
            </w:tcBorders>
          </w:tcPr>
          <w:p>
            <w:pPr/>
          </w:p>
        </w:tc>
        <w:tc>
          <w:tcPr>
            <w:tcW w:w="2557"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、人民币普通股</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260,041,157.00</w:t>
            </w:r>
            <w:r>
              <w:rPr>
                <w:rFonts w:ascii="Times New Roman"/>
                <w:sz w:val="20"/>
              </w:rPr>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w w:val="95"/>
                <w:sz w:val="20"/>
              </w:rPr>
              <w:t>98.77</w:t>
            </w:r>
            <w:r>
              <w:rPr>
                <w:rFonts w:ascii="Times New Roman"/>
                <w:sz w:val="20"/>
              </w:rPr>
            </w:r>
          </w:p>
        </w:tc>
      </w:tr>
      <w:tr>
        <w:trPr>
          <w:trHeight w:val="341"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b/>
                <w:bCs/>
                <w:sz w:val="20"/>
                <w:szCs w:val="20"/>
              </w:rPr>
              <w:t>小计</w:t>
            </w:r>
            <w:r>
              <w:rPr>
                <w:rFonts w:ascii="宋体" w:hAnsi="宋体" w:cs="宋体" w:eastAsia="宋体" w:hint="default"/>
                <w:sz w:val="20"/>
                <w:szCs w:val="20"/>
              </w:rPr>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b/>
                <w:w w:val="95"/>
                <w:sz w:val="20"/>
              </w:rPr>
              <w:t>260,041,157.00</w:t>
            </w:r>
            <w:r>
              <w:rPr>
                <w:rFonts w:ascii="Times New Roman"/>
                <w:sz w:val="20"/>
              </w:rPr>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b/>
                <w:spacing w:val="-1"/>
                <w:sz w:val="20"/>
              </w:rPr>
              <w:t>98.77</w:t>
            </w:r>
            <w:r>
              <w:rPr>
                <w:rFonts w:ascii="Times New Roman"/>
                <w:spacing w:val="-1"/>
                <w:sz w:val="20"/>
              </w:rPr>
            </w:r>
          </w:p>
        </w:tc>
      </w:tr>
      <w:tr>
        <w:trPr>
          <w:trHeight w:val="343"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宋体" w:hAnsi="宋体" w:cs="宋体" w:eastAsia="宋体" w:hint="default"/>
                <w:b/>
                <w:bCs/>
                <w:sz w:val="20"/>
                <w:szCs w:val="20"/>
              </w:rPr>
              <w:t>三、股份总额</w:t>
            </w:r>
            <w:r>
              <w:rPr>
                <w:rFonts w:ascii="宋体" w:hAnsi="宋体" w:cs="宋体" w:eastAsia="宋体" w:hint="default"/>
                <w:sz w:val="20"/>
                <w:szCs w:val="20"/>
              </w:rPr>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b/>
                <w:w w:val="95"/>
                <w:sz w:val="20"/>
              </w:rPr>
              <w:t>263,269,300.00</w:t>
            </w:r>
            <w:r>
              <w:rPr>
                <w:rFonts w:ascii="Times New Roman"/>
                <w:sz w:val="20"/>
              </w:rPr>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
              <w:jc w:val="right"/>
              <w:rPr>
                <w:rFonts w:ascii="Times New Roman" w:hAnsi="Times New Roman" w:cs="Times New Roman" w:eastAsia="Times New Roman" w:hint="default"/>
                <w:sz w:val="20"/>
                <w:szCs w:val="20"/>
              </w:rPr>
            </w:pPr>
            <w:r>
              <w:rPr>
                <w:rFonts w:ascii="Times New Roman"/>
                <w:b/>
                <w:w w:val="95"/>
                <w:sz w:val="20"/>
              </w:rPr>
              <w:t>100.00</w:t>
            </w:r>
            <w:r>
              <w:rPr>
                <w:rFonts w:ascii="Times New Roman"/>
                <w:sz w:val="20"/>
              </w:rPr>
            </w:r>
          </w:p>
        </w:tc>
      </w:tr>
    </w:tbl>
    <w:p>
      <w:pPr>
        <w:spacing w:line="240" w:lineRule="auto" w:before="2"/>
        <w:rPr>
          <w:rFonts w:ascii="宋体" w:hAnsi="宋体" w:cs="宋体" w:eastAsia="宋体" w:hint="default"/>
          <w:sz w:val="14"/>
          <w:szCs w:val="14"/>
        </w:rPr>
      </w:pPr>
    </w:p>
    <w:p>
      <w:pPr>
        <w:pStyle w:val="BodyText"/>
        <w:spacing w:line="240" w:lineRule="auto" w:before="32"/>
        <w:ind w:left="592" w:right="996"/>
        <w:jc w:val="left"/>
      </w:pPr>
      <w:r>
        <w:rPr>
          <w:spacing w:val="2"/>
        </w:rPr>
        <w:t>公司根据第四届董事会第二十九次会议《关于回购注销部分限制性股票的议案》，回购注销了</w:t>
      </w:r>
    </w:p>
    <w:p>
      <w:pPr>
        <w:pStyle w:val="BodyText"/>
        <w:spacing w:line="240" w:lineRule="auto" w:before="24"/>
        <w:ind w:right="996"/>
        <w:jc w:val="left"/>
      </w:pPr>
      <w:r>
        <w:rPr>
          <w:rFonts w:ascii="Times New Roman" w:hAnsi="Times New Roman" w:cs="Times New Roman" w:eastAsia="Times New Roman" w:hint="default"/>
        </w:rPr>
        <w:t>402,500 </w:t>
      </w:r>
      <w:r>
        <w:rPr>
          <w:rFonts w:ascii="Times New Roman" w:hAnsi="Times New Roman" w:cs="Times New Roman" w:eastAsia="Times New Roman" w:hint="default"/>
          <w:spacing w:val="15"/>
        </w:rPr>
        <w:t> </w:t>
      </w:r>
      <w:r>
        <w:rPr/>
        <w:t>股限制性股票，尚未在中国证券登记结算有限公司办理回购注销手续，导致本公司</w:t>
      </w:r>
      <w:r>
        <w:rPr>
          <w:rFonts w:ascii="Times New Roman" w:hAnsi="Times New Roman" w:cs="Times New Roman" w:eastAsia="Times New Roman" w:hint="default"/>
        </w:rPr>
        <w:t>2019</w:t>
      </w:r>
      <w:r>
        <w:rPr/>
        <w:t>年的</w:t>
      </w:r>
    </w:p>
    <w:p>
      <w:pPr>
        <w:spacing w:after="0" w:line="240" w:lineRule="auto"/>
        <w:jc w:val="left"/>
        <w:sectPr>
          <w:pgSz w:w="11910" w:h="16840"/>
          <w:pgMar w:header="877" w:footer="980" w:top="1060" w:bottom="1160" w:left="980" w:right="0"/>
        </w:sectPr>
      </w:pPr>
    </w:p>
    <w:p>
      <w:pPr>
        <w:spacing w:line="240" w:lineRule="auto" w:before="4"/>
        <w:rPr>
          <w:rFonts w:ascii="宋体" w:hAnsi="宋体" w:cs="宋体" w:eastAsia="宋体" w:hint="default"/>
          <w:sz w:val="24"/>
          <w:szCs w:val="24"/>
        </w:rPr>
      </w:pPr>
    </w:p>
    <w:p>
      <w:pPr>
        <w:pStyle w:val="BodyText"/>
        <w:spacing w:line="247" w:lineRule="auto" w:before="32"/>
        <w:ind w:right="996"/>
        <w:jc w:val="left"/>
      </w:pP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日账面记录的股份总数与在中国证券登记结算有限公司所登记的总股本</w:t>
      </w:r>
      <w:r>
        <w:rPr>
          <w:rFonts w:ascii="Times New Roman" w:hAnsi="Times New Roman" w:cs="Times New Roman" w:eastAsia="Times New Roman" w:hint="default"/>
        </w:rPr>
        <w:t>263,671,800.00</w:t>
      </w:r>
      <w:r>
        <w:rPr/>
        <w:t>股股数</w:t>
      </w:r>
      <w:r>
        <w:rPr>
          <w:spacing w:val="6"/>
        </w:rPr>
        <w:t> </w:t>
      </w:r>
      <w:r>
        <w:rPr>
          <w:spacing w:val="6"/>
        </w:rPr>
      </w:r>
      <w:r>
        <w:rPr/>
        <w:t>不一致。</w:t>
      </w:r>
    </w:p>
    <w:p>
      <w:pPr>
        <w:spacing w:line="240" w:lineRule="auto" w:before="9"/>
        <w:rPr>
          <w:rFonts w:ascii="宋体" w:hAnsi="宋体" w:cs="宋体" w:eastAsia="宋体" w:hint="default"/>
          <w:sz w:val="19"/>
          <w:szCs w:val="19"/>
        </w:rPr>
      </w:pPr>
    </w:p>
    <w:p>
      <w:pPr>
        <w:pStyle w:val="BodyText"/>
        <w:spacing w:line="240" w:lineRule="auto"/>
        <w:ind w:left="592" w:right="996"/>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日，本公司前十大股东的股本及股权结构情况如下：</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076"/>
        <w:gridCol w:w="4849"/>
        <w:gridCol w:w="1661"/>
        <w:gridCol w:w="938"/>
      </w:tblGrid>
      <w:tr>
        <w:trPr>
          <w:trHeight w:val="341"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 w:right="0"/>
              <w:jc w:val="center"/>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sz w:val="20"/>
                <w:szCs w:val="20"/>
              </w:rPr>
            </w:r>
          </w:p>
        </w:tc>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 w:right="0"/>
              <w:jc w:val="center"/>
              <w:rPr>
                <w:rFonts w:ascii="宋体" w:hAnsi="宋体" w:cs="宋体" w:eastAsia="宋体" w:hint="default"/>
                <w:sz w:val="20"/>
                <w:szCs w:val="20"/>
              </w:rPr>
            </w:pPr>
            <w:r>
              <w:rPr>
                <w:rFonts w:ascii="宋体" w:hAnsi="宋体" w:cs="宋体" w:eastAsia="宋体" w:hint="default"/>
                <w:b/>
                <w:bCs/>
                <w:sz w:val="20"/>
                <w:szCs w:val="20"/>
              </w:rPr>
              <w:t>股东名称</w:t>
            </w:r>
            <w:r>
              <w:rPr>
                <w:rFonts w:ascii="宋体" w:hAnsi="宋体" w:cs="宋体" w:eastAsia="宋体" w:hint="default"/>
                <w:sz w:val="20"/>
                <w:szCs w:val="20"/>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center"/>
              <w:rPr>
                <w:rFonts w:ascii="宋体" w:hAnsi="宋体" w:cs="宋体" w:eastAsia="宋体" w:hint="default"/>
                <w:sz w:val="20"/>
                <w:szCs w:val="20"/>
              </w:rPr>
            </w:pPr>
            <w:r>
              <w:rPr>
                <w:rFonts w:ascii="宋体" w:hAnsi="宋体" w:cs="宋体" w:eastAsia="宋体" w:hint="default"/>
                <w:b/>
                <w:bCs/>
                <w:sz w:val="20"/>
                <w:szCs w:val="20"/>
              </w:rPr>
              <w:t>股本</w:t>
            </w:r>
            <w:r>
              <w:rPr>
                <w:rFonts w:ascii="宋体" w:hAnsi="宋体" w:cs="宋体" w:eastAsia="宋体" w:hint="default"/>
                <w:sz w:val="20"/>
                <w:szCs w:val="20"/>
              </w:rPr>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64" w:right="0"/>
              <w:jc w:val="left"/>
              <w:rPr>
                <w:rFonts w:ascii="宋体" w:hAnsi="宋体" w:cs="宋体" w:eastAsia="宋体" w:hint="default"/>
                <w:sz w:val="20"/>
                <w:szCs w:val="20"/>
              </w:rPr>
            </w:pPr>
            <w:r>
              <w:rPr>
                <w:rFonts w:ascii="宋体" w:hAnsi="宋体" w:cs="宋体" w:eastAsia="宋体" w:hint="default"/>
                <w:b/>
                <w:bCs/>
                <w:sz w:val="20"/>
                <w:szCs w:val="20"/>
              </w:rPr>
              <w:t>占比</w:t>
            </w:r>
            <w:r>
              <w:rPr>
                <w:rFonts w:ascii="宋体" w:hAnsi="宋体" w:cs="宋体" w:eastAsia="宋体" w:hint="default"/>
                <w:sz w:val="20"/>
                <w:szCs w:val="20"/>
              </w:rPr>
            </w:r>
          </w:p>
        </w:tc>
      </w:tr>
      <w:tr>
        <w:trPr>
          <w:trHeight w:val="343"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宋体" w:hAnsi="宋体" w:cs="宋体" w:eastAsia="宋体" w:hint="default"/>
                <w:sz w:val="20"/>
                <w:szCs w:val="20"/>
              </w:rPr>
              <w:t>深圳市宝德投资控股有限公司</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72,163,262.00</w:t>
            </w:r>
            <w:r>
              <w:rPr>
                <w:rFonts w:ascii="Times New Roman"/>
                <w:sz w:val="20"/>
              </w:rPr>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z w:val="20"/>
              </w:rPr>
              <w:t>27.37</w:t>
            </w:r>
          </w:p>
        </w:tc>
      </w:tr>
      <w:tr>
        <w:trPr>
          <w:trHeight w:val="341"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 w:right="0"/>
              <w:jc w:val="center"/>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宝德科技集团股份有限公司</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33,183,400.00</w:t>
            </w:r>
            <w:r>
              <w:rPr>
                <w:rFonts w:ascii="Times New Roman"/>
                <w:sz w:val="20"/>
              </w:rPr>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sz w:val="20"/>
              </w:rPr>
              <w:t>12.59</w:t>
            </w:r>
          </w:p>
        </w:tc>
      </w:tr>
      <w:tr>
        <w:trPr>
          <w:trHeight w:val="343"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宋体" w:hAnsi="宋体" w:cs="宋体" w:eastAsia="宋体" w:hint="default"/>
                <w:sz w:val="20"/>
                <w:szCs w:val="20"/>
              </w:rPr>
              <w:t>蓝萍</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5,270,000.00</w:t>
            </w:r>
            <w:r>
              <w:rPr>
                <w:rFonts w:ascii="Times New Roman"/>
                <w:sz w:val="20"/>
              </w:rPr>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z w:val="20"/>
              </w:rPr>
              <w:t>2.00</w:t>
            </w:r>
          </w:p>
        </w:tc>
      </w:tr>
      <w:tr>
        <w:trPr>
          <w:trHeight w:val="341"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 w:right="0"/>
              <w:jc w:val="center"/>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乌鲁木齐南博股权投资管理合伙企业（有限合伙）</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972,428.00</w:t>
            </w:r>
            <w:r>
              <w:rPr>
                <w:rFonts w:ascii="Times New Roman"/>
                <w:sz w:val="20"/>
              </w:rPr>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sz w:val="20"/>
              </w:rPr>
              <w:t>0.37</w:t>
            </w:r>
          </w:p>
        </w:tc>
      </w:tr>
      <w:tr>
        <w:trPr>
          <w:trHeight w:val="343"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宋体" w:hAnsi="宋体" w:cs="宋体" w:eastAsia="宋体" w:hint="default"/>
                <w:sz w:val="20"/>
                <w:szCs w:val="20"/>
              </w:rPr>
              <w:t>郭振忠</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847,945.00</w:t>
            </w:r>
            <w:r>
              <w:rPr>
                <w:rFonts w:ascii="Times New Roman"/>
                <w:sz w:val="20"/>
              </w:rPr>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z w:val="20"/>
              </w:rPr>
              <w:t>0.32</w:t>
            </w:r>
          </w:p>
        </w:tc>
      </w:tr>
      <w:tr>
        <w:trPr>
          <w:trHeight w:val="341"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 w:right="0"/>
              <w:jc w:val="center"/>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李瑞杰</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833,943.00</w:t>
            </w:r>
            <w:r>
              <w:rPr>
                <w:rFonts w:ascii="Times New Roman"/>
                <w:sz w:val="20"/>
              </w:rPr>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sz w:val="20"/>
              </w:rPr>
              <w:t>0.32</w:t>
            </w:r>
          </w:p>
        </w:tc>
      </w:tr>
      <w:tr>
        <w:trPr>
          <w:trHeight w:val="343"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宋体" w:hAnsi="宋体" w:cs="宋体" w:eastAsia="宋体" w:hint="default"/>
                <w:sz w:val="20"/>
                <w:szCs w:val="20"/>
              </w:rPr>
              <w:t>金岩</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732,600.00</w:t>
            </w:r>
            <w:r>
              <w:rPr>
                <w:rFonts w:ascii="Times New Roman"/>
                <w:sz w:val="20"/>
              </w:rPr>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z w:val="20"/>
              </w:rPr>
              <w:t>0.28</w:t>
            </w:r>
          </w:p>
        </w:tc>
      </w:tr>
      <w:tr>
        <w:trPr>
          <w:trHeight w:val="341"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 w:right="0"/>
              <w:jc w:val="center"/>
              <w:rPr>
                <w:rFonts w:ascii="Times New Roman" w:hAnsi="Times New Roman" w:cs="Times New Roman" w:eastAsia="Times New Roman" w:hint="default"/>
                <w:sz w:val="20"/>
                <w:szCs w:val="20"/>
              </w:rPr>
            </w:pPr>
            <w:r>
              <w:rPr>
                <w:rFonts w:ascii="Times New Roman"/>
                <w:w w:val="99"/>
                <w:sz w:val="20"/>
              </w:rPr>
              <w:t>8</w:t>
            </w:r>
            <w:r>
              <w:rPr>
                <w:rFonts w:ascii="Times New Roman"/>
                <w:sz w:val="20"/>
              </w:rPr>
            </w:r>
          </w:p>
        </w:tc>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谢征昊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666,500.00</w:t>
            </w:r>
            <w:r>
              <w:rPr>
                <w:rFonts w:ascii="Times New Roman"/>
                <w:sz w:val="20"/>
              </w:rPr>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sz w:val="20"/>
              </w:rPr>
              <w:t>0.25</w:t>
            </w:r>
          </w:p>
        </w:tc>
      </w:tr>
      <w:tr>
        <w:trPr>
          <w:trHeight w:val="343"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Times New Roman" w:hAnsi="Times New Roman" w:cs="Times New Roman" w:eastAsia="Times New Roman" w:hint="default"/>
                <w:sz w:val="20"/>
                <w:szCs w:val="20"/>
              </w:rPr>
            </w:pPr>
            <w:r>
              <w:rPr>
                <w:rFonts w:ascii="Times New Roman"/>
                <w:w w:val="99"/>
                <w:sz w:val="20"/>
              </w:rPr>
              <w:t>9</w:t>
            </w:r>
            <w:r>
              <w:rPr>
                <w:rFonts w:ascii="Times New Roman"/>
                <w:sz w:val="20"/>
              </w:rPr>
            </w:r>
          </w:p>
        </w:tc>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宋体" w:hAnsi="宋体" w:cs="宋体" w:eastAsia="宋体" w:hint="default"/>
                <w:sz w:val="20"/>
                <w:szCs w:val="20"/>
              </w:rPr>
              <w:t>李杰</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601,900.00</w:t>
            </w:r>
            <w:r>
              <w:rPr>
                <w:rFonts w:ascii="Times New Roman"/>
                <w:sz w:val="20"/>
              </w:rPr>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z w:val="20"/>
              </w:rPr>
              <w:t>0.23</w:t>
            </w:r>
          </w:p>
        </w:tc>
      </w:tr>
      <w:tr>
        <w:trPr>
          <w:trHeight w:val="341"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 w:right="0"/>
              <w:jc w:val="center"/>
              <w:rPr>
                <w:rFonts w:ascii="Times New Roman" w:hAnsi="Times New Roman" w:cs="Times New Roman" w:eastAsia="Times New Roman" w:hint="default"/>
                <w:sz w:val="20"/>
                <w:szCs w:val="20"/>
              </w:rPr>
            </w:pPr>
            <w:r>
              <w:rPr>
                <w:rFonts w:ascii="Times New Roman"/>
                <w:sz w:val="20"/>
              </w:rPr>
              <w:t>10</w:t>
            </w:r>
          </w:p>
        </w:tc>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李梅</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593,200.00</w:t>
            </w:r>
            <w:r>
              <w:rPr>
                <w:rFonts w:ascii="Times New Roman"/>
                <w:sz w:val="20"/>
              </w:rPr>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sz w:val="20"/>
              </w:rPr>
              <w:t>0.22</w:t>
            </w:r>
          </w:p>
        </w:tc>
      </w:tr>
      <w:tr>
        <w:trPr>
          <w:trHeight w:val="343" w:hRule="exact"/>
        </w:trPr>
        <w:tc>
          <w:tcPr>
            <w:tcW w:w="1076" w:type="dxa"/>
            <w:tcBorders>
              <w:top w:val="single" w:sz="4" w:space="0" w:color="000000"/>
              <w:left w:val="single" w:sz="4" w:space="0" w:color="000000"/>
              <w:bottom w:val="single" w:sz="4" w:space="0" w:color="000000"/>
              <w:right w:val="single" w:sz="4" w:space="0" w:color="000000"/>
            </w:tcBorders>
          </w:tcPr>
          <w:p>
            <w:pPr/>
          </w:p>
        </w:tc>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b/>
                <w:w w:val="95"/>
                <w:sz w:val="20"/>
              </w:rPr>
              <w:t>115,865,178.00</w:t>
            </w:r>
            <w:r>
              <w:rPr>
                <w:rFonts w:ascii="Times New Roman"/>
                <w:sz w:val="20"/>
              </w:rPr>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20"/>
                <w:szCs w:val="20"/>
              </w:rPr>
            </w:pPr>
            <w:r>
              <w:rPr>
                <w:rFonts w:ascii="Times New Roman"/>
                <w:b/>
                <w:sz w:val="20"/>
              </w:rPr>
              <w:t>43.95</w:t>
            </w:r>
            <w:r>
              <w:rPr>
                <w:rFonts w:ascii="Times New Roman"/>
                <w:sz w:val="20"/>
              </w:rPr>
            </w:r>
          </w:p>
        </w:tc>
      </w:tr>
    </w:tbl>
    <w:p>
      <w:pPr>
        <w:spacing w:line="240" w:lineRule="auto" w:before="9"/>
        <w:rPr>
          <w:rFonts w:ascii="宋体" w:hAnsi="宋体" w:cs="宋体" w:eastAsia="宋体" w:hint="default"/>
          <w:sz w:val="19"/>
          <w:szCs w:val="19"/>
        </w:rPr>
      </w:pPr>
    </w:p>
    <w:p>
      <w:pPr>
        <w:pStyle w:val="BodyText"/>
        <w:spacing w:line="244" w:lineRule="auto" w:before="32"/>
        <w:ind w:right="996" w:firstLine="439"/>
        <w:jc w:val="left"/>
      </w:pPr>
      <w:r>
        <w:rPr/>
        <w:t>注册地址：广东省深圳市福田区深南大道</w:t>
      </w:r>
      <w:r>
        <w:rPr>
          <w:rFonts w:ascii="Times New Roman" w:hAnsi="Times New Roman" w:cs="Times New Roman" w:eastAsia="Times New Roman" w:hint="default"/>
        </w:rPr>
        <w:t>1006</w:t>
      </w:r>
      <w:r>
        <w:rPr/>
        <w:t>号国际创新中心</w:t>
      </w:r>
      <w:r>
        <w:rPr>
          <w:rFonts w:ascii="Times New Roman" w:hAnsi="Times New Roman" w:cs="Times New Roman" w:eastAsia="Times New Roman" w:hint="default"/>
        </w:rPr>
        <w:t>C</w:t>
      </w:r>
      <w:r>
        <w:rPr/>
        <w:t>栋</w:t>
      </w:r>
      <w:r>
        <w:rPr>
          <w:rFonts w:ascii="Times New Roman" w:hAnsi="Times New Roman" w:cs="Times New Roman" w:eastAsia="Times New Roman" w:hint="default"/>
        </w:rPr>
        <w:t>10</w:t>
      </w:r>
      <w:r>
        <w:rPr/>
        <w:t>楼，办公地址：广东省深圳</w:t>
      </w:r>
      <w:r>
        <w:rPr>
          <w:w w:val="100"/>
        </w:rPr>
        <w:t> </w:t>
      </w:r>
      <w:r>
        <w:rPr/>
        <w:t>市南山区深圳湾科技生态园三期</w:t>
      </w:r>
      <w:r>
        <w:rPr>
          <w:rFonts w:ascii="Times New Roman" w:hAnsi="Times New Roman" w:cs="Times New Roman" w:eastAsia="Times New Roman" w:hint="default"/>
        </w:rPr>
        <w:t>10A</w:t>
      </w:r>
      <w:r>
        <w:rPr/>
        <w:t>栋</w:t>
      </w:r>
      <w:r>
        <w:rPr>
          <w:rFonts w:ascii="Times New Roman" w:hAnsi="Times New Roman" w:cs="Times New Roman" w:eastAsia="Times New Roman" w:hint="default"/>
        </w:rPr>
        <w:t>23</w:t>
      </w:r>
      <w:r>
        <w:rPr/>
        <w:t>层，实际控制人为李瑞杰和张云霞夫妇。</w:t>
      </w:r>
    </w:p>
    <w:p>
      <w:pPr>
        <w:spacing w:line="240" w:lineRule="auto" w:before="1"/>
        <w:rPr>
          <w:rFonts w:ascii="宋体" w:hAnsi="宋体" w:cs="宋体" w:eastAsia="宋体" w:hint="default"/>
          <w:sz w:val="24"/>
          <w:szCs w:val="24"/>
        </w:rPr>
      </w:pPr>
    </w:p>
    <w:p>
      <w:pPr>
        <w:pStyle w:val="BodyText"/>
        <w:spacing w:line="247" w:lineRule="auto"/>
        <w:ind w:right="996" w:firstLine="439"/>
        <w:jc w:val="left"/>
      </w:pPr>
      <w:r>
        <w:rPr>
          <w:spacing w:val="-3"/>
        </w:rPr>
        <w:t>本公司属网络游戏行业，根据《上市公司行业分类指引》，归类为</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rPr>
        <w:t>G87</w:t>
      </w:r>
      <w:r>
        <w:rPr>
          <w:spacing w:val="-3"/>
        </w:rPr>
        <w:t>计算机应用服务业</w:t>
      </w:r>
      <w:r>
        <w:rPr>
          <w:rFonts w:ascii="Times New Roman" w:hAnsi="Times New Roman" w:cs="Times New Roman" w:eastAsia="Times New Roman" w:hint="default"/>
          <w:spacing w:val="-3"/>
        </w:rPr>
        <w:t>”</w:t>
      </w:r>
      <w:r>
        <w:rPr>
          <w:spacing w:val="-3"/>
        </w:rPr>
        <w:t>行业，</w:t>
      </w:r>
      <w:r>
        <w:rPr>
          <w:w w:val="100"/>
        </w:rPr>
        <w:t> </w:t>
      </w:r>
      <w:r>
        <w:rPr>
          <w:spacing w:val="-5"/>
        </w:rPr>
        <w:t>主要产品或服务为网络游戏的开发与运营。经营范围主要为：计算机软、硬件及网络系统的技术开发；</w:t>
      </w:r>
      <w:r>
        <w:rPr>
          <w:spacing w:val="-48"/>
        </w:rPr>
        <w:t> </w:t>
      </w:r>
      <w:r>
        <w:rPr>
          <w:spacing w:val="-48"/>
        </w:rPr>
      </w:r>
      <w:r>
        <w:rPr/>
        <w:t>电子通讯产品的技术开发及外观设计以及相关产品的销售和咨询服务</w:t>
      </w:r>
      <w:r>
        <w:rPr>
          <w:rFonts w:ascii="Times New Roman" w:hAnsi="Times New Roman" w:cs="Times New Roman" w:eastAsia="Times New Roman" w:hint="default"/>
        </w:rPr>
        <w:t>(</w:t>
      </w:r>
      <w:r>
        <w:rPr/>
        <w:t>不含专营、专控、专卖商品及</w:t>
      </w:r>
      <w:r>
        <w:rPr>
          <w:spacing w:val="-8"/>
        </w:rPr>
        <w:t> </w:t>
      </w:r>
      <w:r>
        <w:rPr>
          <w:spacing w:val="-8"/>
        </w:rPr>
      </w:r>
      <w:r>
        <w:rPr/>
        <w:t>限制项目</w:t>
      </w:r>
      <w:r>
        <w:rPr>
          <w:rFonts w:ascii="Times New Roman" w:hAnsi="Times New Roman" w:cs="Times New Roman" w:eastAsia="Times New Roman" w:hint="default"/>
        </w:rPr>
        <w:t>)</w:t>
      </w:r>
      <w:r>
        <w:rPr/>
        <w:t>；经营进出口业务</w:t>
      </w:r>
      <w:r>
        <w:rPr>
          <w:rFonts w:ascii="Times New Roman" w:hAnsi="Times New Roman" w:cs="Times New Roman" w:eastAsia="Times New Roman" w:hint="default"/>
        </w:rPr>
        <w:t>(</w:t>
      </w:r>
      <w:r>
        <w:rPr/>
        <w:t>法律、行政法规、国务院决定禁止的项目除外</w:t>
      </w:r>
      <w:r>
        <w:rPr>
          <w:rFonts w:ascii="Times New Roman" w:hAnsi="Times New Roman" w:cs="Times New Roman" w:eastAsia="Times New Roman" w:hint="default"/>
        </w:rPr>
        <w:t>,</w:t>
      </w:r>
      <w:r>
        <w:rPr/>
        <w:t>限制的项目须取得许可后</w:t>
      </w:r>
      <w:r>
        <w:rPr>
          <w:w w:val="100"/>
        </w:rPr>
        <w:t> </w:t>
      </w:r>
      <w:r>
        <w:rPr/>
        <w:t>方可经营</w:t>
      </w:r>
      <w:r>
        <w:rPr>
          <w:rFonts w:ascii="Times New Roman" w:hAnsi="Times New Roman" w:cs="Times New Roman" w:eastAsia="Times New Roman" w:hint="default"/>
        </w:rPr>
        <w:t>)</w:t>
      </w:r>
      <w:r>
        <w:rPr/>
        <w:t>；从事广告业务</w:t>
      </w:r>
      <w:r>
        <w:rPr>
          <w:rFonts w:ascii="Times New Roman" w:hAnsi="Times New Roman" w:cs="Times New Roman" w:eastAsia="Times New Roman" w:hint="default"/>
        </w:rPr>
        <w:t>(</w:t>
      </w:r>
      <w:r>
        <w:rPr/>
        <w:t>法律、行政法规、国务院决定规定需另行办理广告经营项目审批的</w:t>
      </w:r>
      <w:r>
        <w:rPr>
          <w:rFonts w:ascii="Times New Roman" w:hAnsi="Times New Roman" w:cs="Times New Roman" w:eastAsia="Times New Roman" w:hint="default"/>
        </w:rPr>
        <w:t>,</w:t>
      </w:r>
      <w:r>
        <w:rPr/>
        <w:t>需取得</w:t>
      </w:r>
      <w:r>
        <w:rPr>
          <w:w w:val="100"/>
        </w:rPr>
        <w:t> </w:t>
      </w:r>
      <w:r>
        <w:rPr/>
        <w:t>许可后方可经营</w:t>
      </w:r>
      <w:r>
        <w:rPr>
          <w:rFonts w:ascii="Times New Roman" w:hAnsi="Times New Roman" w:cs="Times New Roman" w:eastAsia="Times New Roman" w:hint="default"/>
        </w:rPr>
        <w:t>)</w:t>
      </w:r>
      <w:r>
        <w:rPr/>
        <w:t>。许可经营项目是</w:t>
      </w:r>
      <w:r>
        <w:rPr>
          <w:rFonts w:ascii="Times New Roman" w:hAnsi="Times New Roman" w:cs="Times New Roman" w:eastAsia="Times New Roman" w:hint="default"/>
        </w:rPr>
        <w:t>:</w:t>
      </w:r>
      <w:r>
        <w:rPr/>
        <w:t>因特网接入服务业务、信息服务业务</w:t>
      </w:r>
      <w:r>
        <w:rPr>
          <w:rFonts w:ascii="Times New Roman" w:hAnsi="Times New Roman" w:cs="Times New Roman" w:eastAsia="Times New Roman" w:hint="default"/>
        </w:rPr>
        <w:t>(</w:t>
      </w:r>
      <w:r>
        <w:rPr/>
        <w:t>仅限互联网信息服务和移动</w:t>
      </w:r>
      <w:r>
        <w:rPr>
          <w:w w:val="100"/>
        </w:rPr>
        <w:t> </w:t>
      </w:r>
      <w:r>
        <w:rPr/>
        <w:t>网信息服务业务</w:t>
      </w:r>
      <w:r>
        <w:rPr>
          <w:rFonts w:ascii="Times New Roman" w:hAnsi="Times New Roman" w:cs="Times New Roman" w:eastAsia="Times New Roman" w:hint="default"/>
        </w:rPr>
        <w:t>)</w:t>
      </w:r>
      <w:r>
        <w:rPr/>
        <w:t>；互联网游戏出版物；手机游戏出版物</w:t>
      </w:r>
    </w:p>
    <w:p>
      <w:pPr>
        <w:spacing w:line="240" w:lineRule="auto" w:before="5"/>
        <w:rPr>
          <w:rFonts w:ascii="宋体" w:hAnsi="宋体" w:cs="宋体" w:eastAsia="宋体" w:hint="default"/>
          <w:sz w:val="18"/>
          <w:szCs w:val="18"/>
        </w:rPr>
      </w:pPr>
    </w:p>
    <w:p>
      <w:pPr>
        <w:spacing w:line="460" w:lineRule="auto" w:before="0"/>
        <w:ind w:left="592" w:right="7467" w:firstLine="2"/>
        <w:jc w:val="left"/>
        <w:rPr>
          <w:rFonts w:ascii="宋体" w:hAnsi="宋体" w:cs="宋体" w:eastAsia="宋体" w:hint="default"/>
          <w:sz w:val="22"/>
          <w:szCs w:val="22"/>
        </w:rPr>
      </w:pPr>
      <w:r>
        <w:rPr>
          <w:rFonts w:ascii="宋体" w:hAnsi="宋体" w:cs="宋体" w:eastAsia="宋体" w:hint="default"/>
          <w:b/>
          <w:bCs/>
          <w:sz w:val="22"/>
          <w:szCs w:val="22"/>
        </w:rPr>
        <w:t>（二）历史沿革</w:t>
      </w:r>
      <w:r>
        <w:rPr>
          <w:rFonts w:ascii="宋体" w:hAnsi="宋体" w:cs="宋体" w:eastAsia="宋体" w:hint="default"/>
          <w:b/>
          <w:bCs/>
          <w:w w:val="99"/>
          <w:sz w:val="22"/>
          <w:szCs w:val="22"/>
        </w:rPr>
        <w:t> </w:t>
      </w:r>
      <w:r>
        <w:rPr>
          <w:rFonts w:ascii="宋体" w:hAnsi="宋体" w:cs="宋体" w:eastAsia="宋体" w:hint="default"/>
          <w:spacing w:val="-1"/>
          <w:sz w:val="22"/>
          <w:szCs w:val="22"/>
        </w:rPr>
        <w:t>公司设立时的股权结构如下：</w:t>
      </w:r>
    </w:p>
    <w:p>
      <w:pPr>
        <w:spacing w:line="240" w:lineRule="auto" w:before="5"/>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968"/>
        <w:gridCol w:w="3339"/>
        <w:gridCol w:w="1985"/>
        <w:gridCol w:w="2005"/>
      </w:tblGrid>
      <w:tr>
        <w:trPr>
          <w:trHeight w:val="343"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center"/>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sz w:val="20"/>
                <w:szCs w:val="20"/>
              </w:rPr>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 w:right="0"/>
              <w:jc w:val="center"/>
              <w:rPr>
                <w:rFonts w:ascii="宋体" w:hAnsi="宋体" w:cs="宋体" w:eastAsia="宋体" w:hint="default"/>
                <w:sz w:val="20"/>
                <w:szCs w:val="20"/>
              </w:rPr>
            </w:pPr>
            <w:r>
              <w:rPr>
                <w:rFonts w:ascii="宋体" w:hAnsi="宋体" w:cs="宋体" w:eastAsia="宋体" w:hint="default"/>
                <w:b/>
                <w:bCs/>
                <w:sz w:val="20"/>
                <w:szCs w:val="20"/>
              </w:rPr>
              <w:t>股东名称</w:t>
            </w:r>
            <w:r>
              <w:rPr>
                <w:rFonts w:ascii="宋体" w:hAnsi="宋体" w:cs="宋体" w:eastAsia="宋体" w:hint="default"/>
                <w:sz w:val="20"/>
                <w:szCs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84" w:right="0"/>
              <w:jc w:val="left"/>
              <w:rPr>
                <w:rFonts w:ascii="宋体" w:hAnsi="宋体" w:cs="宋体" w:eastAsia="宋体" w:hint="default"/>
                <w:sz w:val="20"/>
                <w:szCs w:val="20"/>
              </w:rPr>
            </w:pPr>
            <w:r>
              <w:rPr>
                <w:rFonts w:ascii="宋体" w:hAnsi="宋体" w:cs="宋体" w:eastAsia="宋体" w:hint="default"/>
                <w:b/>
                <w:bCs/>
                <w:sz w:val="20"/>
                <w:szCs w:val="20"/>
              </w:rPr>
              <w:t>持股数量（万股）</w:t>
            </w:r>
            <w:r>
              <w:rPr>
                <w:rFonts w:ascii="宋体" w:hAnsi="宋体" w:cs="宋体" w:eastAsia="宋体" w:hint="default"/>
                <w:sz w:val="20"/>
                <w:szCs w:val="20"/>
              </w:rPr>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27" w:right="0"/>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持股比例</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r>
      <w:tr>
        <w:trPr>
          <w:trHeight w:val="341"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宝德控股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w w:val="95"/>
                <w:sz w:val="20"/>
              </w:rPr>
              <w:t>2,550.00</w:t>
            </w:r>
            <w:r>
              <w:rPr>
                <w:rFonts w:ascii="Times New Roman"/>
                <w:sz w:val="20"/>
              </w:rPr>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sz w:val="20"/>
              </w:rPr>
              <w:t>34.00</w:t>
            </w:r>
          </w:p>
        </w:tc>
      </w:tr>
      <w:tr>
        <w:trPr>
          <w:trHeight w:val="344"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深圳宝德科技股份有限公司</w:t>
            </w:r>
            <w:r>
              <w:rPr>
                <w:rFonts w:ascii="Times New Roman" w:hAnsi="Times New Roman" w:cs="Times New Roman" w:eastAsia="Times New Roman" w:hint="default"/>
                <w:sz w:val="20"/>
                <w:szCs w:val="20"/>
              </w:rPr>
              <w:t>*1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w w:val="95"/>
                <w:sz w:val="20"/>
              </w:rPr>
              <w:t>1,530.00</w:t>
            </w:r>
            <w:r>
              <w:rPr>
                <w:rFonts w:ascii="Times New Roman"/>
                <w:sz w:val="20"/>
              </w:rPr>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sz w:val="20"/>
              </w:rPr>
              <w:t>20.40</w:t>
            </w:r>
          </w:p>
        </w:tc>
      </w:tr>
      <w:tr>
        <w:trPr>
          <w:trHeight w:val="341"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中青联创科技（北京）有限公司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w w:val="95"/>
                <w:sz w:val="20"/>
              </w:rPr>
              <w:t>1,500.00</w:t>
            </w:r>
            <w:r>
              <w:rPr>
                <w:rFonts w:ascii="Times New Roman"/>
                <w:sz w:val="20"/>
              </w:rPr>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sz w:val="20"/>
              </w:rPr>
              <w:t>20.00</w:t>
            </w:r>
          </w:p>
        </w:tc>
      </w:tr>
      <w:tr>
        <w:trPr>
          <w:trHeight w:val="343"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深圳市创新投资集团有限公司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w w:val="95"/>
                <w:sz w:val="20"/>
              </w:rPr>
              <w:t>600.00</w:t>
            </w:r>
            <w:r>
              <w:rPr>
                <w:rFonts w:ascii="Times New Roman"/>
                <w:sz w:val="20"/>
              </w:rPr>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sz w:val="20"/>
              </w:rPr>
              <w:t>8.00</w:t>
            </w:r>
          </w:p>
        </w:tc>
      </w:tr>
      <w:tr>
        <w:trPr>
          <w:trHeight w:val="341"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深圳市网诚科技有限公司</w:t>
            </w:r>
            <w:r>
              <w:rPr>
                <w:rFonts w:ascii="Times New Roman" w:hAnsi="Times New Roman" w:cs="Times New Roman" w:eastAsia="Times New Roman" w:hint="default"/>
                <w:sz w:val="20"/>
                <w:szCs w:val="20"/>
              </w:rPr>
              <w:t>*2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w w:val="95"/>
                <w:sz w:val="20"/>
              </w:rPr>
              <w:t>363.75</w:t>
            </w:r>
            <w:r>
              <w:rPr>
                <w:rFonts w:ascii="Times New Roman"/>
                <w:sz w:val="20"/>
              </w:rPr>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sz w:val="20"/>
              </w:rPr>
              <w:t>4.85</w:t>
            </w:r>
          </w:p>
        </w:tc>
      </w:tr>
      <w:tr>
        <w:trPr>
          <w:trHeight w:val="343"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深圳市众志和科技有限公司</w:t>
            </w:r>
            <w:r>
              <w:rPr>
                <w:rFonts w:ascii="Times New Roman" w:hAnsi="Times New Roman" w:cs="Times New Roman" w:eastAsia="Times New Roman" w:hint="default"/>
                <w:sz w:val="20"/>
                <w:szCs w:val="20"/>
              </w:rPr>
              <w:t>*3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w w:val="95"/>
                <w:sz w:val="20"/>
              </w:rPr>
              <w:t>360.75</w:t>
            </w:r>
            <w:r>
              <w:rPr>
                <w:rFonts w:ascii="Times New Roman"/>
                <w:sz w:val="20"/>
              </w:rPr>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sz w:val="20"/>
              </w:rPr>
              <w:t>4.81</w:t>
            </w:r>
          </w:p>
        </w:tc>
      </w:tr>
      <w:tr>
        <w:trPr>
          <w:trHeight w:val="341"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深圳市中科招商投资管理有限公司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w w:val="95"/>
                <w:sz w:val="20"/>
              </w:rPr>
              <w:t>300.00</w:t>
            </w:r>
            <w:r>
              <w:rPr>
                <w:rFonts w:ascii="Times New Roman"/>
                <w:sz w:val="20"/>
              </w:rPr>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sz w:val="20"/>
              </w:rPr>
              <w:t>4.00</w:t>
            </w:r>
          </w:p>
        </w:tc>
      </w:tr>
      <w:tr>
        <w:trPr>
          <w:trHeight w:val="343"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w w:val="99"/>
                <w:sz w:val="20"/>
              </w:rPr>
              <w:t>8</w:t>
            </w:r>
            <w:r>
              <w:rPr>
                <w:rFonts w:ascii="Times New Roman"/>
                <w:sz w:val="20"/>
              </w:rPr>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深圳市南博投资有限公司</w:t>
            </w:r>
            <w:r>
              <w:rPr>
                <w:rFonts w:ascii="Times New Roman" w:hAnsi="Times New Roman" w:cs="Times New Roman" w:eastAsia="Times New Roman" w:hint="default"/>
                <w:sz w:val="20"/>
                <w:szCs w:val="20"/>
              </w:rPr>
              <w:t>*4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w w:val="95"/>
                <w:sz w:val="20"/>
              </w:rPr>
              <w:t>295.50</w:t>
            </w:r>
            <w:r>
              <w:rPr>
                <w:rFonts w:ascii="Times New Roman"/>
                <w:sz w:val="20"/>
              </w:rPr>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sz w:val="20"/>
              </w:rPr>
              <w:t>3.94</w:t>
            </w:r>
          </w:p>
        </w:tc>
      </w:tr>
    </w:tbl>
    <w:p>
      <w:pPr>
        <w:spacing w:after="0" w:line="240" w:lineRule="auto"/>
        <w:jc w:val="right"/>
        <w:rPr>
          <w:rFonts w:ascii="Times New Roman" w:hAnsi="Times New Roman" w:cs="Times New Roman" w:eastAsia="Times New Roman" w:hint="default"/>
          <w:sz w:val="20"/>
          <w:szCs w:val="20"/>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307"/>
        <w:gridCol w:w="1985"/>
        <w:gridCol w:w="2005"/>
      </w:tblGrid>
      <w:tr>
        <w:trPr>
          <w:trHeight w:val="343" w:hRule="exact"/>
        </w:trPr>
        <w:tc>
          <w:tcPr>
            <w:tcW w:w="4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69" w:right="0"/>
              <w:jc w:val="left"/>
              <w:rPr>
                <w:rFonts w:ascii="Times New Roman" w:hAnsi="Times New Roman" w:cs="Times New Roman" w:eastAsia="Times New Roman" w:hint="default"/>
                <w:sz w:val="20"/>
                <w:szCs w:val="20"/>
              </w:rPr>
            </w:pPr>
            <w:r>
              <w:rPr>
                <w:rFonts w:ascii="Times New Roman"/>
                <w:b/>
                <w:sz w:val="20"/>
              </w:rPr>
              <w:t>7,500.00</w:t>
            </w:r>
            <w:r>
              <w:rPr>
                <w:rFonts w:ascii="Times New Roman"/>
                <w:sz w:val="20"/>
              </w:rPr>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b/>
                <w:w w:val="95"/>
                <w:sz w:val="20"/>
              </w:rPr>
              <w:t>100.00</w:t>
            </w:r>
            <w:r>
              <w:rPr>
                <w:rFonts w:ascii="Times New Roman"/>
                <w:sz w:val="20"/>
              </w:rPr>
            </w:r>
          </w:p>
        </w:tc>
      </w:tr>
    </w:tbl>
    <w:p>
      <w:pPr>
        <w:spacing w:before="8"/>
        <w:ind w:left="152" w:right="996"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宋体" w:hAnsi="宋体" w:cs="宋体" w:eastAsia="宋体" w:hint="default"/>
          <w:sz w:val="18"/>
          <w:szCs w:val="18"/>
        </w:rPr>
        <w:t>现更名为宝德科技，发行后公司的股权结构下同。</w:t>
      </w:r>
    </w:p>
    <w:p>
      <w:pPr>
        <w:spacing w:before="63"/>
        <w:ind w:left="513" w:right="9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现更名为乌鲁木齐网诚股权投资管理合伙企业（有限合伙），发行后公司的股权结构下同。</w:t>
      </w:r>
    </w:p>
    <w:p>
      <w:pPr>
        <w:spacing w:before="63"/>
        <w:ind w:left="513" w:right="9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现更名为乌鲁木齐众志和股权投资管理合伙企业（有限合伙），发行后公司的股权结构下同。</w:t>
      </w:r>
    </w:p>
    <w:p>
      <w:pPr>
        <w:spacing w:before="63"/>
        <w:ind w:left="513" w:right="9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现更名为乌鲁木齐南博股权投资管理合伙企业（有限合伙），发行后公司的股权结构下同。</w:t>
      </w:r>
    </w:p>
    <w:p>
      <w:pPr>
        <w:spacing w:line="240" w:lineRule="auto" w:before="11"/>
        <w:rPr>
          <w:rFonts w:ascii="宋体" w:hAnsi="宋体" w:cs="宋体" w:eastAsia="宋体" w:hint="default"/>
          <w:sz w:val="20"/>
          <w:szCs w:val="20"/>
        </w:rPr>
      </w:pPr>
    </w:p>
    <w:p>
      <w:pPr>
        <w:pStyle w:val="BodyText"/>
        <w:spacing w:line="244" w:lineRule="auto"/>
        <w:ind w:right="1128" w:firstLine="439"/>
        <w:jc w:val="both"/>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w:t>
      </w:r>
      <w:r>
        <w:rPr/>
        <w:t>日中国证券监督管理委员会《关于核准深圳市中青宝网网络科技股份有限公司首次</w:t>
      </w:r>
      <w:r>
        <w:rPr>
          <w:w w:val="100"/>
        </w:rPr>
        <w:t> </w:t>
      </w:r>
      <w:r>
        <w:rPr>
          <w:spacing w:val="-2"/>
        </w:rPr>
        <w:t>公开发行股票的批复》（证监许可</w:t>
      </w:r>
      <w:r>
        <w:rPr>
          <w:rFonts w:ascii="Times New Roman" w:hAnsi="Times New Roman" w:cs="Times New Roman" w:eastAsia="Times New Roman" w:hint="default"/>
          <w:spacing w:val="-2"/>
        </w:rPr>
        <w:t>[2010]94</w:t>
      </w:r>
      <w:r>
        <w:rPr>
          <w:spacing w:val="-2"/>
        </w:rPr>
        <w:t>号</w:t>
      </w:r>
      <w:r>
        <w:rPr>
          <w:rFonts w:ascii="Times New Roman" w:hAnsi="Times New Roman" w:cs="Times New Roman" w:eastAsia="Times New Roman" w:hint="default"/>
          <w:spacing w:val="-2"/>
        </w:rPr>
        <w:t>)</w:t>
      </w:r>
      <w:r>
        <w:rPr>
          <w:spacing w:val="-2"/>
        </w:rPr>
        <w:t>核准，由主承销商长江证劵承销保荐有限公司采用网下</w:t>
      </w:r>
      <w:r>
        <w:rPr>
          <w:spacing w:val="-61"/>
        </w:rPr>
        <w:t> </w:t>
      </w:r>
      <w:r>
        <w:rPr>
          <w:spacing w:val="-61"/>
        </w:rPr>
      </w:r>
      <w:r>
        <w:rPr>
          <w:spacing w:val="-2"/>
        </w:rPr>
        <w:t>询价配售与网上资金申购定价发行相结合的方式发行人民币普通股（</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2,500</w:t>
      </w:r>
      <w:r>
        <w:rPr>
          <w:spacing w:val="-2"/>
        </w:rPr>
        <w:t>万股，发行价格为每</w:t>
      </w:r>
      <w:r>
        <w:rPr>
          <w:spacing w:val="-56"/>
        </w:rPr>
        <w:t> </w:t>
      </w:r>
      <w:r>
        <w:rPr>
          <w:spacing w:val="-56"/>
        </w:rPr>
      </w:r>
      <w:r>
        <w:rPr/>
        <w:t>股人民币</w:t>
      </w:r>
      <w:r>
        <w:rPr>
          <w:rFonts w:ascii="Times New Roman" w:hAnsi="Times New Roman" w:cs="Times New Roman" w:eastAsia="Times New Roman" w:hint="default"/>
        </w:rPr>
        <w:t>30.00</w:t>
      </w:r>
      <w:r>
        <w:rPr/>
        <w:t>元。发行后公司的股权结构如下：</w:t>
      </w:r>
    </w:p>
    <w:p>
      <w:pPr>
        <w:spacing w:line="240" w:lineRule="auto" w:before="3"/>
        <w:rPr>
          <w:rFonts w:ascii="宋体" w:hAnsi="宋体" w:cs="宋体" w:eastAsia="宋体" w:hint="default"/>
          <w:sz w:val="20"/>
          <w:szCs w:val="20"/>
        </w:rPr>
      </w:pPr>
    </w:p>
    <w:tbl>
      <w:tblPr>
        <w:tblW w:w="0" w:type="auto"/>
        <w:jc w:val="left"/>
        <w:tblInd w:w="148" w:type="dxa"/>
        <w:tblLayout w:type="fixed"/>
        <w:tblCellMar>
          <w:top w:w="0" w:type="dxa"/>
          <w:left w:w="0" w:type="dxa"/>
          <w:bottom w:w="0" w:type="dxa"/>
          <w:right w:w="0" w:type="dxa"/>
        </w:tblCellMar>
        <w:tblLook w:val="01E0"/>
      </w:tblPr>
      <w:tblGrid>
        <w:gridCol w:w="994"/>
        <w:gridCol w:w="3514"/>
        <w:gridCol w:w="1985"/>
        <w:gridCol w:w="1803"/>
      </w:tblGrid>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 w:right="0"/>
              <w:jc w:val="center"/>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sz w:val="20"/>
                <w:szCs w:val="20"/>
              </w:rPr>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b/>
                <w:bCs/>
                <w:sz w:val="20"/>
                <w:szCs w:val="20"/>
              </w:rPr>
              <w:t>股东名称</w:t>
            </w:r>
            <w:r>
              <w:rPr>
                <w:rFonts w:ascii="宋体" w:hAnsi="宋体" w:cs="宋体" w:eastAsia="宋体" w:hint="default"/>
                <w:sz w:val="20"/>
                <w:szCs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87" w:right="0"/>
              <w:jc w:val="left"/>
              <w:rPr>
                <w:rFonts w:ascii="宋体" w:hAnsi="宋体" w:cs="宋体" w:eastAsia="宋体" w:hint="default"/>
                <w:sz w:val="20"/>
                <w:szCs w:val="20"/>
              </w:rPr>
            </w:pPr>
            <w:r>
              <w:rPr>
                <w:rFonts w:ascii="宋体" w:hAnsi="宋体" w:cs="宋体" w:eastAsia="宋体" w:hint="default"/>
                <w:b/>
                <w:bCs/>
                <w:sz w:val="20"/>
                <w:szCs w:val="20"/>
              </w:rPr>
              <w:t>持股数量（万股）</w:t>
            </w:r>
            <w:r>
              <w:rPr>
                <w:rFonts w:ascii="宋体" w:hAnsi="宋体" w:cs="宋体" w:eastAsia="宋体" w:hint="default"/>
                <w:sz w:val="20"/>
                <w:szCs w:val="20"/>
              </w:rPr>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28" w:right="0"/>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持股比例</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一、发起人</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0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 w:right="0"/>
              <w:jc w:val="left"/>
              <w:rPr>
                <w:rFonts w:ascii="宋体" w:hAnsi="宋体" w:cs="宋体" w:eastAsia="宋体" w:hint="default"/>
                <w:sz w:val="20"/>
                <w:szCs w:val="20"/>
              </w:rPr>
            </w:pPr>
            <w:r>
              <w:rPr>
                <w:rFonts w:ascii="宋体" w:hAnsi="宋体" w:cs="宋体" w:eastAsia="宋体" w:hint="default"/>
                <w:sz w:val="20"/>
                <w:szCs w:val="20"/>
              </w:rPr>
              <w:t>宝德控股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w w:val="95"/>
                <w:sz w:val="20"/>
              </w:rPr>
              <w:t>2,550.00</w:t>
            </w:r>
            <w:r>
              <w:rPr>
                <w:rFonts w:ascii="Times New Roman"/>
                <w:sz w:val="20"/>
              </w:rPr>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z w:val="20"/>
              </w:rPr>
              <w:t>25.50</w:t>
            </w:r>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深圳宝德科技股份有限公司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1,530.00</w:t>
            </w:r>
            <w:r>
              <w:rPr>
                <w:rFonts w:ascii="Times New Roman"/>
                <w:sz w:val="20"/>
              </w:rPr>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15.30</w:t>
            </w:r>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中青联创科技（北京）有限公司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1,500.00</w:t>
            </w:r>
            <w:r>
              <w:rPr>
                <w:rFonts w:ascii="Times New Roman"/>
                <w:sz w:val="20"/>
              </w:rPr>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15.00</w:t>
            </w:r>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深圳市创新投资集团有限公司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600.00</w:t>
            </w:r>
            <w:r>
              <w:rPr>
                <w:rFonts w:ascii="Times New Roman"/>
                <w:sz w:val="20"/>
              </w:rPr>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z w:val="20"/>
              </w:rPr>
              <w:t>6.00</w:t>
            </w:r>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深圳市网诚科技有限公司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363.75</w:t>
            </w:r>
            <w:r>
              <w:rPr>
                <w:rFonts w:ascii="Times New Roman"/>
                <w:sz w:val="20"/>
              </w:rPr>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z w:val="20"/>
              </w:rPr>
              <w:t>3.64</w:t>
            </w:r>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深圳市众志和科技有限公司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360.75</w:t>
            </w:r>
            <w:r>
              <w:rPr>
                <w:rFonts w:ascii="Times New Roman"/>
                <w:sz w:val="20"/>
              </w:rPr>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z w:val="20"/>
              </w:rPr>
              <w:t>3.61</w:t>
            </w:r>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深圳市中科招商投资管理有限公司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300.00</w:t>
            </w:r>
            <w:r>
              <w:rPr>
                <w:rFonts w:ascii="Times New Roman"/>
                <w:sz w:val="20"/>
              </w:rPr>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z w:val="20"/>
              </w:rPr>
              <w:t>3.00</w:t>
            </w:r>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w w:val="99"/>
                <w:sz w:val="20"/>
              </w:rPr>
              <w:t>8</w:t>
            </w:r>
            <w:r>
              <w:rPr>
                <w:rFonts w:ascii="Times New Roman"/>
                <w:sz w:val="20"/>
              </w:rPr>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深圳市南博投资有限公司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295.50</w:t>
            </w:r>
            <w:r>
              <w:rPr>
                <w:rFonts w:ascii="Times New Roman"/>
                <w:sz w:val="20"/>
              </w:rPr>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z w:val="20"/>
              </w:rPr>
              <w:t>2.95</w:t>
            </w:r>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小计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7,500.00</w:t>
            </w:r>
            <w:r>
              <w:rPr>
                <w:rFonts w:ascii="Times New Roman"/>
                <w:sz w:val="20"/>
              </w:rPr>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75.00</w:t>
            </w:r>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二、社会公众股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2,500.00</w:t>
            </w:r>
            <w:r>
              <w:rPr>
                <w:rFonts w:ascii="Times New Roman"/>
                <w:sz w:val="20"/>
              </w:rPr>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25.00</w:t>
            </w:r>
          </w:p>
        </w:tc>
      </w:tr>
      <w:tr>
        <w:trPr>
          <w:trHeight w:val="341" w:hRule="exact"/>
        </w:trPr>
        <w:tc>
          <w:tcPr>
            <w:tcW w:w="45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b/>
                <w:w w:val="95"/>
                <w:sz w:val="20"/>
              </w:rPr>
              <w:t>10,000.00</w:t>
            </w:r>
            <w:r>
              <w:rPr>
                <w:rFonts w:ascii="Times New Roman"/>
                <w:sz w:val="20"/>
              </w:rPr>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b/>
                <w:w w:val="95"/>
                <w:sz w:val="20"/>
              </w:rPr>
              <w:t>100.00</w:t>
            </w:r>
            <w:r>
              <w:rPr>
                <w:rFonts w:ascii="Times New Roman"/>
                <w:sz w:val="20"/>
              </w:rPr>
            </w:r>
          </w:p>
        </w:tc>
      </w:tr>
    </w:tbl>
    <w:p>
      <w:pPr>
        <w:spacing w:line="240" w:lineRule="auto" w:before="3"/>
        <w:rPr>
          <w:rFonts w:ascii="宋体" w:hAnsi="宋体" w:cs="宋体" w:eastAsia="宋体" w:hint="default"/>
          <w:sz w:val="14"/>
          <w:szCs w:val="14"/>
        </w:rPr>
      </w:pPr>
    </w:p>
    <w:p>
      <w:pPr>
        <w:pStyle w:val="BodyText"/>
        <w:spacing w:line="244" w:lineRule="auto" w:before="32"/>
        <w:ind w:right="1130" w:firstLine="439"/>
        <w:jc w:val="both"/>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日，公司第一届董事会第十七次会议审议通过了《</w:t>
      </w:r>
      <w:r>
        <w:rPr>
          <w:rFonts w:ascii="Times New Roman" w:hAnsi="Times New Roman" w:cs="Times New Roman" w:eastAsia="Times New Roman" w:hint="default"/>
        </w:rPr>
        <w:t>2009</w:t>
      </w:r>
      <w:r>
        <w:rPr/>
        <w:t>年度利润分配和资本公积转</w:t>
      </w:r>
      <w:r>
        <w:rPr>
          <w:w w:val="100"/>
        </w:rPr>
        <w:t> </w:t>
      </w:r>
      <w:r>
        <w:rPr/>
        <w:t>增股本预案》以现有总股本</w:t>
      </w:r>
      <w:r>
        <w:rPr>
          <w:rFonts w:ascii="Times New Roman" w:hAnsi="Times New Roman" w:cs="Times New Roman" w:eastAsia="Times New Roman" w:hint="default"/>
        </w:rPr>
        <w:t>100,000,000</w:t>
      </w:r>
      <w:r>
        <w:rPr/>
        <w:t>股为基数，按每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2</w:t>
      </w:r>
      <w:r>
        <w:rPr/>
        <w:t>元（含税），派发</w:t>
      </w:r>
      <w:r>
        <w:rPr>
          <w:spacing w:val="-47"/>
        </w:rPr>
        <w:t> </w:t>
      </w:r>
      <w:r>
        <w:rPr>
          <w:spacing w:val="-47"/>
        </w:rPr>
      </w:r>
      <w:r>
        <w:rPr/>
        <w:t>现金股利共人民币</w:t>
      </w:r>
      <w:r>
        <w:rPr>
          <w:rFonts w:ascii="Times New Roman" w:hAnsi="Times New Roman" w:cs="Times New Roman" w:eastAsia="Times New Roman" w:hint="default"/>
        </w:rPr>
        <w:t>20,000,000</w:t>
      </w:r>
      <w:r>
        <w:rPr/>
        <w:t>元，剩余未分配利润结转以后年度，同时，以总股本</w:t>
      </w:r>
      <w:r>
        <w:rPr>
          <w:rFonts w:ascii="Times New Roman" w:hAnsi="Times New Roman" w:cs="Times New Roman" w:eastAsia="Times New Roman" w:hint="default"/>
        </w:rPr>
        <w:t>100,000,000</w:t>
      </w:r>
      <w:r>
        <w:rPr/>
        <w:t>股为基</w:t>
      </w:r>
      <w:r>
        <w:rPr>
          <w:spacing w:val="-44"/>
        </w:rPr>
        <w:t> </w:t>
      </w:r>
      <w:r>
        <w:rPr>
          <w:spacing w:val="-44"/>
        </w:rPr>
      </w:r>
      <w:r>
        <w:rPr/>
        <w:t>数，由资本公积向全体股东每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股，合计转增股本</w:t>
      </w:r>
      <w:r>
        <w:rPr>
          <w:rFonts w:ascii="Times New Roman" w:hAnsi="Times New Roman" w:cs="Times New Roman" w:eastAsia="Times New Roman" w:hint="default"/>
        </w:rPr>
        <w:t>30,000,000</w:t>
      </w:r>
      <w:r>
        <w:rPr/>
        <w:t>股。以上方案已经</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rFonts w:ascii="Times New Roman" w:hAnsi="Times New Roman" w:cs="Times New Roman" w:eastAsia="Times New Roman" w:hint="default"/>
          <w:spacing w:val="6"/>
        </w:rPr>
        <w:t> </w:t>
      </w:r>
      <w:r>
        <w:rPr/>
        <w:t>日召开的公司</w:t>
      </w:r>
      <w:r>
        <w:rPr>
          <w:rFonts w:ascii="Times New Roman" w:hAnsi="Times New Roman" w:cs="Times New Roman" w:eastAsia="Times New Roman" w:hint="default"/>
        </w:rPr>
        <w:t>2009</w:t>
      </w:r>
      <w:r>
        <w:rPr/>
        <w:t>年年度股东大会审议通过，转增后总股本为</w:t>
      </w:r>
      <w:r>
        <w:rPr>
          <w:rFonts w:ascii="Times New Roman" w:hAnsi="Times New Roman" w:cs="Times New Roman" w:eastAsia="Times New Roman" w:hint="default"/>
        </w:rPr>
        <w:t>130,000,000</w:t>
      </w:r>
      <w:r>
        <w:rPr/>
        <w:t>股。</w:t>
      </w:r>
    </w:p>
    <w:p>
      <w:pPr>
        <w:spacing w:line="240" w:lineRule="auto" w:before="7"/>
        <w:rPr>
          <w:rFonts w:ascii="宋体" w:hAnsi="宋体" w:cs="宋体" w:eastAsia="宋体" w:hint="default"/>
          <w:sz w:val="18"/>
          <w:szCs w:val="18"/>
        </w:rPr>
      </w:pPr>
    </w:p>
    <w:p>
      <w:pPr>
        <w:pStyle w:val="BodyText"/>
        <w:spacing w:line="244" w:lineRule="auto"/>
        <w:ind w:right="1132" w:firstLine="528"/>
        <w:jc w:val="both"/>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w:t>
      </w:r>
      <w:r>
        <w:rPr/>
        <w:t>日，经深圳市市场监督管理局核准，公司名称变更为深圳中青宝互动网络股份有限</w:t>
      </w:r>
      <w:r>
        <w:rPr>
          <w:w w:val="100"/>
        </w:rPr>
        <w:t> </w:t>
      </w:r>
      <w:r>
        <w:rPr/>
        <w:t>公司。</w:t>
      </w:r>
    </w:p>
    <w:p>
      <w:pPr>
        <w:spacing w:line="240" w:lineRule="auto" w:before="11"/>
        <w:rPr>
          <w:rFonts w:ascii="宋体" w:hAnsi="宋体" w:cs="宋体" w:eastAsia="宋体" w:hint="default"/>
          <w:sz w:val="19"/>
          <w:szCs w:val="19"/>
        </w:rPr>
      </w:pPr>
    </w:p>
    <w:p>
      <w:pPr>
        <w:pStyle w:val="BodyText"/>
        <w:spacing w:line="244" w:lineRule="auto"/>
        <w:ind w:right="1129" w:firstLine="439"/>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日，公司</w:t>
      </w:r>
      <w:r>
        <w:rPr>
          <w:rFonts w:ascii="Times New Roman" w:hAnsi="Times New Roman" w:cs="Times New Roman" w:eastAsia="Times New Roman" w:hint="default"/>
        </w:rPr>
        <w:t>2013</w:t>
      </w:r>
      <w:r>
        <w:rPr/>
        <w:t>年第二次临时股东大会审议通过了《</w:t>
      </w:r>
      <w:r>
        <w:rPr>
          <w:rFonts w:ascii="Times New Roman" w:hAnsi="Times New Roman" w:cs="Times New Roman" w:eastAsia="Times New Roman" w:hint="default"/>
        </w:rPr>
        <w:t>2013</w:t>
      </w:r>
      <w:r>
        <w:rPr/>
        <w:t>年半年度权益分派方案》，</w:t>
      </w:r>
      <w:r>
        <w:rPr>
          <w:w w:val="100"/>
        </w:rPr>
        <w:t> </w:t>
      </w:r>
      <w:r>
        <w:rPr>
          <w:spacing w:val="18"/>
        </w:rPr>
        <w:t>以现有总股本</w:t>
      </w:r>
      <w:r>
        <w:rPr>
          <w:spacing w:val="-80"/>
        </w:rPr>
        <w:t> </w:t>
      </w:r>
      <w:r>
        <w:rPr>
          <w:rFonts w:ascii="Times New Roman" w:hAnsi="Times New Roman" w:cs="Times New Roman" w:eastAsia="Times New Roman" w:hint="default"/>
        </w:rPr>
        <w:t>130,000,000</w:t>
      </w:r>
      <w:r>
        <w:rPr>
          <w:rFonts w:ascii="Times New Roman" w:hAnsi="Times New Roman" w:cs="Times New Roman" w:eastAsia="Times New Roman" w:hint="default"/>
          <w:spacing w:val="-25"/>
        </w:rPr>
        <w:t> </w:t>
      </w:r>
      <w:r>
        <w:rPr>
          <w:spacing w:val="17"/>
        </w:rPr>
        <w:t>股为基数，</w:t>
      </w:r>
      <w:r>
        <w:rPr>
          <w:spacing w:val="-81"/>
        </w:rPr>
        <w:t> </w:t>
      </w:r>
      <w:r>
        <w:rPr>
          <w:spacing w:val="19"/>
        </w:rPr>
        <w:t>以资本公积向全体股东每</w:t>
      </w:r>
      <w:r>
        <w:rPr>
          <w:spacing w:val="-80"/>
        </w:rPr>
        <w:t> </w:t>
      </w:r>
      <w:r>
        <w:rPr>
          <w:rFonts w:ascii="Times New Roman" w:hAnsi="Times New Roman" w:cs="Times New Roman" w:eastAsia="Times New Roman" w:hint="default"/>
        </w:rPr>
        <w:t>10</w:t>
      </w:r>
      <w:r>
        <w:rPr>
          <w:rFonts w:ascii="Times New Roman" w:hAnsi="Times New Roman" w:cs="Times New Roman" w:eastAsia="Times New Roman" w:hint="default"/>
          <w:spacing w:val="-25"/>
        </w:rPr>
        <w:t> </w:t>
      </w:r>
      <w:r>
        <w:rPr>
          <w:spacing w:val="13"/>
        </w:rPr>
        <w:t>股转增</w:t>
      </w:r>
      <w:r>
        <w:rPr>
          <w:spacing w:val="-80"/>
        </w:rPr>
        <w:t> </w:t>
      </w:r>
      <w:r>
        <w:rPr>
          <w:rFonts w:ascii="Times New Roman" w:hAnsi="Times New Roman" w:cs="Times New Roman" w:eastAsia="Times New Roman" w:hint="default"/>
        </w:rPr>
        <w:t>10</w:t>
      </w:r>
      <w:r>
        <w:rPr>
          <w:rFonts w:ascii="Times New Roman" w:hAnsi="Times New Roman" w:cs="Times New Roman" w:eastAsia="Times New Roman" w:hint="default"/>
          <w:spacing w:val="-25"/>
        </w:rPr>
        <w:t> </w:t>
      </w:r>
      <w:r>
        <w:rPr>
          <w:spacing w:val="11"/>
        </w:rPr>
        <w:t>股，</w:t>
      </w:r>
      <w:r>
        <w:rPr>
          <w:spacing w:val="-84"/>
        </w:rPr>
        <w:t> </w:t>
      </w:r>
      <w:r>
        <w:rPr>
          <w:spacing w:val="18"/>
        </w:rPr>
        <w:t>合计转增股本</w:t>
      </w:r>
      <w:r>
        <w:rPr>
          <w:spacing w:val="-102"/>
        </w:rPr>
        <w:t> </w:t>
      </w:r>
      <w:r>
        <w:rPr>
          <w:spacing w:val="-102"/>
        </w:rPr>
      </w:r>
      <w:r>
        <w:rPr>
          <w:rFonts w:ascii="Times New Roman" w:hAnsi="Times New Roman" w:cs="Times New Roman" w:eastAsia="Times New Roman" w:hint="default"/>
        </w:rPr>
        <w:t>130,000,000</w:t>
      </w:r>
      <w:r>
        <w:rPr/>
        <w:t>股，转增后总股本为</w:t>
      </w:r>
      <w:r>
        <w:rPr>
          <w:rFonts w:ascii="Times New Roman" w:hAnsi="Times New Roman" w:cs="Times New Roman" w:eastAsia="Times New Roman" w:hint="default"/>
        </w:rPr>
        <w:t>260,000,000</w:t>
      </w:r>
      <w:r>
        <w:rPr/>
        <w:t>股。</w:t>
      </w:r>
    </w:p>
    <w:p>
      <w:pPr>
        <w:spacing w:line="240" w:lineRule="auto" w:before="8"/>
        <w:rPr>
          <w:rFonts w:ascii="宋体" w:hAnsi="宋体" w:cs="宋体" w:eastAsia="宋体" w:hint="default"/>
          <w:sz w:val="18"/>
          <w:szCs w:val="18"/>
        </w:rPr>
      </w:pPr>
    </w:p>
    <w:p>
      <w:pPr>
        <w:pStyle w:val="BodyText"/>
        <w:spacing w:line="252" w:lineRule="auto"/>
        <w:ind w:right="1126" w:firstLine="439"/>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16</w:t>
      </w:r>
      <w:r>
        <w:rPr>
          <w:spacing w:val="-2"/>
        </w:rPr>
        <w:t>日公司召开的第三届董事会第十八次（临时）会议审议通过了《关于股票期权激励</w:t>
      </w:r>
      <w:r>
        <w:rPr>
          <w:w w:val="100"/>
        </w:rPr>
        <w:t> </w:t>
      </w:r>
      <w:r>
        <w:rPr>
          <w:spacing w:val="-2"/>
        </w:rPr>
        <w:t>计划中首次授予的期权第二个行权期可行权的议案》，公司股票期权激励计划中首次授权股票期权的</w:t>
      </w:r>
      <w:r>
        <w:rPr>
          <w:spacing w:val="-73"/>
        </w:rPr>
        <w:t> </w:t>
      </w:r>
      <w:r>
        <w:rPr>
          <w:spacing w:val="-73"/>
        </w:rPr>
      </w:r>
      <w:r>
        <w:rPr>
          <w:rFonts w:ascii="Times New Roman" w:hAnsi="Times New Roman" w:cs="Times New Roman" w:eastAsia="Times New Roman" w:hint="default"/>
        </w:rPr>
        <w:t>59</w:t>
      </w:r>
      <w:r>
        <w:rPr>
          <w:rFonts w:ascii="Times New Roman" w:hAnsi="Times New Roman" w:cs="Times New Roman" w:eastAsia="Times New Roman" w:hint="default"/>
          <w:spacing w:val="-23"/>
        </w:rPr>
        <w:t> </w:t>
      </w:r>
      <w:r>
        <w:rPr>
          <w:spacing w:val="20"/>
        </w:rPr>
        <w:t>名激励对象在第二个行权期行权的股票期权共计</w:t>
      </w:r>
      <w:r>
        <w:rPr>
          <w:spacing w:val="-73"/>
        </w:rPr>
        <w:t> </w:t>
      </w:r>
      <w:r>
        <w:rPr>
          <w:rFonts w:ascii="Times New Roman" w:hAnsi="Times New Roman" w:cs="Times New Roman" w:eastAsia="Times New Roman" w:hint="default"/>
        </w:rPr>
        <w:t>103.86</w:t>
      </w:r>
      <w:r>
        <w:rPr>
          <w:rFonts w:ascii="Times New Roman" w:hAnsi="Times New Roman" w:cs="Times New Roman" w:eastAsia="Times New Roman" w:hint="default"/>
          <w:spacing w:val="-23"/>
        </w:rPr>
        <w:t> </w:t>
      </w:r>
      <w:r>
        <w:rPr>
          <w:spacing w:val="14"/>
        </w:rPr>
        <w:t>万份，</w:t>
      </w:r>
      <w:r>
        <w:rPr>
          <w:spacing w:val="-80"/>
        </w:rPr>
        <w:t> </w:t>
      </w:r>
      <w:r>
        <w:rPr>
          <w:spacing w:val="17"/>
        </w:rPr>
        <w:t>行权价格为</w:t>
      </w:r>
      <w:r>
        <w:rPr>
          <w:spacing w:val="-77"/>
        </w:rPr>
        <w:t> </w:t>
      </w:r>
      <w:r>
        <w:rPr>
          <w:rFonts w:ascii="Times New Roman" w:hAnsi="Times New Roman" w:cs="Times New Roman" w:eastAsia="Times New Roman" w:hint="default"/>
        </w:rPr>
        <w:t>6.54</w:t>
      </w:r>
      <w:r>
        <w:rPr>
          <w:rFonts w:ascii="Times New Roman" w:hAnsi="Times New Roman" w:cs="Times New Roman" w:eastAsia="Times New Roman" w:hint="default"/>
          <w:spacing w:val="-23"/>
        </w:rPr>
        <w:t> </w:t>
      </w:r>
      <w:r>
        <w:rPr>
          <w:spacing w:val="11"/>
        </w:rPr>
        <w:t>元</w:t>
      </w:r>
      <w:r>
        <w:rPr>
          <w:rFonts w:ascii="Times New Roman" w:hAnsi="Times New Roman" w:cs="Times New Roman" w:eastAsia="Times New Roman" w:hint="default"/>
          <w:spacing w:val="11"/>
        </w:rPr>
        <w:t>/</w:t>
      </w:r>
      <w:r>
        <w:rPr>
          <w:rFonts w:ascii="Times New Roman" w:hAnsi="Times New Roman" w:cs="Times New Roman" w:eastAsia="Times New Roman" w:hint="default"/>
          <w:spacing w:val="-26"/>
        </w:rPr>
        <w:t> </w:t>
      </w:r>
      <w:r>
        <w:rPr>
          <w:spacing w:val="11"/>
        </w:rPr>
        <w:t>股，</w:t>
      </w:r>
      <w:r>
        <w:rPr>
          <w:spacing w:val="-80"/>
        </w:rPr>
        <w:t> </w:t>
      </w:r>
      <w:r>
        <w:rPr>
          <w:spacing w:val="10"/>
        </w:rPr>
        <w:t>其中</w:t>
      </w:r>
    </w:p>
    <w:p>
      <w:pPr>
        <w:pStyle w:val="BodyText"/>
        <w:spacing w:line="300" w:lineRule="exact"/>
        <w:ind w:right="996"/>
        <w:jc w:val="left"/>
      </w:pPr>
      <w:r>
        <w:rPr>
          <w:rFonts w:ascii="Times New Roman" w:hAnsi="Times New Roman" w:cs="Times New Roman" w:eastAsia="Times New Roman" w:hint="default"/>
        </w:rPr>
        <w:t>1,038,600.00</w:t>
      </w:r>
      <w:r>
        <w:rPr/>
        <w:t>元增加股本，其余</w:t>
      </w:r>
      <w:r>
        <w:rPr>
          <w:rFonts w:ascii="Times New Roman" w:hAnsi="Times New Roman" w:cs="Times New Roman" w:eastAsia="Times New Roman" w:hint="default"/>
        </w:rPr>
        <w:t>5,753,844.00</w:t>
      </w:r>
      <w:r>
        <w:rPr/>
        <w:t>元计入资本公积。</w:t>
      </w:r>
    </w:p>
    <w:p>
      <w:pPr>
        <w:spacing w:line="240" w:lineRule="auto" w:before="12"/>
        <w:rPr>
          <w:rFonts w:ascii="宋体" w:hAnsi="宋体" w:cs="宋体" w:eastAsia="宋体" w:hint="default"/>
          <w:sz w:val="18"/>
          <w:szCs w:val="18"/>
        </w:rPr>
      </w:pPr>
    </w:p>
    <w:p>
      <w:pPr>
        <w:pStyle w:val="BodyText"/>
        <w:spacing w:line="240" w:lineRule="auto"/>
        <w:ind w:left="592" w:right="996"/>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日公司召开的第四届董事会第十七次（临时）会议审议通过了《关于向激励对象首</w:t>
      </w:r>
    </w:p>
    <w:p>
      <w:pPr>
        <w:spacing w:after="0" w:line="240" w:lineRule="auto"/>
        <w:jc w:val="left"/>
        <w:sectPr>
          <w:pgSz w:w="11910" w:h="16840"/>
          <w:pgMar w:header="877" w:footer="980" w:top="1060" w:bottom="1160" w:left="980" w:right="0"/>
        </w:sectPr>
      </w:pPr>
    </w:p>
    <w:p>
      <w:pPr>
        <w:spacing w:line="240" w:lineRule="auto" w:before="4"/>
        <w:rPr>
          <w:rFonts w:ascii="宋体" w:hAnsi="宋体" w:cs="宋体" w:eastAsia="宋体" w:hint="default"/>
          <w:sz w:val="24"/>
          <w:szCs w:val="24"/>
        </w:rPr>
      </w:pPr>
    </w:p>
    <w:p>
      <w:pPr>
        <w:pStyle w:val="BodyText"/>
        <w:spacing w:line="249" w:lineRule="auto" w:before="32"/>
        <w:ind w:right="1128"/>
        <w:jc w:val="both"/>
      </w:pPr>
      <w:r>
        <w:rPr>
          <w:spacing w:val="-2"/>
        </w:rPr>
        <w:t>次授予限制性股票的议案》，公司授予</w:t>
      </w:r>
      <w:r>
        <w:rPr>
          <w:rFonts w:ascii="Times New Roman" w:hAnsi="Times New Roman" w:cs="Times New Roman" w:eastAsia="Times New Roman" w:hint="default"/>
          <w:spacing w:val="-2"/>
        </w:rPr>
        <w:t>68</w:t>
      </w:r>
      <w:r>
        <w:rPr>
          <w:spacing w:val="-2"/>
        </w:rPr>
        <w:t>名激励对象</w:t>
      </w:r>
      <w:r>
        <w:rPr>
          <w:rFonts w:ascii="Times New Roman" w:hAnsi="Times New Roman" w:cs="Times New Roman" w:eastAsia="Times New Roman" w:hint="default"/>
          <w:spacing w:val="-2"/>
        </w:rPr>
        <w:t>690</w:t>
      </w:r>
      <w:r>
        <w:rPr>
          <w:spacing w:val="-2"/>
        </w:rPr>
        <w:t>万股限制性股票。</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20</w:t>
      </w:r>
      <w:r>
        <w:rPr>
          <w:spacing w:val="-2"/>
        </w:rPr>
        <w:t>日公司召开的</w:t>
      </w:r>
      <w:r>
        <w:rPr>
          <w:spacing w:val="-58"/>
        </w:rPr>
        <w:t> </w:t>
      </w:r>
      <w:r>
        <w:rPr>
          <w:spacing w:val="-58"/>
        </w:rPr>
      </w:r>
      <w:r>
        <w:rPr>
          <w:spacing w:val="-2"/>
        </w:rPr>
        <w:t>第四届董事会第十九次（临时）会议审议通过《关于调整公司</w:t>
      </w:r>
      <w:r>
        <w:rPr>
          <w:rFonts w:ascii="Times New Roman" w:hAnsi="Times New Roman" w:cs="Times New Roman" w:eastAsia="Times New Roman" w:hint="default"/>
          <w:spacing w:val="-2"/>
        </w:rPr>
        <w:t>2018</w:t>
      </w:r>
      <w:r>
        <w:rPr>
          <w:spacing w:val="-2"/>
        </w:rPr>
        <w:t>年限制性股票激励计划相关事项的</w:t>
      </w:r>
      <w:r>
        <w:rPr>
          <w:spacing w:val="-66"/>
        </w:rPr>
        <w:t> </w:t>
      </w:r>
      <w:r>
        <w:rPr>
          <w:spacing w:val="-66"/>
        </w:rPr>
      </w:r>
      <w:r>
        <w:rPr>
          <w:spacing w:val="-2"/>
        </w:rPr>
        <w:t>议案》，公司对首次授予的激励对象名单及获授的限制性股票数量进行调整，首次授予激励对象人数</w:t>
      </w:r>
      <w:r>
        <w:rPr>
          <w:spacing w:val="-71"/>
        </w:rPr>
        <w:t> </w:t>
      </w:r>
      <w:r>
        <w:rPr>
          <w:spacing w:val="-71"/>
        </w:rPr>
      </w:r>
      <w:r>
        <w:rPr/>
        <w:t>由</w:t>
      </w:r>
      <w:r>
        <w:rPr>
          <w:rFonts w:ascii="Times New Roman" w:hAnsi="Times New Roman" w:cs="Times New Roman" w:eastAsia="Times New Roman" w:hint="default"/>
        </w:rPr>
        <w:t>68</w:t>
      </w:r>
      <w:r>
        <w:rPr/>
        <w:t>名调整为</w:t>
      </w:r>
      <w:r>
        <w:rPr>
          <w:rFonts w:ascii="Times New Roman" w:hAnsi="Times New Roman" w:cs="Times New Roman" w:eastAsia="Times New Roman" w:hint="default"/>
        </w:rPr>
        <w:t>46</w:t>
      </w:r>
      <w:r>
        <w:rPr/>
        <w:t>名，首次授予限制性股票由</w:t>
      </w:r>
      <w:r>
        <w:rPr>
          <w:rFonts w:ascii="Times New Roman" w:hAnsi="Times New Roman" w:cs="Times New Roman" w:eastAsia="Times New Roman" w:hint="default"/>
        </w:rPr>
        <w:t>690</w:t>
      </w:r>
      <w:r>
        <w:rPr/>
        <w:t>万股调整为</w:t>
      </w:r>
      <w:r>
        <w:rPr>
          <w:rFonts w:ascii="Times New Roman" w:hAnsi="Times New Roman" w:cs="Times New Roman" w:eastAsia="Times New Roman" w:hint="default"/>
        </w:rPr>
        <w:t>367</w:t>
      </w:r>
      <w:r>
        <w:rPr/>
        <w:t>万，预留的限制性股票不变。</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月</w:t>
      </w:r>
      <w:r>
        <w:rPr>
          <w:rFonts w:ascii="Times New Roman" w:hAnsi="Times New Roman" w:cs="Times New Roman" w:eastAsia="Times New Roman" w:hint="default"/>
        </w:rPr>
        <w:t>4</w:t>
      </w:r>
      <w:r>
        <w:rPr/>
        <w:t>日公司召开第四届董事会第二十次（临时）会议审议通过了《关于变更公司注册资本的议案》，</w:t>
      </w:r>
      <w:r>
        <w:rPr>
          <w:spacing w:val="-42"/>
        </w:rPr>
        <w:t> </w:t>
      </w:r>
      <w:r>
        <w:rPr>
          <w:spacing w:val="-42"/>
        </w:rPr>
      </w:r>
      <w:r>
        <w:rPr/>
        <w:t>公司注册资本从</w:t>
      </w:r>
      <w:r>
        <w:rPr>
          <w:rFonts w:ascii="Times New Roman" w:hAnsi="Times New Roman" w:cs="Times New Roman" w:eastAsia="Times New Roman" w:hint="default"/>
        </w:rPr>
        <w:t>26,103.86</w:t>
      </w:r>
      <w:r>
        <w:rPr/>
        <w:t>万元人民币变更为</w:t>
      </w:r>
      <w:r>
        <w:rPr>
          <w:rFonts w:ascii="Times New Roman" w:hAnsi="Times New Roman" w:cs="Times New Roman" w:eastAsia="Times New Roman" w:hint="default"/>
        </w:rPr>
        <w:t>26,470.86</w:t>
      </w:r>
      <w:r>
        <w:rPr/>
        <w:t>万元人民币。</w:t>
      </w:r>
    </w:p>
    <w:p>
      <w:pPr>
        <w:spacing w:line="240" w:lineRule="auto" w:before="2"/>
        <w:rPr>
          <w:rFonts w:ascii="宋体" w:hAnsi="宋体" w:cs="宋体" w:eastAsia="宋体" w:hint="default"/>
          <w:sz w:val="18"/>
          <w:szCs w:val="18"/>
        </w:rPr>
      </w:pPr>
    </w:p>
    <w:p>
      <w:pPr>
        <w:pStyle w:val="BodyText"/>
        <w:spacing w:line="244" w:lineRule="auto"/>
        <w:ind w:right="1128" w:firstLine="439"/>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3</w:t>
      </w:r>
      <w:r>
        <w:rPr>
          <w:spacing w:val="-2"/>
        </w:rPr>
        <w:t>日，公司召开了第四届董事会第二十四次（临时）会议和第四届监事会第十五次（临</w:t>
      </w:r>
      <w:r>
        <w:rPr>
          <w:w w:val="100"/>
        </w:rPr>
        <w:t> </w:t>
      </w:r>
      <w:r>
        <w:rPr/>
        <w:t>时）会议并于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15</w:t>
      </w:r>
      <w:r>
        <w:rPr/>
        <w:t>日召开了</w:t>
      </w:r>
      <w:r>
        <w:rPr>
          <w:rFonts w:ascii="Times New Roman" w:hAnsi="Times New Roman" w:cs="Times New Roman" w:eastAsia="Times New Roman" w:hint="default"/>
        </w:rPr>
        <w:t>2018</w:t>
      </w:r>
      <w:r>
        <w:rPr/>
        <w:t>年年度股东大会审议通过了《关于回购注销部分限制性股票</w:t>
      </w:r>
      <w:r>
        <w:rPr>
          <w:spacing w:val="-49"/>
        </w:rPr>
        <w:t> </w:t>
      </w:r>
      <w:r>
        <w:rPr>
          <w:spacing w:val="-49"/>
        </w:rPr>
      </w:r>
      <w:r>
        <w:rPr>
          <w:spacing w:val="-2"/>
        </w:rPr>
        <w:t>的议案》，同意回购注销已获授但尚未解锁的限制性股票共</w:t>
      </w:r>
      <w:r>
        <w:rPr>
          <w:rFonts w:ascii="Times New Roman" w:hAnsi="Times New Roman" w:cs="Times New Roman" w:eastAsia="Times New Roman" w:hint="default"/>
          <w:spacing w:val="-2"/>
        </w:rPr>
        <w:t>1,468,500</w:t>
      </w:r>
      <w:r>
        <w:rPr>
          <w:spacing w:val="-2"/>
        </w:rPr>
        <w:t>股，回购价格为</w:t>
      </w:r>
      <w:r>
        <w:rPr>
          <w:rFonts w:ascii="Times New Roman" w:hAnsi="Times New Roman" w:cs="Times New Roman" w:eastAsia="Times New Roman" w:hint="default"/>
          <w:spacing w:val="-2"/>
        </w:rPr>
        <w:t>6.20</w:t>
      </w:r>
      <w:r>
        <w:rPr>
          <w:spacing w:val="-2"/>
        </w:rPr>
        <w:t>元</w:t>
      </w:r>
      <w:r>
        <w:rPr>
          <w:rFonts w:ascii="Times New Roman" w:hAnsi="Times New Roman" w:cs="Times New Roman" w:eastAsia="Times New Roman" w:hint="default"/>
          <w:spacing w:val="-2"/>
        </w:rPr>
        <w:t>/</w:t>
      </w:r>
      <w:r>
        <w:rPr>
          <w:spacing w:val="-2"/>
        </w:rPr>
        <w:t>股加银行</w:t>
      </w:r>
      <w:r>
        <w:rPr>
          <w:spacing w:val="-59"/>
        </w:rPr>
        <w:t> </w:t>
      </w:r>
      <w:r>
        <w:rPr>
          <w:spacing w:val="-59"/>
        </w:rPr>
      </w:r>
      <w:r>
        <w:rPr/>
        <w:t>同期存款利息。本次回购注销完成后，公司总股本由</w:t>
      </w:r>
      <w:r>
        <w:rPr>
          <w:rFonts w:ascii="Times New Roman" w:hAnsi="Times New Roman" w:cs="Times New Roman" w:eastAsia="Times New Roman" w:hint="default"/>
        </w:rPr>
        <w:t>264,708,600</w:t>
      </w:r>
      <w:r>
        <w:rPr/>
        <w:t>股减至</w:t>
      </w:r>
      <w:r>
        <w:rPr>
          <w:rFonts w:ascii="Times New Roman" w:hAnsi="Times New Roman" w:cs="Times New Roman" w:eastAsia="Times New Roman" w:hint="default"/>
        </w:rPr>
        <w:t>263,240,100</w:t>
      </w:r>
      <w:r>
        <w:rPr/>
        <w:t>股。</w:t>
      </w:r>
    </w:p>
    <w:p>
      <w:pPr>
        <w:spacing w:line="240" w:lineRule="auto" w:before="7"/>
        <w:rPr>
          <w:rFonts w:ascii="宋体" w:hAnsi="宋体" w:cs="宋体" w:eastAsia="宋体" w:hint="default"/>
          <w:sz w:val="18"/>
          <w:szCs w:val="18"/>
        </w:rPr>
      </w:pPr>
    </w:p>
    <w:p>
      <w:pPr>
        <w:pStyle w:val="BodyText"/>
        <w:spacing w:line="244" w:lineRule="auto"/>
        <w:ind w:right="1127" w:firstLine="439"/>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25</w:t>
      </w:r>
      <w:r>
        <w:rPr/>
        <w:t>日，公司召开第四届董事会第二十六次会议及第四届监事会第十七次会议，审议通</w:t>
      </w:r>
      <w:r>
        <w:rPr>
          <w:w w:val="100"/>
        </w:rPr>
        <w:t> </w:t>
      </w:r>
      <w:r>
        <w:rPr>
          <w:spacing w:val="-2"/>
        </w:rPr>
        <w:t>过了《关于调整公司</w:t>
      </w:r>
      <w:r>
        <w:rPr>
          <w:rFonts w:ascii="Times New Roman" w:hAnsi="Times New Roman" w:cs="Times New Roman" w:eastAsia="Times New Roman" w:hint="default"/>
          <w:spacing w:val="-2"/>
        </w:rPr>
        <w:t>2018</w:t>
      </w:r>
      <w:r>
        <w:rPr>
          <w:spacing w:val="-2"/>
        </w:rPr>
        <w:t>年限制性股票激励计划预留授予限制性股票授予价格的议案》、《关于向激</w:t>
      </w:r>
      <w:r>
        <w:rPr>
          <w:spacing w:val="-70"/>
        </w:rPr>
        <w:t> </w:t>
      </w:r>
      <w:r>
        <w:rPr>
          <w:spacing w:val="-70"/>
        </w:rPr>
      </w:r>
      <w:r>
        <w:rPr/>
        <w:t>励对象授予预留限制性股票的议案》，鉴于公司 </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年限制性股票激励计划预留部分股份的授予条</w:t>
      </w:r>
      <w:r>
        <w:rPr>
          <w:w w:val="100"/>
        </w:rPr>
        <w:t> </w:t>
      </w:r>
      <w:r>
        <w:rPr/>
        <w:t>件已成就，公司董事会同意以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25</w:t>
      </w:r>
      <w:r>
        <w:rPr/>
        <w:t>日作为限制性股票的授予日，向符合条件的</w:t>
      </w:r>
      <w:r>
        <w:rPr>
          <w:rFonts w:ascii="Times New Roman" w:hAnsi="Times New Roman" w:cs="Times New Roman" w:eastAsia="Times New Roman" w:hint="default"/>
        </w:rPr>
        <w:t>14</w:t>
      </w:r>
      <w:r>
        <w:rPr/>
        <w:t>名激励对象</w:t>
      </w:r>
      <w:r>
        <w:rPr>
          <w:spacing w:val="-45"/>
        </w:rPr>
        <w:t> </w:t>
      </w:r>
      <w:r>
        <w:rPr>
          <w:spacing w:val="-45"/>
        </w:rPr>
      </w:r>
      <w:r>
        <w:rPr>
          <w:spacing w:val="-1"/>
        </w:rPr>
        <w:t>授予</w:t>
      </w:r>
      <w:r>
        <w:rPr>
          <w:rFonts w:ascii="Times New Roman" w:hAnsi="Times New Roman" w:cs="Times New Roman" w:eastAsia="Times New Roman" w:hint="default"/>
          <w:spacing w:val="-1"/>
        </w:rPr>
        <w:t>70.77</w:t>
      </w:r>
      <w:r>
        <w:rPr>
          <w:spacing w:val="-1"/>
        </w:rPr>
        <w:t>万股预留限制性股票，授予价格为</w:t>
      </w:r>
      <w:r>
        <w:rPr>
          <w:rFonts w:ascii="Times New Roman" w:hAnsi="Times New Roman" w:cs="Times New Roman" w:eastAsia="Times New Roman" w:hint="default"/>
          <w:spacing w:val="-1"/>
        </w:rPr>
        <w:t>6.18</w:t>
      </w:r>
      <w:r>
        <w:rPr>
          <w:spacing w:val="-1"/>
        </w:rPr>
        <w:t>元</w:t>
      </w:r>
      <w:r>
        <w:rPr>
          <w:rFonts w:ascii="Times New Roman" w:hAnsi="Times New Roman" w:cs="Times New Roman" w:eastAsia="Times New Roman" w:hint="default"/>
          <w:spacing w:val="-1"/>
        </w:rPr>
        <w:t>/</w:t>
      </w:r>
      <w:r>
        <w:rPr>
          <w:spacing w:val="-1"/>
        </w:rPr>
        <w:t>股。</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25</w:t>
      </w:r>
      <w:r>
        <w:rPr>
          <w:spacing w:val="-1"/>
        </w:rPr>
        <w:t>日，公司召开第四届董事会第二</w:t>
      </w:r>
      <w:r>
        <w:rPr>
          <w:spacing w:val="-58"/>
        </w:rPr>
        <w:t> </w:t>
      </w:r>
      <w:r>
        <w:rPr>
          <w:spacing w:val="-58"/>
        </w:rPr>
      </w:r>
      <w:r>
        <w:rPr>
          <w:spacing w:val="-2"/>
        </w:rPr>
        <w:t>十七次会议及第四届监事会第十八次会议，审议通过了《关于调整</w:t>
      </w:r>
      <w:r>
        <w:rPr>
          <w:rFonts w:ascii="Times New Roman" w:hAnsi="Times New Roman" w:cs="Times New Roman" w:eastAsia="Times New Roman" w:hint="default"/>
          <w:spacing w:val="-2"/>
        </w:rPr>
        <w:t>2018</w:t>
      </w:r>
      <w:r>
        <w:rPr>
          <w:spacing w:val="-2"/>
        </w:rPr>
        <w:t>年限制性股票激励计划预留授</w:t>
      </w:r>
      <w:r>
        <w:rPr>
          <w:spacing w:val="-65"/>
        </w:rPr>
        <w:t> </w:t>
      </w:r>
      <w:r>
        <w:rPr>
          <w:spacing w:val="-65"/>
        </w:rPr>
      </w:r>
      <w:r>
        <w:rPr>
          <w:spacing w:val="-2"/>
        </w:rPr>
        <w:t>予激励对象名单、授予数量的议案》，本次激励计划预留授予的激励对象由</w:t>
      </w:r>
      <w:r>
        <w:rPr>
          <w:rFonts w:ascii="Times New Roman" w:hAnsi="Times New Roman" w:cs="Times New Roman" w:eastAsia="Times New Roman" w:hint="default"/>
          <w:spacing w:val="-2"/>
        </w:rPr>
        <w:t>14</w:t>
      </w:r>
      <w:r>
        <w:rPr>
          <w:spacing w:val="-2"/>
        </w:rPr>
        <w:t>名调整为</w:t>
      </w:r>
      <w:r>
        <w:rPr>
          <w:rFonts w:ascii="Times New Roman" w:hAnsi="Times New Roman" w:cs="Times New Roman" w:eastAsia="Times New Roman" w:hint="default"/>
          <w:spacing w:val="-2"/>
        </w:rPr>
        <w:t>12</w:t>
      </w:r>
      <w:r>
        <w:rPr>
          <w:spacing w:val="-2"/>
        </w:rPr>
        <w:t>名，本次激</w:t>
      </w:r>
      <w:r>
        <w:rPr>
          <w:spacing w:val="-65"/>
        </w:rPr>
        <w:t> </w:t>
      </w:r>
      <w:r>
        <w:rPr>
          <w:spacing w:val="-65"/>
        </w:rPr>
      </w:r>
      <w:r>
        <w:rPr/>
        <w:t>励计划拟授予的预留限制性股票数量由</w:t>
      </w:r>
      <w:r>
        <w:rPr>
          <w:rFonts w:ascii="Times New Roman" w:hAnsi="Times New Roman" w:cs="Times New Roman" w:eastAsia="Times New Roman" w:hint="default"/>
        </w:rPr>
        <w:t>70.77</w:t>
      </w:r>
      <w:r>
        <w:rPr/>
        <w:t>万股调整为</w:t>
      </w:r>
      <w:r>
        <w:rPr>
          <w:rFonts w:ascii="Times New Roman" w:hAnsi="Times New Roman" w:cs="Times New Roman" w:eastAsia="Times New Roman" w:hint="default"/>
        </w:rPr>
        <w:t>43.17</w:t>
      </w:r>
      <w:r>
        <w:rPr/>
        <w:t>万股。本次授予预留限制性股票事项完</w:t>
      </w:r>
      <w:r>
        <w:rPr>
          <w:spacing w:val="-47"/>
        </w:rPr>
        <w:t> </w:t>
      </w:r>
      <w:r>
        <w:rPr>
          <w:spacing w:val="-47"/>
        </w:rPr>
      </w:r>
      <w:r>
        <w:rPr/>
        <w:t>成后，公司总股本由</w:t>
      </w:r>
      <w:r>
        <w:rPr>
          <w:rFonts w:ascii="Times New Roman" w:hAnsi="Times New Roman" w:cs="Times New Roman" w:eastAsia="Times New Roman" w:hint="default"/>
        </w:rPr>
        <w:t>263,240,100</w:t>
      </w:r>
      <w:r>
        <w:rPr/>
        <w:t>股增加至</w:t>
      </w:r>
      <w:r>
        <w:rPr>
          <w:rFonts w:ascii="Times New Roman" w:hAnsi="Times New Roman" w:cs="Times New Roman" w:eastAsia="Times New Roman" w:hint="default"/>
        </w:rPr>
        <w:t>263,671,800</w:t>
      </w:r>
      <w:r>
        <w:rPr/>
        <w:t>股。</w:t>
      </w:r>
    </w:p>
    <w:p>
      <w:pPr>
        <w:spacing w:line="240" w:lineRule="auto" w:before="7"/>
        <w:rPr>
          <w:rFonts w:ascii="宋体" w:hAnsi="宋体" w:cs="宋体" w:eastAsia="宋体" w:hint="default"/>
          <w:sz w:val="18"/>
          <w:szCs w:val="18"/>
        </w:rPr>
      </w:pPr>
    </w:p>
    <w:p>
      <w:pPr>
        <w:pStyle w:val="BodyText"/>
        <w:spacing w:line="244" w:lineRule="auto"/>
        <w:ind w:right="1128" w:firstLine="439"/>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t>日，公司召开了第四届董事会第二十九次会议，审议通过了《关于回购注销部分限</w:t>
      </w:r>
      <w:r>
        <w:rPr>
          <w:w w:val="100"/>
        </w:rPr>
        <w:t> </w:t>
      </w:r>
      <w:r>
        <w:rPr>
          <w:spacing w:val="7"/>
        </w:rPr>
        <w:t>制性股票的议案》，同意回购注销</w:t>
      </w:r>
      <w:r>
        <w:rPr>
          <w:rFonts w:ascii="Times New Roman" w:hAnsi="Times New Roman" w:cs="Times New Roman" w:eastAsia="Times New Roman" w:hint="default"/>
          <w:spacing w:val="7"/>
        </w:rPr>
        <w:t>402,500</w:t>
      </w:r>
      <w:r>
        <w:rPr>
          <w:rFonts w:ascii="Times New Roman" w:hAnsi="Times New Roman" w:cs="Times New Roman" w:eastAsia="Times New Roman" w:hint="default"/>
          <w:spacing w:val="55"/>
        </w:rPr>
        <w:t> </w:t>
      </w:r>
      <w:r>
        <w:rPr>
          <w:spacing w:val="9"/>
        </w:rPr>
        <w:t>股限制性股票。本次回购注销完成后，公司总股本由</w:t>
      </w:r>
      <w:r>
        <w:rPr>
          <w:spacing w:val="-93"/>
        </w:rPr>
        <w:t> </w:t>
      </w:r>
      <w:r>
        <w:rPr>
          <w:spacing w:val="-93"/>
        </w:rPr>
      </w:r>
      <w:r>
        <w:rPr>
          <w:rFonts w:ascii="Times New Roman" w:hAnsi="Times New Roman" w:cs="Times New Roman" w:eastAsia="Times New Roman" w:hint="default"/>
        </w:rPr>
        <w:t>263,671,800</w:t>
      </w:r>
      <w:r>
        <w:rPr/>
        <w:t>股减至</w:t>
      </w:r>
      <w:r>
        <w:rPr>
          <w:rFonts w:ascii="Times New Roman" w:hAnsi="Times New Roman" w:cs="Times New Roman" w:eastAsia="Times New Roman" w:hint="default"/>
        </w:rPr>
        <w:t>263,269,300</w:t>
      </w:r>
      <w:r>
        <w:rPr/>
        <w:t>股。</w:t>
      </w:r>
    </w:p>
    <w:p>
      <w:pPr>
        <w:spacing w:line="240" w:lineRule="auto" w:before="0"/>
        <w:rPr>
          <w:rFonts w:ascii="宋体" w:hAnsi="宋体" w:cs="宋体" w:eastAsia="宋体" w:hint="default"/>
          <w:sz w:val="30"/>
          <w:szCs w:val="30"/>
        </w:rPr>
      </w:pPr>
    </w:p>
    <w:p>
      <w:pPr>
        <w:spacing w:line="450" w:lineRule="atLeast" w:before="0"/>
        <w:ind w:left="508" w:right="996" w:hanging="356"/>
        <w:jc w:val="left"/>
        <w:rPr>
          <w:rFonts w:ascii="宋体" w:hAnsi="宋体" w:cs="宋体" w:eastAsia="宋体" w:hint="default"/>
          <w:sz w:val="22"/>
          <w:szCs w:val="22"/>
        </w:rPr>
      </w:pPr>
      <w:r>
        <w:rPr>
          <w:rFonts w:ascii="宋体" w:hAnsi="宋体" w:cs="宋体" w:eastAsia="宋体" w:hint="default"/>
          <w:b/>
          <w:bCs/>
          <w:sz w:val="22"/>
          <w:szCs w:val="22"/>
        </w:rPr>
        <w:t>（三）合并财务报表范围</w:t>
      </w:r>
      <w:r>
        <w:rPr>
          <w:rFonts w:ascii="宋体" w:hAnsi="宋体" w:cs="宋体" w:eastAsia="宋体" w:hint="default"/>
          <w:b/>
          <w:bCs/>
          <w:w w:val="99"/>
          <w:sz w:val="22"/>
          <w:szCs w:val="22"/>
        </w:rPr>
        <w:t> </w:t>
      </w:r>
      <w:r>
        <w:rPr>
          <w:rFonts w:ascii="宋体" w:hAnsi="宋体" w:cs="宋体" w:eastAsia="宋体" w:hint="default"/>
          <w:spacing w:val="-1"/>
          <w:sz w:val="22"/>
          <w:szCs w:val="22"/>
        </w:rPr>
        <w:t>本公司合并财务报表范围包括深圳卓页、深圳时代首游、</w:t>
      </w:r>
      <w:r>
        <w:rPr>
          <w:rFonts w:ascii="Times New Roman" w:hAnsi="Times New Roman" w:cs="Times New Roman" w:eastAsia="Times New Roman" w:hint="default"/>
          <w:spacing w:val="-1"/>
          <w:sz w:val="22"/>
          <w:szCs w:val="22"/>
        </w:rPr>
        <w:t>CUPLAY</w:t>
      </w:r>
      <w:r>
        <w:rPr>
          <w:rFonts w:ascii="宋体" w:hAnsi="宋体" w:cs="宋体" w:eastAsia="宋体" w:hint="default"/>
          <w:spacing w:val="-1"/>
          <w:sz w:val="22"/>
          <w:szCs w:val="22"/>
        </w:rPr>
        <w:t>、深圳苏摩、深圳宝腾互联等</w:t>
      </w:r>
    </w:p>
    <w:p>
      <w:pPr>
        <w:pStyle w:val="BodyText"/>
        <w:spacing w:line="244" w:lineRule="auto" w:before="7"/>
        <w:ind w:right="996"/>
        <w:jc w:val="left"/>
      </w:pPr>
      <w:r>
        <w:rPr>
          <w:rFonts w:ascii="Times New Roman" w:hAnsi="Times New Roman" w:cs="Times New Roman" w:eastAsia="Times New Roman" w:hint="default"/>
          <w:spacing w:val="-2"/>
        </w:rPr>
        <w:t>39</w:t>
      </w:r>
      <w:r>
        <w:rPr>
          <w:spacing w:val="-2"/>
        </w:rPr>
        <w:t>家子公司（子公司全称见附注九、</w:t>
      </w:r>
      <w:r>
        <w:rPr>
          <w:rFonts w:ascii="Times New Roman" w:hAnsi="Times New Roman" w:cs="Times New Roman" w:eastAsia="Times New Roman" w:hint="default"/>
          <w:spacing w:val="-2"/>
        </w:rPr>
        <w:t>1</w:t>
      </w:r>
      <w:r>
        <w:rPr>
          <w:spacing w:val="-2"/>
        </w:rPr>
        <w:t>）。与上年相比，因非同一控制下企业合并增加深圳娱游</w:t>
      </w:r>
      <w:r>
        <w:rPr>
          <w:rFonts w:ascii="Times New Roman" w:hAnsi="Times New Roman" w:cs="Times New Roman" w:eastAsia="Times New Roman" w:hint="default"/>
          <w:spacing w:val="-2"/>
        </w:rPr>
        <w:t>1</w:t>
      </w:r>
      <w:r>
        <w:rPr>
          <w:spacing w:val="-2"/>
        </w:rPr>
        <w:t>家子</w:t>
      </w:r>
      <w:r>
        <w:rPr>
          <w:spacing w:val="-69"/>
        </w:rPr>
        <w:t> </w:t>
      </w:r>
      <w:r>
        <w:rPr>
          <w:spacing w:val="-2"/>
        </w:rPr>
        <w:t>公司，新设增加乐山宝腾、山东科讯达恒、合肥宝腾、深圳利得链</w:t>
      </w:r>
      <w:r>
        <w:rPr>
          <w:rFonts w:ascii="Times New Roman" w:hAnsi="Times New Roman" w:cs="Times New Roman" w:eastAsia="Times New Roman" w:hint="default"/>
          <w:spacing w:val="-2"/>
        </w:rPr>
        <w:t>4</w:t>
      </w:r>
      <w:r>
        <w:rPr>
          <w:spacing w:val="-2"/>
        </w:rPr>
        <w:t>家子公司，因注销减少杭州九锡、</w:t>
      </w:r>
      <w:r>
        <w:rPr>
          <w:spacing w:val="-73"/>
        </w:rPr>
        <w:t> </w:t>
      </w:r>
      <w:r>
        <w:rPr>
          <w:spacing w:val="-73"/>
        </w:rPr>
      </w:r>
      <w:r>
        <w:rPr/>
        <w:t>霍尔果斯中青聚宝</w:t>
      </w:r>
      <w:r>
        <w:rPr>
          <w:rFonts w:ascii="Times New Roman" w:hAnsi="Times New Roman" w:cs="Times New Roman" w:eastAsia="Times New Roman" w:hint="default"/>
        </w:rPr>
        <w:t>2</w:t>
      </w:r>
      <w:r>
        <w:rPr/>
        <w:t>家子公司。</w:t>
      </w:r>
    </w:p>
    <w:p>
      <w:pPr>
        <w:spacing w:line="240" w:lineRule="auto" w:before="12"/>
        <w:rPr>
          <w:rFonts w:ascii="宋体" w:hAnsi="宋体" w:cs="宋体" w:eastAsia="宋体" w:hint="default"/>
          <w:sz w:val="21"/>
          <w:szCs w:val="21"/>
        </w:rPr>
      </w:pPr>
    </w:p>
    <w:p>
      <w:pPr>
        <w:pStyle w:val="Heading2"/>
        <w:spacing w:line="240" w:lineRule="auto"/>
        <w:ind w:right="996"/>
        <w:jc w:val="left"/>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、编制基础</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pStyle w:val="BodyText"/>
        <w:spacing w:line="259" w:lineRule="auto"/>
        <w:ind w:right="1128" w:firstLine="439"/>
        <w:jc w:val="both"/>
      </w:pPr>
      <w:r>
        <w:rPr>
          <w:spacing w:val="-2"/>
        </w:rPr>
        <w:t>本公司财务报表以持续经营为基础，根据实际发生的交易和事项，按照财政部颁布的《企业会计</w:t>
      </w:r>
      <w:r>
        <w:rPr>
          <w:w w:val="100"/>
        </w:rPr>
        <w:t> </w:t>
      </w:r>
      <w:r>
        <w:rPr/>
        <w:t>准则》及相关规定，并基于本附注</w:t>
      </w:r>
      <w:r>
        <w:rPr>
          <w:rFonts w:ascii="Times New Roman" w:hAnsi="Times New Roman" w:cs="Times New Roman" w:eastAsia="Times New Roman" w:hint="default"/>
        </w:rPr>
        <w:t>“</w:t>
      </w:r>
      <w:r>
        <w:rPr/>
        <w:t>四、重要会计政策及会计估计</w:t>
      </w:r>
      <w:r>
        <w:rPr>
          <w:rFonts w:ascii="Times New Roman" w:hAnsi="Times New Roman" w:cs="Times New Roman" w:eastAsia="Times New Roman" w:hint="default"/>
        </w:rPr>
        <w:t>”</w:t>
      </w:r>
      <w:r>
        <w:rPr/>
        <w:t>所述会计政策和会计估计编制。</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4"/>
          <w:szCs w:val="24"/>
        </w:rPr>
      </w:pPr>
    </w:p>
    <w:p>
      <w:pPr>
        <w:spacing w:before="0"/>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、持续经营</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p>
    <w:p>
      <w:pPr>
        <w:pStyle w:val="BodyText"/>
        <w:spacing w:line="259" w:lineRule="auto"/>
        <w:ind w:right="1142" w:firstLine="439"/>
        <w:jc w:val="both"/>
      </w:pPr>
      <w:r>
        <w:rPr>
          <w:spacing w:val="2"/>
        </w:rPr>
        <w:t>本公司有近期获利经营的历史且有财务资源支持，认为以持续经营为基础编制财务报表是合理</w:t>
      </w:r>
      <w:r>
        <w:rPr>
          <w:w w:val="100"/>
        </w:rPr>
        <w:t> </w:t>
      </w:r>
      <w:r>
        <w:rPr/>
        <w:t>的。</w:t>
      </w:r>
    </w:p>
    <w:p>
      <w:pPr>
        <w:spacing w:after="0" w:line="259" w:lineRule="auto"/>
        <w:jc w:val="both"/>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2"/>
        <w:ind w:right="996"/>
        <w:jc w:val="left"/>
        <w:rPr>
          <w:b w:val="0"/>
          <w:bCs w:val="0"/>
        </w:rPr>
      </w:pPr>
      <w:r>
        <w:rPr/>
        <w:t>五、重要会计政策及会计估计</w:t>
      </w:r>
      <w:r>
        <w:rPr>
          <w:b w:val="0"/>
          <w:bCs w:val="0"/>
        </w:rPr>
      </w:r>
    </w:p>
    <w:p>
      <w:pPr>
        <w:spacing w:line="240" w:lineRule="auto" w:before="6"/>
        <w:rPr>
          <w:rFonts w:ascii="宋体" w:hAnsi="宋体" w:cs="宋体" w:eastAsia="宋体" w:hint="default"/>
          <w:b/>
          <w:bCs/>
          <w:sz w:val="26"/>
          <w:szCs w:val="26"/>
        </w:rPr>
      </w:pPr>
    </w:p>
    <w:p>
      <w:pPr>
        <w:spacing w:before="0"/>
        <w:ind w:left="152" w:right="996"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spacing w:line="240" w:lineRule="auto" w:before="10"/>
        <w:rPr>
          <w:rFonts w:ascii="宋体" w:hAnsi="宋体" w:cs="宋体" w:eastAsia="宋体" w:hint="default"/>
          <w:sz w:val="12"/>
          <w:szCs w:val="12"/>
        </w:rPr>
      </w:pPr>
    </w:p>
    <w:p>
      <w:pPr>
        <w:pStyle w:val="BodyText"/>
        <w:spacing w:line="259" w:lineRule="auto"/>
        <w:ind w:right="1131" w:firstLine="439"/>
        <w:jc w:val="both"/>
      </w:pPr>
      <w:r>
        <w:rPr>
          <w:spacing w:val="-2"/>
        </w:rPr>
        <w:t>本公司根据实际生产经营特点制定的具体会计政策和会计估计包括营业周期、应收款项坏账准备</w:t>
      </w:r>
      <w:r>
        <w:rPr>
          <w:w w:val="100"/>
        </w:rPr>
        <w:t> </w:t>
      </w:r>
      <w:r>
        <w:rPr>
          <w:spacing w:val="-2"/>
        </w:rPr>
        <w:t>的确认和计量、固定资产分类及折旧方法、无形资产摊销、长期待摊费用摊销、收入确认和计量、政</w:t>
      </w:r>
      <w:r>
        <w:rPr>
          <w:spacing w:val="-72"/>
        </w:rPr>
        <w:t> </w:t>
      </w:r>
      <w:r>
        <w:rPr>
          <w:spacing w:val="-72"/>
        </w:rPr>
      </w:r>
      <w:r>
        <w:rPr/>
        <w:t>府补助等。</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5"/>
          <w:szCs w:val="25"/>
        </w:rPr>
      </w:pPr>
    </w:p>
    <w:p>
      <w:pPr>
        <w:spacing w:before="0"/>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sz w:val="21"/>
          <w:szCs w:val="21"/>
        </w:rPr>
      </w:r>
    </w:p>
    <w:p>
      <w:pPr>
        <w:spacing w:line="240" w:lineRule="auto" w:before="11"/>
        <w:rPr>
          <w:rFonts w:ascii="宋体" w:hAnsi="宋体" w:cs="宋体" w:eastAsia="宋体" w:hint="default"/>
          <w:b/>
          <w:bCs/>
          <w:sz w:val="23"/>
          <w:szCs w:val="23"/>
        </w:rPr>
      </w:pPr>
    </w:p>
    <w:p>
      <w:pPr>
        <w:pStyle w:val="BodyText"/>
        <w:spacing w:line="261" w:lineRule="auto"/>
        <w:ind w:right="1129" w:firstLine="439"/>
        <w:jc w:val="both"/>
      </w:pPr>
      <w:r>
        <w:rPr>
          <w:spacing w:val="-2"/>
        </w:rPr>
        <w:t>本公司编制的财务报表符合企业会计准则的要求，真实、完整地反映了本公司的财务状况、经营</w:t>
      </w:r>
      <w:r>
        <w:rPr>
          <w:w w:val="100"/>
        </w:rPr>
        <w:t> </w:t>
      </w:r>
      <w:r>
        <w:rPr/>
        <w:t>成果和现金流量等有关信息。</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5"/>
          <w:szCs w:val="25"/>
        </w:rPr>
      </w:pPr>
    </w:p>
    <w:p>
      <w:pPr>
        <w:spacing w:before="0"/>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p>
    <w:p>
      <w:pPr>
        <w:pStyle w:val="BodyText"/>
        <w:spacing w:line="240" w:lineRule="auto"/>
        <w:ind w:left="592" w:right="996"/>
        <w:jc w:val="left"/>
      </w:pPr>
      <w:r>
        <w:rPr/>
        <w:t>本公司的会计期间为公历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、记账本位币</w:t>
      </w:r>
      <w:r>
        <w:rPr>
          <w:rFonts w:ascii="宋体" w:hAnsi="宋体" w:cs="宋体" w:eastAsia="宋体" w:hint="default"/>
          <w:sz w:val="21"/>
          <w:szCs w:val="21"/>
        </w:rPr>
      </w:r>
    </w:p>
    <w:p>
      <w:pPr>
        <w:spacing w:line="240" w:lineRule="auto" w:before="11"/>
        <w:rPr>
          <w:rFonts w:ascii="宋体" w:hAnsi="宋体" w:cs="宋体" w:eastAsia="宋体" w:hint="default"/>
          <w:b/>
          <w:bCs/>
          <w:sz w:val="23"/>
          <w:szCs w:val="23"/>
        </w:rPr>
      </w:pPr>
    </w:p>
    <w:p>
      <w:pPr>
        <w:pStyle w:val="BodyText"/>
        <w:spacing w:line="240" w:lineRule="auto"/>
        <w:ind w:right="996"/>
        <w:jc w:val="left"/>
      </w:pPr>
      <w:r>
        <w:rPr/>
        <w:t>本公司以人民币为记账本位币。</w:t>
      </w:r>
    </w:p>
    <w:p>
      <w:pPr>
        <w:spacing w:line="240" w:lineRule="auto" w:before="7"/>
        <w:rPr>
          <w:rFonts w:ascii="宋体" w:hAnsi="宋体" w:cs="宋体" w:eastAsia="宋体" w:hint="default"/>
          <w:sz w:val="25"/>
          <w:szCs w:val="25"/>
        </w:rPr>
      </w:pPr>
    </w:p>
    <w:p>
      <w:pPr>
        <w:spacing w:before="0"/>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p>
    <w:p>
      <w:pPr>
        <w:pStyle w:val="BodyText"/>
        <w:spacing w:line="259" w:lineRule="auto"/>
        <w:ind w:right="1130" w:firstLine="439"/>
        <w:jc w:val="both"/>
      </w:pPr>
      <w:r>
        <w:rPr>
          <w:spacing w:val="-2"/>
        </w:rPr>
        <w:t>本公司作为合并方，在同一控制下企业合并中取得的资产和负债，在合并日按被合并方在最终控</w:t>
      </w:r>
      <w:r>
        <w:rPr>
          <w:w w:val="100"/>
        </w:rPr>
        <w:t> </w:t>
      </w:r>
      <w:r>
        <w:rPr>
          <w:spacing w:val="-2"/>
        </w:rPr>
        <w:t>制方合并报表中的账面价值计量。取得的净资产账面价值与支付的合并对价账面价值的差额，调整资</w:t>
      </w:r>
      <w:r>
        <w:rPr>
          <w:spacing w:val="-70"/>
        </w:rPr>
        <w:t> </w:t>
      </w:r>
      <w:r>
        <w:rPr>
          <w:spacing w:val="-70"/>
        </w:rPr>
      </w:r>
      <w:r>
        <w:rPr/>
        <w:t>本公积；资本公积不足冲减的，调整留存收益。</w:t>
      </w:r>
    </w:p>
    <w:p>
      <w:pPr>
        <w:pStyle w:val="BodyText"/>
        <w:spacing w:line="259" w:lineRule="auto" w:before="126"/>
        <w:ind w:right="1128" w:firstLine="439"/>
        <w:jc w:val="both"/>
      </w:pPr>
      <w:r>
        <w:rPr>
          <w:spacing w:val="-2"/>
        </w:rPr>
        <w:t>在非同一控制下企业合并中取得的被购买方可辨认资产、负债及或有负债在收购日以公允价值计</w:t>
      </w:r>
      <w:r>
        <w:rPr>
          <w:w w:val="100"/>
        </w:rPr>
        <w:t> </w:t>
      </w:r>
      <w:r>
        <w:rPr>
          <w:spacing w:val="-2"/>
        </w:rPr>
        <w:t>量。合并成本为本公司在购买日为取得对被购买方的控制权而支付的现金或非现金资产、发行或承担</w:t>
      </w:r>
      <w:r>
        <w:rPr>
          <w:spacing w:val="-70"/>
        </w:rPr>
        <w:t> </w:t>
      </w:r>
      <w:r>
        <w:rPr>
          <w:spacing w:val="-70"/>
        </w:rPr>
      </w:r>
      <w:r>
        <w:rPr>
          <w:spacing w:val="-2"/>
        </w:rPr>
        <w:t>的负债、发行的权益性证券等的公允价值以及在企业合并中发生的各项直接相关费用之和（通过多次</w:t>
      </w:r>
      <w:r>
        <w:rPr>
          <w:spacing w:val="-70"/>
        </w:rPr>
        <w:t> </w:t>
      </w:r>
      <w:r>
        <w:rPr>
          <w:spacing w:val="-70"/>
        </w:rPr>
      </w:r>
      <w:r>
        <w:rPr>
          <w:spacing w:val="-2"/>
        </w:rPr>
        <w:t>交易分步实现的企业合并，其合并成本为每一单项交易的成本之和）。合并成本大于合并中取得的被</w:t>
      </w:r>
      <w:r>
        <w:rPr>
          <w:spacing w:val="-70"/>
        </w:rPr>
        <w:t> </w:t>
      </w:r>
      <w:r>
        <w:rPr>
          <w:spacing w:val="-70"/>
        </w:rPr>
      </w:r>
      <w:r>
        <w:rPr>
          <w:spacing w:val="-2"/>
        </w:rPr>
        <w:t>购买方可辨认净资产公允价值份额的差额，确认为商誉；合并成本小于合并中取得的被购买方可辨认</w:t>
      </w:r>
      <w:r>
        <w:rPr>
          <w:spacing w:val="-70"/>
        </w:rPr>
        <w:t> </w:t>
      </w:r>
      <w:r>
        <w:rPr>
          <w:spacing w:val="-70"/>
        </w:rPr>
      </w:r>
      <w:r>
        <w:rPr>
          <w:spacing w:val="-2"/>
        </w:rPr>
        <w:t>净资产公允价值份额的，首先对合并中取得的各项可辨认资产、负债及或有负债的公允价值、以及合</w:t>
      </w:r>
      <w:r>
        <w:rPr>
          <w:spacing w:val="-66"/>
        </w:rPr>
        <w:t> </w:t>
      </w:r>
      <w:r>
        <w:rPr>
          <w:spacing w:val="-66"/>
        </w:rPr>
      </w:r>
      <w:r>
        <w:rPr>
          <w:spacing w:val="-2"/>
        </w:rPr>
        <w:t>并对价的非现金资产或发行的权益性证券等的公允价值进行复核，经复核后，合并成本仍小于合并中</w:t>
      </w:r>
      <w:r>
        <w:rPr>
          <w:spacing w:val="-69"/>
        </w:rPr>
        <w:t> </w:t>
      </w:r>
      <w:r>
        <w:rPr>
          <w:spacing w:val="-69"/>
        </w:rPr>
      </w:r>
      <w:r>
        <w:rPr/>
        <w:t>取得的被购买方可辨认净资产公允价值份额的，将其差额计入合并当期营业外收入。</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5"/>
          <w:szCs w:val="25"/>
        </w:rPr>
      </w:pPr>
    </w:p>
    <w:p>
      <w:pPr>
        <w:spacing w:before="0"/>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line="240" w:lineRule="auto" w:before="11"/>
        <w:rPr>
          <w:rFonts w:ascii="宋体" w:hAnsi="宋体" w:cs="宋体" w:eastAsia="宋体" w:hint="default"/>
          <w:b/>
          <w:bCs/>
          <w:sz w:val="23"/>
          <w:szCs w:val="23"/>
        </w:rPr>
      </w:pPr>
    </w:p>
    <w:p>
      <w:pPr>
        <w:pStyle w:val="BodyText"/>
        <w:spacing w:line="360" w:lineRule="auto"/>
        <w:ind w:left="592" w:right="996"/>
        <w:jc w:val="left"/>
      </w:pPr>
      <w:r>
        <w:rPr/>
        <w:t>本公司将所有控制的子公司及结构化主体纳入合并财务报表范围。</w:t>
      </w:r>
      <w:r>
        <w:rPr>
          <w:w w:val="100"/>
        </w:rPr>
        <w:t> </w:t>
      </w:r>
      <w:r>
        <w:rPr>
          <w:spacing w:val="-2"/>
        </w:rPr>
        <w:t>在编制合并财务报表时，子公司与本公司采用的会计政策或会计期间不一致的，按照本公司的会</w:t>
      </w:r>
    </w:p>
    <w:p>
      <w:pPr>
        <w:spacing w:after="0" w:line="360" w:lineRule="auto"/>
        <w:jc w:val="left"/>
        <w:sectPr>
          <w:pgSz w:w="11910" w:h="16840"/>
          <w:pgMar w:header="877" w:footer="980" w:top="1060" w:bottom="1160" w:left="980" w:right="0"/>
        </w:sectPr>
      </w:pPr>
    </w:p>
    <w:p>
      <w:pPr>
        <w:spacing w:line="240" w:lineRule="auto" w:before="4"/>
        <w:rPr>
          <w:rFonts w:ascii="宋体" w:hAnsi="宋体" w:cs="宋体" w:eastAsia="宋体" w:hint="default"/>
          <w:sz w:val="24"/>
          <w:szCs w:val="24"/>
        </w:rPr>
      </w:pPr>
    </w:p>
    <w:p>
      <w:pPr>
        <w:pStyle w:val="BodyText"/>
        <w:spacing w:line="240" w:lineRule="auto" w:before="32"/>
        <w:ind w:right="996"/>
        <w:jc w:val="left"/>
      </w:pPr>
      <w:r>
        <w:rPr/>
        <w:t>计政策或会计期间对子公司财务报表进行必要的调整。</w:t>
      </w:r>
    </w:p>
    <w:p>
      <w:pPr>
        <w:pStyle w:val="BodyText"/>
        <w:spacing w:line="254" w:lineRule="auto" w:before="144"/>
        <w:ind w:right="1132" w:firstLine="439"/>
        <w:jc w:val="both"/>
      </w:pPr>
      <w:r>
        <w:rPr>
          <w:spacing w:val="-2"/>
        </w:rPr>
        <w:t>合并范围内的所有重大内部交易、往来余额及未实现利润在合并报表编制时予以抵销。子公司的</w:t>
      </w:r>
      <w:r>
        <w:rPr>
          <w:w w:val="100"/>
        </w:rPr>
        <w:t> </w:t>
      </w:r>
      <w:r>
        <w:rPr>
          <w:spacing w:val="-2"/>
        </w:rPr>
        <w:t>所有者权益中不属于母公司的份额以及当期净损益、其他综合收益及综合收益总额中属于少数股东权</w:t>
      </w:r>
      <w:r>
        <w:rPr>
          <w:spacing w:val="-73"/>
        </w:rPr>
        <w:t> </w:t>
      </w:r>
      <w:r>
        <w:rPr>
          <w:spacing w:val="-73"/>
        </w:rPr>
      </w:r>
      <w:r>
        <w:rPr/>
        <w:t>益的份额，分别在合并财务报表</w:t>
      </w:r>
      <w:r>
        <w:rPr>
          <w:rFonts w:ascii="Times New Roman" w:hAnsi="Times New Roman" w:cs="Times New Roman" w:eastAsia="Times New Roman" w:hint="default"/>
        </w:rPr>
        <w:t>“</w:t>
      </w:r>
      <w:r>
        <w:rPr/>
        <w:t>少数股东权益、少数股东损益、归属于少数股东的其他综合收益及</w:t>
      </w:r>
      <w:r>
        <w:rPr>
          <w:spacing w:val="-35"/>
        </w:rPr>
        <w:t> </w:t>
      </w:r>
      <w:r>
        <w:rPr>
          <w:spacing w:val="-35"/>
        </w:rPr>
      </w:r>
      <w:r>
        <w:rPr/>
        <w:t>归属于少数股东的综合收益总额</w:t>
      </w:r>
      <w:r>
        <w:rPr>
          <w:rFonts w:ascii="Times New Roman" w:hAnsi="Times New Roman" w:cs="Times New Roman" w:eastAsia="Times New Roman" w:hint="default"/>
        </w:rPr>
        <w:t>”</w:t>
      </w:r>
      <w:r>
        <w:rPr/>
        <w:t>项目列示。</w:t>
      </w:r>
    </w:p>
    <w:p>
      <w:pPr>
        <w:pStyle w:val="BodyText"/>
        <w:spacing w:line="259" w:lineRule="auto" w:before="113"/>
        <w:ind w:right="1128" w:firstLine="439"/>
        <w:jc w:val="both"/>
      </w:pPr>
      <w:r>
        <w:rPr>
          <w:spacing w:val="-2"/>
        </w:rPr>
        <w:t>对于同一控制下企业合并取得的子公司，其经营成果和现金流量自合并当期期初纳入合并财务报</w:t>
      </w:r>
      <w:r>
        <w:rPr>
          <w:w w:val="100"/>
        </w:rPr>
        <w:t> </w:t>
      </w:r>
      <w:r>
        <w:rPr>
          <w:spacing w:val="-2"/>
        </w:rPr>
        <w:t>表。编制比较合并财务报表时，对上年财务报表的相关项目进行调整，视同合并后形成的报告主体自</w:t>
      </w:r>
      <w:r>
        <w:rPr>
          <w:spacing w:val="-68"/>
        </w:rPr>
        <w:t> </w:t>
      </w:r>
      <w:r>
        <w:rPr>
          <w:spacing w:val="-68"/>
        </w:rPr>
      </w:r>
      <w:r>
        <w:rPr/>
        <w:t>最终控制方开始控制时点起一直存在。</w:t>
      </w:r>
    </w:p>
    <w:p>
      <w:pPr>
        <w:pStyle w:val="BodyText"/>
        <w:spacing w:line="259" w:lineRule="auto" w:before="126"/>
        <w:ind w:right="996" w:firstLine="439"/>
        <w:jc w:val="left"/>
      </w:pPr>
      <w:r>
        <w:rPr/>
        <w:t>通过多次交易分步取得同一控制下被投资单位的股权，最终形成企业合并的，应在取得控制权的</w:t>
      </w:r>
      <w:r>
        <w:rPr>
          <w:w w:val="100"/>
        </w:rPr>
        <w:t> </w:t>
      </w:r>
      <w:r>
        <w:rPr>
          <w:spacing w:val="-2"/>
        </w:rPr>
        <w:t>报告期，补充披露在合并财务报表中的处理方法。例如：通过多次交易分步取得同一控制下被投资单</w:t>
      </w:r>
      <w:r>
        <w:rPr>
          <w:spacing w:val="-67"/>
        </w:rPr>
        <w:t> </w:t>
      </w:r>
      <w:r>
        <w:rPr>
          <w:spacing w:val="-67"/>
        </w:rPr>
      </w:r>
      <w:r>
        <w:rPr>
          <w:spacing w:val="-2"/>
        </w:rPr>
        <w:t>位的股权，最终形成企业合并，编制合并报表时，视同在最终控制方开始控制时即以目前的状态存在</w:t>
      </w:r>
      <w:r>
        <w:rPr>
          <w:spacing w:val="-69"/>
        </w:rPr>
        <w:t> </w:t>
      </w:r>
      <w:r>
        <w:rPr>
          <w:spacing w:val="-69"/>
        </w:rPr>
      </w:r>
      <w:r>
        <w:rPr>
          <w:spacing w:val="-5"/>
        </w:rPr>
        <w:t>进行调整，在编制比较报表时，以不早于本公司和被合并方同处于最终控制方的控制之下的时点为限，</w:t>
      </w:r>
      <w:r>
        <w:rPr>
          <w:spacing w:val="-45"/>
        </w:rPr>
        <w:t> </w:t>
      </w:r>
      <w:r>
        <w:rPr>
          <w:spacing w:val="-45"/>
        </w:rPr>
      </w:r>
      <w:r>
        <w:rPr>
          <w:spacing w:val="-2"/>
        </w:rPr>
        <w:t>将被合并方的有关资产、负债并入本公司合并财务报表的比较报表中，并将合并而增加的净资产在比</w:t>
      </w:r>
      <w:r>
        <w:rPr>
          <w:spacing w:val="-70"/>
        </w:rPr>
        <w:t> </w:t>
      </w:r>
      <w:r>
        <w:rPr>
          <w:spacing w:val="-70"/>
        </w:rPr>
      </w:r>
      <w:r>
        <w:rPr>
          <w:spacing w:val="-2"/>
        </w:rPr>
        <w:t>较报表中调整所有者权益项下的相关项目。为避免对被合并方净资产的价值进行重复计算，本公司在</w:t>
      </w:r>
      <w:r>
        <w:rPr>
          <w:spacing w:val="-70"/>
        </w:rPr>
        <w:t> </w:t>
      </w:r>
      <w:r>
        <w:rPr>
          <w:spacing w:val="-70"/>
        </w:rPr>
      </w:r>
      <w:r>
        <w:rPr>
          <w:spacing w:val="-2"/>
        </w:rPr>
        <w:t>达到合并之前持有的长期股权投资，在取得原股权之日与本公司和被合并方处于同一方最终控制之日</w:t>
      </w:r>
      <w:r>
        <w:rPr>
          <w:spacing w:val="-73"/>
        </w:rPr>
        <w:t> </w:t>
      </w:r>
      <w:r>
        <w:rPr>
          <w:spacing w:val="-73"/>
        </w:rPr>
      </w:r>
      <w:r>
        <w:rPr>
          <w:spacing w:val="-2"/>
        </w:rPr>
        <w:t>孰晚日起至合并日之间已确认有关损益、其他综合收益和其他净资产变动，应分别冲减比较报表期间</w:t>
      </w:r>
      <w:r>
        <w:rPr>
          <w:spacing w:val="-68"/>
        </w:rPr>
        <w:t> </w:t>
      </w:r>
      <w:r>
        <w:rPr>
          <w:spacing w:val="-68"/>
        </w:rPr>
      </w:r>
      <w:r>
        <w:rPr/>
        <w:t>的期初留存收益和当期损益。</w:t>
      </w:r>
    </w:p>
    <w:p>
      <w:pPr>
        <w:pStyle w:val="BodyText"/>
        <w:spacing w:line="259" w:lineRule="auto" w:before="126"/>
        <w:ind w:right="1128" w:firstLine="439"/>
        <w:jc w:val="both"/>
      </w:pPr>
      <w:r>
        <w:rPr>
          <w:spacing w:val="-2"/>
        </w:rPr>
        <w:t>对于非同一控制下企业合并取得子公司，经营成果和现金流量自本公司取得控制权之日起纳入合</w:t>
      </w:r>
      <w:r>
        <w:rPr>
          <w:w w:val="100"/>
        </w:rPr>
        <w:t> </w:t>
      </w:r>
      <w:r>
        <w:rPr>
          <w:spacing w:val="-2"/>
        </w:rPr>
        <w:t>并财务报表。在编制合并财务报表时，以购买日确定的各项可辨认资产、负债及或有负债的公允价值</w:t>
      </w:r>
      <w:r>
        <w:rPr>
          <w:spacing w:val="-68"/>
        </w:rPr>
        <w:t> </w:t>
      </w:r>
      <w:r>
        <w:rPr>
          <w:spacing w:val="-68"/>
        </w:rPr>
      </w:r>
      <w:r>
        <w:rPr/>
        <w:t>为基础对子公司的财务报表进行调整。</w:t>
      </w:r>
    </w:p>
    <w:p>
      <w:pPr>
        <w:pStyle w:val="BodyText"/>
        <w:spacing w:line="259" w:lineRule="auto" w:before="126"/>
        <w:ind w:right="1130" w:firstLine="439"/>
        <w:jc w:val="both"/>
      </w:pPr>
      <w:r>
        <w:rPr>
          <w:spacing w:val="-2"/>
        </w:rPr>
        <w:t>通过多次交易分步取得非同一控制下被投资单位的股权，最终形成企业合并的，应在取得控制权</w:t>
      </w:r>
      <w:r>
        <w:rPr>
          <w:w w:val="100"/>
        </w:rPr>
        <w:t> </w:t>
      </w:r>
      <w:r>
        <w:rPr>
          <w:spacing w:val="-2"/>
        </w:rPr>
        <w:t>的报告期，补充披露在合并财务报表中的处理方法。例如：通过多次交易分步取得非同一控制下被投</w:t>
      </w:r>
      <w:r>
        <w:rPr>
          <w:spacing w:val="-70"/>
        </w:rPr>
        <w:t> </w:t>
      </w:r>
      <w:r>
        <w:rPr>
          <w:spacing w:val="-70"/>
        </w:rPr>
      </w:r>
      <w:r>
        <w:rPr>
          <w:spacing w:val="-2"/>
        </w:rPr>
        <w:t>资单位的股权，最终形成企业合并，编制合并报表时，对于购买日之前持有的被购买方的股权，按照</w:t>
      </w:r>
      <w:r>
        <w:rPr>
          <w:spacing w:val="-71"/>
        </w:rPr>
        <w:t> </w:t>
      </w:r>
      <w:r>
        <w:rPr>
          <w:spacing w:val="-71"/>
        </w:rPr>
      </w:r>
      <w:r>
        <w:rPr>
          <w:spacing w:val="-2"/>
        </w:rPr>
        <w:t>该股权在购买日的公允价值进行重新计量，公允价值与其账面价值的差额计入当期投资收益；与其相</w:t>
      </w:r>
      <w:r>
        <w:rPr>
          <w:spacing w:val="-70"/>
        </w:rPr>
        <w:t> </w:t>
      </w:r>
      <w:r>
        <w:rPr>
          <w:spacing w:val="-70"/>
        </w:rPr>
      </w:r>
      <w:r>
        <w:rPr>
          <w:spacing w:val="-2"/>
        </w:rPr>
        <w:t>关的购买日之前持有的被购买方的股权涉及权益法核算下的其他综合收益以及除净损益、其他综合收</w:t>
      </w:r>
      <w:r>
        <w:rPr>
          <w:spacing w:val="-73"/>
        </w:rPr>
        <w:t> </w:t>
      </w:r>
      <w:r>
        <w:rPr>
          <w:spacing w:val="-73"/>
        </w:rPr>
      </w:r>
      <w:r>
        <w:rPr>
          <w:spacing w:val="-2"/>
        </w:rPr>
        <w:t>益和利润分配外的其他所有者权益变动，在购买日所属当期转为投资损益，由于被投资方重新计量设</w:t>
      </w:r>
      <w:r>
        <w:rPr>
          <w:spacing w:val="-70"/>
        </w:rPr>
        <w:t> </w:t>
      </w:r>
      <w:r>
        <w:rPr>
          <w:spacing w:val="-70"/>
        </w:rPr>
      </w:r>
      <w:r>
        <w:rPr/>
        <w:t>定受益计划净负债或净资产变动而产生的其他综合收益除外。</w:t>
      </w:r>
    </w:p>
    <w:p>
      <w:pPr>
        <w:pStyle w:val="BodyText"/>
        <w:spacing w:line="259" w:lineRule="auto" w:before="126"/>
        <w:ind w:right="1090" w:firstLine="439"/>
        <w:jc w:val="both"/>
      </w:pPr>
      <w:r>
        <w:rPr>
          <w:spacing w:val="-2"/>
        </w:rPr>
        <w:t>本公司在不丧失控制权的情况下部分处置对子公司的长期股权投资，在合并财务报表中，处置价</w:t>
      </w:r>
      <w:r>
        <w:rPr>
          <w:w w:val="100"/>
        </w:rPr>
        <w:t> </w:t>
      </w:r>
      <w:r>
        <w:rPr>
          <w:spacing w:val="-1"/>
        </w:rPr>
        <w:t>款与处置长期股权投资相对应享有子公司自购买日或合并日开始持续计算的净资产份额之间的差额，</w:t>
      </w:r>
      <w:r>
        <w:rPr>
          <w:spacing w:val="-73"/>
        </w:rPr>
        <w:t> </w:t>
      </w:r>
      <w:r>
        <w:rPr>
          <w:spacing w:val="-73"/>
        </w:rPr>
      </w:r>
      <w:r>
        <w:rPr/>
        <w:t>调整资本溢价或股本溢价，资本公积不足冲减的，调整留存收益。</w:t>
      </w:r>
    </w:p>
    <w:p>
      <w:pPr>
        <w:pStyle w:val="BodyText"/>
        <w:spacing w:line="259" w:lineRule="auto" w:before="126"/>
        <w:ind w:right="996" w:firstLine="439"/>
        <w:jc w:val="left"/>
      </w:pPr>
      <w:r>
        <w:rPr>
          <w:spacing w:val="-2"/>
        </w:rPr>
        <w:t>本公司因处置部分股权投资等原因丧失了对被投资方的控制权的，在编制合并财务报表时，对于</w:t>
      </w:r>
      <w:r>
        <w:rPr>
          <w:w w:val="100"/>
        </w:rPr>
        <w:t> </w:t>
      </w:r>
      <w:r>
        <w:rPr>
          <w:spacing w:val="-2"/>
        </w:rPr>
        <w:t>剩余股权，按照其在丧失控制权日的公允价值进行重新计量。处置股权取得的对价与剩余股权公允价</w:t>
      </w:r>
      <w:r>
        <w:rPr>
          <w:spacing w:val="-70"/>
        </w:rPr>
        <w:t> </w:t>
      </w:r>
      <w:r>
        <w:rPr>
          <w:spacing w:val="-70"/>
        </w:rPr>
      </w:r>
      <w:r>
        <w:rPr>
          <w:spacing w:val="-2"/>
        </w:rPr>
        <w:t>值之和，减去按原持股比例计算应享有原有子公司自购买日或合并日开始持续计算的净资产的份额之</w:t>
      </w:r>
      <w:r>
        <w:rPr>
          <w:spacing w:val="-73"/>
        </w:rPr>
        <w:t> </w:t>
      </w:r>
      <w:r>
        <w:rPr>
          <w:spacing w:val="-73"/>
        </w:rPr>
      </w:r>
      <w:r>
        <w:rPr>
          <w:spacing w:val="-2"/>
        </w:rPr>
        <w:t>间的差额，计入丧失控制权当期的投资损益，同时冲减商誉。与原有子公司股权投资相关的其他综合</w:t>
      </w:r>
      <w:r>
        <w:rPr>
          <w:spacing w:val="-66"/>
        </w:rPr>
        <w:t> </w:t>
      </w:r>
      <w:r>
        <w:rPr>
          <w:spacing w:val="-66"/>
        </w:rPr>
      </w:r>
      <w:r>
        <w:rPr/>
        <w:t>收益等，在丧失控制权时转为当期投资损益</w:t>
      </w:r>
      <w:r>
        <w:rPr>
          <w:spacing w:val="-22"/>
        </w:rPr>
        <w:t> </w:t>
      </w:r>
      <w:r>
        <w:rPr/>
        <w:t>。</w:t>
      </w:r>
      <w:r>
        <w:rPr>
          <w:w w:val="100"/>
        </w:rPr>
        <w:t> </w:t>
      </w:r>
      <w:r>
        <w:rPr>
          <w:spacing w:val="-2"/>
        </w:rPr>
        <w:t>本公司通过多次交易分步处置对子公司股权投资直至丧失控制权的，如果处置对子公司股权投资直至</w:t>
      </w:r>
      <w:r>
        <w:rPr>
          <w:spacing w:val="-71"/>
        </w:rPr>
        <w:t> </w:t>
      </w:r>
      <w:r>
        <w:rPr>
          <w:spacing w:val="-71"/>
        </w:rPr>
      </w:r>
      <w:r>
        <w:rPr>
          <w:spacing w:val="-2"/>
        </w:rPr>
        <w:t>丧失控制权的各项交易属于一揽子交易的，应当将各项交易作为一项处置子公司并丧失控制权的交易</w:t>
      </w:r>
      <w:r>
        <w:rPr>
          <w:spacing w:val="-73"/>
        </w:rPr>
        <w:t> </w:t>
      </w:r>
      <w:r>
        <w:rPr>
          <w:spacing w:val="-73"/>
        </w:rPr>
      </w:r>
      <w:r>
        <w:rPr>
          <w:spacing w:val="-2"/>
        </w:rPr>
        <w:t>进行会计处理；但是，在丧失控制权之前每一次处置价款与处置投资对应的享有该子公司净资产份额</w:t>
      </w:r>
      <w:r>
        <w:rPr>
          <w:spacing w:val="-73"/>
        </w:rPr>
        <w:t> </w:t>
      </w:r>
      <w:r>
        <w:rPr>
          <w:spacing w:val="-73"/>
        </w:rPr>
      </w:r>
      <w:r>
        <w:rPr>
          <w:spacing w:val="-2"/>
        </w:rPr>
        <w:t>的差额，在合并财务报表中确认为其他综合收益，在丧失控制权时一并转入丧失控制权当期的投资损</w:t>
      </w:r>
      <w:r>
        <w:rPr>
          <w:spacing w:val="-70"/>
        </w:rPr>
        <w:t> </w:t>
      </w:r>
      <w:r>
        <w:rPr>
          <w:spacing w:val="-70"/>
        </w:rPr>
      </w:r>
      <w:r>
        <w:rPr/>
        <w:t>益。</w:t>
      </w:r>
    </w:p>
    <w:p>
      <w:pPr>
        <w:spacing w:after="0" w:line="259" w:lineRule="auto"/>
        <w:jc w:val="left"/>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spacing w:before="36"/>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、合营安排分类及共同经营会计处理方法</w:t>
      </w:r>
      <w:r>
        <w:rPr>
          <w:rFonts w:ascii="宋体" w:hAnsi="宋体" w:cs="宋体" w:eastAsia="宋体" w:hint="default"/>
          <w:sz w:val="21"/>
          <w:szCs w:val="21"/>
        </w:rPr>
      </w:r>
    </w:p>
    <w:p>
      <w:pPr>
        <w:spacing w:line="240" w:lineRule="auto" w:before="1"/>
        <w:rPr>
          <w:rFonts w:ascii="宋体" w:hAnsi="宋体" w:cs="宋体" w:eastAsia="宋体" w:hint="default"/>
          <w:b/>
          <w:bCs/>
          <w:sz w:val="24"/>
          <w:szCs w:val="24"/>
        </w:rPr>
      </w:pPr>
    </w:p>
    <w:p>
      <w:pPr>
        <w:pStyle w:val="BodyText"/>
        <w:spacing w:line="254" w:lineRule="auto"/>
        <w:ind w:right="1128" w:firstLine="439"/>
        <w:jc w:val="both"/>
      </w:pPr>
      <w:r>
        <w:rPr>
          <w:spacing w:val="-4"/>
          <w:w w:val="100"/>
        </w:rPr>
        <w:t>本公司的合营安排包括共同经营和合营企业。对于共同经营项目</w:t>
      </w:r>
      <w:r>
        <w:rPr>
          <w:rFonts w:ascii="Times New Roman" w:hAnsi="Times New Roman" w:cs="Times New Roman" w:eastAsia="Times New Roman" w:hint="default"/>
          <w:spacing w:val="-4"/>
          <w:w w:val="100"/>
        </w:rPr>
        <w:t>,</w:t>
      </w:r>
      <w:r>
        <w:rPr>
          <w:spacing w:val="-4"/>
          <w:w w:val="100"/>
        </w:rPr>
        <w:t>本公司作为共同经营中的合营方</w:t>
      </w:r>
      <w:r>
        <w:rPr>
          <w:w w:val="100"/>
        </w:rPr>
        <w:t> </w:t>
      </w:r>
      <w:r>
        <w:rPr>
          <w:spacing w:val="-2"/>
        </w:rPr>
        <w:t>确认单独持有的资产和承担的负债，以及按份额确认持有的资产和承担的负债，根据相关约定单独或</w:t>
      </w:r>
      <w:r>
        <w:rPr>
          <w:spacing w:val="-70"/>
        </w:rPr>
        <w:t> </w:t>
      </w:r>
      <w:r>
        <w:rPr>
          <w:spacing w:val="-70"/>
        </w:rPr>
      </w:r>
      <w:r>
        <w:rPr>
          <w:spacing w:val="-2"/>
        </w:rPr>
        <w:t>按份额确认相关的收入和费用。与共同经营发生购买、销售不构成业务的资产交易的，仅确认因该交</w:t>
      </w:r>
      <w:r>
        <w:rPr>
          <w:spacing w:val="-66"/>
        </w:rPr>
        <w:t> </w:t>
      </w:r>
      <w:r>
        <w:rPr>
          <w:spacing w:val="-66"/>
        </w:rPr>
      </w:r>
      <w:r>
        <w:rPr/>
        <w:t>易产生的损益中归属于共同经营其他参与方的部分。</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6"/>
          <w:szCs w:val="26"/>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、现金及现金等价物的确定标准</w:t>
      </w:r>
      <w:r>
        <w:rPr>
          <w:rFonts w:ascii="宋体" w:hAnsi="宋体" w:cs="宋体" w:eastAsia="宋体" w:hint="default"/>
          <w:sz w:val="21"/>
          <w:szCs w:val="21"/>
        </w:rPr>
      </w:r>
    </w:p>
    <w:p>
      <w:pPr>
        <w:spacing w:line="240" w:lineRule="auto" w:before="11"/>
        <w:rPr>
          <w:rFonts w:ascii="宋体" w:hAnsi="宋体" w:cs="宋体" w:eastAsia="宋体" w:hint="default"/>
          <w:b/>
          <w:bCs/>
          <w:sz w:val="23"/>
          <w:szCs w:val="23"/>
        </w:rPr>
      </w:pPr>
    </w:p>
    <w:p>
      <w:pPr>
        <w:pStyle w:val="BodyText"/>
        <w:spacing w:line="259" w:lineRule="auto"/>
        <w:ind w:right="996" w:firstLine="439"/>
        <w:jc w:val="left"/>
      </w:pPr>
      <w:r>
        <w:rPr>
          <w:spacing w:val="-2"/>
        </w:rPr>
        <w:t>本公司现金流量表之现金指库存现金以及可以随时用于支付的存款。现金流量表之现金等价物指</w:t>
      </w:r>
      <w:r>
        <w:rPr>
          <w:w w:val="100"/>
        </w:rPr>
        <w:t> </w:t>
      </w:r>
      <w:r>
        <w:rPr/>
        <w:t>持有期限不超过</w:t>
      </w:r>
      <w:r>
        <w:rPr>
          <w:rFonts w:ascii="Times New Roman" w:hAnsi="Times New Roman" w:cs="Times New Roman" w:eastAsia="Times New Roman" w:hint="default"/>
        </w:rPr>
        <w:t>3</w:t>
      </w:r>
      <w:r>
        <w:rPr/>
        <w:t>个月、流动性强、易于转换为已知金额现金且价值变动风险很小的投资。</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4"/>
          <w:szCs w:val="24"/>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、外币业务和外币报表折算</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p>
    <w:p>
      <w:pPr>
        <w:pStyle w:val="BodyText"/>
        <w:spacing w:line="340" w:lineRule="auto"/>
        <w:ind w:left="592" w:right="996" w:firstLine="52"/>
        <w:jc w:val="left"/>
      </w:pPr>
      <w:r>
        <w:rPr/>
        <w:t>（</w:t>
      </w:r>
      <w:r>
        <w:rPr>
          <w:rFonts w:ascii="Times New Roman" w:hAnsi="Times New Roman" w:cs="Times New Roman" w:eastAsia="Times New Roman" w:hint="default"/>
        </w:rPr>
        <w:t>1</w:t>
      </w:r>
      <w:r>
        <w:rPr/>
        <w:t>）外币交易</w:t>
      </w:r>
      <w:r>
        <w:rPr>
          <w:w w:val="100"/>
        </w:rPr>
        <w:t> </w:t>
      </w:r>
      <w:r>
        <w:rPr>
          <w:spacing w:val="-2"/>
        </w:rPr>
        <w:t>本公司外币交易按交易发生日的即期汇率将外币金额折算为人民币金额。于资产负债表日，外币</w:t>
      </w:r>
    </w:p>
    <w:p>
      <w:pPr>
        <w:pStyle w:val="BodyText"/>
        <w:spacing w:line="220" w:lineRule="exact"/>
        <w:ind w:right="0"/>
        <w:jc w:val="both"/>
      </w:pPr>
      <w:r>
        <w:rPr/>
        <w:t>货币性项目采用资产负债表日的即期汇率折算为人民币，所产生的折算差额除了为购建或生产符合资</w:t>
      </w:r>
    </w:p>
    <w:p>
      <w:pPr>
        <w:pStyle w:val="BodyText"/>
        <w:spacing w:line="240" w:lineRule="auto" w:before="24"/>
        <w:ind w:right="0"/>
        <w:jc w:val="both"/>
      </w:pPr>
      <w:r>
        <w:rPr/>
        <w:t>本化条件的资产而借入的外币专门借款产生的汇兑差额按资本化的原则处理外，直接计入当期损益。</w:t>
      </w:r>
    </w:p>
    <w:p>
      <w:pPr>
        <w:pStyle w:val="BodyText"/>
        <w:spacing w:line="430" w:lineRule="atLeast" w:before="138"/>
        <w:ind w:left="592" w:right="996" w:hanging="84"/>
        <w:jc w:val="left"/>
      </w:pPr>
      <w:r>
        <w:rPr/>
        <w:t>（</w:t>
      </w:r>
      <w:r>
        <w:rPr>
          <w:rFonts w:ascii="Times New Roman" w:hAnsi="Times New Roman" w:cs="Times New Roman" w:eastAsia="Times New Roman" w:hint="default"/>
        </w:rPr>
        <w:t>2</w:t>
      </w:r>
      <w:r>
        <w:rPr/>
        <w:t>）外币财务报表的折算</w:t>
      </w:r>
      <w:r>
        <w:rPr>
          <w:w w:val="100"/>
        </w:rPr>
        <w:t> </w:t>
      </w:r>
      <w:r>
        <w:rPr>
          <w:spacing w:val="-5"/>
        </w:rPr>
        <w:t>外币资产负债表中资产、负债类项目采用资产负债表日的即期汇率折算；所有者权益类项目除</w:t>
      </w:r>
      <w:r>
        <w:rPr>
          <w:rFonts w:ascii="Times New Roman" w:hAnsi="Times New Roman" w:cs="Times New Roman" w:eastAsia="Times New Roman" w:hint="default"/>
          <w:spacing w:val="-5"/>
        </w:rPr>
        <w:t>“</w:t>
      </w:r>
      <w:r>
        <w:rPr>
          <w:spacing w:val="-5"/>
        </w:rPr>
        <w:t>未</w:t>
      </w:r>
    </w:p>
    <w:p>
      <w:pPr>
        <w:pStyle w:val="BodyText"/>
        <w:spacing w:line="252" w:lineRule="auto" w:before="7"/>
        <w:ind w:right="1128"/>
        <w:jc w:val="both"/>
      </w:pPr>
      <w:r>
        <w:rPr/>
        <w:t>分配利润</w:t>
      </w:r>
      <w:r>
        <w:rPr>
          <w:rFonts w:ascii="Times New Roman" w:hAnsi="Times New Roman" w:cs="Times New Roman" w:eastAsia="Times New Roman" w:hint="default"/>
        </w:rPr>
        <w:t>”</w:t>
      </w:r>
      <w:r>
        <w:rPr/>
        <w:t>外，均按业务发生时的即期汇率折算；利润表中的收入与费用项目，采用交易发生日的即</w:t>
      </w:r>
      <w:r>
        <w:rPr>
          <w:spacing w:val="-36"/>
        </w:rPr>
        <w:t> </w:t>
      </w:r>
      <w:r>
        <w:rPr>
          <w:spacing w:val="-36"/>
        </w:rPr>
      </w:r>
      <w:r>
        <w:rPr>
          <w:spacing w:val="-2"/>
        </w:rPr>
        <w:t>期汇率折算。上述折算产生的外币报表折算差额，在其他综合收益项目中列示。外币现金流量采用现</w:t>
      </w:r>
      <w:r>
        <w:rPr>
          <w:spacing w:val="-67"/>
        </w:rPr>
        <w:t> </w:t>
      </w:r>
      <w:r>
        <w:rPr>
          <w:spacing w:val="-67"/>
        </w:rPr>
      </w:r>
      <w:r>
        <w:rPr/>
        <w:t>金流量发生日的即期汇率折算。汇率变动对现金的影响额，在现金流量表中单独列示。</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、金融工具</w:t>
      </w:r>
      <w:r>
        <w:rPr>
          <w:rFonts w:ascii="宋体" w:hAnsi="宋体" w:cs="宋体" w:eastAsia="宋体" w:hint="default"/>
          <w:sz w:val="21"/>
          <w:szCs w:val="21"/>
        </w:rPr>
      </w:r>
    </w:p>
    <w:p>
      <w:pPr>
        <w:spacing w:line="240" w:lineRule="auto" w:before="11"/>
        <w:rPr>
          <w:rFonts w:ascii="宋体" w:hAnsi="宋体" w:cs="宋体" w:eastAsia="宋体" w:hint="default"/>
          <w:b/>
          <w:bCs/>
          <w:sz w:val="23"/>
          <w:szCs w:val="23"/>
        </w:rPr>
      </w:pPr>
    </w:p>
    <w:p>
      <w:pPr>
        <w:pStyle w:val="BodyText"/>
        <w:spacing w:line="240" w:lineRule="auto"/>
        <w:ind w:left="592" w:right="996"/>
        <w:jc w:val="left"/>
      </w:pPr>
      <w:r>
        <w:rPr/>
        <w:t>本公司成为金融工具合同的一方时确认一项金融资产或金融负债。</w:t>
      </w:r>
    </w:p>
    <w:p>
      <w:pPr>
        <w:spacing w:line="240" w:lineRule="auto" w:before="2"/>
        <w:rPr>
          <w:rFonts w:ascii="宋体" w:hAnsi="宋体" w:cs="宋体" w:eastAsia="宋体" w:hint="default"/>
          <w:sz w:val="20"/>
          <w:szCs w:val="20"/>
        </w:rPr>
      </w:pPr>
    </w:p>
    <w:p>
      <w:pPr>
        <w:pStyle w:val="BodyText"/>
        <w:spacing w:line="240" w:lineRule="auto"/>
        <w:ind w:left="501" w:right="996"/>
        <w:jc w:val="left"/>
      </w:pPr>
      <w:r>
        <w:rPr/>
        <w:t>（</w:t>
      </w:r>
      <w:r>
        <w:rPr>
          <w:rFonts w:ascii="Times New Roman" w:hAnsi="Times New Roman" w:cs="Times New Roman" w:eastAsia="Times New Roman" w:hint="default"/>
        </w:rPr>
        <w:t>1</w:t>
      </w:r>
      <w:r>
        <w:rPr/>
        <w:t>）金融资产</w:t>
      </w:r>
    </w:p>
    <w:p>
      <w:pPr>
        <w:pStyle w:val="BodyText"/>
        <w:spacing w:line="340" w:lineRule="auto" w:before="108"/>
        <w:ind w:left="592" w:right="996" w:hanging="440"/>
        <w:jc w:val="left"/>
      </w:pPr>
      <w:r>
        <w:rPr>
          <w:rFonts w:ascii="Times New Roman" w:hAnsi="Times New Roman" w:cs="Times New Roman" w:eastAsia="Times New Roman" w:hint="default"/>
        </w:rPr>
        <w:t>1</w:t>
      </w:r>
      <w:r>
        <w:rPr/>
        <w:t>）金融资产分类、确认依据和计量方法</w:t>
      </w:r>
      <w:r>
        <w:rPr>
          <w:spacing w:val="-108"/>
        </w:rPr>
        <w:t> </w:t>
      </w:r>
      <w:r>
        <w:rPr>
          <w:spacing w:val="-108"/>
        </w:rPr>
      </w:r>
      <w:r>
        <w:rPr>
          <w:spacing w:val="-2"/>
        </w:rPr>
        <w:t>本公司根据管理金融资产的业务模式和金融资产的合同现金流特征，将金融资产分类为以摊余成</w:t>
      </w:r>
    </w:p>
    <w:p>
      <w:pPr>
        <w:pStyle w:val="BodyText"/>
        <w:spacing w:line="220" w:lineRule="exact"/>
        <w:ind w:right="0"/>
        <w:jc w:val="both"/>
      </w:pPr>
      <w:r>
        <w:rPr/>
        <w:t>本计量的金融资产、以公允价值计量且其变动计入其他综合收益的金融资产、以公允价值计量且其变</w:t>
      </w:r>
    </w:p>
    <w:p>
      <w:pPr>
        <w:pStyle w:val="BodyText"/>
        <w:spacing w:line="240" w:lineRule="auto" w:before="24"/>
        <w:ind w:right="0"/>
        <w:jc w:val="both"/>
      </w:pPr>
      <w:r>
        <w:rPr/>
        <w:t>动计入当期损益的金融资产。</w:t>
      </w:r>
    </w:p>
    <w:p>
      <w:pPr>
        <w:pStyle w:val="BodyText"/>
        <w:spacing w:line="259" w:lineRule="auto" w:before="144"/>
        <w:ind w:right="996" w:firstLine="439"/>
        <w:jc w:val="left"/>
      </w:pPr>
      <w:r>
        <w:rPr/>
        <w:t>本公司将同时符合下列条件的金融资产分类为以摊余成本计量的金融资产：①管理该金融资产的</w:t>
      </w:r>
      <w:r>
        <w:rPr>
          <w:w w:val="100"/>
        </w:rPr>
        <w:t> </w:t>
      </w:r>
      <w:r>
        <w:rPr>
          <w:spacing w:val="-5"/>
        </w:rPr>
        <w:t>业务模式是以收取合同现金流量为目标。②该金融资产的合同条款规定，在特定日期产生的现金流量，</w:t>
      </w:r>
      <w:r>
        <w:rPr>
          <w:spacing w:val="-45"/>
        </w:rPr>
        <w:t> </w:t>
      </w:r>
      <w:r>
        <w:rPr>
          <w:spacing w:val="-45"/>
        </w:rPr>
      </w:r>
      <w:r>
        <w:rPr>
          <w:spacing w:val="-2"/>
        </w:rPr>
        <w:t>仅为对本金和以未偿付本金金额为基础的利息的支付。此类金融资产按照公允价值进行初始计量，相</w:t>
      </w:r>
      <w:r>
        <w:rPr>
          <w:spacing w:val="-69"/>
        </w:rPr>
        <w:t> </w:t>
      </w:r>
      <w:r>
        <w:rPr>
          <w:spacing w:val="-69"/>
        </w:rPr>
      </w:r>
      <w:r>
        <w:rPr>
          <w:spacing w:val="-2"/>
        </w:rPr>
        <w:t>关交易费用计入初始确认金额；以摊余成本进行后续计量。除被指定为被套期项目的，按照实际利率</w:t>
      </w:r>
      <w:r>
        <w:rPr>
          <w:spacing w:val="-67"/>
        </w:rPr>
        <w:t> </w:t>
      </w:r>
      <w:r>
        <w:rPr>
          <w:spacing w:val="-67"/>
        </w:rPr>
      </w:r>
      <w:r>
        <w:rPr>
          <w:spacing w:val="-5"/>
        </w:rPr>
        <w:t>法摊销初始金额与到期金额之间的差额，其摊销、减值、汇兑损益以及终止确认时产生的利得或损失，</w:t>
      </w:r>
      <w:r>
        <w:rPr>
          <w:spacing w:val="-48"/>
        </w:rPr>
        <w:t> </w:t>
      </w:r>
      <w:r>
        <w:rPr>
          <w:spacing w:val="-48"/>
        </w:rPr>
      </w:r>
      <w:r>
        <w:rPr/>
        <w:t>计入当期损益。</w:t>
      </w:r>
    </w:p>
    <w:p>
      <w:pPr>
        <w:spacing w:after="0" w:line="259" w:lineRule="auto"/>
        <w:jc w:val="left"/>
        <w:sectPr>
          <w:pgSz w:w="11910" w:h="16840"/>
          <w:pgMar w:header="877" w:footer="980" w:top="1060" w:bottom="1160" w:left="980" w:right="0"/>
        </w:sectPr>
      </w:pPr>
    </w:p>
    <w:p>
      <w:pPr>
        <w:spacing w:line="240" w:lineRule="auto" w:before="4"/>
        <w:rPr>
          <w:rFonts w:ascii="宋体" w:hAnsi="宋体" w:cs="宋体" w:eastAsia="宋体" w:hint="default"/>
          <w:sz w:val="24"/>
          <w:szCs w:val="24"/>
        </w:rPr>
      </w:pPr>
    </w:p>
    <w:p>
      <w:pPr>
        <w:pStyle w:val="BodyText"/>
        <w:spacing w:line="259" w:lineRule="auto" w:before="32"/>
        <w:ind w:right="1128" w:firstLine="439"/>
        <w:jc w:val="both"/>
      </w:pPr>
      <w:r>
        <w:rPr>
          <w:spacing w:val="2"/>
        </w:rPr>
        <w:t>本公司将同时符合下列条件的金融资产分类为以公允价值计量且其变动计入其他综合收益的金</w:t>
      </w:r>
      <w:r>
        <w:rPr>
          <w:w w:val="100"/>
        </w:rPr>
        <w:t> </w:t>
      </w:r>
      <w:r>
        <w:rPr>
          <w:spacing w:val="-2"/>
        </w:rPr>
        <w:t>融资产：①管理该金融资产的业务模式既以收取合同现金流量为目标又以出售该金融资产为目标。②</w:t>
      </w:r>
      <w:r>
        <w:rPr>
          <w:spacing w:val="-70"/>
        </w:rPr>
        <w:t> </w:t>
      </w:r>
      <w:r>
        <w:rPr>
          <w:spacing w:val="-70"/>
        </w:rPr>
      </w:r>
      <w:r>
        <w:rPr>
          <w:spacing w:val="-2"/>
        </w:rPr>
        <w:t>该金融资产的合同条款规定，在特定日期产生的现金流量，仅为对本金和以未偿付本金金额为基础的</w:t>
      </w:r>
      <w:r>
        <w:rPr>
          <w:spacing w:val="-70"/>
        </w:rPr>
        <w:t> </w:t>
      </w:r>
      <w:r>
        <w:rPr>
          <w:spacing w:val="-70"/>
        </w:rPr>
      </w:r>
      <w:r>
        <w:rPr>
          <w:spacing w:val="-2"/>
        </w:rPr>
        <w:t>利息的支付。此类金融资产按照公允价值进行初始计量，相关交易费用计入初始确认金额。除被指定</w:t>
      </w:r>
      <w:r>
        <w:rPr>
          <w:spacing w:val="-68"/>
        </w:rPr>
        <w:t> </w:t>
      </w:r>
      <w:r>
        <w:rPr>
          <w:spacing w:val="-68"/>
        </w:rPr>
      </w:r>
      <w:r>
        <w:rPr>
          <w:spacing w:val="-2"/>
        </w:rPr>
        <w:t>为被套期项目的，此类金融资产，除信用减值损失或利得、汇兑损益和按照实际利率法计算的该金融</w:t>
      </w:r>
      <w:r>
        <w:rPr>
          <w:spacing w:val="-67"/>
        </w:rPr>
        <w:t> </w:t>
      </w:r>
      <w:r>
        <w:rPr>
          <w:spacing w:val="-67"/>
        </w:rPr>
      </w:r>
      <w:r>
        <w:rPr>
          <w:spacing w:val="-2"/>
        </w:rPr>
        <w:t>资产利息之外，所产生的其他利得或损失，均计入其他综合收益；金融资产终止确认时，之前计入其</w:t>
      </w:r>
      <w:r>
        <w:rPr>
          <w:spacing w:val="-71"/>
        </w:rPr>
        <w:t> </w:t>
      </w:r>
      <w:r>
        <w:rPr>
          <w:spacing w:val="-71"/>
        </w:rPr>
      </w:r>
      <w:r>
        <w:rPr/>
        <w:t>他综合收益的累计利得或损失应当从其他综合收益中转出，计入当期损益。</w:t>
      </w:r>
    </w:p>
    <w:p>
      <w:pPr>
        <w:pStyle w:val="BodyText"/>
        <w:spacing w:line="259" w:lineRule="auto" w:before="126"/>
        <w:ind w:right="1092" w:firstLine="439"/>
        <w:jc w:val="both"/>
      </w:pPr>
      <w:r>
        <w:rPr>
          <w:spacing w:val="-1"/>
        </w:rPr>
        <w:t>本公司按照实际利率法确认利息收入。利息收入根据金融资产账面余额乘以实际利率计算确定，</w:t>
      </w:r>
      <w:r>
        <w:rPr>
          <w:w w:val="100"/>
        </w:rPr>
        <w:t> </w:t>
      </w:r>
      <w:r>
        <w:rPr>
          <w:spacing w:val="-2"/>
        </w:rPr>
        <w:t>但下列情况除外：①对于购入或源生的已发生信用减值的金融资产，自初始确认起，按照该金融资产</w:t>
      </w:r>
      <w:r>
        <w:rPr>
          <w:spacing w:val="-66"/>
        </w:rPr>
        <w:t> </w:t>
      </w:r>
      <w:r>
        <w:rPr>
          <w:spacing w:val="-66"/>
        </w:rPr>
      </w:r>
      <w:r>
        <w:rPr>
          <w:spacing w:val="-2"/>
        </w:rPr>
        <w:t>的摊余成本和经信用调整的实际利率计算确定其利息收入。②对于购入或源生的未发生信用减值、但</w:t>
      </w:r>
      <w:r>
        <w:rPr>
          <w:spacing w:val="-70"/>
        </w:rPr>
        <w:t> </w:t>
      </w:r>
      <w:r>
        <w:rPr>
          <w:spacing w:val="-70"/>
        </w:rPr>
      </w:r>
      <w:r>
        <w:rPr>
          <w:spacing w:val="-2"/>
        </w:rPr>
        <w:t>在后续期间成为已发生信用减值的金融资产，在后续期间，按照该金融资产的摊余成本和实际利率计</w:t>
      </w:r>
      <w:r>
        <w:rPr>
          <w:spacing w:val="-70"/>
        </w:rPr>
        <w:t> </w:t>
      </w:r>
      <w:r>
        <w:rPr>
          <w:spacing w:val="-70"/>
        </w:rPr>
      </w:r>
      <w:r>
        <w:rPr/>
        <w:t>算确定其利息收入。</w:t>
      </w:r>
    </w:p>
    <w:p>
      <w:pPr>
        <w:pStyle w:val="BodyText"/>
        <w:spacing w:line="259" w:lineRule="auto" w:before="127"/>
        <w:ind w:right="1092" w:firstLine="439"/>
        <w:jc w:val="both"/>
      </w:pPr>
      <w:r>
        <w:rPr>
          <w:spacing w:val="-1"/>
        </w:rPr>
        <w:t>本公司将非交易性权益工具投资指定为以公允价值计量且其变动计入其他综合收益的金融资产。</w:t>
      </w:r>
      <w:r>
        <w:rPr>
          <w:w w:val="100"/>
        </w:rPr>
        <w:t> </w:t>
      </w:r>
      <w:r>
        <w:rPr>
          <w:spacing w:val="-2"/>
        </w:rPr>
        <w:t>该指定一经作出，不得撤销。本公司指定的以公允价值计量且其变动计入其他综合收益的非交易性权</w:t>
      </w:r>
      <w:r>
        <w:rPr>
          <w:spacing w:val="-70"/>
        </w:rPr>
        <w:t> </w:t>
      </w:r>
      <w:r>
        <w:rPr>
          <w:spacing w:val="-70"/>
        </w:rPr>
      </w:r>
      <w:r>
        <w:rPr>
          <w:spacing w:val="-2"/>
        </w:rPr>
        <w:t>益工具投资，按照公允价值进行初始计量，相关交易费用计入初始确认金额；除了获得股利（属于投</w:t>
      </w:r>
      <w:r>
        <w:rPr>
          <w:spacing w:val="-71"/>
        </w:rPr>
        <w:t> </w:t>
      </w:r>
      <w:r>
        <w:rPr>
          <w:spacing w:val="-71"/>
        </w:rPr>
      </w:r>
      <w:r>
        <w:rPr>
          <w:spacing w:val="-2"/>
        </w:rPr>
        <w:t>资成本收回部分的除外）计入当期损益外，其他相关的利得和损失（包括汇兑损益）均计入其他综合</w:t>
      </w:r>
      <w:r>
        <w:rPr>
          <w:spacing w:val="-68"/>
        </w:rPr>
        <w:t> </w:t>
      </w:r>
      <w:r>
        <w:rPr>
          <w:spacing w:val="-68"/>
        </w:rPr>
      </w:r>
      <w:r>
        <w:rPr>
          <w:spacing w:val="-2"/>
        </w:rPr>
        <w:t>收益，且后续不得转入当期损益。当其终止确认时，之前计入其他综合收益的累计利得或损失从其他</w:t>
      </w:r>
      <w:r>
        <w:rPr>
          <w:spacing w:val="-68"/>
        </w:rPr>
        <w:t> </w:t>
      </w:r>
      <w:r>
        <w:rPr>
          <w:spacing w:val="-68"/>
        </w:rPr>
      </w:r>
      <w:r>
        <w:rPr>
          <w:spacing w:val="-2"/>
        </w:rPr>
        <w:t>综合收益中转出，计入留存收益。指定为以公允价值计量且其变动计入其他综合收益的权益性工具投</w:t>
      </w:r>
      <w:r>
        <w:rPr>
          <w:spacing w:val="-70"/>
        </w:rPr>
        <w:t> </w:t>
      </w:r>
      <w:r>
        <w:rPr>
          <w:spacing w:val="-70"/>
        </w:rPr>
      </w:r>
      <w:r>
        <w:rPr/>
        <w:t>资包括：其他权益工具投资。</w:t>
      </w:r>
    </w:p>
    <w:p>
      <w:pPr>
        <w:pStyle w:val="BodyText"/>
        <w:spacing w:line="259" w:lineRule="auto" w:before="126"/>
        <w:ind w:right="1090" w:firstLine="439"/>
        <w:jc w:val="both"/>
      </w:pPr>
      <w:r>
        <w:rPr>
          <w:spacing w:val="2"/>
        </w:rPr>
        <w:t>除上述分类为以摊余成本计量的金融资产和分类为以公允价值计量且其变动计入其他综合收益</w:t>
      </w:r>
      <w:r>
        <w:rPr>
          <w:w w:val="100"/>
        </w:rPr>
        <w:t> </w:t>
      </w:r>
      <w:r>
        <w:rPr>
          <w:spacing w:val="-1"/>
        </w:rPr>
        <w:t>的金融资产之外的金融资产。本公司将其分类为以公允价值计量且其变动计入当期损益的金融资产。</w:t>
      </w:r>
      <w:r>
        <w:rPr>
          <w:spacing w:val="-73"/>
        </w:rPr>
        <w:t> </w:t>
      </w:r>
      <w:r>
        <w:rPr>
          <w:spacing w:val="-73"/>
        </w:rPr>
      </w:r>
      <w:r>
        <w:rPr>
          <w:spacing w:val="-2"/>
        </w:rPr>
        <w:t>此类金融资产按照公允价值进行初始计量，相关交易费用直接计入当期损益。此类金融资产的利得或</w:t>
      </w:r>
      <w:r>
        <w:rPr>
          <w:spacing w:val="-70"/>
        </w:rPr>
        <w:t> </w:t>
      </w:r>
      <w:r>
        <w:rPr>
          <w:spacing w:val="-70"/>
        </w:rPr>
      </w:r>
      <w:r>
        <w:rPr/>
        <w:t>损失，计入当期损益。</w:t>
      </w:r>
    </w:p>
    <w:p>
      <w:pPr>
        <w:pStyle w:val="BodyText"/>
        <w:spacing w:line="259" w:lineRule="auto" w:before="127"/>
        <w:ind w:right="1133" w:firstLine="439"/>
        <w:jc w:val="both"/>
      </w:pPr>
      <w:r>
        <w:rPr>
          <w:spacing w:val="-2"/>
        </w:rPr>
        <w:t>本公司在非同一控制下的企业合并中确认的或有对价构成金融资产的，该金融资产分类为以公允</w:t>
      </w:r>
      <w:r>
        <w:rPr>
          <w:w w:val="100"/>
        </w:rPr>
        <w:t> </w:t>
      </w:r>
      <w:r>
        <w:rPr/>
        <w:t>价值计量且其变动计入当期损益的金融资产。</w:t>
      </w:r>
    </w:p>
    <w:p>
      <w:pPr>
        <w:pStyle w:val="BodyText"/>
        <w:spacing w:line="259" w:lineRule="auto" w:before="126"/>
        <w:ind w:right="1133" w:firstLine="439"/>
        <w:jc w:val="both"/>
      </w:pPr>
      <w:r>
        <w:rPr>
          <w:spacing w:val="-2"/>
        </w:rPr>
        <w:t>本公司在改变管理金融资产的业务模式时，对所有受影响的相关金融资产进行重分类。本年无重</w:t>
      </w:r>
      <w:r>
        <w:rPr>
          <w:w w:val="100"/>
        </w:rPr>
        <w:t> </w:t>
      </w:r>
      <w:r>
        <w:rPr/>
        <w:t>分类资产。</w:t>
      </w:r>
    </w:p>
    <w:p>
      <w:pPr>
        <w:pStyle w:val="BodyText"/>
        <w:spacing w:line="530" w:lineRule="atLeast" w:before="21"/>
        <w:ind w:left="633" w:right="996" w:hanging="392"/>
        <w:jc w:val="left"/>
      </w:pPr>
      <w:r>
        <w:rPr>
          <w:rFonts w:ascii="Times New Roman" w:hAnsi="Times New Roman" w:cs="Times New Roman" w:eastAsia="Times New Roman" w:hint="default"/>
        </w:rPr>
        <w:t>2</w:t>
      </w:r>
      <w:r>
        <w:rPr/>
        <w:t>）金融资产转移的确认依据和计量方法</w:t>
      </w:r>
      <w:r>
        <w:rPr>
          <w:w w:val="100"/>
        </w:rPr>
        <w:t> </w:t>
      </w:r>
      <w:r>
        <w:rPr>
          <w:spacing w:val="-3"/>
        </w:rPr>
        <w:t>本公司将满足下列条件之一的金融资产予以终止确认：①收取该金融资产现金流量的合同权利终</w:t>
      </w:r>
    </w:p>
    <w:p>
      <w:pPr>
        <w:pStyle w:val="BodyText"/>
        <w:spacing w:line="259" w:lineRule="auto" w:before="24"/>
        <w:ind w:right="1128"/>
        <w:jc w:val="both"/>
      </w:pPr>
      <w:r>
        <w:rPr>
          <w:spacing w:val="-2"/>
        </w:rPr>
        <w:t>止；②金融资产发生转移，本公司转移了金融资产所有权上几乎所有风险和报酬；③金融资产发生转</w:t>
      </w:r>
      <w:r>
        <w:rPr>
          <w:spacing w:val="-68"/>
        </w:rPr>
        <w:t> </w:t>
      </w:r>
      <w:r>
        <w:rPr>
          <w:spacing w:val="-68"/>
        </w:rPr>
      </w:r>
      <w:r>
        <w:rPr>
          <w:spacing w:val="-2"/>
        </w:rPr>
        <w:t>移，本公司既没有转移也没有保留金融资产所有权上几乎所有风险和报酬，且未保留对该金融资产控</w:t>
      </w:r>
      <w:r>
        <w:rPr>
          <w:spacing w:val="-71"/>
        </w:rPr>
        <w:t> </w:t>
      </w:r>
      <w:r>
        <w:rPr>
          <w:spacing w:val="-71"/>
        </w:rPr>
      </w:r>
      <w:r>
        <w:rPr/>
        <w:t>制的。</w:t>
      </w:r>
    </w:p>
    <w:p>
      <w:pPr>
        <w:pStyle w:val="BodyText"/>
        <w:spacing w:line="259" w:lineRule="auto" w:before="126"/>
        <w:ind w:right="996" w:firstLine="439"/>
        <w:jc w:val="left"/>
      </w:pPr>
      <w:r>
        <w:rPr/>
        <w:t>金融资产整体转移满足终止确认条件的，将所转移金融资产的账面价值，与因转移而收到的对价</w:t>
      </w:r>
      <w:r>
        <w:rPr>
          <w:w w:val="100"/>
        </w:rPr>
        <w:t> </w:t>
      </w:r>
      <w:r>
        <w:rPr>
          <w:spacing w:val="-2"/>
        </w:rPr>
        <w:t>及原直接计入其他综合收益的公允价值变动累计额中对应终止确认部分的金额（涉及转移的金融资产</w:t>
      </w:r>
      <w:r>
        <w:rPr>
          <w:spacing w:val="-73"/>
        </w:rPr>
        <w:t> </w:t>
      </w:r>
      <w:r>
        <w:rPr>
          <w:spacing w:val="-73"/>
        </w:rPr>
      </w:r>
      <w:r>
        <w:rPr>
          <w:spacing w:val="-5"/>
        </w:rPr>
        <w:t>的合同条款规定，在特定日期产生的现金流量，仅为对本金和以未偿付本金金额为基础的利息的支付）</w:t>
      </w:r>
      <w:r>
        <w:rPr>
          <w:spacing w:val="-45"/>
        </w:rPr>
        <w:t> </w:t>
      </w:r>
      <w:r>
        <w:rPr>
          <w:spacing w:val="-45"/>
        </w:rPr>
      </w:r>
      <w:r>
        <w:rPr/>
        <w:t>之和的差额计入当期损益。</w:t>
      </w:r>
    </w:p>
    <w:p>
      <w:pPr>
        <w:pStyle w:val="BodyText"/>
        <w:spacing w:line="259" w:lineRule="auto" w:before="126"/>
        <w:ind w:right="1131" w:firstLine="439"/>
        <w:jc w:val="both"/>
      </w:pPr>
      <w:r>
        <w:rPr>
          <w:spacing w:val="-2"/>
        </w:rPr>
        <w:t>金融资产部分转移满足终止确认条件的，将所转移金融资产整体的账面价值，在终止确认部分和</w:t>
      </w:r>
      <w:r>
        <w:rPr>
          <w:w w:val="100"/>
        </w:rPr>
        <w:t> </w:t>
      </w:r>
      <w:r>
        <w:rPr>
          <w:spacing w:val="-2"/>
        </w:rPr>
        <w:t>未终止确认部分之间，按照各自的相对公允价值进行分摊，并将因转移而收到的对价及应分摊至终止</w:t>
      </w:r>
      <w:r>
        <w:rPr>
          <w:spacing w:val="-70"/>
        </w:rPr>
        <w:t> </w:t>
      </w:r>
      <w:r>
        <w:rPr>
          <w:spacing w:val="-70"/>
        </w:rPr>
      </w:r>
      <w:r>
        <w:rPr>
          <w:spacing w:val="-2"/>
        </w:rPr>
        <w:t>确认部分的原计入其他综合收益的公允价值变动累计额中对应终止确认部分的金额（涉及转移的金融</w:t>
      </w:r>
      <w:r>
        <w:rPr>
          <w:spacing w:val="-72"/>
        </w:rPr>
        <w:t> </w:t>
      </w:r>
      <w:r>
        <w:rPr>
          <w:spacing w:val="-72"/>
        </w:rPr>
      </w:r>
      <w:r>
        <w:rPr>
          <w:spacing w:val="-2"/>
        </w:rPr>
        <w:t>资产的合同条款规定，在特定日期产生的现金流量，仅为对本金和以未偿付本金金额为基础的利息的</w:t>
      </w:r>
    </w:p>
    <w:p>
      <w:pPr>
        <w:spacing w:after="0" w:line="259" w:lineRule="auto"/>
        <w:jc w:val="both"/>
        <w:sectPr>
          <w:pgSz w:w="11910" w:h="16840"/>
          <w:pgMar w:header="877" w:footer="980" w:top="1060" w:bottom="1160" w:left="980" w:right="0"/>
        </w:sectPr>
      </w:pPr>
    </w:p>
    <w:p>
      <w:pPr>
        <w:spacing w:line="240" w:lineRule="auto" w:before="4"/>
        <w:rPr>
          <w:rFonts w:ascii="宋体" w:hAnsi="宋体" w:cs="宋体" w:eastAsia="宋体" w:hint="default"/>
          <w:sz w:val="24"/>
          <w:szCs w:val="24"/>
        </w:rPr>
      </w:pPr>
    </w:p>
    <w:p>
      <w:pPr>
        <w:pStyle w:val="BodyText"/>
        <w:spacing w:line="240" w:lineRule="auto" w:before="32"/>
        <w:ind w:right="0"/>
        <w:jc w:val="both"/>
      </w:pPr>
      <w:r>
        <w:rPr/>
        <w:t>支付）之和，与分摊的前述金融资产整体账面价值的差额计入当期损益。</w:t>
      </w:r>
    </w:p>
    <w:p>
      <w:pPr>
        <w:spacing w:line="240" w:lineRule="auto" w:before="3"/>
        <w:rPr>
          <w:rFonts w:ascii="宋体" w:hAnsi="宋体" w:cs="宋体" w:eastAsia="宋体" w:hint="default"/>
          <w:sz w:val="20"/>
          <w:szCs w:val="20"/>
        </w:rPr>
      </w:pPr>
    </w:p>
    <w:p>
      <w:pPr>
        <w:pStyle w:val="BodyText"/>
        <w:spacing w:line="240" w:lineRule="auto"/>
        <w:ind w:left="419" w:right="996"/>
        <w:jc w:val="left"/>
      </w:pPr>
      <w:r>
        <w:rPr/>
        <w:t>（</w:t>
      </w:r>
      <w:r>
        <w:rPr>
          <w:rFonts w:ascii="Times New Roman" w:hAnsi="Times New Roman" w:cs="Times New Roman" w:eastAsia="Times New Roman" w:hint="default"/>
        </w:rPr>
        <w:t>2</w:t>
      </w:r>
      <w:r>
        <w:rPr/>
        <w:t>）金融负债</w:t>
      </w:r>
    </w:p>
    <w:p>
      <w:pPr>
        <w:spacing w:line="240" w:lineRule="auto" w:before="12"/>
        <w:rPr>
          <w:rFonts w:ascii="宋体" w:hAnsi="宋体" w:cs="宋体" w:eastAsia="宋体" w:hint="default"/>
          <w:sz w:val="18"/>
          <w:szCs w:val="18"/>
        </w:rPr>
      </w:pPr>
    </w:p>
    <w:p>
      <w:pPr>
        <w:pStyle w:val="BodyText"/>
        <w:spacing w:line="340" w:lineRule="auto"/>
        <w:ind w:left="592" w:right="996" w:hanging="8"/>
        <w:jc w:val="left"/>
      </w:pPr>
      <w:r>
        <w:rPr>
          <w:rFonts w:ascii="Times New Roman" w:hAnsi="Times New Roman" w:cs="Times New Roman" w:eastAsia="Times New Roman" w:hint="default"/>
        </w:rPr>
        <w:t>1</w:t>
      </w:r>
      <w:r>
        <w:rPr/>
        <w:t>）金融负债分类、确认依据和计量方法</w:t>
      </w:r>
      <w:r>
        <w:rPr>
          <w:w w:val="100"/>
        </w:rPr>
        <w:t> </w:t>
      </w:r>
      <w:r>
        <w:rPr>
          <w:spacing w:val="2"/>
        </w:rPr>
        <w:t>本公司的金融负债于初始确认时分类为以公允价值计量且其变动计入当期损益的金融负债和其</w:t>
      </w:r>
    </w:p>
    <w:p>
      <w:pPr>
        <w:pStyle w:val="BodyText"/>
        <w:spacing w:line="220" w:lineRule="exact"/>
        <w:ind w:right="0"/>
        <w:jc w:val="both"/>
      </w:pPr>
      <w:r>
        <w:rPr/>
        <w:t>他金融负债。</w:t>
      </w:r>
    </w:p>
    <w:p>
      <w:pPr>
        <w:pStyle w:val="BodyText"/>
        <w:spacing w:line="259" w:lineRule="auto" w:before="144"/>
        <w:ind w:right="1129" w:firstLine="439"/>
        <w:jc w:val="both"/>
      </w:pPr>
      <w:r>
        <w:rPr>
          <w:spacing w:val="-2"/>
        </w:rPr>
        <w:t>以公允价值计量且其变动计入当期损益的金融负债，包括交易性金融负债和初始确认时指定为以</w:t>
      </w:r>
      <w:r>
        <w:rPr>
          <w:w w:val="100"/>
        </w:rPr>
        <w:t> </w:t>
      </w:r>
      <w:r>
        <w:rPr>
          <w:spacing w:val="-2"/>
        </w:rPr>
        <w:t>公允价值计量且其变动计入当期损益的金融负债。按照公允价值进行后续计量，公允价值变动形成的</w:t>
      </w:r>
      <w:r>
        <w:rPr>
          <w:spacing w:val="-68"/>
        </w:rPr>
        <w:t> </w:t>
      </w:r>
      <w:r>
        <w:rPr>
          <w:spacing w:val="-68"/>
        </w:rPr>
      </w:r>
      <w:r>
        <w:rPr/>
        <w:t>利得或损失以及与该金融负债相关的股利和利息支出计入当期损益。</w:t>
      </w:r>
    </w:p>
    <w:p>
      <w:pPr>
        <w:pStyle w:val="BodyText"/>
        <w:spacing w:line="259" w:lineRule="auto" w:before="126"/>
        <w:ind w:right="1128" w:firstLine="439"/>
        <w:jc w:val="both"/>
      </w:pPr>
      <w:r>
        <w:rPr>
          <w:spacing w:val="-2"/>
        </w:rPr>
        <w:t>其他金融负债，包括应付账款和短期借款。采用实际利率法，按照摊余成本进行后续计量。除下</w:t>
      </w:r>
      <w:r>
        <w:rPr>
          <w:w w:val="100"/>
        </w:rPr>
        <w:t> </w:t>
      </w:r>
      <w:r>
        <w:rPr>
          <w:spacing w:val="-2"/>
        </w:rPr>
        <w:t>列各项外，本公司将金融负债分类为以摊余成本计量的金融负债：①以公允价值计量且其变动计入当</w:t>
      </w:r>
      <w:r>
        <w:rPr>
          <w:spacing w:val="-68"/>
        </w:rPr>
        <w:t> </w:t>
      </w:r>
      <w:r>
        <w:rPr>
          <w:spacing w:val="-68"/>
        </w:rPr>
      </w:r>
      <w:r>
        <w:rPr>
          <w:spacing w:val="-2"/>
        </w:rPr>
        <w:t>期损益的金融负债，包括交易性金融负债（含属于金融负债的衍生工具）和指定为以公允价值计量且</w:t>
      </w:r>
      <w:r>
        <w:rPr>
          <w:spacing w:val="-68"/>
        </w:rPr>
        <w:t> </w:t>
      </w:r>
      <w:r>
        <w:rPr>
          <w:spacing w:val="-68"/>
        </w:rPr>
      </w:r>
      <w:r>
        <w:rPr>
          <w:spacing w:val="-2"/>
        </w:rPr>
        <w:t>其变动计入当期损益的金融负债。②不符合终止确认条件的金融资产转移或继续涉入被转移金融资产</w:t>
      </w:r>
      <w:r>
        <w:rPr>
          <w:spacing w:val="-72"/>
        </w:rPr>
        <w:t> </w:t>
      </w:r>
      <w:r>
        <w:rPr>
          <w:spacing w:val="-72"/>
        </w:rPr>
      </w:r>
      <w:r>
        <w:rPr>
          <w:spacing w:val="-2"/>
        </w:rPr>
        <w:t>所形成的金融负债。③不属于以上①或②情形的财务担保合同，以及不属于以上①情形的以低于市场</w:t>
      </w:r>
      <w:r>
        <w:rPr>
          <w:spacing w:val="-68"/>
        </w:rPr>
        <w:t> </w:t>
      </w:r>
      <w:r>
        <w:rPr>
          <w:spacing w:val="-68"/>
        </w:rPr>
      </w:r>
      <w:r>
        <w:rPr/>
        <w:t>利率贷款的贷款承诺。</w:t>
      </w:r>
    </w:p>
    <w:p>
      <w:pPr>
        <w:pStyle w:val="BodyText"/>
        <w:spacing w:line="259" w:lineRule="auto" w:before="126"/>
        <w:ind w:right="1133" w:firstLine="439"/>
        <w:jc w:val="both"/>
      </w:pPr>
      <w:r>
        <w:rPr>
          <w:spacing w:val="-2"/>
        </w:rPr>
        <w:t>本公司将在非同一控制下的企业合并中作为购买方确认的或有对价形成金融负债的，按照以公允</w:t>
      </w:r>
      <w:r>
        <w:rPr>
          <w:w w:val="100"/>
        </w:rPr>
        <w:t> </w:t>
      </w:r>
      <w:r>
        <w:rPr>
          <w:spacing w:val="-2"/>
        </w:rPr>
        <w:t>价值计量且其变动计入当期损益进行会计处理。本公司的金融负债于初始确认时分类为以公允价值计</w:t>
      </w:r>
      <w:r>
        <w:rPr>
          <w:spacing w:val="-73"/>
        </w:rPr>
        <w:t> </w:t>
      </w:r>
      <w:r>
        <w:rPr>
          <w:spacing w:val="-73"/>
        </w:rPr>
      </w:r>
      <w:r>
        <w:rPr/>
        <w:t>量且其变动计入当期损益的金融负债和其他金融负债。</w:t>
      </w:r>
    </w:p>
    <w:p>
      <w:pPr>
        <w:spacing w:line="240" w:lineRule="auto" w:before="11"/>
        <w:rPr>
          <w:rFonts w:ascii="宋体" w:hAnsi="宋体" w:cs="宋体" w:eastAsia="宋体" w:hint="default"/>
          <w:sz w:val="18"/>
          <w:szCs w:val="18"/>
        </w:rPr>
      </w:pPr>
    </w:p>
    <w:p>
      <w:pPr>
        <w:pStyle w:val="BodyText"/>
        <w:spacing w:line="259" w:lineRule="auto"/>
        <w:ind w:right="996" w:firstLine="480"/>
        <w:jc w:val="left"/>
      </w:pPr>
      <w:r>
        <w:rPr>
          <w:spacing w:val="-3"/>
        </w:rPr>
        <w:t>以公允价值计量且其变动计入当期损益的金融负债，包括交易性金融负债和初始确认时指定为以</w:t>
      </w:r>
      <w:r>
        <w:rPr>
          <w:w w:val="100"/>
        </w:rPr>
        <w:t> </w:t>
      </w:r>
      <w:r>
        <w:rPr>
          <w:spacing w:val="-5"/>
          <w:w w:val="100"/>
        </w:rPr>
        <w:t>公允价值计量且其变动计入当期损益的金融负债，（相关分类依据参照金融资产分类依据进行披露）。</w:t>
      </w:r>
      <w:r>
        <w:rPr>
          <w:spacing w:val="-85"/>
          <w:w w:val="100"/>
        </w:rPr>
        <w:t> </w:t>
      </w:r>
      <w:r>
        <w:rPr>
          <w:spacing w:val="-85"/>
          <w:w w:val="100"/>
        </w:rPr>
      </w:r>
      <w:r>
        <w:rPr>
          <w:spacing w:val="-2"/>
        </w:rPr>
        <w:t>按照公允价值进行后续计量，公允价值变动形成的利得或损失以及与该金融负债相关的股利和利息支</w:t>
      </w:r>
      <w:r>
        <w:rPr>
          <w:spacing w:val="-70"/>
        </w:rPr>
        <w:t> </w:t>
      </w:r>
      <w:r>
        <w:rPr>
          <w:spacing w:val="-70"/>
        </w:rPr>
      </w:r>
      <w:r>
        <w:rPr/>
        <w:t>出计入当期损益。</w:t>
      </w:r>
    </w:p>
    <w:p>
      <w:pPr>
        <w:pStyle w:val="BodyText"/>
        <w:spacing w:line="240" w:lineRule="auto" w:before="127"/>
        <w:ind w:left="592" w:right="996"/>
        <w:jc w:val="left"/>
      </w:pPr>
      <w:r>
        <w:rPr/>
        <w:t>其他金融负债，采用实际利率法，按照摊余成本进行后续计量。</w:t>
      </w:r>
    </w:p>
    <w:p>
      <w:pPr>
        <w:spacing w:line="240" w:lineRule="auto" w:before="2"/>
        <w:rPr>
          <w:rFonts w:ascii="宋体" w:hAnsi="宋体" w:cs="宋体" w:eastAsia="宋体" w:hint="default"/>
          <w:sz w:val="20"/>
          <w:szCs w:val="20"/>
        </w:rPr>
      </w:pPr>
    </w:p>
    <w:p>
      <w:pPr>
        <w:pStyle w:val="BodyText"/>
        <w:spacing w:line="340" w:lineRule="auto"/>
        <w:ind w:left="592" w:right="996" w:hanging="84"/>
        <w:jc w:val="left"/>
      </w:pPr>
      <w:r>
        <w:rPr>
          <w:rFonts w:ascii="Times New Roman" w:hAnsi="Times New Roman" w:cs="Times New Roman" w:eastAsia="Times New Roman" w:hint="default"/>
        </w:rPr>
        <w:t>2</w:t>
      </w:r>
      <w:r>
        <w:rPr/>
        <w:t>）金融负债终止确认条件</w:t>
      </w:r>
      <w:r>
        <w:rPr>
          <w:w w:val="100"/>
        </w:rPr>
        <w:t> </w:t>
      </w:r>
      <w:r>
        <w:rPr>
          <w:spacing w:val="-2"/>
        </w:rPr>
        <w:t>当金融负债的现时义务全部或部分已经解除时，终止确认该金融负债或义务已解除的部分。本公</w:t>
      </w:r>
    </w:p>
    <w:p>
      <w:pPr>
        <w:pStyle w:val="BodyText"/>
        <w:spacing w:line="220" w:lineRule="exact"/>
        <w:ind w:right="0"/>
        <w:jc w:val="both"/>
      </w:pPr>
      <w:r>
        <w:rPr/>
        <w:t>司与债权人之间签订协议，以承担新金融负债方式替换现存金融负债，且新金融负债与现存金融负债</w:t>
      </w:r>
    </w:p>
    <w:p>
      <w:pPr>
        <w:pStyle w:val="BodyText"/>
        <w:spacing w:line="259" w:lineRule="auto" w:before="24"/>
        <w:ind w:right="1019"/>
        <w:jc w:val="both"/>
      </w:pPr>
      <w:r>
        <w:rPr/>
        <w:t>的合同条款实质上不同的，终止确认现存金融负债，并同时确认新金融负债。本公司对现存金融负债</w:t>
      </w:r>
      <w:r>
        <w:rPr>
          <w:w w:val="100"/>
        </w:rPr>
        <w:t> </w:t>
      </w:r>
      <w:r>
        <w:rPr/>
        <w:t>全部或部分的合同条款作出实质性修改的，终止确认现存金融负债或其一部分，同时将修改条款后的</w:t>
      </w:r>
      <w:r>
        <w:rPr>
          <w:w w:val="100"/>
        </w:rPr>
        <w:t> </w:t>
      </w:r>
      <w:r>
        <w:rPr>
          <w:spacing w:val="-5"/>
        </w:rPr>
        <w:t>金融负债确认为一项新金融负债。终止确认部分的账面价值与支付的对价之间的差额，计入当期损益。</w:t>
      </w:r>
    </w:p>
    <w:p>
      <w:pPr>
        <w:spacing w:line="240" w:lineRule="auto" w:before="11"/>
        <w:rPr>
          <w:rFonts w:ascii="宋体" w:hAnsi="宋体" w:cs="宋体" w:eastAsia="宋体" w:hint="default"/>
          <w:sz w:val="18"/>
          <w:szCs w:val="18"/>
        </w:rPr>
      </w:pPr>
    </w:p>
    <w:p>
      <w:pPr>
        <w:pStyle w:val="BodyText"/>
        <w:spacing w:line="340" w:lineRule="auto"/>
        <w:ind w:left="592" w:right="996" w:hanging="180"/>
        <w:jc w:val="left"/>
      </w:pPr>
      <w:r>
        <w:rPr/>
        <w:t>（</w:t>
      </w:r>
      <w:r>
        <w:rPr>
          <w:rFonts w:ascii="Times New Roman" w:hAnsi="Times New Roman" w:cs="Times New Roman" w:eastAsia="Times New Roman" w:hint="default"/>
        </w:rPr>
        <w:t>3</w:t>
      </w:r>
      <w:r>
        <w:rPr/>
        <w:t>）金融资产和金融负债的公允价值确定方法</w:t>
      </w:r>
      <w:r>
        <w:rPr>
          <w:w w:val="100"/>
        </w:rPr>
        <w:t> </w:t>
      </w:r>
      <w:r>
        <w:rPr>
          <w:spacing w:val="-2"/>
        </w:rPr>
        <w:t>本公司以主要市场的价格计量金融资产和金融负债的公允价值，不存在主要市场的，以最有利市</w:t>
      </w:r>
    </w:p>
    <w:p>
      <w:pPr>
        <w:pStyle w:val="BodyText"/>
        <w:spacing w:line="220" w:lineRule="exact"/>
        <w:ind w:right="0"/>
        <w:jc w:val="both"/>
      </w:pPr>
      <w:r>
        <w:rPr/>
        <w:t>场的价格计量金融资产和金融负债的公允价值，并且采用当时适用并且有足够可利用数据和其他信息</w:t>
      </w:r>
    </w:p>
    <w:p>
      <w:pPr>
        <w:pStyle w:val="BodyText"/>
        <w:spacing w:line="259" w:lineRule="auto" w:before="24"/>
        <w:ind w:right="1128"/>
        <w:jc w:val="both"/>
      </w:pPr>
      <w:r>
        <w:rPr>
          <w:spacing w:val="-2"/>
        </w:rPr>
        <w:t>支持的估值技术。公允价值计量所使用的输入值分为三个层次，即第一层次输入值是计量日能够取得</w:t>
      </w:r>
      <w:r>
        <w:rPr>
          <w:spacing w:val="-70"/>
        </w:rPr>
        <w:t> </w:t>
      </w:r>
      <w:r>
        <w:rPr>
          <w:spacing w:val="-70"/>
        </w:rPr>
      </w:r>
      <w:r>
        <w:rPr>
          <w:spacing w:val="-2"/>
        </w:rPr>
        <w:t>的相同资产或负债在活跃市场上未经调整的报价；第二层次输入值是除第一层次输入值外相关资产或</w:t>
      </w:r>
      <w:r>
        <w:rPr>
          <w:spacing w:val="-72"/>
        </w:rPr>
        <w:t> </w:t>
      </w:r>
      <w:r>
        <w:rPr>
          <w:spacing w:val="-72"/>
        </w:rPr>
      </w:r>
      <w:r>
        <w:rPr>
          <w:spacing w:val="-2"/>
        </w:rPr>
        <w:t>负债直接或间接可观察的输入值；第三层次输入值是相关资产或负债的不可观察输入值。本公司优先</w:t>
      </w:r>
      <w:r>
        <w:rPr>
          <w:spacing w:val="-68"/>
        </w:rPr>
        <w:t> </w:t>
      </w:r>
      <w:r>
        <w:rPr>
          <w:spacing w:val="-68"/>
        </w:rPr>
      </w:r>
      <w:r>
        <w:rPr>
          <w:spacing w:val="-2"/>
        </w:rPr>
        <w:t>使用第一层次输入值，最后再使用第三层次输入值，其他权益工具投资、其他非流动金融资产使用第</w:t>
      </w:r>
      <w:r>
        <w:rPr>
          <w:spacing w:val="-71"/>
        </w:rPr>
        <w:t> </w:t>
      </w:r>
      <w:r>
        <w:rPr>
          <w:spacing w:val="-71"/>
        </w:rPr>
      </w:r>
      <w:r>
        <w:rPr>
          <w:spacing w:val="-2"/>
        </w:rPr>
        <w:t>三层次输入值。公允价值计量结果所属的层次，由对公允价值计量整体而言具有重大意义的输入值所</w:t>
      </w:r>
      <w:r>
        <w:rPr>
          <w:spacing w:val="-70"/>
        </w:rPr>
        <w:t> </w:t>
      </w:r>
      <w:r>
        <w:rPr>
          <w:spacing w:val="-70"/>
        </w:rPr>
      </w:r>
      <w:r>
        <w:rPr/>
        <w:t>属的最低层次决定。</w:t>
      </w:r>
    </w:p>
    <w:p>
      <w:pPr>
        <w:spacing w:after="0" w:line="259" w:lineRule="auto"/>
        <w:jc w:val="both"/>
        <w:sectPr>
          <w:pgSz w:w="11910" w:h="16840"/>
          <w:pgMar w:header="877" w:footer="980" w:top="1060" w:bottom="1160" w:left="980" w:right="0"/>
        </w:sectPr>
      </w:pPr>
    </w:p>
    <w:p>
      <w:pPr>
        <w:spacing w:line="240" w:lineRule="auto" w:before="4"/>
        <w:rPr>
          <w:rFonts w:ascii="宋体" w:hAnsi="宋体" w:cs="宋体" w:eastAsia="宋体" w:hint="default"/>
          <w:sz w:val="24"/>
          <w:szCs w:val="24"/>
        </w:rPr>
      </w:pPr>
    </w:p>
    <w:p>
      <w:pPr>
        <w:pStyle w:val="BodyText"/>
        <w:spacing w:line="259" w:lineRule="auto" w:before="32"/>
        <w:ind w:right="996" w:firstLine="439"/>
        <w:jc w:val="left"/>
      </w:pPr>
      <w:r>
        <w:rPr/>
        <w:t>本公司对权益工具的投资以公允价值计量。但在有限情况下，如果用以确定公允价值的近期信息</w:t>
      </w:r>
      <w:r>
        <w:rPr>
          <w:w w:val="100"/>
        </w:rPr>
        <w:t> </w:t>
      </w:r>
      <w:r>
        <w:rPr>
          <w:spacing w:val="-5"/>
        </w:rPr>
        <w:t>不足，或者公允价值的可能估计金额分布范围很广，而成本代表了该范围内对公允价值的最佳估计的，</w:t>
      </w:r>
      <w:r>
        <w:rPr>
          <w:spacing w:val="-45"/>
        </w:rPr>
        <w:t> </w:t>
      </w:r>
      <w:r>
        <w:rPr>
          <w:spacing w:val="-45"/>
        </w:rPr>
      </w:r>
      <w:r>
        <w:rPr>
          <w:spacing w:val="-5"/>
        </w:rPr>
        <w:t>该成本可代表其在该分布范围内对公允价值的恰当估计。这类权益工具投资包括：其他权益工具投资、</w:t>
      </w:r>
      <w:r>
        <w:rPr>
          <w:spacing w:val="-42"/>
        </w:rPr>
        <w:t> </w:t>
      </w:r>
      <w:r>
        <w:rPr>
          <w:spacing w:val="-42"/>
        </w:rPr>
      </w:r>
      <w:r>
        <w:rPr/>
        <w:t>其他非流动金融资产。</w:t>
      </w:r>
    </w:p>
    <w:p>
      <w:pPr>
        <w:spacing w:line="240" w:lineRule="auto" w:before="11"/>
        <w:rPr>
          <w:rFonts w:ascii="宋体" w:hAnsi="宋体" w:cs="宋体" w:eastAsia="宋体" w:hint="default"/>
          <w:sz w:val="18"/>
          <w:szCs w:val="18"/>
        </w:rPr>
      </w:pPr>
    </w:p>
    <w:p>
      <w:pPr>
        <w:pStyle w:val="BodyText"/>
        <w:spacing w:line="340" w:lineRule="auto"/>
        <w:ind w:left="592" w:right="996" w:hanging="92"/>
        <w:jc w:val="left"/>
      </w:pPr>
      <w:r>
        <w:rPr/>
        <w:t>（</w:t>
      </w:r>
      <w:r>
        <w:rPr>
          <w:rFonts w:ascii="Times New Roman" w:hAnsi="Times New Roman" w:cs="Times New Roman" w:eastAsia="Times New Roman" w:hint="default"/>
        </w:rPr>
        <w:t>4</w:t>
      </w:r>
      <w:r>
        <w:rPr/>
        <w:t>）金融资产和金融负债的抵销</w:t>
      </w:r>
      <w:r>
        <w:rPr>
          <w:w w:val="100"/>
        </w:rPr>
        <w:t> </w:t>
      </w:r>
      <w:r>
        <w:rPr>
          <w:spacing w:val="-1"/>
        </w:rPr>
        <w:t>本公司的金融资产和金融负债在资产负债表内分别列示，不相互抵销。但同时满足下列条件时，</w:t>
      </w:r>
    </w:p>
    <w:p>
      <w:pPr>
        <w:pStyle w:val="BodyText"/>
        <w:spacing w:line="236" w:lineRule="exact"/>
        <w:ind w:right="0"/>
        <w:jc w:val="both"/>
      </w:pPr>
      <w:r>
        <w:rPr/>
        <w:t>以相互抵销后的净额在资产负债表内列示：（</w:t>
      </w:r>
      <w:r>
        <w:rPr>
          <w:rFonts w:ascii="Times New Roman" w:hAnsi="Times New Roman" w:cs="Times New Roman" w:eastAsia="Times New Roman" w:hint="default"/>
        </w:rPr>
        <w:t>1</w:t>
      </w:r>
      <w:r>
        <w:rPr/>
        <w:t>）本公司具有抵销已确认金额的法定权利，且该种法</w:t>
      </w:r>
    </w:p>
    <w:p>
      <w:pPr>
        <w:pStyle w:val="BodyText"/>
        <w:spacing w:line="240" w:lineRule="auto" w:before="7"/>
        <w:ind w:right="0"/>
        <w:jc w:val="both"/>
      </w:pPr>
      <w:r>
        <w:rPr/>
        <w:t>定权利是当前可执行的；（</w:t>
      </w:r>
      <w:r>
        <w:rPr>
          <w:rFonts w:ascii="Times New Roman" w:hAnsi="Times New Roman" w:cs="Times New Roman" w:eastAsia="Times New Roman" w:hint="default"/>
        </w:rPr>
        <w:t>2</w:t>
      </w:r>
      <w:r>
        <w:rPr/>
        <w:t>）本公司计划以净额结算，或同时变现该金融资产和清偿该金融负债。</w:t>
      </w:r>
    </w:p>
    <w:p>
      <w:pPr>
        <w:pStyle w:val="BodyText"/>
        <w:spacing w:line="430" w:lineRule="atLeast" w:before="122"/>
        <w:ind w:left="592" w:right="996" w:hanging="84"/>
        <w:jc w:val="left"/>
      </w:pPr>
      <w:r>
        <w:rPr/>
        <w:t>（</w:t>
      </w:r>
      <w:r>
        <w:rPr>
          <w:rFonts w:ascii="Times New Roman" w:hAnsi="Times New Roman" w:cs="Times New Roman" w:eastAsia="Times New Roman" w:hint="default"/>
        </w:rPr>
        <w:t>5</w:t>
      </w:r>
      <w:r>
        <w:rPr/>
        <w:t>）金融负债与权益工具的区分及相关处理方法</w:t>
      </w:r>
      <w:r>
        <w:rPr>
          <w:w w:val="100"/>
        </w:rPr>
        <w:t> </w:t>
      </w:r>
      <w:r>
        <w:rPr/>
        <w:t>本公司按照以下原则区分金融负债与权益工具：（</w:t>
      </w:r>
      <w:r>
        <w:rPr>
          <w:rFonts w:ascii="Times New Roman" w:hAnsi="Times New Roman" w:cs="Times New Roman" w:eastAsia="Times New Roman" w:hint="default"/>
        </w:rPr>
        <w:t>1</w:t>
      </w:r>
      <w:r>
        <w:rPr/>
        <w:t>）如果本公司不能无条件地避免以交付现金</w:t>
      </w:r>
    </w:p>
    <w:p>
      <w:pPr>
        <w:pStyle w:val="BodyText"/>
        <w:spacing w:line="259" w:lineRule="auto" w:before="7"/>
        <w:ind w:right="1090"/>
        <w:jc w:val="both"/>
      </w:pPr>
      <w:r>
        <w:rPr>
          <w:spacing w:val="-2"/>
        </w:rPr>
        <w:t>或其他金融资产来履行一项合同义务，则该合同义务符合金融负债的定义。有些金融工具虽然没有明</w:t>
      </w:r>
      <w:r>
        <w:rPr>
          <w:spacing w:val="-70"/>
        </w:rPr>
        <w:t> </w:t>
      </w:r>
      <w:r>
        <w:rPr>
          <w:spacing w:val="-70"/>
        </w:rPr>
      </w:r>
      <w:r>
        <w:rPr>
          <w:spacing w:val="-2"/>
        </w:rPr>
        <w:t>确地包含交付现金或其他金融资产义务的条款和条件，但有可能通过其他条款和条件间接地形成合同</w:t>
      </w:r>
      <w:r>
        <w:rPr>
          <w:spacing w:val="-73"/>
        </w:rPr>
        <w:t> </w:t>
      </w:r>
      <w:r>
        <w:rPr>
          <w:spacing w:val="-73"/>
        </w:rPr>
      </w:r>
      <w:r>
        <w:rPr/>
        <w:t>义务。（</w:t>
      </w:r>
      <w:r>
        <w:rPr>
          <w:rFonts w:ascii="Times New Roman" w:hAnsi="Times New Roman" w:cs="Times New Roman" w:eastAsia="Times New Roman" w:hint="default"/>
        </w:rPr>
        <w:t>2</w:t>
      </w:r>
      <w:r>
        <w:rPr/>
        <w:t>）如果一项金融工具须用或可用本公司自身权益工具进行结算，需要考虑用于结算该工具</w:t>
      </w:r>
      <w:r>
        <w:rPr>
          <w:spacing w:val="-43"/>
        </w:rPr>
        <w:t> </w:t>
      </w:r>
      <w:r>
        <w:rPr>
          <w:spacing w:val="-43"/>
        </w:rPr>
      </w:r>
      <w:r>
        <w:rPr>
          <w:spacing w:val="-2"/>
        </w:rPr>
        <w:t>的本公司自身权益工具，是作为现金或其他金融资产的替代品，还是为了使该工具持有方享有在发行</w:t>
      </w:r>
      <w:r>
        <w:rPr>
          <w:spacing w:val="-70"/>
        </w:rPr>
        <w:t> </w:t>
      </w:r>
      <w:r>
        <w:rPr>
          <w:spacing w:val="-70"/>
        </w:rPr>
      </w:r>
      <w:r>
        <w:rPr>
          <w:spacing w:val="-2"/>
        </w:rPr>
        <w:t>方扣除所有负债后的资产中的剩余权益。如果是前者，该工具是发行方的金融负债；如果是后者，该</w:t>
      </w:r>
      <w:r>
        <w:rPr>
          <w:spacing w:val="-72"/>
        </w:rPr>
        <w:t> </w:t>
      </w:r>
      <w:r>
        <w:rPr>
          <w:spacing w:val="-72"/>
        </w:rPr>
      </w:r>
      <w:r>
        <w:rPr>
          <w:spacing w:val="-2"/>
        </w:rPr>
        <w:t>工具是发行方的权益工具。在某些情况下，一项金融工具合同规定本公司须用或可用自身权益工具结</w:t>
      </w:r>
      <w:r>
        <w:rPr>
          <w:spacing w:val="-73"/>
        </w:rPr>
        <w:t> </w:t>
      </w:r>
      <w:r>
        <w:rPr>
          <w:spacing w:val="-73"/>
        </w:rPr>
      </w:r>
      <w:r>
        <w:rPr>
          <w:spacing w:val="-2"/>
        </w:rPr>
        <w:t>算该金融工具，其中合同权利或合同义务的金额等于可获取或需交付的自身权益工具的数量乘以其结</w:t>
      </w:r>
      <w:r>
        <w:rPr>
          <w:spacing w:val="-74"/>
        </w:rPr>
        <w:t> </w:t>
      </w:r>
      <w:r>
        <w:rPr>
          <w:spacing w:val="-74"/>
        </w:rPr>
      </w:r>
      <w:r>
        <w:rPr>
          <w:spacing w:val="-2"/>
        </w:rPr>
        <w:t>算时的公允价值，则无论该合同权利或义务的金额是固定的，还是完全或部分地基于除本公司自身权</w:t>
      </w:r>
      <w:r>
        <w:rPr>
          <w:spacing w:val="-70"/>
        </w:rPr>
        <w:t> </w:t>
      </w:r>
      <w:r>
        <w:rPr>
          <w:spacing w:val="-70"/>
        </w:rPr>
      </w:r>
      <w:r>
        <w:rPr>
          <w:spacing w:val="-1"/>
        </w:rPr>
        <w:t>益工具的市场价格以外的变量（例如利率、某种商品的价格或某项金融工具的价格）的变动而变动，</w:t>
      </w:r>
      <w:r>
        <w:rPr>
          <w:spacing w:val="-73"/>
        </w:rPr>
        <w:t> </w:t>
      </w:r>
      <w:r>
        <w:rPr>
          <w:spacing w:val="-73"/>
        </w:rPr>
      </w:r>
      <w:r>
        <w:rPr/>
        <w:t>该合同分类为金融负债。</w:t>
      </w:r>
    </w:p>
    <w:p>
      <w:pPr>
        <w:pStyle w:val="BodyText"/>
        <w:spacing w:line="259" w:lineRule="auto" w:before="126"/>
        <w:ind w:right="1130" w:firstLine="439"/>
        <w:jc w:val="both"/>
      </w:pPr>
      <w:r>
        <w:rPr>
          <w:spacing w:val="-2"/>
        </w:rPr>
        <w:t>本公司在合并报表中对金融工具（或其组成部分）进行分类时，考虑了集团成员和金融工具持有</w:t>
      </w:r>
      <w:r>
        <w:rPr>
          <w:w w:val="100"/>
        </w:rPr>
        <w:t> </w:t>
      </w:r>
      <w:r>
        <w:rPr>
          <w:spacing w:val="-2"/>
        </w:rPr>
        <w:t>方之间达成的所有条款和条件。如果集团作为一个整体由于该工具而承担了交付现金、其他金融资产</w:t>
      </w:r>
      <w:r>
        <w:rPr>
          <w:spacing w:val="-70"/>
        </w:rPr>
        <w:t> </w:t>
      </w:r>
      <w:r>
        <w:rPr>
          <w:spacing w:val="-70"/>
        </w:rPr>
      </w:r>
      <w:r>
        <w:rPr/>
        <w:t>或者以其他导致该工具成为金融负债的方式进行结算的义务，则该工具应当分类为金融负债。</w:t>
      </w:r>
    </w:p>
    <w:p>
      <w:pPr>
        <w:pStyle w:val="BodyText"/>
        <w:spacing w:line="259" w:lineRule="auto" w:before="126"/>
        <w:ind w:right="1131" w:firstLine="439"/>
        <w:jc w:val="both"/>
      </w:pPr>
      <w:r>
        <w:rPr>
          <w:spacing w:val="-2"/>
        </w:rPr>
        <w:t>金融工具或其组成部分属于金融负债的，相关利息、股利（或股息）、利得或损失，以及赎回或</w:t>
      </w:r>
      <w:r>
        <w:rPr>
          <w:w w:val="100"/>
        </w:rPr>
        <w:t> </w:t>
      </w:r>
      <w:r>
        <w:rPr/>
        <w:t>再融资产生的利得或损失等，本公司计入当期损益。</w:t>
      </w:r>
    </w:p>
    <w:p>
      <w:pPr>
        <w:pStyle w:val="BodyText"/>
        <w:spacing w:line="259" w:lineRule="auto" w:before="126"/>
        <w:ind w:right="1130" w:firstLine="439"/>
        <w:jc w:val="both"/>
      </w:pPr>
      <w:r>
        <w:rPr>
          <w:spacing w:val="-2"/>
        </w:rPr>
        <w:t>金融工具或其组成部分属于权益工具的，其发行（含再融资）、回购、出售或注销时，本公司作</w:t>
      </w:r>
      <w:r>
        <w:rPr>
          <w:w w:val="100"/>
        </w:rPr>
        <w:t> </w:t>
      </w:r>
      <w:r>
        <w:rPr/>
        <w:t>为权益的变动处理，不确认权益工具的公允价值变动。</w:t>
      </w:r>
    </w:p>
    <w:p>
      <w:pPr>
        <w:spacing w:line="240" w:lineRule="auto" w:before="2"/>
        <w:rPr>
          <w:rFonts w:ascii="宋体" w:hAnsi="宋体" w:cs="宋体" w:eastAsia="宋体" w:hint="default"/>
          <w:sz w:val="24"/>
          <w:szCs w:val="24"/>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p>
    <w:p>
      <w:pPr>
        <w:pStyle w:val="BodyText"/>
        <w:spacing w:line="240" w:lineRule="auto"/>
        <w:ind w:left="592" w:right="996"/>
        <w:jc w:val="left"/>
      </w:pPr>
      <w:r>
        <w:rPr/>
        <w:t>应收账款的预期信用损失的确定方法及会计处理方法：</w:t>
      </w:r>
    </w:p>
    <w:p>
      <w:pPr>
        <w:pStyle w:val="BodyText"/>
        <w:spacing w:line="244" w:lineRule="auto" w:before="144"/>
        <w:ind w:right="996" w:firstLine="439"/>
        <w:jc w:val="left"/>
      </w:pPr>
      <w:r>
        <w:rPr>
          <w:spacing w:val="-2"/>
        </w:rPr>
        <w:t>本公司对于《企业会计准则第</w:t>
      </w:r>
      <w:r>
        <w:rPr>
          <w:rFonts w:ascii="Times New Roman" w:hAnsi="Times New Roman" w:cs="Times New Roman" w:eastAsia="Times New Roman" w:hint="default"/>
          <w:spacing w:val="-2"/>
        </w:rPr>
        <w:t>14</w:t>
      </w:r>
      <w:r>
        <w:rPr>
          <w:spacing w:val="-2"/>
        </w:rPr>
        <w:t>号</w:t>
      </w:r>
      <w:r>
        <w:rPr>
          <w:rFonts w:ascii="Times New Roman" w:hAnsi="Times New Roman" w:cs="Times New Roman" w:eastAsia="Times New Roman" w:hint="default"/>
          <w:spacing w:val="-2"/>
        </w:rPr>
        <w:t>-</w:t>
      </w:r>
      <w:r>
        <w:rPr>
          <w:spacing w:val="-2"/>
        </w:rPr>
        <w:t>收入准则》规范的交易形成且不含重大融资成分的应收账款，</w:t>
      </w:r>
      <w:r>
        <w:rPr>
          <w:w w:val="100"/>
        </w:rPr>
        <w:t> </w:t>
      </w:r>
      <w:r>
        <w:rPr/>
        <w:t>始终按照相当于整个存续期内预期信用损失的金额计量其损失准备。</w:t>
      </w:r>
    </w:p>
    <w:p>
      <w:pPr>
        <w:pStyle w:val="BodyText"/>
        <w:spacing w:line="254" w:lineRule="auto" w:before="140"/>
        <w:ind w:right="1090" w:firstLine="439"/>
        <w:jc w:val="both"/>
      </w:pPr>
      <w:r>
        <w:rPr>
          <w:spacing w:val="-2"/>
        </w:rPr>
        <w:t>信用风险自初始确认后是否显著增加的判断。本公司通过比较金融工具在初始确认时所确定的预</w:t>
      </w:r>
      <w:r>
        <w:rPr>
          <w:w w:val="100"/>
        </w:rPr>
        <w:t> </w:t>
      </w:r>
      <w:r>
        <w:rPr>
          <w:spacing w:val="-2"/>
        </w:rPr>
        <w:t>计存续期内的违约概率和该工具在资产负债表日所确定的预计存续期内的违约概率，来判定金融工具</w:t>
      </w:r>
      <w:r>
        <w:rPr>
          <w:spacing w:val="-73"/>
        </w:rPr>
        <w:t> </w:t>
      </w:r>
      <w:r>
        <w:rPr>
          <w:spacing w:val="-73"/>
        </w:rPr>
      </w:r>
      <w:r>
        <w:rPr>
          <w:spacing w:val="-1"/>
        </w:rPr>
        <w:t>信用风险是否显著增加。但是，如果本公司确定金融工具在资产负债表日只具有较低的信用风险的，</w:t>
      </w:r>
      <w:r>
        <w:rPr>
          <w:spacing w:val="-73"/>
        </w:rPr>
        <w:t> </w:t>
      </w:r>
      <w:r>
        <w:rPr>
          <w:spacing w:val="-73"/>
        </w:rPr>
      </w:r>
      <w:r>
        <w:rPr>
          <w:spacing w:val="-2"/>
        </w:rPr>
        <w:t>可以假设该金融工具的信用风险自初始确认后并未显著增加。通常情况下，如果逾期超过</w:t>
      </w:r>
      <w:r>
        <w:rPr>
          <w:rFonts w:ascii="Times New Roman" w:hAnsi="Times New Roman" w:cs="Times New Roman" w:eastAsia="Times New Roman" w:hint="default"/>
          <w:spacing w:val="-2"/>
        </w:rPr>
        <w:t>30</w:t>
      </w:r>
      <w:r>
        <w:rPr>
          <w:spacing w:val="-2"/>
        </w:rPr>
        <w:t>日，则表</w:t>
      </w:r>
      <w:r>
        <w:rPr>
          <w:spacing w:val="-65"/>
        </w:rPr>
        <w:t> </w:t>
      </w:r>
      <w:r>
        <w:rPr>
          <w:spacing w:val="-65"/>
        </w:rPr>
      </w:r>
      <w:r>
        <w:rPr>
          <w:spacing w:val="-2"/>
        </w:rPr>
        <w:t>明金融工具的信用风险已经显著增加。除非本公司在无须付出不必要的额外成本或努力的情况下即可</w:t>
      </w:r>
      <w:r>
        <w:rPr>
          <w:spacing w:val="-73"/>
        </w:rPr>
        <w:t> </w:t>
      </w:r>
      <w:r>
        <w:rPr>
          <w:spacing w:val="-73"/>
        </w:rPr>
      </w:r>
      <w:r>
        <w:rPr>
          <w:spacing w:val="-2"/>
        </w:rPr>
        <w:t>获得合理且有依据的信息，证明即使逾期超过</w:t>
      </w:r>
      <w:r>
        <w:rPr>
          <w:rFonts w:ascii="Times New Roman" w:hAnsi="Times New Roman" w:cs="Times New Roman" w:eastAsia="Times New Roman" w:hint="default"/>
          <w:spacing w:val="-2"/>
        </w:rPr>
        <w:t>30</w:t>
      </w:r>
      <w:r>
        <w:rPr>
          <w:spacing w:val="-2"/>
        </w:rPr>
        <w:t>日，信用风险自初始确认后仍未显著增加。在确定信</w:t>
      </w:r>
      <w:r>
        <w:rPr>
          <w:spacing w:val="-65"/>
        </w:rPr>
        <w:t> </w:t>
      </w:r>
      <w:r>
        <w:rPr>
          <w:spacing w:val="-65"/>
        </w:rPr>
      </w:r>
      <w:r>
        <w:rPr>
          <w:spacing w:val="-2"/>
        </w:rPr>
        <w:t>用风险自初始确认后是否显著增加时，本公司考虑无须付出不必要的额外成本或努力即可获得的合理</w:t>
      </w:r>
    </w:p>
    <w:p>
      <w:pPr>
        <w:spacing w:after="0" w:line="254" w:lineRule="auto"/>
        <w:jc w:val="both"/>
        <w:sectPr>
          <w:pgSz w:w="11910" w:h="16840"/>
          <w:pgMar w:header="877" w:footer="980" w:top="1060" w:bottom="1160" w:left="980" w:right="0"/>
        </w:sectPr>
      </w:pPr>
    </w:p>
    <w:p>
      <w:pPr>
        <w:spacing w:line="240" w:lineRule="auto" w:before="4"/>
        <w:rPr>
          <w:rFonts w:ascii="宋体" w:hAnsi="宋体" w:cs="宋体" w:eastAsia="宋体" w:hint="default"/>
          <w:sz w:val="24"/>
          <w:szCs w:val="24"/>
        </w:rPr>
      </w:pPr>
    </w:p>
    <w:p>
      <w:pPr>
        <w:pStyle w:val="BodyText"/>
        <w:spacing w:line="240" w:lineRule="auto" w:before="32"/>
        <w:ind w:right="0"/>
        <w:jc w:val="both"/>
      </w:pPr>
      <w:r>
        <w:rPr/>
        <w:t>且有依据的信息，包括前瞻性信息。</w:t>
      </w:r>
    </w:p>
    <w:p>
      <w:pPr>
        <w:pStyle w:val="BodyText"/>
        <w:spacing w:line="259" w:lineRule="auto" w:before="144"/>
        <w:ind w:right="1130" w:firstLine="439"/>
        <w:jc w:val="both"/>
      </w:pPr>
      <w:r>
        <w:rPr>
          <w:spacing w:val="-2"/>
        </w:rPr>
        <w:t>以组合为基础的评估。对于应收账款，本公司在单项工具层面无法以合理成本获得关于信用风险</w:t>
      </w:r>
      <w:r>
        <w:rPr>
          <w:w w:val="100"/>
        </w:rPr>
        <w:t> </w:t>
      </w:r>
      <w:r>
        <w:rPr>
          <w:spacing w:val="-2"/>
        </w:rPr>
        <w:t>显著增加的充分证据，而在组合的基础上评估信用风险是否显著增加是可行的，所以本公司按照金融</w:t>
      </w:r>
      <w:r>
        <w:rPr>
          <w:spacing w:val="-70"/>
        </w:rPr>
        <w:t> </w:t>
      </w:r>
      <w:r>
        <w:rPr>
          <w:spacing w:val="-70"/>
        </w:rPr>
      </w:r>
      <w:r>
        <w:rPr>
          <w:spacing w:val="-2"/>
        </w:rPr>
        <w:t>工具类型、信用风险评级、初始确认日期、剩余合同期限为共同风险特征，对应收账款进行分组并以</w:t>
      </w:r>
      <w:r>
        <w:rPr>
          <w:spacing w:val="-70"/>
        </w:rPr>
        <w:t> </w:t>
      </w:r>
      <w:r>
        <w:rPr>
          <w:spacing w:val="-70"/>
        </w:rPr>
      </w:r>
      <w:r>
        <w:rPr/>
        <w:t>组合为基础考虑评估信用风险是否显著增加。</w:t>
      </w:r>
    </w:p>
    <w:p>
      <w:pPr>
        <w:pStyle w:val="BodyText"/>
        <w:spacing w:line="259" w:lineRule="auto" w:before="126"/>
        <w:ind w:right="1128" w:firstLine="439"/>
        <w:jc w:val="both"/>
      </w:pPr>
      <w:r>
        <w:rPr>
          <w:spacing w:val="-2"/>
        </w:rPr>
        <w:t>预期信用损失计量。预期信用损失，是指以发生违约的风险为权重的金融工具信用损失的加权平</w:t>
      </w:r>
      <w:r>
        <w:rPr>
          <w:w w:val="100"/>
        </w:rPr>
        <w:t> </w:t>
      </w:r>
      <w:r>
        <w:rPr>
          <w:spacing w:val="-2"/>
        </w:rPr>
        <w:t>均值。信用损失，是指本公司按照原实际利率折现的、根据合同应收的所有合同现金流量与预期收取</w:t>
      </w:r>
      <w:r>
        <w:rPr>
          <w:spacing w:val="-68"/>
        </w:rPr>
        <w:t> </w:t>
      </w:r>
      <w:r>
        <w:rPr>
          <w:spacing w:val="-68"/>
        </w:rPr>
      </w:r>
      <w:r>
        <w:rPr/>
        <w:t>的所有现金流量之间的差额，即全部现金短缺的现值。</w:t>
      </w:r>
    </w:p>
    <w:p>
      <w:pPr>
        <w:pStyle w:val="BodyText"/>
        <w:spacing w:line="252" w:lineRule="auto" w:before="126"/>
        <w:ind w:right="996" w:firstLine="439"/>
        <w:jc w:val="left"/>
      </w:pPr>
      <w:r>
        <w:rPr/>
        <w:t>本公司在资产负债表日计算应收账款预期信用损失，如果该预期信用损失大于当前应收账款减值</w:t>
      </w:r>
      <w:r>
        <w:rPr>
          <w:w w:val="100"/>
        </w:rPr>
        <w:t> </w:t>
      </w:r>
      <w:r>
        <w:rPr>
          <w:spacing w:val="-4"/>
        </w:rPr>
        <w:t>准备的账面金额，本公司将其差额确认为应收账款减值损失，借记</w:t>
      </w:r>
      <w:r>
        <w:rPr>
          <w:rFonts w:ascii="Times New Roman" w:hAnsi="Times New Roman" w:cs="Times New Roman" w:eastAsia="Times New Roman" w:hint="default"/>
          <w:spacing w:val="-4"/>
        </w:rPr>
        <w:t>“</w:t>
      </w:r>
      <w:r>
        <w:rPr>
          <w:spacing w:val="-4"/>
        </w:rPr>
        <w:t>信用减值损失</w:t>
      </w:r>
      <w:r>
        <w:rPr>
          <w:rFonts w:ascii="Times New Roman" w:hAnsi="Times New Roman" w:cs="Times New Roman" w:eastAsia="Times New Roman" w:hint="default"/>
          <w:spacing w:val="-4"/>
        </w:rPr>
        <w:t>”</w:t>
      </w:r>
      <w:r>
        <w:rPr>
          <w:spacing w:val="-4"/>
        </w:rPr>
        <w:t>，贷记</w:t>
      </w:r>
      <w:r>
        <w:rPr>
          <w:rFonts w:ascii="Times New Roman" w:hAnsi="Times New Roman" w:cs="Times New Roman" w:eastAsia="Times New Roman" w:hint="default"/>
          <w:spacing w:val="-4"/>
        </w:rPr>
        <w:t>“</w:t>
      </w:r>
      <w:r>
        <w:rPr>
          <w:spacing w:val="-4"/>
        </w:rPr>
        <w:t>坏账准备</w:t>
      </w:r>
      <w:r>
        <w:rPr>
          <w:rFonts w:ascii="Times New Roman" w:hAnsi="Times New Roman" w:cs="Times New Roman" w:eastAsia="Times New Roman" w:hint="default"/>
          <w:spacing w:val="-4"/>
        </w:rPr>
        <w:t>”</w:t>
      </w:r>
      <w:r>
        <w:rPr>
          <w:spacing w:val="-4"/>
        </w:rPr>
        <w:t>。</w:t>
      </w:r>
      <w:r>
        <w:rPr>
          <w:spacing w:val="-35"/>
        </w:rPr>
        <w:t> </w:t>
      </w:r>
      <w:r>
        <w:rPr/>
        <w:t>相反，本公司将差额确认为减值利得，做相反的会计记录。</w:t>
      </w:r>
    </w:p>
    <w:p>
      <w:pPr>
        <w:pStyle w:val="BodyText"/>
        <w:spacing w:line="252" w:lineRule="auto" w:before="133"/>
        <w:ind w:right="1128" w:firstLine="439"/>
        <w:jc w:val="both"/>
      </w:pPr>
      <w:r>
        <w:rPr>
          <w:spacing w:val="-2"/>
        </w:rPr>
        <w:t>本公司实际发生信用损失，认定相关应收账款无法收回，经批准予以核销的，根据批准的核销金</w:t>
      </w:r>
      <w:r>
        <w:rPr>
          <w:w w:val="100"/>
        </w:rPr>
        <w:t> </w:t>
      </w:r>
      <w:r>
        <w:rPr/>
        <w:t>额，借记</w:t>
      </w:r>
      <w:r>
        <w:rPr>
          <w:rFonts w:ascii="Times New Roman" w:hAnsi="Times New Roman" w:cs="Times New Roman" w:eastAsia="Times New Roman" w:hint="default"/>
        </w:rPr>
        <w:t>“</w:t>
      </w:r>
      <w:r>
        <w:rPr/>
        <w:t>坏账准备</w:t>
      </w:r>
      <w:r>
        <w:rPr>
          <w:rFonts w:ascii="Times New Roman" w:hAnsi="Times New Roman" w:cs="Times New Roman" w:eastAsia="Times New Roman" w:hint="default"/>
        </w:rPr>
        <w:t>”</w:t>
      </w:r>
      <w:r>
        <w:rPr/>
        <w:t>，贷记</w:t>
      </w:r>
      <w:r>
        <w:rPr>
          <w:spacing w:val="16"/>
        </w:rPr>
        <w:t> </w:t>
      </w:r>
      <w:r>
        <w:rPr>
          <w:rFonts w:ascii="Times New Roman" w:hAnsi="Times New Roman" w:cs="Times New Roman" w:eastAsia="Times New Roman" w:hint="default"/>
        </w:rPr>
        <w:t>“</w:t>
      </w:r>
      <w:r>
        <w:rPr/>
        <w:t>应收账款</w:t>
      </w:r>
      <w:r>
        <w:rPr>
          <w:rFonts w:ascii="Times New Roman" w:hAnsi="Times New Roman" w:cs="Times New Roman" w:eastAsia="Times New Roman" w:hint="default"/>
        </w:rPr>
        <w:t>”</w:t>
      </w:r>
      <w:r>
        <w:rPr/>
        <w:t>。若核销金额大于已计提的损失准备，按期差额借记</w:t>
      </w:r>
      <w:r>
        <w:rPr>
          <w:rFonts w:ascii="Times New Roman" w:hAnsi="Times New Roman" w:cs="Times New Roman" w:eastAsia="Times New Roman" w:hint="default"/>
        </w:rPr>
        <w:t>“</w:t>
      </w:r>
      <w:r>
        <w:rPr/>
        <w:t>信用减</w:t>
      </w:r>
      <w:r>
        <w:rPr>
          <w:spacing w:val="-106"/>
        </w:rPr>
        <w:t> </w:t>
      </w:r>
      <w:r>
        <w:rPr/>
        <w:t>值损失</w:t>
      </w:r>
      <w:r>
        <w:rPr>
          <w:rFonts w:ascii="Times New Roman" w:hAnsi="Times New Roman" w:cs="Times New Roman" w:eastAsia="Times New Roman" w:hint="default"/>
        </w:rPr>
        <w:t>”</w:t>
      </w:r>
      <w:r>
        <w:rPr/>
        <w:t>。</w:t>
      </w:r>
    </w:p>
    <w:p>
      <w:pPr>
        <w:pStyle w:val="BodyText"/>
        <w:spacing w:line="259" w:lineRule="auto" w:before="115"/>
        <w:ind w:right="1130" w:firstLine="439"/>
        <w:jc w:val="both"/>
      </w:pPr>
      <w:r>
        <w:rPr>
          <w:spacing w:val="-2"/>
        </w:rPr>
        <w:t>本公司根据以前年度的实际信用损失，并考虑本年的前瞻性信息，作为计量预期信用损失的会计</w:t>
      </w:r>
      <w:r>
        <w:rPr>
          <w:w w:val="100"/>
        </w:rPr>
        <w:t> </w:t>
      </w:r>
      <w:r>
        <w:rPr/>
        <w:t>估计政策。</w:t>
      </w:r>
    </w:p>
    <w:p>
      <w:pPr>
        <w:spacing w:line="240" w:lineRule="auto" w:before="2"/>
        <w:rPr>
          <w:rFonts w:ascii="宋体" w:hAnsi="宋体" w:cs="宋体" w:eastAsia="宋体" w:hint="default"/>
          <w:sz w:val="24"/>
          <w:szCs w:val="24"/>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其他应收款的预期信用损失的确定方法及会计处理方法</w:t>
      </w:r>
    </w:p>
    <w:p>
      <w:pPr>
        <w:pStyle w:val="BodyText"/>
        <w:spacing w:line="430" w:lineRule="atLeast" w:before="24"/>
        <w:ind w:left="592" w:right="996"/>
        <w:jc w:val="left"/>
      </w:pPr>
      <w:r>
        <w:rPr/>
        <w:t>其他应收款的预期信用损失的确定方法及会计处理方法：</w:t>
      </w:r>
      <w:r>
        <w:rPr>
          <w:w w:val="100"/>
        </w:rPr>
        <w:t> </w:t>
      </w:r>
      <w:r>
        <w:rPr>
          <w:spacing w:val="2"/>
        </w:rPr>
        <w:t>本公司按照下列情形计量其他应收款损失准备：①信用风险自初始确认后未显著增加的金融资</w:t>
      </w:r>
    </w:p>
    <w:p>
      <w:pPr>
        <w:pStyle w:val="BodyText"/>
        <w:spacing w:line="254" w:lineRule="auto" w:before="24"/>
        <w:ind w:right="1129"/>
        <w:jc w:val="both"/>
      </w:pPr>
      <w:r>
        <w:rPr>
          <w:spacing w:val="-2"/>
        </w:rPr>
        <w:t>产，处于第一阶段，本公司按照未来</w:t>
      </w:r>
      <w:r>
        <w:rPr>
          <w:rFonts w:ascii="Times New Roman" w:hAnsi="Times New Roman" w:cs="Times New Roman" w:eastAsia="Times New Roman" w:hint="default"/>
          <w:spacing w:val="-2"/>
        </w:rPr>
        <w:t>12</w:t>
      </w:r>
      <w:r>
        <w:rPr>
          <w:spacing w:val="-2"/>
        </w:rPr>
        <w:t>个月的预期信用损失的金额计量损失准备；②信用风险自初始</w:t>
      </w:r>
      <w:r>
        <w:rPr>
          <w:spacing w:val="-68"/>
        </w:rPr>
        <w:t> </w:t>
      </w:r>
      <w:r>
        <w:rPr>
          <w:spacing w:val="-68"/>
        </w:rPr>
      </w:r>
      <w:r>
        <w:rPr>
          <w:spacing w:val="-2"/>
        </w:rPr>
        <w:t>确认后已显著增加但尚未发生信用减值的，处于第二阶段，本公司按照相当于该金融工具整个存续期</w:t>
      </w:r>
      <w:r>
        <w:rPr>
          <w:spacing w:val="-70"/>
        </w:rPr>
        <w:t> </w:t>
      </w:r>
      <w:r>
        <w:rPr>
          <w:spacing w:val="-70"/>
        </w:rPr>
      </w:r>
      <w:r>
        <w:rPr>
          <w:spacing w:val="-2"/>
        </w:rPr>
        <w:t>内预期信用损失的金额计量损失准备；③购买或源生已发生信用减值的金融资产，处于第三阶段，本</w:t>
      </w:r>
      <w:r>
        <w:rPr>
          <w:spacing w:val="-69"/>
        </w:rPr>
        <w:t> </w:t>
      </w:r>
      <w:r>
        <w:rPr>
          <w:spacing w:val="-69"/>
        </w:rPr>
      </w:r>
      <w:r>
        <w:rPr/>
        <w:t>公司按照相当于整个存续期内预期信用损失的金额计量损失准备。</w:t>
      </w:r>
    </w:p>
    <w:p>
      <w:pPr>
        <w:pStyle w:val="BodyText"/>
        <w:spacing w:line="259" w:lineRule="auto" w:before="131"/>
        <w:ind w:right="1130" w:firstLine="439"/>
        <w:jc w:val="both"/>
      </w:pPr>
      <w:r>
        <w:rPr>
          <w:spacing w:val="-2"/>
        </w:rPr>
        <w:t>以组合为基础的评估。对于其他应收款，本公司在单项工具层面无法以合理成本获得关于信用风</w:t>
      </w:r>
      <w:r>
        <w:rPr>
          <w:w w:val="100"/>
        </w:rPr>
        <w:t> </w:t>
      </w:r>
      <w:r>
        <w:rPr>
          <w:spacing w:val="-2"/>
        </w:rPr>
        <w:t>险显著增加的充分证据，而在组合的基础上评估信用风险是否显著增加是可行的，所以本公司按照金</w:t>
      </w:r>
      <w:r>
        <w:rPr>
          <w:spacing w:val="-70"/>
        </w:rPr>
        <w:t> </w:t>
      </w:r>
      <w:r>
        <w:rPr>
          <w:spacing w:val="-70"/>
        </w:rPr>
      </w:r>
      <w:r>
        <w:rPr>
          <w:spacing w:val="-2"/>
        </w:rPr>
        <w:t>融工具类型、信用风险评级、担保物类型、初始确认日期、剩余合同期限、借款人所处的行业、借款</w:t>
      </w:r>
      <w:r>
        <w:rPr>
          <w:spacing w:val="-71"/>
        </w:rPr>
        <w:t> </w:t>
      </w:r>
      <w:r>
        <w:rPr>
          <w:spacing w:val="-71"/>
        </w:rPr>
      </w:r>
      <w:r>
        <w:rPr>
          <w:spacing w:val="-2"/>
        </w:rPr>
        <w:t>人所在的地理位置、贷款抵押率为共同风险特征，对其他应收款进行分组并以组合为基础考虑评估信</w:t>
      </w:r>
      <w:r>
        <w:rPr>
          <w:spacing w:val="-70"/>
        </w:rPr>
        <w:t> </w:t>
      </w:r>
      <w:r>
        <w:rPr>
          <w:spacing w:val="-70"/>
        </w:rPr>
      </w:r>
      <w:r>
        <w:rPr/>
        <w:t>用风险是否显著增加。</w:t>
      </w:r>
    </w:p>
    <w:p>
      <w:pPr>
        <w:spacing w:line="240" w:lineRule="auto" w:before="2"/>
        <w:rPr>
          <w:rFonts w:ascii="宋体" w:hAnsi="宋体" w:cs="宋体" w:eastAsia="宋体" w:hint="default"/>
          <w:sz w:val="24"/>
          <w:szCs w:val="24"/>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、长期股权投资</w:t>
      </w:r>
      <w:r>
        <w:rPr>
          <w:rFonts w:ascii="宋体" w:hAnsi="宋体" w:cs="宋体" w:eastAsia="宋体" w:hint="default"/>
          <w:sz w:val="21"/>
          <w:szCs w:val="21"/>
        </w:rPr>
      </w:r>
    </w:p>
    <w:p>
      <w:pPr>
        <w:pStyle w:val="BodyText"/>
        <w:spacing w:line="430" w:lineRule="atLeast" w:before="170"/>
        <w:ind w:left="592" w:right="996"/>
        <w:jc w:val="left"/>
      </w:pPr>
      <w:r>
        <w:rPr/>
        <w:t>本公司长期股权投资主要是对子公司的投资、对联营企业的投资和对合营企业的投资。</w:t>
      </w:r>
      <w:r>
        <w:rPr>
          <w:w w:val="100"/>
        </w:rPr>
        <w:t> </w:t>
      </w:r>
      <w:r>
        <w:rPr>
          <w:spacing w:val="-2"/>
        </w:rPr>
        <w:t>本公司对共同控制的判断依据是所有参与方或参与方组合集体控制该安排，并且该安排相关活动</w:t>
      </w:r>
    </w:p>
    <w:p>
      <w:pPr>
        <w:pStyle w:val="BodyText"/>
        <w:spacing w:line="240" w:lineRule="auto" w:before="24"/>
        <w:ind w:right="0"/>
        <w:jc w:val="both"/>
      </w:pPr>
      <w:r>
        <w:rPr/>
        <w:t>的政策必须经过这些集体控制该安排的参与方一致同意。</w:t>
      </w:r>
    </w:p>
    <w:p>
      <w:pPr>
        <w:pStyle w:val="BodyText"/>
        <w:spacing w:line="249" w:lineRule="auto" w:before="144"/>
        <w:ind w:right="1129" w:firstLine="439"/>
        <w:jc w:val="both"/>
      </w:pPr>
      <w:r>
        <w:rPr/>
        <w:t>本公司直接或通过子公司间接拥有被投资单位</w:t>
      </w:r>
      <w:r>
        <w:rPr>
          <w:rFonts w:ascii="Times New Roman" w:hAnsi="Times New Roman" w:cs="Times New Roman" w:eastAsia="Times New Roman" w:hint="default"/>
        </w:rPr>
        <w:t>20%</w:t>
      </w:r>
      <w:r>
        <w:rPr/>
        <w:t>（含）以上但低于</w:t>
      </w:r>
      <w:r>
        <w:rPr>
          <w:rFonts w:ascii="Times New Roman" w:hAnsi="Times New Roman" w:cs="Times New Roman" w:eastAsia="Times New Roman" w:hint="default"/>
        </w:rPr>
        <w:t>50%</w:t>
      </w:r>
      <w:r>
        <w:rPr/>
        <w:t>的表决权时，通常认为</w:t>
      </w:r>
      <w:r>
        <w:rPr>
          <w:w w:val="100"/>
        </w:rPr>
        <w:t> </w:t>
      </w:r>
      <w:r>
        <w:rPr>
          <w:spacing w:val="-2"/>
        </w:rPr>
        <w:t>对被投资单位具有重大影响。持有被投资单位</w:t>
      </w:r>
      <w:r>
        <w:rPr>
          <w:rFonts w:ascii="Times New Roman" w:hAnsi="Times New Roman" w:cs="Times New Roman" w:eastAsia="Times New Roman" w:hint="default"/>
          <w:spacing w:val="-2"/>
        </w:rPr>
        <w:t>20%</w:t>
      </w:r>
      <w:r>
        <w:rPr>
          <w:spacing w:val="-2"/>
        </w:rPr>
        <w:t>以下表决权的，还需要综合考虑在被投资单位的董</w:t>
      </w:r>
      <w:r>
        <w:rPr>
          <w:spacing w:val="-33"/>
        </w:rPr>
        <w:t> </w:t>
      </w:r>
      <w:r>
        <w:rPr>
          <w:spacing w:val="-33"/>
        </w:rPr>
      </w:r>
      <w:r>
        <w:rPr>
          <w:spacing w:val="-2"/>
        </w:rPr>
        <w:t>事会或类似权力机构中派有代表、或参与被投资单位财务和经营政策制定过程、或与被投资单位之间</w:t>
      </w:r>
      <w:r>
        <w:rPr>
          <w:spacing w:val="-70"/>
        </w:rPr>
        <w:t> </w:t>
      </w:r>
      <w:r>
        <w:rPr>
          <w:spacing w:val="-70"/>
        </w:rPr>
      </w:r>
      <w:r>
        <w:rPr>
          <w:spacing w:val="-2"/>
        </w:rPr>
        <w:t>发生重要交易、或向被投资单位派出管理人员、或向被投资单位提供关键技术资料等事实和情况判断</w:t>
      </w:r>
    </w:p>
    <w:p>
      <w:pPr>
        <w:spacing w:after="0" w:line="249" w:lineRule="auto"/>
        <w:jc w:val="both"/>
        <w:sectPr>
          <w:pgSz w:w="11910" w:h="16840"/>
          <w:pgMar w:header="877" w:footer="980" w:top="1060" w:bottom="1160" w:left="980" w:right="0"/>
        </w:sectPr>
      </w:pPr>
    </w:p>
    <w:p>
      <w:pPr>
        <w:spacing w:line="240" w:lineRule="auto" w:before="4"/>
        <w:rPr>
          <w:rFonts w:ascii="宋体" w:hAnsi="宋体" w:cs="宋体" w:eastAsia="宋体" w:hint="default"/>
          <w:sz w:val="24"/>
          <w:szCs w:val="24"/>
        </w:rPr>
      </w:pPr>
    </w:p>
    <w:p>
      <w:pPr>
        <w:pStyle w:val="BodyText"/>
        <w:spacing w:line="240" w:lineRule="auto" w:before="32"/>
        <w:ind w:right="0"/>
        <w:jc w:val="both"/>
      </w:pPr>
      <w:r>
        <w:rPr/>
        <w:t>对被投资单位具有重大影响。</w:t>
      </w:r>
    </w:p>
    <w:p>
      <w:pPr>
        <w:pStyle w:val="BodyText"/>
        <w:spacing w:line="259" w:lineRule="auto" w:before="144"/>
        <w:ind w:right="996" w:firstLine="439"/>
        <w:jc w:val="left"/>
      </w:pPr>
      <w:r>
        <w:rPr>
          <w:spacing w:val="-5"/>
        </w:rPr>
        <w:t>对被投资单位形成控制的，为本公司的子公司。通过同一控制下的企业合并取得的长期股权投资，</w:t>
      </w:r>
      <w:r>
        <w:rPr>
          <w:w w:val="100"/>
        </w:rPr>
        <w:t> </w:t>
      </w:r>
      <w:r>
        <w:rPr>
          <w:spacing w:val="2"/>
        </w:rPr>
        <w:t>在合并日按照取得被合并方在最终控制方合并报表中净资产的账面价值的份额作为长期股权投资的</w:t>
      </w:r>
      <w:r>
        <w:rPr>
          <w:spacing w:val="-43"/>
        </w:rPr>
        <w:t> </w:t>
      </w:r>
      <w:r>
        <w:rPr>
          <w:spacing w:val="-43"/>
        </w:rPr>
      </w:r>
      <w:r>
        <w:rPr/>
        <w:t>初始投资成本。被合并方在合并日的净资产账面价值为负数的，长期股权投资成本按零确定。</w:t>
      </w:r>
    </w:p>
    <w:p>
      <w:pPr>
        <w:pStyle w:val="BodyText"/>
        <w:spacing w:line="259" w:lineRule="auto" w:before="126"/>
        <w:ind w:right="1129" w:firstLine="439"/>
        <w:jc w:val="both"/>
      </w:pPr>
      <w:r>
        <w:rPr>
          <w:spacing w:val="-2"/>
        </w:rPr>
        <w:t>通过多次交易分步取得同一控制下被投资单位的股权，最终形成企业合并的，应在取得控制权的</w:t>
      </w:r>
      <w:r>
        <w:rPr>
          <w:w w:val="100"/>
        </w:rPr>
        <w:t> </w:t>
      </w:r>
      <w:r>
        <w:rPr>
          <w:spacing w:val="-2"/>
        </w:rPr>
        <w:t>报告期，补充披露在母公司财务报表中的长期股权投资的处理方法。例如：通过多次交易分步取得同</w:t>
      </w:r>
      <w:r>
        <w:rPr>
          <w:spacing w:val="-69"/>
        </w:rPr>
        <w:t> </w:t>
      </w:r>
      <w:r>
        <w:rPr>
          <w:spacing w:val="-69"/>
        </w:rPr>
      </w:r>
      <w:r>
        <w:rPr>
          <w:spacing w:val="-2"/>
        </w:rPr>
        <w:t>一控制下被投资单位的股权，最终形成企业合并，属于一揽子交易的，本公司将各项交易作为一项取</w:t>
      </w:r>
      <w:r>
        <w:rPr>
          <w:spacing w:val="-69"/>
        </w:rPr>
        <w:t> </w:t>
      </w:r>
      <w:r>
        <w:rPr>
          <w:spacing w:val="-69"/>
        </w:rPr>
      </w:r>
      <w:r>
        <w:rPr>
          <w:spacing w:val="-2"/>
        </w:rPr>
        <w:t>得控制权的交易进行会计处理。不属于一览交易的，在合并日，根据合并后享有被合并方净资产在最</w:t>
      </w:r>
      <w:r>
        <w:rPr>
          <w:spacing w:val="-71"/>
        </w:rPr>
        <w:t> </w:t>
      </w:r>
      <w:r>
        <w:rPr>
          <w:spacing w:val="-71"/>
        </w:rPr>
      </w:r>
      <w:r>
        <w:rPr>
          <w:spacing w:val="-2"/>
        </w:rPr>
        <w:t>终控制方合并财务报表中的账面价值的份额作为长期股权投资的的初始投资成本。初始投资成本与达</w:t>
      </w:r>
      <w:r>
        <w:rPr>
          <w:spacing w:val="-73"/>
        </w:rPr>
        <w:t> </w:t>
      </w:r>
      <w:r>
        <w:rPr>
          <w:spacing w:val="-73"/>
        </w:rPr>
      </w:r>
      <w:r>
        <w:rPr>
          <w:spacing w:val="-2"/>
        </w:rPr>
        <w:t>到合并前的长期股权投资账面价值加上合并日进一步取得股份新支付对价的账面价值之和的差额，调</w:t>
      </w:r>
      <w:r>
        <w:rPr>
          <w:spacing w:val="-73"/>
        </w:rPr>
        <w:t> </w:t>
      </w:r>
      <w:r>
        <w:rPr>
          <w:spacing w:val="-73"/>
        </w:rPr>
      </w:r>
      <w:r>
        <w:rPr/>
        <w:t>整资本公积，资本公积不足冲减的，冲减留存收益。</w:t>
      </w:r>
    </w:p>
    <w:p>
      <w:pPr>
        <w:pStyle w:val="BodyText"/>
        <w:spacing w:line="432" w:lineRule="exact" w:before="38"/>
        <w:ind w:left="592" w:right="996"/>
        <w:jc w:val="left"/>
      </w:pPr>
      <w:r>
        <w:rPr/>
        <w:t>通过非同一控制下的企业合并取得的长期股权投资，以合并成本作为初始投资成本。</w:t>
      </w:r>
      <w:r>
        <w:rPr>
          <w:w w:val="100"/>
        </w:rPr>
        <w:t> </w:t>
      </w:r>
      <w:r>
        <w:rPr>
          <w:spacing w:val="-2"/>
        </w:rPr>
        <w:t>通过多次交易分步取得非同一控制下被投资单位的股权，最终形成企业合并的，应在取得控制权</w:t>
      </w:r>
    </w:p>
    <w:p>
      <w:pPr>
        <w:pStyle w:val="BodyText"/>
        <w:spacing w:line="257" w:lineRule="exact"/>
        <w:ind w:right="0"/>
        <w:jc w:val="both"/>
      </w:pPr>
      <w:r>
        <w:rPr/>
        <w:t>的报告期，补充披露在母公司财务报表中的长期股权投资成本处理方法。例如：通过多次交易分步取</w:t>
      </w:r>
    </w:p>
    <w:p>
      <w:pPr>
        <w:pStyle w:val="BodyText"/>
        <w:spacing w:line="259" w:lineRule="auto" w:before="24"/>
        <w:ind w:right="1128"/>
        <w:jc w:val="both"/>
      </w:pPr>
      <w:r>
        <w:rPr>
          <w:spacing w:val="-2"/>
        </w:rPr>
        <w:t>得非同一控制下被投资单位的股权，最终形成企业合并，属于一揽子交易的，本公司将各项交易作为</w:t>
      </w:r>
      <w:r>
        <w:rPr>
          <w:spacing w:val="-67"/>
        </w:rPr>
        <w:t> </w:t>
      </w:r>
      <w:r>
        <w:rPr>
          <w:spacing w:val="-67"/>
        </w:rPr>
      </w:r>
      <w:r>
        <w:rPr>
          <w:spacing w:val="-2"/>
        </w:rPr>
        <w:t>一项取得控制权的交易进行会计处理。不属于一览交易的，按照原持有的股权投资账面价值加上新增</w:t>
      </w:r>
      <w:r>
        <w:rPr>
          <w:spacing w:val="-70"/>
        </w:rPr>
        <w:t> </w:t>
      </w:r>
      <w:r>
        <w:rPr>
          <w:spacing w:val="-70"/>
        </w:rPr>
      </w:r>
      <w:r>
        <w:rPr>
          <w:spacing w:val="-2"/>
        </w:rPr>
        <w:t>投资成本之和，作为改按成本法核算的初始投资成本。购买日之前持有的股权采用权益法核算的，原</w:t>
      </w:r>
      <w:r>
        <w:rPr>
          <w:spacing w:val="-68"/>
        </w:rPr>
        <w:t> </w:t>
      </w:r>
      <w:r>
        <w:rPr>
          <w:spacing w:val="-68"/>
        </w:rPr>
      </w:r>
      <w:r>
        <w:rPr>
          <w:spacing w:val="-2"/>
        </w:rPr>
        <w:t>权益法核算的相关其他综合收益暂不做调整，在处置该项投资时采用与被投资单位直接处置相关资产</w:t>
      </w:r>
      <w:r>
        <w:rPr>
          <w:spacing w:val="-73"/>
        </w:rPr>
        <w:t> </w:t>
      </w:r>
      <w:r>
        <w:rPr>
          <w:spacing w:val="-73"/>
        </w:rPr>
      </w:r>
      <w:r>
        <w:rPr>
          <w:spacing w:val="2"/>
        </w:rPr>
        <w:t>或负债相同的基础进行会计处理。购买日之前持有的股权在可供出售金融资产中采用公允价值核算</w:t>
      </w:r>
      <w:r>
        <w:rPr>
          <w:spacing w:val="-37"/>
        </w:rPr>
        <w:t> </w:t>
      </w:r>
      <w:r>
        <w:rPr>
          <w:spacing w:val="-37"/>
        </w:rPr>
      </w:r>
      <w:r>
        <w:rPr/>
        <w:t>的，原计入其他综合收益的累计公允价值变动在合并日转入当期投资损益。</w:t>
      </w:r>
    </w:p>
    <w:p>
      <w:pPr>
        <w:pStyle w:val="BodyText"/>
        <w:spacing w:line="259" w:lineRule="auto" w:before="126"/>
        <w:ind w:right="1128" w:firstLine="439"/>
        <w:jc w:val="both"/>
      </w:pPr>
      <w:r>
        <w:rPr>
          <w:spacing w:val="-2"/>
        </w:rPr>
        <w:t>除上述通过企业合并取得的长期股权投资外，以支付现金取得的长期股权投资，按照实际支付的</w:t>
      </w:r>
      <w:r>
        <w:rPr>
          <w:w w:val="100"/>
        </w:rPr>
        <w:t> </w:t>
      </w:r>
      <w:r>
        <w:rPr>
          <w:spacing w:val="-2"/>
        </w:rPr>
        <w:t>购买价款作为投资成本；以发行权益性证券取得的长期股权投资，按照发行权益性证券的公允价值作</w:t>
      </w:r>
      <w:r>
        <w:rPr>
          <w:spacing w:val="-70"/>
        </w:rPr>
        <w:t> </w:t>
      </w:r>
      <w:r>
        <w:rPr>
          <w:spacing w:val="-70"/>
        </w:rPr>
      </w:r>
      <w:r>
        <w:rPr>
          <w:spacing w:val="-2"/>
        </w:rPr>
        <w:t>为投资成本；投资者投入的长期股权投资，按照投资合同或协议约定的价值作为投资成本；公司如有</w:t>
      </w:r>
      <w:r>
        <w:rPr>
          <w:spacing w:val="-67"/>
        </w:rPr>
        <w:t> </w:t>
      </w:r>
      <w:r>
        <w:rPr>
          <w:spacing w:val="-67"/>
        </w:rPr>
      </w:r>
      <w:r>
        <w:rPr>
          <w:spacing w:val="-2"/>
        </w:rPr>
        <w:t>以债务重组、非货币性资产交换等方式取得的长期股权投资，应根据相关企业会计准则的规定并结合</w:t>
      </w:r>
      <w:r>
        <w:rPr>
          <w:spacing w:val="-70"/>
        </w:rPr>
        <w:t> </w:t>
      </w:r>
      <w:r>
        <w:rPr>
          <w:spacing w:val="-70"/>
        </w:rPr>
      </w:r>
      <w:r>
        <w:rPr/>
        <w:t>公司的实际情况披露确定投资成本的方法。</w:t>
      </w:r>
    </w:p>
    <w:p>
      <w:pPr>
        <w:pStyle w:val="BodyText"/>
        <w:spacing w:line="432" w:lineRule="exact" w:before="38"/>
        <w:ind w:left="592" w:right="996"/>
        <w:jc w:val="left"/>
      </w:pPr>
      <w:r>
        <w:rPr/>
        <w:t>本公司对子公司投资采用成本法核算，对合营企业及联营企业投资采用权益法核算。</w:t>
      </w:r>
      <w:r>
        <w:rPr>
          <w:w w:val="100"/>
        </w:rPr>
        <w:t> </w:t>
      </w:r>
      <w:r>
        <w:rPr>
          <w:spacing w:val="-2"/>
        </w:rPr>
        <w:t>后续计量采用成本法核算的长期股权投资，在追加投资时，按照追加投资支付的成本额公允价值</w:t>
      </w:r>
    </w:p>
    <w:p>
      <w:pPr>
        <w:pStyle w:val="BodyText"/>
        <w:spacing w:line="257" w:lineRule="exact"/>
        <w:ind w:right="0"/>
        <w:jc w:val="both"/>
      </w:pPr>
      <w:r>
        <w:rPr/>
        <w:t>及发生的相关交易费用增加长期股权投资成本的账面价值。被投资单位宣告分派的现金股利或利润，</w:t>
      </w:r>
    </w:p>
    <w:p>
      <w:pPr>
        <w:pStyle w:val="BodyText"/>
        <w:spacing w:line="240" w:lineRule="auto" w:before="24"/>
        <w:ind w:right="0"/>
        <w:jc w:val="both"/>
      </w:pPr>
      <w:r>
        <w:rPr/>
        <w:t>按照应享有的金额确认为当期投资收益。</w:t>
      </w:r>
    </w:p>
    <w:p>
      <w:pPr>
        <w:pStyle w:val="BodyText"/>
        <w:spacing w:line="259" w:lineRule="auto" w:before="144"/>
        <w:ind w:right="1128" w:firstLine="439"/>
        <w:jc w:val="both"/>
      </w:pPr>
      <w:r>
        <w:rPr>
          <w:spacing w:val="-2"/>
        </w:rPr>
        <w:t>后续计量采用权益法核算的长期股权投资，随着被他投资单位所有者权益的变动相应调整增加或</w:t>
      </w:r>
      <w:r>
        <w:rPr>
          <w:w w:val="100"/>
        </w:rPr>
        <w:t> </w:t>
      </w:r>
      <w:r>
        <w:rPr>
          <w:spacing w:val="-2"/>
        </w:rPr>
        <w:t>减少长期股权投资的账面价值。其中在确认应享有被投资单位净损益的份额时，以取得投资时被投资</w:t>
      </w:r>
      <w:r>
        <w:rPr>
          <w:spacing w:val="-70"/>
        </w:rPr>
        <w:t> </w:t>
      </w:r>
      <w:r>
        <w:rPr>
          <w:spacing w:val="-70"/>
        </w:rPr>
      </w:r>
      <w:r>
        <w:rPr>
          <w:spacing w:val="-2"/>
        </w:rPr>
        <w:t>单位各项可辨认资产等的公允价值为基础，按照本公司的会计政策及会计期间，并抵销与联营企业及</w:t>
      </w:r>
      <w:r>
        <w:rPr>
          <w:spacing w:val="-68"/>
        </w:rPr>
        <w:t> </w:t>
      </w:r>
      <w:r>
        <w:rPr>
          <w:spacing w:val="-68"/>
        </w:rPr>
      </w:r>
      <w:r>
        <w:rPr>
          <w:spacing w:val="-2"/>
        </w:rPr>
        <w:t>合营企业之间发生的内部交易损益按照持股比例计算归属于投资企业的部分，对被投资单位的净利润</w:t>
      </w:r>
      <w:r>
        <w:rPr>
          <w:spacing w:val="-73"/>
        </w:rPr>
        <w:t> </w:t>
      </w:r>
      <w:r>
        <w:rPr>
          <w:spacing w:val="-73"/>
        </w:rPr>
      </w:r>
      <w:r>
        <w:rPr/>
        <w:t>进行调整后确认。</w:t>
      </w:r>
    </w:p>
    <w:p>
      <w:pPr>
        <w:pStyle w:val="BodyText"/>
        <w:spacing w:line="259" w:lineRule="auto" w:before="127"/>
        <w:ind w:right="1130" w:firstLine="439"/>
        <w:jc w:val="both"/>
      </w:pPr>
      <w:r>
        <w:rPr>
          <w:spacing w:val="-2"/>
        </w:rPr>
        <w:t>处置长期股权投资，其账面价值与实际取得价款的差额，计入当期投资收益。采用权益法核算的</w:t>
      </w:r>
      <w:r>
        <w:rPr>
          <w:w w:val="100"/>
        </w:rPr>
        <w:t> </w:t>
      </w:r>
      <w:r>
        <w:rPr>
          <w:spacing w:val="-2"/>
        </w:rPr>
        <w:t>长期股权投资，因被投资单位除净损益以外所有者权益的其他变动而计入所有者权益的，处置该项投</w:t>
      </w:r>
      <w:r>
        <w:rPr>
          <w:spacing w:val="-70"/>
        </w:rPr>
        <w:t> </w:t>
      </w:r>
      <w:r>
        <w:rPr>
          <w:spacing w:val="-70"/>
        </w:rPr>
      </w:r>
      <w:r>
        <w:rPr/>
        <w:t>资时将原计入所有者权益的部分按相应比例转入当期投资损益。</w:t>
      </w:r>
    </w:p>
    <w:p>
      <w:pPr>
        <w:pStyle w:val="BodyText"/>
        <w:spacing w:line="259" w:lineRule="auto" w:before="126"/>
        <w:ind w:right="1131" w:firstLine="439"/>
        <w:jc w:val="both"/>
      </w:pPr>
      <w:r>
        <w:rPr>
          <w:spacing w:val="-2"/>
        </w:rPr>
        <w:t>因处置部分股权投资等原因丧失了对被投资单位的共同控制或重大影响的，处置后的剩余股权改</w:t>
      </w:r>
      <w:r>
        <w:rPr>
          <w:w w:val="100"/>
        </w:rPr>
        <w:t> </w:t>
      </w:r>
      <w:r>
        <w:rPr>
          <w:spacing w:val="-2"/>
        </w:rPr>
        <w:t>按可供出售金融资产核算，剩余股权在丧失共同控制或重大影响之日的公允价值与账面价值之间的差</w:t>
      </w:r>
      <w:r>
        <w:rPr>
          <w:spacing w:val="-74"/>
        </w:rPr>
        <w:t> </w:t>
      </w:r>
      <w:r>
        <w:rPr>
          <w:spacing w:val="-74"/>
        </w:rPr>
      </w:r>
      <w:r>
        <w:rPr>
          <w:spacing w:val="-2"/>
        </w:rPr>
        <w:t>额计入当期损益。原股权投资因采用权益法核算而确认的其他综合收益，在终止采用权益法核算时采</w:t>
      </w:r>
    </w:p>
    <w:p>
      <w:pPr>
        <w:spacing w:after="0" w:line="259" w:lineRule="auto"/>
        <w:jc w:val="both"/>
        <w:sectPr>
          <w:pgSz w:w="11910" w:h="16840"/>
          <w:pgMar w:header="877" w:footer="980" w:top="1060" w:bottom="1160" w:left="980" w:right="0"/>
        </w:sectPr>
      </w:pPr>
    </w:p>
    <w:p>
      <w:pPr>
        <w:spacing w:line="240" w:lineRule="auto" w:before="4"/>
        <w:rPr>
          <w:rFonts w:ascii="宋体" w:hAnsi="宋体" w:cs="宋体" w:eastAsia="宋体" w:hint="default"/>
          <w:sz w:val="24"/>
          <w:szCs w:val="24"/>
        </w:rPr>
      </w:pPr>
    </w:p>
    <w:p>
      <w:pPr>
        <w:pStyle w:val="BodyText"/>
        <w:spacing w:line="240" w:lineRule="auto" w:before="32"/>
        <w:ind w:right="996"/>
        <w:jc w:val="left"/>
      </w:pPr>
      <w:r>
        <w:rPr/>
        <w:t>用与被投资单位直接处置相关资产或负债相同的基础进行会计处理。</w:t>
      </w:r>
    </w:p>
    <w:p>
      <w:pPr>
        <w:pStyle w:val="BodyText"/>
        <w:spacing w:line="259" w:lineRule="auto" w:before="144"/>
        <w:ind w:right="1090" w:firstLine="439"/>
        <w:jc w:val="both"/>
      </w:pPr>
      <w:r>
        <w:rPr>
          <w:spacing w:val="-2"/>
        </w:rPr>
        <w:t>因处置部分长期股权投资丧失了对被投资单位控制的，处置后的剩余股权能够对被投资单位实施</w:t>
      </w:r>
      <w:r>
        <w:rPr>
          <w:w w:val="100"/>
        </w:rPr>
        <w:t> </w:t>
      </w:r>
      <w:r>
        <w:rPr>
          <w:spacing w:val="-1"/>
        </w:rPr>
        <w:t>共同控制或施加重大影响的，改按权益法核算，处置股权账面价值和处置对价的差额计入投资收益，</w:t>
      </w:r>
      <w:r>
        <w:rPr>
          <w:spacing w:val="-73"/>
        </w:rPr>
        <w:t> </w:t>
      </w:r>
      <w:r>
        <w:rPr>
          <w:spacing w:val="-73"/>
        </w:rPr>
      </w:r>
      <w:r>
        <w:rPr>
          <w:spacing w:val="-2"/>
        </w:rPr>
        <w:t>并对该剩余股权视同自取得时即采用权益法核算进行调整；处置后的剩余股权不能对被投资单位实施</w:t>
      </w:r>
      <w:r>
        <w:rPr>
          <w:spacing w:val="-73"/>
        </w:rPr>
        <w:t> </w:t>
      </w:r>
      <w:r>
        <w:rPr>
          <w:spacing w:val="-73"/>
        </w:rPr>
      </w:r>
      <w:r>
        <w:rPr>
          <w:spacing w:val="-2"/>
        </w:rPr>
        <w:t>共同控制或施加重大影响的，改按可供出售金融资产的有关规定进行会计处理，处置股权账面价值和</w:t>
      </w:r>
      <w:r>
        <w:rPr>
          <w:spacing w:val="-70"/>
        </w:rPr>
        <w:t> </w:t>
      </w:r>
      <w:r>
        <w:rPr>
          <w:spacing w:val="-70"/>
        </w:rPr>
      </w:r>
      <w:r>
        <w:rPr>
          <w:spacing w:val="-2"/>
        </w:rPr>
        <w:t>处置对价的差额计入投资收益，剩余股权在丧失控制之日的公允价值与账面价值间的差额计入当期投</w:t>
      </w:r>
      <w:r>
        <w:rPr>
          <w:spacing w:val="-73"/>
        </w:rPr>
        <w:t> </w:t>
      </w:r>
      <w:r>
        <w:rPr>
          <w:spacing w:val="-73"/>
        </w:rPr>
      </w:r>
      <w:r>
        <w:rPr/>
        <w:t>资损益。</w:t>
      </w:r>
    </w:p>
    <w:p>
      <w:pPr>
        <w:pStyle w:val="BodyText"/>
        <w:spacing w:line="254" w:lineRule="auto" w:before="126"/>
        <w:ind w:right="996" w:firstLine="439"/>
        <w:jc w:val="left"/>
      </w:pPr>
      <w:r>
        <w:rPr/>
        <w:t>本公司对于分步处置股权至丧失控股权的各项交易不属于一揽子交易的，对每一项交易分别进行</w:t>
      </w:r>
      <w:r>
        <w:rPr>
          <w:w w:val="100"/>
        </w:rPr>
        <w:t> </w:t>
      </w:r>
      <w:r>
        <w:rPr>
          <w:spacing w:val="-4"/>
        </w:rPr>
        <w:t>会计处理。属于</w:t>
      </w:r>
      <w:r>
        <w:rPr>
          <w:rFonts w:ascii="Times New Roman" w:hAnsi="Times New Roman" w:cs="Times New Roman" w:eastAsia="Times New Roman" w:hint="default"/>
          <w:spacing w:val="-4"/>
        </w:rPr>
        <w:t>“</w:t>
      </w:r>
      <w:r>
        <w:rPr>
          <w:spacing w:val="-4"/>
        </w:rPr>
        <w:t>一揽子交易</w:t>
      </w:r>
      <w:r>
        <w:rPr>
          <w:rFonts w:ascii="Times New Roman" w:hAnsi="Times New Roman" w:cs="Times New Roman" w:eastAsia="Times New Roman" w:hint="default"/>
          <w:spacing w:val="-4"/>
        </w:rPr>
        <w:t>”</w:t>
      </w:r>
      <w:r>
        <w:rPr>
          <w:spacing w:val="-4"/>
        </w:rPr>
        <w:t>的，将各项交易作为一项处置子公司并丧失控制权的交易进行会计处理，</w:t>
      </w:r>
      <w:r>
        <w:rPr>
          <w:spacing w:val="-56"/>
        </w:rPr>
        <w:t> </w:t>
      </w:r>
      <w:r>
        <w:rPr>
          <w:spacing w:val="-56"/>
        </w:rPr>
      </w:r>
      <w:r>
        <w:rPr/>
        <w:t>但是，在丧失控制权之前每一次交易处置价款与所处置的股权对应的长期股权投资账面价值之间的差</w:t>
      </w:r>
      <w:r>
        <w:rPr>
          <w:w w:val="100"/>
        </w:rPr>
        <w:t> </w:t>
      </w:r>
      <w:r>
        <w:rPr/>
        <w:t>额，确认为其他综合收益，到丧失控制权时再一并转入丧失控制权的当期损益。</w:t>
      </w:r>
    </w:p>
    <w:p>
      <w:pPr>
        <w:spacing w:line="240" w:lineRule="auto" w:before="7"/>
        <w:rPr>
          <w:rFonts w:ascii="宋体" w:hAnsi="宋体" w:cs="宋体" w:eastAsia="宋体" w:hint="default"/>
          <w:sz w:val="24"/>
          <w:szCs w:val="24"/>
        </w:rPr>
      </w:pPr>
    </w:p>
    <w:p>
      <w:pPr>
        <w:spacing w:before="0"/>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）确认条件</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16" w:lineRule="auto" w:before="0"/>
        <w:ind w:left="152" w:right="1034" w:firstLine="0"/>
        <w:jc w:val="left"/>
        <w:rPr>
          <w:rFonts w:ascii="宋体" w:hAnsi="宋体" w:cs="宋体" w:eastAsia="宋体" w:hint="default"/>
          <w:sz w:val="18"/>
          <w:szCs w:val="18"/>
        </w:rPr>
      </w:pPr>
      <w:r>
        <w:rPr>
          <w:rFonts w:ascii="宋体" w:hAnsi="宋体" w:cs="宋体" w:eastAsia="宋体" w:hint="default"/>
          <w:spacing w:val="-2"/>
          <w:sz w:val="18"/>
          <w:szCs w:val="18"/>
        </w:rPr>
        <w:t>本公司固定资产是指同时具有以下特征，即为游戏开发及运营、提供劳务、出租或经营管理而持有的，使用年限超过一年的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有形资产。固定资产在与其有关的经济利益很可能流入本公司、且其成本能够可靠计量时予以确认。本公司固定资产包括房</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屋及建筑物、机器设备、运输设备、电子办公设备和其他设备。除已提足折旧仍继续使用的固定资产和单独计价入账的土地</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外，本公司对所有固定资产计提折旧。计提折旧时采用平均年限法。本公司于每年年度终了，对固定资产的预计使用寿命、 预计净残值和折旧方法进行复核，如发生改变，则作为会计估计变更处理。</w:t>
      </w:r>
    </w:p>
    <w:p>
      <w:pPr>
        <w:spacing w:line="240" w:lineRule="auto" w:before="10"/>
        <w:rPr>
          <w:rFonts w:ascii="宋体" w:hAnsi="宋体" w:cs="宋体" w:eastAsia="宋体" w:hint="default"/>
          <w:sz w:val="22"/>
          <w:szCs w:val="22"/>
        </w:rPr>
      </w:pPr>
    </w:p>
    <w:p>
      <w:pPr>
        <w:spacing w:before="0"/>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）折旧方法</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5"/>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11.88%-1.90%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31.67%-9.5%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电子办公设备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31.67%-19%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w:t>
            </w:r>
          </w:p>
        </w:tc>
      </w:tr>
    </w:tbl>
    <w:p>
      <w:pPr>
        <w:spacing w:line="240" w:lineRule="auto" w:before="3"/>
        <w:rPr>
          <w:rFonts w:ascii="宋体" w:hAnsi="宋体" w:cs="宋体" w:eastAsia="宋体" w:hint="default"/>
          <w:b/>
          <w:bCs/>
          <w:sz w:val="19"/>
          <w:szCs w:val="19"/>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11"/>
        <w:rPr>
          <w:rFonts w:ascii="宋体" w:hAnsi="宋体" w:cs="宋体" w:eastAsia="宋体" w:hint="default"/>
          <w:b/>
          <w:bCs/>
          <w:sz w:val="23"/>
          <w:szCs w:val="23"/>
        </w:rPr>
      </w:pPr>
    </w:p>
    <w:p>
      <w:pPr>
        <w:pStyle w:val="BodyText"/>
        <w:spacing w:line="259" w:lineRule="auto"/>
        <w:ind w:right="1130" w:firstLine="439"/>
        <w:jc w:val="both"/>
      </w:pPr>
      <w:r>
        <w:rPr>
          <w:spacing w:val="-2"/>
        </w:rPr>
        <w:t>在建工程在达到预定可使用状态之日起，根据工程预算、造价或工程实际成本等，按估计的价值</w:t>
      </w:r>
      <w:r>
        <w:rPr>
          <w:w w:val="100"/>
        </w:rPr>
        <w:t> </w:t>
      </w:r>
      <w:r>
        <w:rPr/>
        <w:t>结转固定资产，次月起开始计提折旧，待办理了竣工决算手续后再对固定资产原值差异进行调整。</w:t>
      </w:r>
    </w:p>
    <w:p>
      <w:pPr>
        <w:spacing w:line="240" w:lineRule="auto" w:before="2"/>
        <w:rPr>
          <w:rFonts w:ascii="宋体" w:hAnsi="宋体" w:cs="宋体" w:eastAsia="宋体" w:hint="default"/>
          <w:sz w:val="24"/>
          <w:szCs w:val="24"/>
        </w:rPr>
      </w:pPr>
    </w:p>
    <w:p>
      <w:pPr>
        <w:spacing w:before="0"/>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、借款费用</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p>
    <w:p>
      <w:pPr>
        <w:pStyle w:val="BodyText"/>
        <w:spacing w:line="254" w:lineRule="auto"/>
        <w:ind w:right="1130" w:firstLine="439"/>
        <w:jc w:val="both"/>
      </w:pPr>
      <w:r>
        <w:rPr/>
        <w:t>发生的可直接归属于需要经过</w:t>
      </w:r>
      <w:r>
        <w:rPr>
          <w:rFonts w:ascii="Times New Roman" w:hAnsi="Times New Roman" w:cs="Times New Roman" w:eastAsia="Times New Roman" w:hint="default"/>
        </w:rPr>
        <w:t>1</w:t>
      </w:r>
      <w:r>
        <w:rPr/>
        <w:t>年以上的购建或者生产活动才能达到预定可使用或者可销售状态</w:t>
      </w:r>
      <w:r>
        <w:rPr>
          <w:w w:val="100"/>
        </w:rPr>
        <w:t> </w:t>
      </w:r>
      <w:r>
        <w:rPr>
          <w:spacing w:val="-2"/>
        </w:rPr>
        <w:t>的固定资产、投资性房地产和存货等的借款费用，在资产支出已经发生、借款费用已经发生、为使资</w:t>
      </w:r>
      <w:r>
        <w:rPr>
          <w:spacing w:val="-70"/>
        </w:rPr>
        <w:t> </w:t>
      </w:r>
      <w:r>
        <w:rPr>
          <w:spacing w:val="-70"/>
        </w:rPr>
      </w:r>
      <w:r>
        <w:rPr>
          <w:spacing w:val="-2"/>
        </w:rPr>
        <w:t>产达到预定可使用或可销售状态所必要的购建或生产活动已经开始时，开始资本化；当购建或生产符</w:t>
      </w:r>
      <w:r>
        <w:rPr>
          <w:spacing w:val="-70"/>
        </w:rPr>
        <w:t> </w:t>
      </w:r>
      <w:r>
        <w:rPr>
          <w:spacing w:val="-70"/>
        </w:rPr>
      </w:r>
      <w:r>
        <w:rPr>
          <w:spacing w:val="-2"/>
        </w:rPr>
        <w:t>合资本化条件的资产达到预定可使用或可销售状态时，停止资本化，其后发生的借款费用计入当期损</w:t>
      </w:r>
    </w:p>
    <w:p>
      <w:pPr>
        <w:spacing w:after="0" w:line="254" w:lineRule="auto"/>
        <w:jc w:val="both"/>
        <w:sectPr>
          <w:pgSz w:w="11910" w:h="16840"/>
          <w:pgMar w:header="877" w:footer="980" w:top="1060" w:bottom="1160" w:left="980" w:right="0"/>
        </w:sectPr>
      </w:pPr>
    </w:p>
    <w:p>
      <w:pPr>
        <w:spacing w:line="240" w:lineRule="auto" w:before="4"/>
        <w:rPr>
          <w:rFonts w:ascii="宋体" w:hAnsi="宋体" w:cs="宋体" w:eastAsia="宋体" w:hint="default"/>
          <w:sz w:val="24"/>
          <w:szCs w:val="24"/>
        </w:rPr>
      </w:pPr>
    </w:p>
    <w:p>
      <w:pPr>
        <w:pStyle w:val="BodyText"/>
        <w:spacing w:line="247" w:lineRule="auto" w:before="32"/>
        <w:ind w:right="996"/>
        <w:jc w:val="left"/>
      </w:pPr>
      <w:r>
        <w:rPr>
          <w:spacing w:val="-2"/>
        </w:rPr>
        <w:t>益。如果符合资本化条件的资产在购建或者生产过程中发生非正常中断、且中断时间连续超过</w:t>
      </w:r>
      <w:r>
        <w:rPr>
          <w:rFonts w:ascii="Times New Roman" w:hAnsi="Times New Roman" w:cs="Times New Roman" w:eastAsia="Times New Roman" w:hint="default"/>
          <w:spacing w:val="-2"/>
        </w:rPr>
        <w:t>3</w:t>
      </w:r>
      <w:r>
        <w:rPr>
          <w:spacing w:val="-2"/>
        </w:rPr>
        <w:t>个月，</w:t>
      </w:r>
      <w:r>
        <w:rPr>
          <w:spacing w:val="-66"/>
        </w:rPr>
        <w:t> </w:t>
      </w:r>
      <w:r>
        <w:rPr>
          <w:spacing w:val="-66"/>
        </w:rPr>
      </w:r>
      <w:r>
        <w:rPr/>
        <w:t>暂停借款费用的资本化，直至资产的购建或生产活动重新开始。</w:t>
      </w:r>
    </w:p>
    <w:p>
      <w:pPr>
        <w:pStyle w:val="BodyText"/>
        <w:spacing w:line="259" w:lineRule="auto" w:before="137"/>
        <w:ind w:right="1131" w:firstLine="439"/>
        <w:jc w:val="both"/>
      </w:pPr>
      <w:r>
        <w:rPr>
          <w:spacing w:val="-2"/>
        </w:rPr>
        <w:t>专门借款当期实际发生的利息费用，扣除尚未动用的借款资金存入银行取得的利息收入或进行暂</w:t>
      </w:r>
      <w:r>
        <w:rPr>
          <w:w w:val="100"/>
        </w:rPr>
        <w:t> </w:t>
      </w:r>
      <w:r>
        <w:rPr>
          <w:spacing w:val="-2"/>
        </w:rPr>
        <w:t>时性投资取得的投资收益后的金额予以资本化；一般借款根据累计资产支出超过专门借款部分的资产</w:t>
      </w:r>
      <w:r>
        <w:rPr>
          <w:spacing w:val="-73"/>
        </w:rPr>
        <w:t> </w:t>
      </w:r>
      <w:r>
        <w:rPr>
          <w:spacing w:val="-73"/>
        </w:rPr>
      </w:r>
      <w:r>
        <w:rPr>
          <w:spacing w:val="-2"/>
        </w:rPr>
        <w:t>支出加权平均数乘以所占用一般借款的资本化率，确定资本化金额。资本化率根据一般借款加权平均</w:t>
      </w:r>
      <w:r>
        <w:rPr>
          <w:spacing w:val="-70"/>
        </w:rPr>
        <w:t> </w:t>
      </w:r>
      <w:r>
        <w:rPr>
          <w:spacing w:val="-70"/>
        </w:rPr>
      </w:r>
      <w:r>
        <w:rPr/>
        <w:t>利率计算确定。</w:t>
      </w:r>
    </w:p>
    <w:p>
      <w:pPr>
        <w:spacing w:line="240" w:lineRule="auto" w:before="2"/>
        <w:rPr>
          <w:rFonts w:ascii="宋体" w:hAnsi="宋体" w:cs="宋体" w:eastAsia="宋体" w:hint="default"/>
          <w:sz w:val="24"/>
          <w:szCs w:val="24"/>
        </w:rPr>
      </w:pPr>
    </w:p>
    <w:p>
      <w:pPr>
        <w:spacing w:before="0"/>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sz w:val="21"/>
          <w:szCs w:val="21"/>
        </w:rPr>
      </w:r>
    </w:p>
    <w:p>
      <w:pPr>
        <w:spacing w:line="240" w:lineRule="auto" w:before="11"/>
        <w:rPr>
          <w:rFonts w:ascii="宋体" w:hAnsi="宋体" w:cs="宋体" w:eastAsia="宋体" w:hint="default"/>
          <w:b/>
          <w:bCs/>
          <w:sz w:val="23"/>
          <w:szCs w:val="23"/>
        </w:rPr>
      </w:pPr>
    </w:p>
    <w:p>
      <w:pPr>
        <w:pStyle w:val="BodyText"/>
        <w:spacing w:line="240" w:lineRule="auto"/>
        <w:ind w:left="592" w:right="996"/>
        <w:jc w:val="left"/>
      </w:pPr>
      <w:r>
        <w:rPr/>
        <w:t>本公司无形资产包括系统软件、开发工具、游戏产品、运营工具、土地使用权、办公软件等。</w:t>
      </w:r>
    </w:p>
    <w:p>
      <w:pPr>
        <w:spacing w:line="240" w:lineRule="auto" w:before="3"/>
        <w:rPr>
          <w:rFonts w:ascii="宋体" w:hAnsi="宋体" w:cs="宋体" w:eastAsia="宋体" w:hint="default"/>
          <w:sz w:val="20"/>
          <w:szCs w:val="20"/>
        </w:rPr>
      </w:pPr>
    </w:p>
    <w:p>
      <w:pPr>
        <w:pStyle w:val="BodyText"/>
        <w:spacing w:line="340" w:lineRule="auto"/>
        <w:ind w:left="592" w:right="996" w:firstLine="40"/>
        <w:jc w:val="left"/>
      </w:pPr>
      <w:r>
        <w:rPr/>
        <w:t>（</w:t>
      </w:r>
      <w:r>
        <w:rPr>
          <w:rFonts w:ascii="Times New Roman" w:hAnsi="Times New Roman" w:cs="Times New Roman" w:eastAsia="Times New Roman" w:hint="default"/>
        </w:rPr>
        <w:t>1</w:t>
      </w:r>
      <w:r>
        <w:rPr/>
        <w:t>）无形资产的初始计量</w:t>
      </w:r>
      <w:r>
        <w:rPr>
          <w:w w:val="100"/>
        </w:rPr>
        <w:t> </w:t>
      </w:r>
      <w:r>
        <w:rPr>
          <w:spacing w:val="-2"/>
        </w:rPr>
        <w:t>外购无形资产的成本，包括购买价款、相关税费以及直接归属于使该项资产达到预定用途所发生</w:t>
      </w:r>
    </w:p>
    <w:p>
      <w:pPr>
        <w:pStyle w:val="BodyText"/>
        <w:spacing w:line="220" w:lineRule="exact"/>
        <w:ind w:right="996"/>
        <w:jc w:val="left"/>
      </w:pPr>
      <w:r>
        <w:rPr/>
        <w:t>的其他支出。购买无形资产的价款超过正常信用条件延期支付，实质上具有融资性质的，无形资产的</w:t>
      </w:r>
    </w:p>
    <w:p>
      <w:pPr>
        <w:pStyle w:val="BodyText"/>
        <w:spacing w:line="240" w:lineRule="auto" w:before="24"/>
        <w:ind w:right="996"/>
        <w:jc w:val="left"/>
      </w:pPr>
      <w:r>
        <w:rPr/>
        <w:t>成本以购买价款的现值为基础确定。</w:t>
      </w:r>
    </w:p>
    <w:p>
      <w:pPr>
        <w:pStyle w:val="BodyText"/>
        <w:spacing w:line="259" w:lineRule="auto" w:before="144"/>
        <w:ind w:right="1133" w:firstLine="439"/>
        <w:jc w:val="both"/>
      </w:pPr>
      <w:r>
        <w:rPr>
          <w:spacing w:val="-2"/>
        </w:rPr>
        <w:t>以同一控制下的企业吸收合并方式取得的无形资产按被合并方的账面价值确定其入账价值；以非</w:t>
      </w:r>
      <w:r>
        <w:rPr>
          <w:w w:val="100"/>
        </w:rPr>
        <w:t> </w:t>
      </w:r>
      <w:r>
        <w:rPr/>
        <w:t>同一控制下的企业吸收合并方式取得的无形资产按公允价值确定其入账价值。</w:t>
      </w:r>
    </w:p>
    <w:p>
      <w:pPr>
        <w:pStyle w:val="BodyText"/>
        <w:spacing w:line="259" w:lineRule="auto" w:before="126"/>
        <w:ind w:right="1133" w:firstLine="439"/>
        <w:jc w:val="both"/>
      </w:pPr>
      <w:r>
        <w:rPr>
          <w:spacing w:val="-3"/>
        </w:rPr>
        <w:t>内部自行开发的无形资产，其成本包括：开发该无形资产时耗用的材料、劳务成本、注册费、在</w:t>
      </w:r>
      <w:r>
        <w:rPr>
          <w:w w:val="100"/>
        </w:rPr>
        <w:t> </w:t>
      </w:r>
      <w:r>
        <w:rPr>
          <w:spacing w:val="-2"/>
        </w:rPr>
        <w:t>开发过程中使用的其他专利权和特许权的摊销以及满足资本化条件的利息费用，以及为使该无形资产</w:t>
      </w:r>
      <w:r>
        <w:rPr>
          <w:spacing w:val="-73"/>
        </w:rPr>
        <w:t> </w:t>
      </w:r>
      <w:r>
        <w:rPr>
          <w:spacing w:val="-73"/>
        </w:rPr>
      </w:r>
      <w:r>
        <w:rPr/>
        <w:t>达到预定用途前所发生的其他直接费用。</w:t>
      </w:r>
    </w:p>
    <w:p>
      <w:pPr>
        <w:spacing w:line="240" w:lineRule="auto" w:before="11"/>
        <w:rPr>
          <w:rFonts w:ascii="宋体" w:hAnsi="宋体" w:cs="宋体" w:eastAsia="宋体" w:hint="default"/>
          <w:sz w:val="18"/>
          <w:szCs w:val="18"/>
        </w:rPr>
      </w:pPr>
    </w:p>
    <w:p>
      <w:pPr>
        <w:pStyle w:val="BodyText"/>
        <w:spacing w:line="340" w:lineRule="auto"/>
        <w:ind w:left="592" w:right="996" w:firstLine="40"/>
        <w:jc w:val="left"/>
      </w:pPr>
      <w:r>
        <w:rPr/>
        <w:t>（</w:t>
      </w:r>
      <w:r>
        <w:rPr>
          <w:rFonts w:ascii="Times New Roman" w:hAnsi="Times New Roman" w:cs="Times New Roman" w:eastAsia="Times New Roman" w:hint="default"/>
        </w:rPr>
        <w:t>2</w:t>
      </w:r>
      <w:r>
        <w:rPr/>
        <w:t>）无形资产的后续计量</w:t>
      </w:r>
      <w:r>
        <w:rPr>
          <w:w w:val="100"/>
        </w:rPr>
        <w:t> </w:t>
      </w:r>
      <w:r>
        <w:rPr>
          <w:spacing w:val="-2"/>
        </w:rPr>
        <w:t>本公司在取得无形资产时分析判断其使用寿命，划分为使用寿命有限和使用寿命不确定的无形资</w:t>
      </w:r>
    </w:p>
    <w:p>
      <w:pPr>
        <w:pStyle w:val="BodyText"/>
        <w:spacing w:line="220" w:lineRule="exact"/>
        <w:ind w:right="996"/>
        <w:jc w:val="left"/>
      </w:pPr>
      <w:r>
        <w:rPr/>
        <w:t>产。</w:t>
      </w:r>
    </w:p>
    <w:p>
      <w:pPr>
        <w:spacing w:line="240" w:lineRule="auto" w:before="2"/>
        <w:rPr>
          <w:rFonts w:ascii="宋体" w:hAnsi="宋体" w:cs="宋体" w:eastAsia="宋体" w:hint="default"/>
          <w:sz w:val="20"/>
          <w:szCs w:val="20"/>
        </w:rPr>
      </w:pPr>
    </w:p>
    <w:p>
      <w:pPr>
        <w:pStyle w:val="BodyText"/>
        <w:spacing w:line="340" w:lineRule="auto"/>
        <w:ind w:left="592" w:right="996" w:firstLine="40"/>
        <w:jc w:val="left"/>
      </w:pPr>
      <w:r>
        <w:rPr>
          <w:rFonts w:ascii="Times New Roman" w:hAnsi="Times New Roman" w:cs="Times New Roman" w:eastAsia="Times New Roman" w:hint="default"/>
        </w:rPr>
        <w:t>1</w:t>
      </w:r>
      <w:r>
        <w:rPr/>
        <w:t>）使用寿命有限的无形资产</w:t>
      </w:r>
      <w:r>
        <w:rPr>
          <w:w w:val="100"/>
        </w:rPr>
        <w:t> </w:t>
      </w:r>
      <w:r>
        <w:rPr>
          <w:spacing w:val="-2"/>
        </w:rPr>
        <w:t>对于使用寿命有限的无形资产，在为企业带来经济利益的期限内按直线法摊销。使用寿命有限的</w:t>
      </w:r>
    </w:p>
    <w:p>
      <w:pPr>
        <w:pStyle w:val="BodyText"/>
        <w:spacing w:line="220" w:lineRule="exact"/>
        <w:ind w:right="996"/>
        <w:jc w:val="left"/>
      </w:pPr>
      <w:r>
        <w:rPr/>
        <w:t>无形资产预计寿命及依据如下：</w:t>
      </w:r>
    </w:p>
    <w:p>
      <w:pPr>
        <w:spacing w:line="240" w:lineRule="auto" w:before="9"/>
        <w:rPr>
          <w:rFonts w:ascii="宋体" w:hAnsi="宋体" w:cs="宋体" w:eastAsia="宋体"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04"/>
        <w:gridCol w:w="1872"/>
        <w:gridCol w:w="3740"/>
      </w:tblGrid>
      <w:tr>
        <w:trPr>
          <w:trHeight w:val="34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b/>
                <w:bCs/>
                <w:sz w:val="20"/>
                <w:szCs w:val="20"/>
              </w:rPr>
              <w:t>预计使用寿命</w:t>
            </w:r>
            <w:r>
              <w:rPr>
                <w:rFonts w:ascii="宋体" w:hAnsi="宋体" w:cs="宋体" w:eastAsia="宋体" w:hint="default"/>
                <w:sz w:val="20"/>
                <w:szCs w:val="20"/>
              </w:rPr>
            </w:r>
          </w:p>
        </w:tc>
        <w:tc>
          <w:tcPr>
            <w:tcW w:w="3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center"/>
              <w:rPr>
                <w:rFonts w:ascii="宋体" w:hAnsi="宋体" w:cs="宋体" w:eastAsia="宋体" w:hint="default"/>
                <w:sz w:val="20"/>
                <w:szCs w:val="20"/>
              </w:rPr>
            </w:pPr>
            <w:r>
              <w:rPr>
                <w:rFonts w:ascii="宋体" w:hAnsi="宋体" w:cs="宋体" w:eastAsia="宋体" w:hint="default"/>
                <w:b/>
                <w:bCs/>
                <w:sz w:val="20"/>
                <w:szCs w:val="20"/>
              </w:rPr>
              <w:t>依据</w:t>
            </w:r>
            <w:r>
              <w:rPr>
                <w:rFonts w:ascii="宋体" w:hAnsi="宋体" w:cs="宋体" w:eastAsia="宋体" w:hint="default"/>
                <w:sz w:val="20"/>
                <w:szCs w:val="20"/>
              </w:rPr>
            </w:r>
          </w:p>
        </w:tc>
      </w:tr>
      <w:tr>
        <w:trPr>
          <w:trHeight w:val="34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 w:right="0"/>
              <w:jc w:val="center"/>
              <w:rPr>
                <w:rFonts w:ascii="Times New Roman" w:hAnsi="Times New Roman" w:cs="Times New Roman" w:eastAsia="Times New Roman" w:hint="default"/>
                <w:sz w:val="20"/>
                <w:szCs w:val="20"/>
              </w:rPr>
            </w:pPr>
            <w:r>
              <w:rPr>
                <w:rFonts w:ascii="Times New Roman"/>
                <w:sz w:val="20"/>
              </w:rPr>
              <w:t>50</w:t>
            </w:r>
          </w:p>
        </w:tc>
        <w:tc>
          <w:tcPr>
            <w:tcW w:w="3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 w:right="0"/>
              <w:jc w:val="center"/>
              <w:rPr>
                <w:rFonts w:ascii="宋体" w:hAnsi="宋体" w:cs="宋体" w:eastAsia="宋体" w:hint="default"/>
                <w:sz w:val="20"/>
                <w:szCs w:val="20"/>
              </w:rPr>
            </w:pPr>
            <w:r>
              <w:rPr>
                <w:rFonts w:ascii="宋体" w:hAnsi="宋体" w:cs="宋体" w:eastAsia="宋体" w:hint="default"/>
                <w:sz w:val="20"/>
                <w:szCs w:val="20"/>
              </w:rPr>
              <w:t>合同规定的受益年限</w:t>
            </w:r>
          </w:p>
        </w:tc>
      </w:tr>
      <w:tr>
        <w:trPr>
          <w:trHeight w:val="34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开发工具</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20"/>
                <w:szCs w:val="20"/>
              </w:rPr>
            </w:pPr>
            <w:r>
              <w:rPr>
                <w:rFonts w:ascii="Times New Roman"/>
                <w:sz w:val="20"/>
              </w:rPr>
              <w:t>5-10</w:t>
            </w:r>
          </w:p>
        </w:tc>
        <w:tc>
          <w:tcPr>
            <w:tcW w:w="3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 w:right="0"/>
              <w:jc w:val="center"/>
              <w:rPr>
                <w:rFonts w:ascii="宋体" w:hAnsi="宋体" w:cs="宋体" w:eastAsia="宋体" w:hint="default"/>
                <w:sz w:val="20"/>
                <w:szCs w:val="20"/>
              </w:rPr>
            </w:pPr>
            <w:r>
              <w:rPr>
                <w:rFonts w:ascii="宋体" w:hAnsi="宋体" w:cs="宋体" w:eastAsia="宋体" w:hint="default"/>
                <w:sz w:val="20"/>
                <w:szCs w:val="20"/>
              </w:rPr>
              <w:t>预计使用年限</w:t>
            </w:r>
          </w:p>
        </w:tc>
      </w:tr>
      <w:tr>
        <w:trPr>
          <w:trHeight w:val="34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游戏产品</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sz w:val="20"/>
              </w:rPr>
              <w:t>1-5</w:t>
            </w:r>
          </w:p>
        </w:tc>
        <w:tc>
          <w:tcPr>
            <w:tcW w:w="3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 w:right="0"/>
              <w:jc w:val="center"/>
              <w:rPr>
                <w:rFonts w:ascii="宋体" w:hAnsi="宋体" w:cs="宋体" w:eastAsia="宋体" w:hint="default"/>
                <w:sz w:val="20"/>
                <w:szCs w:val="20"/>
              </w:rPr>
            </w:pPr>
            <w:r>
              <w:rPr>
                <w:rFonts w:ascii="宋体" w:hAnsi="宋体" w:cs="宋体" w:eastAsia="宋体" w:hint="default"/>
                <w:sz w:val="20"/>
                <w:szCs w:val="20"/>
              </w:rPr>
              <w:t>预计使用年限</w:t>
            </w:r>
          </w:p>
        </w:tc>
      </w:tr>
      <w:tr>
        <w:trPr>
          <w:trHeight w:val="34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 w:right="0"/>
              <w:jc w:val="left"/>
              <w:rPr>
                <w:rFonts w:ascii="宋体" w:hAnsi="宋体" w:cs="宋体" w:eastAsia="宋体" w:hint="default"/>
                <w:sz w:val="20"/>
                <w:szCs w:val="20"/>
              </w:rPr>
            </w:pPr>
            <w:r>
              <w:rPr>
                <w:rFonts w:ascii="宋体" w:hAnsi="宋体" w:cs="宋体" w:eastAsia="宋体" w:hint="default"/>
                <w:sz w:val="20"/>
                <w:szCs w:val="20"/>
              </w:rPr>
              <w:t>其中：客户端网络游戏</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3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 w:right="0"/>
              <w:jc w:val="center"/>
              <w:rPr>
                <w:rFonts w:ascii="宋体" w:hAnsi="宋体" w:cs="宋体" w:eastAsia="宋体" w:hint="default"/>
                <w:sz w:val="20"/>
                <w:szCs w:val="20"/>
              </w:rPr>
            </w:pPr>
            <w:r>
              <w:rPr>
                <w:rFonts w:ascii="宋体" w:hAnsi="宋体" w:cs="宋体" w:eastAsia="宋体" w:hint="default"/>
                <w:sz w:val="20"/>
                <w:szCs w:val="20"/>
              </w:rPr>
              <w:t>预计使用年限</w:t>
            </w:r>
          </w:p>
        </w:tc>
      </w:tr>
      <w:tr>
        <w:trPr>
          <w:trHeight w:val="34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607" w:right="0"/>
              <w:jc w:val="left"/>
              <w:rPr>
                <w:rFonts w:ascii="宋体" w:hAnsi="宋体" w:cs="宋体" w:eastAsia="宋体" w:hint="default"/>
                <w:sz w:val="20"/>
                <w:szCs w:val="20"/>
              </w:rPr>
            </w:pPr>
            <w:r>
              <w:rPr>
                <w:rFonts w:ascii="宋体" w:hAnsi="宋体" w:cs="宋体" w:eastAsia="宋体" w:hint="default"/>
                <w:sz w:val="20"/>
                <w:szCs w:val="20"/>
              </w:rPr>
              <w:t>网页游戏</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3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 w:right="0"/>
              <w:jc w:val="center"/>
              <w:rPr>
                <w:rFonts w:ascii="宋体" w:hAnsi="宋体" w:cs="宋体" w:eastAsia="宋体" w:hint="default"/>
                <w:sz w:val="20"/>
                <w:szCs w:val="20"/>
              </w:rPr>
            </w:pPr>
            <w:r>
              <w:rPr>
                <w:rFonts w:ascii="宋体" w:hAnsi="宋体" w:cs="宋体" w:eastAsia="宋体" w:hint="default"/>
                <w:sz w:val="20"/>
                <w:szCs w:val="20"/>
              </w:rPr>
              <w:t>预计使用年限</w:t>
            </w:r>
          </w:p>
        </w:tc>
      </w:tr>
      <w:tr>
        <w:trPr>
          <w:trHeight w:val="34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607" w:right="0"/>
              <w:jc w:val="left"/>
              <w:rPr>
                <w:rFonts w:ascii="宋体" w:hAnsi="宋体" w:cs="宋体" w:eastAsia="宋体" w:hint="default"/>
                <w:sz w:val="20"/>
                <w:szCs w:val="20"/>
              </w:rPr>
            </w:pPr>
            <w:r>
              <w:rPr>
                <w:rFonts w:ascii="宋体" w:hAnsi="宋体" w:cs="宋体" w:eastAsia="宋体" w:hint="default"/>
                <w:sz w:val="20"/>
                <w:szCs w:val="20"/>
              </w:rPr>
              <w:t>手机游戏</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3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 w:right="0"/>
              <w:jc w:val="center"/>
              <w:rPr>
                <w:rFonts w:ascii="宋体" w:hAnsi="宋体" w:cs="宋体" w:eastAsia="宋体" w:hint="default"/>
                <w:sz w:val="20"/>
                <w:szCs w:val="20"/>
              </w:rPr>
            </w:pPr>
            <w:r>
              <w:rPr>
                <w:rFonts w:ascii="宋体" w:hAnsi="宋体" w:cs="宋体" w:eastAsia="宋体" w:hint="default"/>
                <w:sz w:val="20"/>
                <w:szCs w:val="20"/>
              </w:rPr>
              <w:t>预计使用年限</w:t>
            </w:r>
          </w:p>
        </w:tc>
      </w:tr>
      <w:tr>
        <w:trPr>
          <w:trHeight w:val="34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607" w:right="0"/>
              <w:jc w:val="left"/>
              <w:rPr>
                <w:rFonts w:ascii="宋体" w:hAnsi="宋体" w:cs="宋体" w:eastAsia="宋体" w:hint="default"/>
                <w:sz w:val="20"/>
                <w:szCs w:val="20"/>
              </w:rPr>
            </w:pPr>
            <w:r>
              <w:rPr>
                <w:rFonts w:ascii="宋体" w:hAnsi="宋体" w:cs="宋体" w:eastAsia="宋体" w:hint="default"/>
                <w:sz w:val="20"/>
                <w:szCs w:val="20"/>
              </w:rPr>
              <w:t>社交游戏</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3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 w:right="0"/>
              <w:jc w:val="center"/>
              <w:rPr>
                <w:rFonts w:ascii="宋体" w:hAnsi="宋体" w:cs="宋体" w:eastAsia="宋体" w:hint="default"/>
                <w:sz w:val="20"/>
                <w:szCs w:val="20"/>
              </w:rPr>
            </w:pPr>
            <w:r>
              <w:rPr>
                <w:rFonts w:ascii="宋体" w:hAnsi="宋体" w:cs="宋体" w:eastAsia="宋体" w:hint="default"/>
                <w:sz w:val="20"/>
                <w:szCs w:val="20"/>
              </w:rPr>
              <w:t>预计使用年限</w:t>
            </w:r>
          </w:p>
        </w:tc>
      </w:tr>
      <w:tr>
        <w:trPr>
          <w:trHeight w:val="34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运营工具</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3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 w:right="0"/>
              <w:jc w:val="center"/>
              <w:rPr>
                <w:rFonts w:ascii="宋体" w:hAnsi="宋体" w:cs="宋体" w:eastAsia="宋体" w:hint="default"/>
                <w:sz w:val="20"/>
                <w:szCs w:val="20"/>
              </w:rPr>
            </w:pPr>
            <w:r>
              <w:rPr>
                <w:rFonts w:ascii="宋体" w:hAnsi="宋体" w:cs="宋体" w:eastAsia="宋体" w:hint="default"/>
                <w:sz w:val="20"/>
                <w:szCs w:val="20"/>
              </w:rPr>
              <w:t>预计使用年限</w:t>
            </w:r>
          </w:p>
        </w:tc>
      </w:tr>
      <w:tr>
        <w:trPr>
          <w:trHeight w:val="34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系统软件</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3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 w:right="0"/>
              <w:jc w:val="center"/>
              <w:rPr>
                <w:rFonts w:ascii="宋体" w:hAnsi="宋体" w:cs="宋体" w:eastAsia="宋体" w:hint="default"/>
                <w:sz w:val="20"/>
                <w:szCs w:val="20"/>
              </w:rPr>
            </w:pPr>
            <w:r>
              <w:rPr>
                <w:rFonts w:ascii="宋体" w:hAnsi="宋体" w:cs="宋体" w:eastAsia="宋体" w:hint="default"/>
                <w:sz w:val="20"/>
                <w:szCs w:val="20"/>
              </w:rPr>
              <w:t>预计使用年限</w:t>
            </w:r>
          </w:p>
        </w:tc>
      </w:tr>
      <w:tr>
        <w:trPr>
          <w:trHeight w:val="34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办公软件</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sz w:val="20"/>
              </w:rPr>
              <w:t>1-5</w:t>
            </w:r>
          </w:p>
        </w:tc>
        <w:tc>
          <w:tcPr>
            <w:tcW w:w="3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 w:right="0"/>
              <w:jc w:val="center"/>
              <w:rPr>
                <w:rFonts w:ascii="宋体" w:hAnsi="宋体" w:cs="宋体" w:eastAsia="宋体" w:hint="default"/>
                <w:sz w:val="20"/>
                <w:szCs w:val="20"/>
              </w:rPr>
            </w:pPr>
            <w:r>
              <w:rPr>
                <w:rFonts w:ascii="宋体" w:hAnsi="宋体" w:cs="宋体" w:eastAsia="宋体" w:hint="default"/>
                <w:sz w:val="20"/>
                <w:szCs w:val="20"/>
              </w:rPr>
              <w:t>预计使用年限</w:t>
            </w:r>
          </w:p>
        </w:tc>
      </w:tr>
    </w:tbl>
    <w:p>
      <w:pPr>
        <w:spacing w:after="0" w:line="240" w:lineRule="auto"/>
        <w:jc w:val="center"/>
        <w:rPr>
          <w:rFonts w:ascii="宋体" w:hAnsi="宋体" w:cs="宋体" w:eastAsia="宋体" w:hint="default"/>
          <w:sz w:val="20"/>
          <w:szCs w:val="20"/>
        </w:rPr>
        <w:sectPr>
          <w:pgSz w:w="11910" w:h="16840"/>
          <w:pgMar w:header="877" w:footer="980" w:top="1060" w:bottom="1160" w:left="980" w:right="0"/>
        </w:sectPr>
      </w:pPr>
    </w:p>
    <w:p>
      <w:pPr>
        <w:spacing w:line="240" w:lineRule="auto" w:before="4"/>
        <w:rPr>
          <w:rFonts w:ascii="宋体" w:hAnsi="宋体" w:cs="宋体" w:eastAsia="宋体" w:hint="default"/>
          <w:sz w:val="24"/>
          <w:szCs w:val="24"/>
        </w:rPr>
      </w:pPr>
    </w:p>
    <w:p>
      <w:pPr>
        <w:pStyle w:val="BodyText"/>
        <w:spacing w:line="261" w:lineRule="auto" w:before="32"/>
        <w:ind w:right="1133" w:firstLine="480"/>
        <w:jc w:val="both"/>
      </w:pPr>
      <w:r>
        <w:rPr>
          <w:spacing w:val="-3"/>
        </w:rPr>
        <w:t>每期末，对使用寿命有限的无形资产的使用寿命及摊销方法进行复核，如与原先估计数存在差异</w:t>
      </w:r>
      <w:r>
        <w:rPr>
          <w:w w:val="100"/>
        </w:rPr>
        <w:t> </w:t>
      </w:r>
      <w:r>
        <w:rPr/>
        <w:t>的，进行相应的调整。</w:t>
      </w:r>
    </w:p>
    <w:p>
      <w:pPr>
        <w:spacing w:line="240" w:lineRule="auto" w:before="9"/>
        <w:rPr>
          <w:rFonts w:ascii="宋体" w:hAnsi="宋体" w:cs="宋体" w:eastAsia="宋体" w:hint="default"/>
          <w:sz w:val="18"/>
          <w:szCs w:val="18"/>
        </w:rPr>
      </w:pPr>
    </w:p>
    <w:p>
      <w:pPr>
        <w:pStyle w:val="BodyText"/>
        <w:spacing w:line="240" w:lineRule="auto"/>
        <w:ind w:left="633" w:right="996"/>
        <w:jc w:val="left"/>
      </w:pPr>
      <w:r>
        <w:rPr/>
        <w:t>经复核，本期期末无形资产的使用寿命及摊销方法与以前估计未有不同。</w:t>
      </w:r>
    </w:p>
    <w:p>
      <w:pPr>
        <w:spacing w:line="240" w:lineRule="auto" w:before="2"/>
        <w:rPr>
          <w:rFonts w:ascii="宋体" w:hAnsi="宋体" w:cs="宋体" w:eastAsia="宋体" w:hint="default"/>
          <w:sz w:val="20"/>
          <w:szCs w:val="20"/>
        </w:rPr>
      </w:pPr>
    </w:p>
    <w:p>
      <w:pPr>
        <w:pStyle w:val="BodyText"/>
        <w:spacing w:line="340" w:lineRule="auto"/>
        <w:ind w:left="592" w:right="5474" w:firstLine="40"/>
        <w:jc w:val="left"/>
      </w:pPr>
      <w:r>
        <w:rPr>
          <w:rFonts w:ascii="Times New Roman" w:hAnsi="Times New Roman" w:cs="Times New Roman" w:eastAsia="Times New Roman" w:hint="default"/>
        </w:rPr>
        <w:t>2</w:t>
      </w:r>
      <w:r>
        <w:rPr/>
        <w:t>）使用寿命不确定的无形资产</w:t>
      </w:r>
      <w:r>
        <w:rPr>
          <w:w w:val="100"/>
        </w:rPr>
        <w:t> </w:t>
      </w:r>
      <w:r>
        <w:rPr>
          <w:spacing w:val="-1"/>
        </w:rPr>
        <w:t>本公司无使用寿命不确定的无形资产。</w:t>
      </w:r>
    </w:p>
    <w:p>
      <w:pPr>
        <w:spacing w:line="240" w:lineRule="auto" w:before="5"/>
        <w:rPr>
          <w:rFonts w:ascii="宋体" w:hAnsi="宋体" w:cs="宋体" w:eastAsia="宋体" w:hint="default"/>
          <w:sz w:val="18"/>
          <w:szCs w:val="18"/>
        </w:rPr>
      </w:pPr>
    </w:p>
    <w:p>
      <w:pPr>
        <w:spacing w:before="0"/>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sz w:val="21"/>
          <w:szCs w:val="21"/>
        </w:rPr>
      </w:r>
    </w:p>
    <w:p>
      <w:pPr>
        <w:pStyle w:val="BodyText"/>
        <w:spacing w:line="430" w:lineRule="atLeast" w:before="172"/>
        <w:ind w:left="592" w:right="996" w:firstLine="40"/>
        <w:jc w:val="left"/>
      </w:pPr>
      <w:r>
        <w:rPr>
          <w:rFonts w:ascii="宋体" w:hAnsi="宋体" w:cs="宋体" w:eastAsia="宋体" w:hint="default"/>
        </w:rPr>
        <w:t>1</w:t>
      </w:r>
      <w:r>
        <w:rPr/>
        <w:t>）划分公司内部研究开发项目的研究阶段和开发阶段具体标准</w:t>
      </w:r>
      <w:r>
        <w:rPr>
          <w:w w:val="100"/>
        </w:rPr>
        <w:t> </w:t>
      </w:r>
      <w:r>
        <w:rPr>
          <w:spacing w:val="-2"/>
        </w:rPr>
        <w:t>本公司根据《研发项目管理和会计核算制度》的流程，将内部研究开发项目划分研究阶段和开发</w:t>
      </w:r>
    </w:p>
    <w:p>
      <w:pPr>
        <w:pStyle w:val="BodyText"/>
        <w:spacing w:line="261" w:lineRule="auto" w:before="24"/>
        <w:ind w:right="996"/>
        <w:jc w:val="left"/>
      </w:pPr>
      <w:r>
        <w:rPr>
          <w:spacing w:val="-2"/>
        </w:rPr>
        <w:t>阶段。其中，项目策划阶段与项目立项阶段作为研究阶段；项目计划阶段、项目实施与执行阶段和项</w:t>
      </w:r>
      <w:r>
        <w:rPr>
          <w:spacing w:val="-69"/>
        </w:rPr>
        <w:t> </w:t>
      </w:r>
      <w:r>
        <w:rPr>
          <w:spacing w:val="-69"/>
        </w:rPr>
      </w:r>
      <w:r>
        <w:rPr/>
        <w:t>目验收阶段作为开发阶段。</w:t>
      </w:r>
    </w:p>
    <w:p>
      <w:pPr>
        <w:pStyle w:val="BodyText"/>
        <w:spacing w:line="254" w:lineRule="auto" w:before="124"/>
        <w:ind w:right="1128" w:firstLine="439"/>
        <w:jc w:val="both"/>
      </w:pPr>
      <w:r>
        <w:rPr>
          <w:spacing w:val="-2"/>
        </w:rPr>
        <w:t>研究阶段起点为游戏策划，终点为立项评审通过，表明公司研发中心判断该项目在技术上、商业</w:t>
      </w:r>
      <w:r>
        <w:rPr>
          <w:w w:val="100"/>
        </w:rPr>
        <w:t> </w:t>
      </w:r>
      <w:r>
        <w:rPr>
          <w:spacing w:val="-2"/>
        </w:rPr>
        <w:t>上等具有可行性；开发阶段的起点为项目开发计划，终点为项目相关测试完成后可进入商业运营。研</w:t>
      </w:r>
      <w:r>
        <w:rPr>
          <w:spacing w:val="-67"/>
        </w:rPr>
        <w:t> </w:t>
      </w:r>
      <w:r>
        <w:rPr>
          <w:spacing w:val="-67"/>
        </w:rPr>
      </w:r>
      <w:r>
        <w:rPr>
          <w:spacing w:val="-2"/>
        </w:rPr>
        <w:t>究阶段的项目支出直接记入当期损益；进入开发阶段的项目支出，则予以资本化，先在</w:t>
      </w:r>
      <w:r>
        <w:rPr>
          <w:rFonts w:ascii="Times New Roman" w:hAnsi="Times New Roman" w:cs="Times New Roman" w:eastAsia="Times New Roman" w:hint="default"/>
          <w:spacing w:val="-2"/>
        </w:rPr>
        <w:t>“</w:t>
      </w:r>
      <w:r>
        <w:rPr>
          <w:spacing w:val="-2"/>
        </w:rPr>
        <w:t>开发支出</w:t>
      </w:r>
      <w:r>
        <w:rPr>
          <w:rFonts w:ascii="Times New Roman" w:hAnsi="Times New Roman" w:cs="Times New Roman" w:eastAsia="Times New Roman" w:hint="default"/>
          <w:spacing w:val="-2"/>
        </w:rPr>
        <w:t>”</w:t>
      </w:r>
      <w:r>
        <w:rPr>
          <w:spacing w:val="-2"/>
        </w:rPr>
        <w:t>科</w:t>
      </w:r>
      <w:r>
        <w:rPr>
          <w:spacing w:val="-43"/>
        </w:rPr>
        <w:t> </w:t>
      </w:r>
      <w:r>
        <w:rPr/>
        <w:t>目分项目进行明细核算，可商业运营时，再转入</w:t>
      </w:r>
      <w:r>
        <w:rPr>
          <w:rFonts w:ascii="Times New Roman" w:hAnsi="Times New Roman" w:cs="Times New Roman" w:eastAsia="Times New Roman" w:hint="default"/>
        </w:rPr>
        <w:t>“</w:t>
      </w:r>
      <w:r>
        <w:rPr/>
        <w:t>无形资产</w:t>
      </w:r>
      <w:r>
        <w:rPr>
          <w:rFonts w:ascii="Times New Roman" w:hAnsi="Times New Roman" w:cs="Times New Roman" w:eastAsia="Times New Roman" w:hint="default"/>
        </w:rPr>
        <w:t>”</w:t>
      </w:r>
      <w:r>
        <w:rPr/>
        <w:t>科目分项目进行明细核算。</w:t>
      </w:r>
    </w:p>
    <w:p>
      <w:pPr>
        <w:spacing w:line="240" w:lineRule="auto" w:before="10"/>
        <w:rPr>
          <w:rFonts w:ascii="宋体" w:hAnsi="宋体" w:cs="宋体" w:eastAsia="宋体" w:hint="default"/>
          <w:sz w:val="17"/>
          <w:szCs w:val="17"/>
        </w:rPr>
      </w:pPr>
    </w:p>
    <w:p>
      <w:pPr>
        <w:pStyle w:val="BodyText"/>
        <w:spacing w:line="360" w:lineRule="auto"/>
        <w:ind w:left="592" w:right="996" w:firstLine="40"/>
        <w:jc w:val="left"/>
      </w:pPr>
      <w:r>
        <w:rPr>
          <w:rFonts w:ascii="宋体" w:hAnsi="宋体" w:cs="宋体" w:eastAsia="宋体" w:hint="default"/>
        </w:rPr>
        <w:t>2</w:t>
      </w:r>
      <w:r>
        <w:rPr/>
        <w:t>）开发阶段支出符合资本化的具体标准</w:t>
      </w:r>
      <w:r>
        <w:rPr>
          <w:w w:val="100"/>
        </w:rPr>
        <w:t> </w:t>
      </w:r>
      <w:r>
        <w:rPr>
          <w:spacing w:val="-1"/>
        </w:rPr>
        <w:t>内部研究开发项目开发阶段的支出，同时满足下列条件时确认为无形资产：</w:t>
      </w:r>
    </w:p>
    <w:p>
      <w:pPr>
        <w:pStyle w:val="BodyText"/>
        <w:spacing w:line="240" w:lineRule="auto" w:before="34"/>
        <w:ind w:left="592" w:right="996"/>
        <w:jc w:val="left"/>
      </w:pPr>
      <w:r>
        <w:rPr/>
        <w:t>①完成该无形资产以使其能够使用或出售在技术上具有可行性；</w:t>
      </w:r>
    </w:p>
    <w:p>
      <w:pPr>
        <w:pStyle w:val="BodyText"/>
        <w:spacing w:line="240" w:lineRule="auto" w:before="144"/>
        <w:ind w:left="592" w:right="996"/>
        <w:jc w:val="left"/>
      </w:pPr>
      <w:r>
        <w:rPr/>
        <w:t>②具有完成该无形资产并使用或出售的意图；</w:t>
      </w:r>
    </w:p>
    <w:p>
      <w:pPr>
        <w:pStyle w:val="BodyText"/>
        <w:spacing w:line="259" w:lineRule="auto" w:before="144"/>
        <w:ind w:right="1133" w:firstLine="439"/>
        <w:jc w:val="both"/>
      </w:pPr>
      <w:r>
        <w:rPr>
          <w:spacing w:val="-2"/>
        </w:rPr>
        <w:t>③无形资产产生经济利益的方式，包括能够证明运用该无形资产生产的产品存在市场或无形资产</w:t>
      </w:r>
      <w:r>
        <w:rPr>
          <w:w w:val="100"/>
        </w:rPr>
        <w:t> </w:t>
      </w:r>
      <w:r>
        <w:rPr/>
        <w:t>自身存在市场，无形资产将在内部使用的，能够证明其有用性；</w:t>
      </w:r>
    </w:p>
    <w:p>
      <w:pPr>
        <w:pStyle w:val="BodyText"/>
        <w:spacing w:line="259" w:lineRule="auto" w:before="126"/>
        <w:ind w:right="1128" w:firstLine="439"/>
        <w:jc w:val="both"/>
      </w:pPr>
      <w:r>
        <w:rPr>
          <w:spacing w:val="-2"/>
        </w:rPr>
        <w:t>④有足够的技术、财务资源和其他资源支持，以完成该无形资产的开发，并有能力使用或出售该</w:t>
      </w:r>
      <w:r>
        <w:rPr>
          <w:w w:val="100"/>
        </w:rPr>
        <w:t> </w:t>
      </w:r>
      <w:r>
        <w:rPr/>
        <w:t>无形资产；</w:t>
      </w:r>
    </w:p>
    <w:p>
      <w:pPr>
        <w:pStyle w:val="BodyText"/>
        <w:spacing w:line="432" w:lineRule="exact" w:before="38"/>
        <w:ind w:left="592" w:right="996"/>
        <w:jc w:val="left"/>
      </w:pPr>
      <w:r>
        <w:rPr/>
        <w:t>⑤归属于该无形资产开发阶段的支出能够可靠地计量。</w:t>
      </w:r>
      <w:r>
        <w:rPr>
          <w:w w:val="100"/>
        </w:rPr>
        <w:t> </w:t>
      </w:r>
      <w:r>
        <w:rPr>
          <w:spacing w:val="-2"/>
        </w:rPr>
        <w:t>不满足上述条件的开发阶段的支出，于发生时计入当期损益。以前期间已计入损益的开发支出不</w:t>
      </w:r>
    </w:p>
    <w:p>
      <w:pPr>
        <w:pStyle w:val="BodyText"/>
        <w:spacing w:line="257" w:lineRule="exact"/>
        <w:ind w:right="996"/>
        <w:jc w:val="left"/>
      </w:pPr>
      <w:r>
        <w:rPr/>
        <w:t>在以后期间重新确认为资产。已资本化的开发阶段的支出在资产负债表上列示为开发支出，自该项目</w:t>
      </w:r>
    </w:p>
    <w:p>
      <w:pPr>
        <w:pStyle w:val="BodyText"/>
        <w:spacing w:line="240" w:lineRule="auto" w:before="24"/>
        <w:ind w:right="996"/>
        <w:jc w:val="left"/>
      </w:pPr>
      <w:r>
        <w:rPr/>
        <w:t>达到预定用途之日起转为无形资产。</w:t>
      </w:r>
    </w:p>
    <w:p>
      <w:pPr>
        <w:spacing w:line="240" w:lineRule="auto" w:before="6"/>
        <w:rPr>
          <w:rFonts w:ascii="宋体" w:hAnsi="宋体" w:cs="宋体" w:eastAsia="宋体" w:hint="default"/>
          <w:sz w:val="25"/>
          <w:szCs w:val="25"/>
        </w:rPr>
      </w:pPr>
    </w:p>
    <w:p>
      <w:pPr>
        <w:spacing w:before="0"/>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、长期资产减值</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pStyle w:val="BodyText"/>
        <w:spacing w:line="259" w:lineRule="auto"/>
        <w:ind w:right="1128" w:firstLine="439"/>
        <w:jc w:val="both"/>
      </w:pPr>
      <w:r>
        <w:rPr>
          <w:spacing w:val="-2"/>
        </w:rPr>
        <w:t>本公司在资产负债表日判断长期资产是否存在可能发生减值的迹象。如果长期资产存在减值迹象</w:t>
      </w:r>
      <w:r>
        <w:rPr>
          <w:w w:val="100"/>
        </w:rPr>
        <w:t> </w:t>
      </w:r>
      <w:r>
        <w:rPr>
          <w:spacing w:val="-2"/>
        </w:rPr>
        <w:t>的，以单项资产为基础估计其可收回金额；难以对单项资产的可收回金额进行估计的，以该资产所属</w:t>
      </w:r>
      <w:r>
        <w:rPr>
          <w:spacing w:val="-66"/>
        </w:rPr>
        <w:t> </w:t>
      </w:r>
      <w:r>
        <w:rPr>
          <w:spacing w:val="-66"/>
        </w:rPr>
      </w:r>
      <w:r>
        <w:rPr/>
        <w:t>的资产组为基础确定资产组的可收回金额。</w:t>
      </w:r>
    </w:p>
    <w:p>
      <w:pPr>
        <w:pStyle w:val="BodyText"/>
        <w:spacing w:line="259" w:lineRule="auto" w:before="126"/>
        <w:ind w:right="1133" w:firstLine="439"/>
        <w:jc w:val="both"/>
      </w:pPr>
      <w:r>
        <w:rPr>
          <w:spacing w:val="-2"/>
        </w:rPr>
        <w:t>资产可收回金额的估计，根据其公允价值减去处置费用后的净额与资产预计未来现金流量的现值</w:t>
      </w:r>
      <w:r>
        <w:rPr>
          <w:w w:val="100"/>
        </w:rPr>
        <w:t> </w:t>
      </w:r>
      <w:r>
        <w:rPr/>
        <w:t>两者之间较高者确定。</w:t>
      </w:r>
    </w:p>
    <w:p>
      <w:pPr>
        <w:pStyle w:val="BodyText"/>
        <w:spacing w:line="259" w:lineRule="auto" w:before="126"/>
        <w:ind w:right="996" w:firstLine="439"/>
        <w:jc w:val="left"/>
      </w:pPr>
      <w:r>
        <w:rPr/>
        <w:t>可收回金额的计量结果表明，长期资产的可收回金额低于其账面价值的，将长期资产的账面价值</w:t>
      </w:r>
      <w:r>
        <w:rPr>
          <w:w w:val="100"/>
        </w:rPr>
        <w:t> </w:t>
      </w:r>
      <w:r>
        <w:rPr>
          <w:spacing w:val="-5"/>
        </w:rPr>
        <w:t>减记至可收回金额，减记的金额确认为资产减值损失，计入当期损益，同时计提相应的资产减值准备。</w:t>
      </w:r>
    </w:p>
    <w:p>
      <w:pPr>
        <w:spacing w:after="0" w:line="259" w:lineRule="auto"/>
        <w:jc w:val="left"/>
        <w:sectPr>
          <w:pgSz w:w="11910" w:h="16840"/>
          <w:pgMar w:header="877" w:footer="980" w:top="1060" w:bottom="1160" w:left="980" w:right="0"/>
        </w:sectPr>
      </w:pPr>
    </w:p>
    <w:p>
      <w:pPr>
        <w:spacing w:line="240" w:lineRule="auto" w:before="4"/>
        <w:rPr>
          <w:rFonts w:ascii="宋体" w:hAnsi="宋体" w:cs="宋体" w:eastAsia="宋体" w:hint="default"/>
          <w:sz w:val="24"/>
          <w:szCs w:val="24"/>
        </w:rPr>
      </w:pPr>
    </w:p>
    <w:p>
      <w:pPr>
        <w:pStyle w:val="BodyText"/>
        <w:spacing w:line="240" w:lineRule="auto" w:before="32"/>
        <w:ind w:right="996"/>
        <w:jc w:val="left"/>
      </w:pPr>
      <w:r>
        <w:rPr/>
        <w:t>资产减值损失一经确认，在以后会计期间不得转回。</w:t>
      </w:r>
    </w:p>
    <w:p>
      <w:pPr>
        <w:pStyle w:val="BodyText"/>
        <w:spacing w:line="259" w:lineRule="auto" w:before="144"/>
        <w:ind w:right="1133" w:firstLine="439"/>
        <w:jc w:val="both"/>
      </w:pPr>
      <w:r>
        <w:rPr>
          <w:spacing w:val="-2"/>
        </w:rPr>
        <w:t>资产减值损失确认后，减值资产的折旧或者摊销费用在未来期间作相应调整，以使该资产在剩余</w:t>
      </w:r>
      <w:r>
        <w:rPr>
          <w:w w:val="100"/>
        </w:rPr>
        <w:t> </w:t>
      </w:r>
      <w:r>
        <w:rPr/>
        <w:t>使用寿命内，系统地分摊调整后的资产账面价值（扣除预计净残值）。</w:t>
      </w:r>
    </w:p>
    <w:p>
      <w:pPr>
        <w:pStyle w:val="BodyText"/>
        <w:spacing w:line="259" w:lineRule="auto" w:before="126"/>
        <w:ind w:right="1133" w:firstLine="439"/>
        <w:jc w:val="both"/>
      </w:pPr>
      <w:r>
        <w:rPr>
          <w:spacing w:val="-2"/>
        </w:rPr>
        <w:t>因企业合并所形成的商誉和使用寿命不确定的无形资产，无论是否存在减值迹象，每年都进行减</w:t>
      </w:r>
      <w:r>
        <w:rPr>
          <w:w w:val="100"/>
        </w:rPr>
        <w:t> </w:t>
      </w:r>
      <w:r>
        <w:rPr/>
        <w:t>值测试。</w:t>
      </w:r>
    </w:p>
    <w:p>
      <w:pPr>
        <w:pStyle w:val="BodyText"/>
        <w:spacing w:line="259" w:lineRule="auto" w:before="126"/>
        <w:ind w:right="1128" w:firstLine="439"/>
        <w:jc w:val="both"/>
      </w:pPr>
      <w:r>
        <w:rPr>
          <w:spacing w:val="-2"/>
        </w:rPr>
        <w:t>商誉结合与其相关的资产组或者资产组组合进行减值测试。在对包含商誉的相关资产组或者资产</w:t>
      </w:r>
      <w:r>
        <w:rPr>
          <w:w w:val="100"/>
        </w:rPr>
        <w:t> </w:t>
      </w:r>
      <w:r>
        <w:rPr>
          <w:spacing w:val="-2"/>
        </w:rPr>
        <w:t>组组合进行减值测试时，如与商誉相关的资产组或者资产组组合存在减值迹象的，先对不包含商誉的</w:t>
      </w:r>
      <w:r>
        <w:rPr>
          <w:spacing w:val="-68"/>
        </w:rPr>
        <w:t> </w:t>
      </w:r>
      <w:r>
        <w:rPr>
          <w:spacing w:val="-68"/>
        </w:rPr>
      </w:r>
      <w:r>
        <w:rPr>
          <w:spacing w:val="-2"/>
        </w:rPr>
        <w:t>资产组或者资产组组合进行减值测试，计算可收回金额，并与相关账面价值相比较，确认相应的减值</w:t>
      </w:r>
      <w:r>
        <w:rPr>
          <w:spacing w:val="-68"/>
        </w:rPr>
        <w:t> </w:t>
      </w:r>
      <w:r>
        <w:rPr>
          <w:spacing w:val="-68"/>
        </w:rPr>
      </w:r>
      <w:r>
        <w:rPr>
          <w:spacing w:val="-2"/>
        </w:rPr>
        <w:t>损失。再对包含商誉的资产组或者资产组组合进行减值测试，比较这些相关资产组或者资产组组合的</w:t>
      </w:r>
      <w:r>
        <w:rPr>
          <w:spacing w:val="-70"/>
        </w:rPr>
        <w:t> </w:t>
      </w:r>
      <w:r>
        <w:rPr>
          <w:spacing w:val="-70"/>
        </w:rPr>
      </w:r>
      <w:r>
        <w:rPr>
          <w:spacing w:val="-2"/>
        </w:rPr>
        <w:t>账面价值（包括所分摊的商誉的账面价值部分）与其可收回金额，如相关资产组或者资产组组合的可</w:t>
      </w:r>
      <w:r>
        <w:rPr>
          <w:spacing w:val="-68"/>
        </w:rPr>
        <w:t> </w:t>
      </w:r>
      <w:r>
        <w:rPr>
          <w:spacing w:val="-68"/>
        </w:rPr>
      </w:r>
      <w:r>
        <w:rPr/>
        <w:t>收回金额低于其账面价值的，确认商誉的减值损失。</w:t>
      </w:r>
    </w:p>
    <w:p>
      <w:pPr>
        <w:spacing w:line="240" w:lineRule="auto" w:before="2"/>
        <w:rPr>
          <w:rFonts w:ascii="宋体" w:hAnsi="宋体" w:cs="宋体" w:eastAsia="宋体" w:hint="default"/>
          <w:sz w:val="24"/>
          <w:szCs w:val="24"/>
        </w:rPr>
      </w:pPr>
    </w:p>
    <w:p>
      <w:pPr>
        <w:spacing w:before="0"/>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p>
    <w:p>
      <w:pPr>
        <w:pStyle w:val="BodyText"/>
        <w:spacing w:line="259" w:lineRule="auto"/>
        <w:ind w:right="1129" w:firstLine="439"/>
        <w:jc w:val="both"/>
      </w:pPr>
      <w:r>
        <w:rPr>
          <w:spacing w:val="-2"/>
        </w:rPr>
        <w:t>本公司的长期待摊费用包括版权金代理费和装修费等。该等费用在受益期内平均摊销，如果长期</w:t>
      </w:r>
      <w:r>
        <w:rPr>
          <w:w w:val="100"/>
        </w:rPr>
        <w:t> </w:t>
      </w:r>
      <w:r>
        <w:rPr>
          <w:spacing w:val="-2"/>
        </w:rPr>
        <w:t>待摊费用项目不能使以后会计期间受益，则将尚未摊销的该项目的摊余价值全部转入当期损益。摊销</w:t>
      </w:r>
      <w:r>
        <w:rPr>
          <w:spacing w:val="-68"/>
        </w:rPr>
        <w:t> </w:t>
      </w:r>
      <w:r>
        <w:rPr>
          <w:spacing w:val="-68"/>
        </w:rPr>
      </w:r>
      <w:r>
        <w:rPr/>
        <w:t>年限如下：</w:t>
      </w:r>
    </w:p>
    <w:p>
      <w:pPr>
        <w:spacing w:line="240" w:lineRule="auto" w:before="2"/>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840"/>
        <w:gridCol w:w="2842"/>
        <w:gridCol w:w="2842"/>
      </w:tblGrid>
      <w:tr>
        <w:trPr>
          <w:trHeight w:val="341"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center"/>
              <w:rPr>
                <w:rFonts w:ascii="宋体" w:hAnsi="宋体" w:cs="宋体" w:eastAsia="宋体" w:hint="default"/>
                <w:sz w:val="20"/>
                <w:szCs w:val="20"/>
              </w:rPr>
            </w:pPr>
            <w:r>
              <w:rPr>
                <w:rFonts w:ascii="宋体" w:hAnsi="宋体" w:cs="宋体" w:eastAsia="宋体" w:hint="default"/>
                <w:b/>
                <w:bCs/>
                <w:sz w:val="20"/>
                <w:szCs w:val="20"/>
              </w:rPr>
              <w:t>类别</w:t>
            </w:r>
            <w:r>
              <w:rPr>
                <w:rFonts w:ascii="宋体" w:hAnsi="宋体" w:cs="宋体" w:eastAsia="宋体" w:hint="default"/>
                <w:sz w:val="20"/>
                <w:szCs w:val="20"/>
              </w:rPr>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center"/>
              <w:rPr>
                <w:rFonts w:ascii="宋体" w:hAnsi="宋体" w:cs="宋体" w:eastAsia="宋体" w:hint="default"/>
                <w:sz w:val="20"/>
                <w:szCs w:val="20"/>
              </w:rPr>
            </w:pPr>
            <w:r>
              <w:rPr>
                <w:rFonts w:ascii="宋体" w:hAnsi="宋体" w:cs="宋体" w:eastAsia="宋体" w:hint="default"/>
                <w:b/>
                <w:bCs/>
                <w:sz w:val="20"/>
                <w:szCs w:val="20"/>
              </w:rPr>
              <w:t>摊销年限</w:t>
            </w:r>
            <w:r>
              <w:rPr>
                <w:rFonts w:ascii="宋体" w:hAnsi="宋体" w:cs="宋体" w:eastAsia="宋体" w:hint="default"/>
                <w:sz w:val="20"/>
                <w:szCs w:val="20"/>
              </w:rPr>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center"/>
              <w:rPr>
                <w:rFonts w:ascii="宋体" w:hAnsi="宋体" w:cs="宋体" w:eastAsia="宋体" w:hint="default"/>
                <w:sz w:val="20"/>
                <w:szCs w:val="20"/>
              </w:rPr>
            </w:pPr>
            <w:r>
              <w:rPr>
                <w:rFonts w:ascii="宋体" w:hAnsi="宋体" w:cs="宋体" w:eastAsia="宋体" w:hint="default"/>
                <w:b/>
                <w:bCs/>
                <w:sz w:val="20"/>
                <w:szCs w:val="20"/>
              </w:rPr>
              <w:t>备注</w:t>
            </w:r>
            <w:r>
              <w:rPr>
                <w:rFonts w:ascii="宋体" w:hAnsi="宋体" w:cs="宋体" w:eastAsia="宋体" w:hint="default"/>
                <w:sz w:val="20"/>
                <w:szCs w:val="20"/>
              </w:rPr>
            </w:r>
          </w:p>
        </w:tc>
      </w:tr>
      <w:tr>
        <w:trPr>
          <w:trHeight w:val="343"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版权金代理费</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2-5</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20"/>
                <w:szCs w:val="20"/>
              </w:rPr>
            </w:pPr>
            <w:r>
              <w:rPr>
                <w:rFonts w:ascii="宋体" w:hAnsi="宋体" w:cs="宋体" w:eastAsia="宋体" w:hint="default"/>
                <w:sz w:val="20"/>
                <w:szCs w:val="20"/>
              </w:rPr>
              <w:t>按照游戏授权运营期</w:t>
            </w:r>
          </w:p>
        </w:tc>
      </w:tr>
      <w:tr>
        <w:trPr>
          <w:trHeight w:val="341"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装修费</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2-5</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按照剩余租赁期</w:t>
            </w:r>
          </w:p>
        </w:tc>
      </w:tr>
      <w:tr>
        <w:trPr>
          <w:trHeight w:val="343"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20"/>
                <w:szCs w:val="20"/>
              </w:rPr>
            </w:pPr>
            <w:r>
              <w:rPr>
                <w:rFonts w:ascii="Times New Roman"/>
                <w:sz w:val="20"/>
              </w:rPr>
              <w:t>2-10</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按照实际受益期</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、职工薪酬</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996" w:firstLine="0"/>
        <w:jc w:val="left"/>
        <w:rPr>
          <w:rFonts w:ascii="宋体" w:hAnsi="宋体" w:cs="宋体" w:eastAsia="宋体" w:hint="default"/>
          <w:sz w:val="18"/>
          <w:szCs w:val="18"/>
        </w:rPr>
      </w:pPr>
      <w:r>
        <w:rPr>
          <w:rFonts w:ascii="宋体" w:hAnsi="宋体" w:cs="宋体" w:eastAsia="宋体" w:hint="default"/>
          <w:sz w:val="18"/>
          <w:szCs w:val="18"/>
        </w:rPr>
        <w:t>本公司职工薪酬包括短期薪酬、离职后福利和辞退福利。</w:t>
      </w:r>
    </w:p>
    <w:p>
      <w:pPr>
        <w:spacing w:line="240" w:lineRule="auto" w:before="0"/>
        <w:rPr>
          <w:rFonts w:ascii="宋体" w:hAnsi="宋体" w:cs="宋体" w:eastAsia="宋体" w:hint="default"/>
          <w:sz w:val="18"/>
          <w:szCs w:val="18"/>
        </w:rPr>
      </w:pPr>
    </w:p>
    <w:p>
      <w:pPr>
        <w:spacing w:before="120"/>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p>
    <w:p>
      <w:pPr>
        <w:pStyle w:val="BodyText"/>
        <w:spacing w:line="259" w:lineRule="auto"/>
        <w:ind w:right="1090" w:firstLine="439"/>
        <w:jc w:val="both"/>
      </w:pPr>
      <w:r>
        <w:rPr>
          <w:spacing w:val="-2"/>
        </w:rPr>
        <w:t>短期薪酬主要包括职工工资、奖金、津贴和补贴、职工福利费、医疗保险费、工伤保险费和生育</w:t>
      </w:r>
      <w:r>
        <w:rPr>
          <w:w w:val="100"/>
        </w:rPr>
        <w:t> </w:t>
      </w:r>
      <w:r>
        <w:rPr>
          <w:spacing w:val="-1"/>
        </w:rPr>
        <w:t>保险费等社会保险费、住房公积金、工会经费和职工教育经费、短期带薪缺勤以及其他短期薪酬等，</w:t>
      </w:r>
      <w:r>
        <w:rPr>
          <w:spacing w:val="-73"/>
        </w:rPr>
        <w:t> </w:t>
      </w:r>
      <w:r>
        <w:rPr>
          <w:spacing w:val="-73"/>
        </w:rPr>
      </w:r>
      <w:r>
        <w:rPr>
          <w:spacing w:val="-2"/>
        </w:rPr>
        <w:t>在职工提供服务的会计期间，将实际发生的短期薪酬确认为负债，并按照受益对象计入当期损益或相</w:t>
      </w:r>
      <w:r>
        <w:rPr>
          <w:spacing w:val="-68"/>
        </w:rPr>
        <w:t> </w:t>
      </w:r>
      <w:r>
        <w:rPr>
          <w:spacing w:val="-68"/>
        </w:rPr>
      </w:r>
      <w:r>
        <w:rPr/>
        <w:t>关资产成本。</w:t>
      </w:r>
    </w:p>
    <w:p>
      <w:pPr>
        <w:spacing w:line="240" w:lineRule="auto" w:before="2"/>
        <w:rPr>
          <w:rFonts w:ascii="宋体" w:hAnsi="宋体" w:cs="宋体" w:eastAsia="宋体" w:hint="default"/>
          <w:sz w:val="24"/>
          <w:szCs w:val="24"/>
        </w:rPr>
      </w:pPr>
    </w:p>
    <w:p>
      <w:pPr>
        <w:spacing w:before="0"/>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sz w:val="21"/>
          <w:szCs w:val="21"/>
        </w:rPr>
      </w:r>
    </w:p>
    <w:p>
      <w:pPr>
        <w:spacing w:line="240" w:lineRule="auto" w:before="11"/>
        <w:rPr>
          <w:rFonts w:ascii="宋体" w:hAnsi="宋体" w:cs="宋体" w:eastAsia="宋体" w:hint="default"/>
          <w:b/>
          <w:bCs/>
          <w:sz w:val="23"/>
          <w:szCs w:val="23"/>
        </w:rPr>
      </w:pPr>
    </w:p>
    <w:p>
      <w:pPr>
        <w:pStyle w:val="BodyText"/>
        <w:spacing w:line="259" w:lineRule="auto"/>
        <w:ind w:right="1130" w:firstLine="439"/>
        <w:jc w:val="both"/>
      </w:pPr>
      <w:r>
        <w:rPr>
          <w:spacing w:val="-2"/>
        </w:rPr>
        <w:t>离职后福利主要包括基本养老保险费、失业保险等，按照公司承担的风险和义务，分类为设定提</w:t>
      </w:r>
      <w:r>
        <w:rPr>
          <w:w w:val="100"/>
        </w:rPr>
        <w:t> </w:t>
      </w:r>
      <w:r>
        <w:rPr>
          <w:spacing w:val="-2"/>
        </w:rPr>
        <w:t>存计划。对于设定提存计划在根据在资产负债表日为换取职工在会计期间提供的服务而向单独主体缴</w:t>
      </w:r>
      <w:r>
        <w:rPr>
          <w:spacing w:val="-73"/>
        </w:rPr>
        <w:t> </w:t>
      </w:r>
      <w:r>
        <w:rPr>
          <w:spacing w:val="-73"/>
        </w:rPr>
      </w:r>
      <w:r>
        <w:rPr/>
        <w:t>存的提存金确认为负债，并按照受益对象计入当期损益或相关资产成本。</w:t>
      </w:r>
    </w:p>
    <w:p>
      <w:pPr>
        <w:spacing w:line="240" w:lineRule="auto" w:before="2"/>
        <w:rPr>
          <w:rFonts w:ascii="宋体" w:hAnsi="宋体" w:cs="宋体" w:eastAsia="宋体" w:hint="default"/>
          <w:sz w:val="24"/>
          <w:szCs w:val="24"/>
        </w:rPr>
      </w:pPr>
    </w:p>
    <w:p>
      <w:pPr>
        <w:spacing w:before="0"/>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p>
    <w:p>
      <w:pPr>
        <w:pStyle w:val="BodyText"/>
        <w:spacing w:line="259" w:lineRule="auto"/>
        <w:ind w:right="1133" w:firstLine="439"/>
        <w:jc w:val="both"/>
      </w:pPr>
      <w:r>
        <w:rPr>
          <w:spacing w:val="-2"/>
        </w:rPr>
        <w:t>辞退福利是由于因解除与职工的劳动关系而给予的补偿产生，在劳动合同解除日日确认辞退福利</w:t>
      </w:r>
      <w:r>
        <w:rPr>
          <w:w w:val="100"/>
        </w:rPr>
        <w:t> </w:t>
      </w:r>
      <w:r>
        <w:rPr/>
        <w:t>产生的职工薪酬负债，并计入当期损益。</w:t>
      </w:r>
    </w:p>
    <w:p>
      <w:pPr>
        <w:spacing w:after="0" w:line="259" w:lineRule="auto"/>
        <w:jc w:val="both"/>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7"/>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p>
    <w:p>
      <w:pPr>
        <w:pStyle w:val="BodyText"/>
        <w:spacing w:line="259" w:lineRule="auto"/>
        <w:ind w:right="1130" w:firstLine="439"/>
        <w:jc w:val="both"/>
      </w:pPr>
      <w:r>
        <w:rPr>
          <w:spacing w:val="-2"/>
        </w:rPr>
        <w:t>当与或有事项相关的业务同时符合以下条件时，本公司将其确认为负债：该义务是本公司承担的</w:t>
      </w:r>
      <w:r>
        <w:rPr>
          <w:w w:val="100"/>
        </w:rPr>
        <w:t> </w:t>
      </w:r>
      <w:r>
        <w:rPr/>
        <w:t>现时义务；该义务的履行很可能导致经济利益流出企业；该义务的金额能够可靠地计量。</w:t>
      </w:r>
    </w:p>
    <w:p>
      <w:pPr>
        <w:pStyle w:val="BodyText"/>
        <w:spacing w:line="432" w:lineRule="exact" w:before="38"/>
        <w:ind w:left="592" w:right="996"/>
        <w:jc w:val="left"/>
      </w:pPr>
      <w:r>
        <w:rPr/>
        <w:t>预计负债的计量方法：</w:t>
      </w:r>
      <w:r>
        <w:rPr>
          <w:spacing w:val="-108"/>
        </w:rPr>
        <w:t> </w:t>
      </w:r>
      <w:r>
        <w:rPr>
          <w:spacing w:val="-108"/>
        </w:rPr>
      </w:r>
      <w:r>
        <w:rPr/>
        <w:t>本公司预计负债按履行相关现时义务所需的支出的最佳估计数进行初始计量。</w:t>
      </w:r>
      <w:r>
        <w:rPr>
          <w:w w:val="100"/>
        </w:rPr>
        <w:t> </w:t>
      </w:r>
      <w:r>
        <w:rPr>
          <w:spacing w:val="-5"/>
        </w:rPr>
        <w:t>本公司在确定最佳估计数时，综合考虑与或有事项有关的风险、不确定性和货币时间价值等因素。</w:t>
      </w:r>
    </w:p>
    <w:p>
      <w:pPr>
        <w:pStyle w:val="BodyText"/>
        <w:spacing w:line="257" w:lineRule="exact"/>
        <w:ind w:right="996"/>
        <w:jc w:val="left"/>
      </w:pPr>
      <w:r>
        <w:rPr/>
        <w:t>对于货币时间价值影响重大的，通过对相关未来现金流出进行折现后确定最佳估计数。</w:t>
      </w:r>
    </w:p>
    <w:p>
      <w:pPr>
        <w:pStyle w:val="BodyText"/>
        <w:spacing w:line="432" w:lineRule="exact" w:before="55"/>
        <w:ind w:left="592" w:right="996"/>
        <w:jc w:val="left"/>
      </w:pPr>
      <w:r>
        <w:rPr/>
        <w:t>最佳估计数分别以下情况处理：</w:t>
      </w:r>
      <w:r>
        <w:rPr>
          <w:w w:val="100"/>
        </w:rPr>
        <w:t> </w:t>
      </w:r>
      <w:r>
        <w:rPr>
          <w:spacing w:val="-2"/>
        </w:rPr>
        <w:t>所需支出存在一个连续范围（或区间），且该范围内各种结果发生的可能性相同的，则最佳估计</w:t>
      </w:r>
    </w:p>
    <w:p>
      <w:pPr>
        <w:pStyle w:val="BodyText"/>
        <w:spacing w:line="257" w:lineRule="exact"/>
        <w:ind w:right="996"/>
        <w:jc w:val="left"/>
      </w:pPr>
      <w:r>
        <w:rPr/>
        <w:t>数按照该范围的中间值即上下限金额的平均数确定。</w:t>
      </w:r>
    </w:p>
    <w:p>
      <w:pPr>
        <w:pStyle w:val="BodyText"/>
        <w:spacing w:line="259" w:lineRule="auto" w:before="144"/>
        <w:ind w:right="1128" w:firstLine="439"/>
        <w:jc w:val="both"/>
      </w:pPr>
      <w:r>
        <w:rPr>
          <w:spacing w:val="-2"/>
        </w:rPr>
        <w:t>所需支出不存在一个连续范围（或区间），或虽然存在一个连续范围但该范围内各种结果发生的</w:t>
      </w:r>
      <w:r>
        <w:rPr>
          <w:w w:val="100"/>
        </w:rPr>
        <w:t> </w:t>
      </w:r>
      <w:r>
        <w:rPr>
          <w:spacing w:val="-2"/>
        </w:rPr>
        <w:t>可能性不相同的，如或有事项涉及单个项目的，则最佳估计数按照最可能发生金额确定；如或有事项</w:t>
      </w:r>
      <w:r>
        <w:rPr>
          <w:spacing w:val="-67"/>
        </w:rPr>
        <w:t> </w:t>
      </w:r>
      <w:r>
        <w:rPr>
          <w:spacing w:val="-67"/>
        </w:rPr>
      </w:r>
      <w:r>
        <w:rPr/>
        <w:t>涉及多个项目的，则最佳估计数按各种可能结果及相关概率计算确定。</w:t>
      </w:r>
    </w:p>
    <w:p>
      <w:pPr>
        <w:pStyle w:val="BodyText"/>
        <w:spacing w:line="259" w:lineRule="auto" w:before="126"/>
        <w:ind w:right="1142" w:firstLine="439"/>
        <w:jc w:val="both"/>
      </w:pPr>
      <w:r>
        <w:rPr>
          <w:spacing w:val="2"/>
        </w:rPr>
        <w:t>本公司清偿预计负债所需支出全部或部分预期由第三方补偿的，补偿金额在基本确定能够收到</w:t>
      </w:r>
      <w:r>
        <w:rPr>
          <w:w w:val="100"/>
        </w:rPr>
        <w:t> </w:t>
      </w:r>
      <w:r>
        <w:rPr/>
        <w:t>时，作为资产单独确认，确认的补偿金额不超过预计负债的账面价值。</w:t>
      </w:r>
    </w:p>
    <w:p>
      <w:pPr>
        <w:spacing w:line="240" w:lineRule="auto" w:before="2"/>
        <w:rPr>
          <w:rFonts w:ascii="宋体" w:hAnsi="宋体" w:cs="宋体" w:eastAsia="宋体" w:hint="default"/>
          <w:sz w:val="24"/>
          <w:szCs w:val="24"/>
        </w:rPr>
      </w:pPr>
    </w:p>
    <w:p>
      <w:pPr>
        <w:spacing w:before="0"/>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、股份支付</w:t>
      </w:r>
      <w:r>
        <w:rPr>
          <w:rFonts w:ascii="宋体" w:hAnsi="宋体" w:cs="宋体" w:eastAsia="宋体" w:hint="default"/>
          <w:sz w:val="21"/>
          <w:szCs w:val="21"/>
        </w:rPr>
      </w:r>
    </w:p>
    <w:p>
      <w:pPr>
        <w:spacing w:line="240" w:lineRule="auto" w:before="11"/>
        <w:rPr>
          <w:rFonts w:ascii="宋体" w:hAnsi="宋体" w:cs="宋体" w:eastAsia="宋体" w:hint="default"/>
          <w:b/>
          <w:bCs/>
          <w:sz w:val="23"/>
          <w:szCs w:val="23"/>
        </w:rPr>
      </w:pPr>
    </w:p>
    <w:p>
      <w:pPr>
        <w:pStyle w:val="BodyText"/>
        <w:spacing w:line="259" w:lineRule="auto"/>
        <w:ind w:right="1090" w:firstLine="439"/>
        <w:jc w:val="right"/>
      </w:pPr>
      <w:r>
        <w:rPr>
          <w:spacing w:val="2"/>
        </w:rPr>
        <w:t>用以换取职工提供服务的以权益结算的股份支付，以授予职工权益工具在授予日的公允价值计</w:t>
      </w:r>
      <w:r>
        <w:rPr>
          <w:w w:val="100"/>
        </w:rPr>
        <w:t> </w:t>
      </w:r>
      <w:r>
        <w:rPr>
          <w:spacing w:val="-2"/>
        </w:rPr>
        <w:t>量。该公允价值的金额在完成等待期内的服务或达到规定业绩条件才可行权的情况下，在等待期内以</w:t>
      </w:r>
      <w:r>
        <w:rPr>
          <w:w w:val="100"/>
        </w:rPr>
        <w:t> </w:t>
      </w:r>
      <w:r>
        <w:rPr>
          <w:spacing w:val="-1"/>
        </w:rPr>
        <w:t>对可行权权益工具数量的最佳估计为基础，按直线法计算计入相关成本或费用，相应增加资本公积。</w:t>
      </w:r>
    </w:p>
    <w:p>
      <w:pPr>
        <w:pStyle w:val="BodyText"/>
        <w:spacing w:line="259" w:lineRule="auto" w:before="126"/>
        <w:ind w:right="1090" w:firstLine="439"/>
        <w:jc w:val="both"/>
      </w:pPr>
      <w:r>
        <w:rPr>
          <w:spacing w:val="-2"/>
        </w:rPr>
        <w:t>以现金结算的股份支付，按照本公司承担的以股份或其他权益工具为基础确定的负债的公允价值</w:t>
      </w:r>
      <w:r>
        <w:rPr>
          <w:w w:val="100"/>
        </w:rPr>
        <w:t> </w:t>
      </w:r>
      <w:r>
        <w:rPr>
          <w:spacing w:val="-1"/>
        </w:rPr>
        <w:t>计量。如授予后立即可行权，在授予日以承担负债的公允价值计入相关成本或费用，相应增加负债；</w:t>
      </w:r>
      <w:r>
        <w:rPr>
          <w:spacing w:val="-73"/>
        </w:rPr>
        <w:t> </w:t>
      </w:r>
      <w:r>
        <w:rPr>
          <w:spacing w:val="-73"/>
        </w:rPr>
      </w:r>
      <w:r>
        <w:rPr>
          <w:spacing w:val="-2"/>
        </w:rPr>
        <w:t>如需完成等待期内的服务或达到规定业绩条件以后才可行权，在等待期的每个资产负债表日，以对可</w:t>
      </w:r>
      <w:r>
        <w:rPr>
          <w:spacing w:val="-70"/>
        </w:rPr>
        <w:t> </w:t>
      </w:r>
      <w:r>
        <w:rPr>
          <w:spacing w:val="-70"/>
        </w:rPr>
      </w:r>
      <w:r>
        <w:rPr>
          <w:spacing w:val="-2"/>
        </w:rPr>
        <w:t>行权情况的最佳估计为基础，按照本公司承担负债的公允价值金额，将当期取得的服务计入成本或费</w:t>
      </w:r>
      <w:r>
        <w:rPr>
          <w:spacing w:val="-68"/>
        </w:rPr>
        <w:t> </w:t>
      </w:r>
      <w:r>
        <w:rPr>
          <w:spacing w:val="-68"/>
        </w:rPr>
      </w:r>
      <w:r>
        <w:rPr/>
        <w:t>用，相应调整负债。</w:t>
      </w:r>
    </w:p>
    <w:p>
      <w:pPr>
        <w:pStyle w:val="BodyText"/>
        <w:spacing w:line="259" w:lineRule="auto" w:before="126"/>
        <w:ind w:right="996" w:firstLine="439"/>
        <w:jc w:val="left"/>
      </w:pPr>
      <w:r>
        <w:rPr>
          <w:spacing w:val="-2"/>
        </w:rPr>
        <w:t>在相关负债结算前的每个资产负债表日以及结算日，对负债的公允价值重新计量，其变动计入当</w:t>
      </w:r>
      <w:r>
        <w:rPr>
          <w:w w:val="100"/>
        </w:rPr>
        <w:t> </w:t>
      </w:r>
      <w:r>
        <w:rPr/>
        <w:t>期损益。</w:t>
      </w:r>
      <w:r>
        <w:rPr>
          <w:spacing w:val="-107"/>
        </w:rPr>
        <w:t> </w:t>
      </w:r>
      <w:r>
        <w:rPr>
          <w:spacing w:val="-2"/>
        </w:rPr>
        <w:t>本公司在等待期内取消所授予权益工具的（因未满足可行权条件而被取消的除外），作为加速行权处</w:t>
      </w:r>
      <w:r>
        <w:rPr>
          <w:spacing w:val="-71"/>
        </w:rPr>
        <w:t> </w:t>
      </w:r>
      <w:r>
        <w:rPr>
          <w:spacing w:val="-71"/>
        </w:rPr>
      </w:r>
      <w:r>
        <w:rPr>
          <w:spacing w:val="-2"/>
        </w:rPr>
        <w:t>理，即视同剩余等待期内的股权支付计划已经全部满足可行权条件，在取消所授予权益工具的当期确</w:t>
      </w:r>
      <w:r>
        <w:rPr>
          <w:spacing w:val="-70"/>
        </w:rPr>
        <w:t> </w:t>
      </w:r>
      <w:r>
        <w:rPr>
          <w:spacing w:val="-70"/>
        </w:rPr>
      </w:r>
      <w:r>
        <w:rPr/>
        <w:t>认剩余等待期内的所有费用。</w:t>
      </w:r>
    </w:p>
    <w:p>
      <w:pPr>
        <w:spacing w:line="240" w:lineRule="auto" w:before="2"/>
        <w:rPr>
          <w:rFonts w:ascii="宋体" w:hAnsi="宋体" w:cs="宋体" w:eastAsia="宋体" w:hint="default"/>
          <w:sz w:val="24"/>
          <w:szCs w:val="24"/>
        </w:rPr>
      </w:pPr>
    </w:p>
    <w:p>
      <w:pPr>
        <w:spacing w:before="0"/>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996"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公司需遵守《深圳证券交易所创业板行业信息披露指引第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w:t>
      </w:r>
    </w:p>
    <w:p>
      <w:pPr>
        <w:pStyle w:val="BodyText"/>
        <w:spacing w:line="259" w:lineRule="auto" w:before="153"/>
        <w:ind w:right="1128" w:firstLine="439"/>
        <w:jc w:val="both"/>
      </w:pPr>
      <w:r>
        <w:rPr>
          <w:spacing w:val="-2"/>
        </w:rPr>
        <w:t>本公司的营业收入主要包括网络游戏收入（含广告代理收入）、云服务收入、提供劳务收入和让</w:t>
      </w:r>
      <w:r>
        <w:rPr>
          <w:w w:val="100"/>
        </w:rPr>
        <w:t> </w:t>
      </w:r>
      <w:r>
        <w:rPr/>
        <w:t>渡资产使用权收入。收入确认政策如下：</w:t>
      </w:r>
    </w:p>
    <w:p>
      <w:pPr>
        <w:spacing w:after="0" w:line="259" w:lineRule="auto"/>
        <w:jc w:val="both"/>
        <w:sectPr>
          <w:pgSz w:w="11910" w:h="16840"/>
          <w:pgMar w:header="877" w:footer="980" w:top="1060" w:bottom="1160" w:left="980" w:right="0"/>
        </w:sectPr>
      </w:pPr>
    </w:p>
    <w:p>
      <w:pPr>
        <w:spacing w:line="240" w:lineRule="auto" w:before="4"/>
        <w:rPr>
          <w:rFonts w:ascii="宋体" w:hAnsi="宋体" w:cs="宋体" w:eastAsia="宋体" w:hint="default"/>
          <w:sz w:val="24"/>
          <w:szCs w:val="24"/>
        </w:rPr>
      </w:pPr>
    </w:p>
    <w:p>
      <w:pPr>
        <w:pStyle w:val="BodyText"/>
        <w:spacing w:line="247" w:lineRule="auto" w:before="32"/>
        <w:ind w:right="1133" w:firstLine="439"/>
        <w:jc w:val="both"/>
      </w:pPr>
      <w:r>
        <w:rPr/>
        <w:t>（</w:t>
      </w:r>
      <w:r>
        <w:rPr>
          <w:rFonts w:ascii="Times New Roman" w:hAnsi="Times New Roman" w:cs="Times New Roman" w:eastAsia="Times New Roman" w:hint="default"/>
        </w:rPr>
        <w:t>1</w:t>
      </w:r>
      <w:r>
        <w:rPr/>
        <w:t>）网络游戏收入主要包括游戏运营和游戏著作权、运营权转让、广告代理，游戏运营模式主</w:t>
      </w:r>
      <w:r>
        <w:rPr>
          <w:w w:val="100"/>
        </w:rPr>
        <w:t> </w:t>
      </w:r>
      <w:r>
        <w:rPr/>
        <w:t>要包括官方运营（包括公司自主运营、与游戏平台联合运营）和分服运营。</w:t>
      </w:r>
    </w:p>
    <w:p>
      <w:pPr>
        <w:pStyle w:val="BodyText"/>
        <w:spacing w:line="240" w:lineRule="auto" w:before="137"/>
        <w:ind w:left="592" w:right="996"/>
        <w:jc w:val="left"/>
      </w:pPr>
      <w:r>
        <w:rPr>
          <w:rFonts w:ascii="Times New Roman" w:hAnsi="Times New Roman" w:cs="Times New Roman" w:eastAsia="Times New Roman" w:hint="default"/>
        </w:rPr>
        <w:t>1</w:t>
      </w:r>
      <w:r>
        <w:rPr/>
        <w:t>）官方运营收入的确认原则、方式和流程</w:t>
      </w:r>
    </w:p>
    <w:p>
      <w:pPr>
        <w:pStyle w:val="BodyText"/>
        <w:spacing w:line="432" w:lineRule="exact" w:before="39"/>
        <w:ind w:left="592" w:right="996"/>
        <w:jc w:val="left"/>
      </w:pPr>
      <w:r>
        <w:rPr/>
        <w:t>①公司自主运营收入的确认原则、方式和流程</w:t>
      </w:r>
      <w:r>
        <w:rPr>
          <w:w w:val="100"/>
        </w:rPr>
        <w:t> </w:t>
      </w:r>
      <w:r>
        <w:rPr>
          <w:spacing w:val="-2"/>
        </w:rPr>
        <w:t>公司是通过游戏玩家在网络游戏中购买虚拟游戏装备、某些特殊游戏功能模块或为游戏在线时间</w:t>
      </w:r>
    </w:p>
    <w:p>
      <w:pPr>
        <w:pStyle w:val="BodyText"/>
        <w:spacing w:line="257" w:lineRule="exact"/>
        <w:ind w:right="0"/>
        <w:jc w:val="both"/>
      </w:pPr>
      <w:r>
        <w:rPr>
          <w:spacing w:val="2"/>
        </w:rPr>
        <w:t>支付费用的方式取得在线网络游戏运营收入。游戏玩家可以从公司的游戏点卡经销商处购得游戏点</w:t>
      </w:r>
    </w:p>
    <w:p>
      <w:pPr>
        <w:pStyle w:val="BodyText"/>
        <w:spacing w:line="259" w:lineRule="auto" w:before="24"/>
        <w:ind w:right="1129"/>
        <w:jc w:val="both"/>
      </w:pPr>
      <w:r>
        <w:rPr>
          <w:spacing w:val="-2"/>
        </w:rPr>
        <w:t>卡，也可以从公司的官方运营网站上通过银行借记卡、信用卡、手机支付以及银行转账等方式购得游</w:t>
      </w:r>
      <w:r>
        <w:rPr>
          <w:spacing w:val="-70"/>
        </w:rPr>
        <w:t> </w:t>
      </w:r>
      <w:r>
        <w:rPr>
          <w:spacing w:val="-70"/>
        </w:rPr>
      </w:r>
      <w:r>
        <w:rPr>
          <w:spacing w:val="-2"/>
        </w:rPr>
        <w:t>戏点卡。游戏玩家可以使用上述游戏点卡进入公司的运营网络游戏中进行消费（如购买游戏虚拟装备</w:t>
      </w:r>
      <w:r>
        <w:rPr>
          <w:spacing w:val="-70"/>
        </w:rPr>
        <w:t> </w:t>
      </w:r>
      <w:r>
        <w:rPr>
          <w:spacing w:val="-70"/>
        </w:rPr>
      </w:r>
      <w:r>
        <w:rPr/>
        <w:t>及其他特殊游戏功能体验或购买游戏在线时间等）。</w:t>
      </w:r>
    </w:p>
    <w:p>
      <w:pPr>
        <w:pStyle w:val="BodyText"/>
        <w:spacing w:line="259" w:lineRule="auto" w:before="126"/>
        <w:ind w:right="1133" w:firstLine="439"/>
        <w:jc w:val="both"/>
      </w:pPr>
      <w:r>
        <w:rPr>
          <w:spacing w:val="-2"/>
        </w:rPr>
        <w:t>公司在道具收费模式下，游戏玩家可以免费体验公司在线运营的网络游戏的基本功能，只有游戏</w:t>
      </w:r>
      <w:r>
        <w:rPr>
          <w:w w:val="100"/>
        </w:rPr>
        <w:t> </w:t>
      </w:r>
      <w:r>
        <w:rPr>
          <w:spacing w:val="-2"/>
        </w:rPr>
        <w:t>玩家购买游戏中的虚拟道具时才需要支付费用。销售游戏虚拟道具所取得的收入在游戏玩家实际使用</w:t>
      </w:r>
      <w:r>
        <w:rPr>
          <w:spacing w:val="-73"/>
        </w:rPr>
        <w:t> </w:t>
      </w:r>
      <w:r>
        <w:rPr>
          <w:spacing w:val="-73"/>
        </w:rPr>
      </w:r>
      <w:r>
        <w:rPr/>
        <w:t>虚拟货币购买道具时予以确认。其收入确认流程如下：</w:t>
      </w:r>
    </w:p>
    <w:p>
      <w:pPr>
        <w:spacing w:line="240" w:lineRule="auto" w:before="12"/>
        <w:rPr>
          <w:rFonts w:ascii="宋体" w:hAnsi="宋体" w:cs="宋体" w:eastAsia="宋体" w:hint="default"/>
          <w:sz w:val="5"/>
          <w:szCs w:val="5"/>
        </w:rPr>
      </w:pPr>
    </w:p>
    <w:p>
      <w:pPr>
        <w:spacing w:line="4577" w:lineRule="exact"/>
        <w:ind w:left="554" w:right="0" w:firstLine="0"/>
        <w:rPr>
          <w:rFonts w:ascii="宋体" w:hAnsi="宋体" w:cs="宋体" w:eastAsia="宋体" w:hint="default"/>
          <w:sz w:val="20"/>
          <w:szCs w:val="20"/>
        </w:rPr>
      </w:pPr>
      <w:r>
        <w:rPr>
          <w:rFonts w:ascii="宋体" w:hAnsi="宋体" w:cs="宋体" w:eastAsia="宋体" w:hint="default"/>
          <w:position w:val="-91"/>
          <w:sz w:val="20"/>
          <w:szCs w:val="20"/>
        </w:rPr>
        <w:drawing>
          <wp:inline distT="0" distB="0" distL="0" distR="0">
            <wp:extent cx="4946920" cy="2906553"/>
            <wp:effectExtent l="0" t="0" r="0" b="0"/>
            <wp:docPr id="7" name="image6.jpeg" descr=""/>
            <wp:cNvGraphicFramePr>
              <a:graphicFrameLocks noChangeAspect="1"/>
            </wp:cNvGraphicFramePr>
            <a:graphic>
              <a:graphicData uri="http://schemas.openxmlformats.org/drawingml/2006/picture">
                <pic:pic>
                  <pic:nvPicPr>
                    <pic:cNvPr id="8" name="image6.jpeg"/>
                    <pic:cNvPicPr/>
                  </pic:nvPicPr>
                  <pic:blipFill>
                    <a:blip r:embed="rId32" cstate="print"/>
                    <a:stretch>
                      <a:fillRect/>
                    </a:stretch>
                  </pic:blipFill>
                  <pic:spPr>
                    <a:xfrm>
                      <a:off x="0" y="0"/>
                      <a:ext cx="4946920" cy="2906553"/>
                    </a:xfrm>
                    <a:prstGeom prst="rect">
                      <a:avLst/>
                    </a:prstGeom>
                  </pic:spPr>
                </pic:pic>
              </a:graphicData>
            </a:graphic>
          </wp:inline>
        </w:drawing>
      </w:r>
      <w:r>
        <w:rPr>
          <w:rFonts w:ascii="宋体" w:hAnsi="宋体" w:cs="宋体" w:eastAsia="宋体" w:hint="default"/>
          <w:position w:val="-91"/>
          <w:sz w:val="20"/>
          <w:szCs w:val="20"/>
        </w:rPr>
      </w:r>
    </w:p>
    <w:p>
      <w:pPr>
        <w:pStyle w:val="BodyText"/>
        <w:spacing w:line="340" w:lineRule="auto" w:before="152"/>
        <w:ind w:left="592" w:right="99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3"/>
        </w:rPr>
        <w:t> </w:t>
      </w:r>
      <w:r>
        <w:rPr/>
        <w:t>与游戏平台联合运营收入的确认原则、方式和流程：</w:t>
      </w:r>
      <w:r>
        <w:rPr>
          <w:w w:val="100"/>
        </w:rPr>
        <w:t> </w:t>
      </w:r>
      <w:r>
        <w:rPr>
          <w:spacing w:val="-2"/>
        </w:rPr>
        <w:t>公司与多家大型网络游戏平台签订合作运营网络游戏协议，其玩家通过平台的宣传了解公司游戏</w:t>
      </w:r>
    </w:p>
    <w:p>
      <w:pPr>
        <w:pStyle w:val="BodyText"/>
        <w:spacing w:line="220" w:lineRule="exact"/>
        <w:ind w:right="0"/>
        <w:jc w:val="both"/>
      </w:pPr>
      <w:r>
        <w:rPr/>
        <w:t>产品，直接通过平台提供的游戏链接下载游戏客户端，注册后进入游戏。游戏用户通过购买平台发行</w:t>
      </w:r>
    </w:p>
    <w:p>
      <w:pPr>
        <w:pStyle w:val="BodyText"/>
        <w:spacing w:line="259" w:lineRule="auto" w:before="24"/>
        <w:ind w:right="1130"/>
        <w:jc w:val="both"/>
      </w:pPr>
      <w:r>
        <w:rPr>
          <w:spacing w:val="-2"/>
        </w:rPr>
        <w:t>的点卡充值到账户中兑换成虚拟货币，在游戏中购买道具等虚拟物品。虽然游戏玩家购买的是平台发</w:t>
      </w:r>
      <w:r>
        <w:rPr>
          <w:spacing w:val="-70"/>
        </w:rPr>
        <w:t> </w:t>
      </w:r>
      <w:r>
        <w:rPr>
          <w:spacing w:val="-70"/>
        </w:rPr>
      </w:r>
      <w:r>
        <w:rPr>
          <w:spacing w:val="-2"/>
        </w:rPr>
        <w:t>行的点卡，并通过平台的链接进入到游戏，但是游戏的服务器由公司提供，游戏的维护、升级、客户</w:t>
      </w:r>
      <w:r>
        <w:rPr>
          <w:spacing w:val="-71"/>
        </w:rPr>
        <w:t> </w:t>
      </w:r>
      <w:r>
        <w:rPr>
          <w:spacing w:val="-71"/>
        </w:rPr>
      </w:r>
      <w:r>
        <w:rPr>
          <w:spacing w:val="2"/>
        </w:rPr>
        <w:t>服务等仍由公司负责。网络游戏平台将其在合作运营游戏中取得的收入按协议约定的比例分成给公</w:t>
      </w:r>
      <w:r>
        <w:rPr>
          <w:spacing w:val="-43"/>
        </w:rPr>
        <w:t> </w:t>
      </w:r>
      <w:r>
        <w:rPr>
          <w:spacing w:val="-43"/>
        </w:rPr>
      </w:r>
      <w:r>
        <w:rPr/>
        <w:t>司，在双方核对数据确认无误后，公司确认营业收入。其收入确认流程如下：</w:t>
      </w:r>
    </w:p>
    <w:p>
      <w:pPr>
        <w:spacing w:after="0" w:line="259" w:lineRule="auto"/>
        <w:jc w:val="both"/>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p>
      <w:pPr>
        <w:spacing w:line="4620" w:lineRule="exact"/>
        <w:ind w:left="554" w:right="0" w:firstLine="0"/>
        <w:rPr>
          <w:rFonts w:ascii="宋体" w:hAnsi="宋体" w:cs="宋体" w:eastAsia="宋体" w:hint="default"/>
          <w:sz w:val="20"/>
          <w:szCs w:val="20"/>
        </w:rPr>
      </w:pPr>
      <w:r>
        <w:rPr>
          <w:rFonts w:ascii="宋体" w:hAnsi="宋体" w:cs="宋体" w:eastAsia="宋体" w:hint="default"/>
          <w:position w:val="-91"/>
          <w:sz w:val="20"/>
          <w:szCs w:val="20"/>
        </w:rPr>
        <w:drawing>
          <wp:inline distT="0" distB="0" distL="0" distR="0">
            <wp:extent cx="5305478" cy="2934080"/>
            <wp:effectExtent l="0" t="0" r="0" b="0"/>
            <wp:docPr id="9" name="image7.jpeg" descr=""/>
            <wp:cNvGraphicFramePr>
              <a:graphicFrameLocks noChangeAspect="1"/>
            </wp:cNvGraphicFramePr>
            <a:graphic>
              <a:graphicData uri="http://schemas.openxmlformats.org/drawingml/2006/picture">
                <pic:pic>
                  <pic:nvPicPr>
                    <pic:cNvPr id="10" name="image7.jpeg"/>
                    <pic:cNvPicPr/>
                  </pic:nvPicPr>
                  <pic:blipFill>
                    <a:blip r:embed="rId33" cstate="print"/>
                    <a:stretch>
                      <a:fillRect/>
                    </a:stretch>
                  </pic:blipFill>
                  <pic:spPr>
                    <a:xfrm>
                      <a:off x="0" y="0"/>
                      <a:ext cx="5305478" cy="2934080"/>
                    </a:xfrm>
                    <a:prstGeom prst="rect">
                      <a:avLst/>
                    </a:prstGeom>
                  </pic:spPr>
                </pic:pic>
              </a:graphicData>
            </a:graphic>
          </wp:inline>
        </w:drawing>
      </w:r>
      <w:r>
        <w:rPr>
          <w:rFonts w:ascii="宋体" w:hAnsi="宋体" w:cs="宋体" w:eastAsia="宋体" w:hint="default"/>
          <w:position w:val="-91"/>
          <w:sz w:val="20"/>
          <w:szCs w:val="20"/>
        </w:rPr>
      </w:r>
    </w:p>
    <w:p>
      <w:pPr>
        <w:spacing w:line="240" w:lineRule="auto" w:before="8"/>
        <w:rPr>
          <w:rFonts w:ascii="宋体" w:hAnsi="宋体" w:cs="宋体" w:eastAsia="宋体" w:hint="default"/>
          <w:sz w:val="16"/>
          <w:szCs w:val="16"/>
        </w:rPr>
      </w:pPr>
    </w:p>
    <w:p>
      <w:pPr>
        <w:pStyle w:val="BodyText"/>
        <w:spacing w:line="340" w:lineRule="auto" w:before="32"/>
        <w:ind w:left="592" w:right="996"/>
        <w:jc w:val="left"/>
      </w:pPr>
      <w:r>
        <w:rPr>
          <w:rFonts w:ascii="Times New Roman" w:hAnsi="Times New Roman" w:cs="Times New Roman" w:eastAsia="Times New Roman" w:hint="default"/>
        </w:rPr>
        <w:t>2</w:t>
      </w:r>
      <w:r>
        <w:rPr/>
        <w:t>）分服运营服务收入的确认原则、方式和流程</w:t>
      </w:r>
      <w:r>
        <w:rPr>
          <w:w w:val="100"/>
        </w:rPr>
        <w:t> </w:t>
      </w:r>
      <w:r>
        <w:rPr>
          <w:spacing w:val="-2"/>
        </w:rPr>
        <w:t>公司与分服商签订合作运营协议，由公司为其提供约定的后续服务，分服商将其在合作运营游戏</w:t>
      </w:r>
    </w:p>
    <w:p>
      <w:pPr>
        <w:pStyle w:val="BodyText"/>
        <w:spacing w:line="220" w:lineRule="exact"/>
        <w:ind w:right="996"/>
        <w:jc w:val="left"/>
      </w:pPr>
      <w:r>
        <w:rPr/>
        <w:t>中取得的收入按协议约定的比例分成给公司，在双方核对数据确认无误后，公司确认营业收入。其收</w:t>
      </w:r>
    </w:p>
    <w:p>
      <w:pPr>
        <w:pStyle w:val="BodyText"/>
        <w:spacing w:line="240" w:lineRule="auto" w:before="24"/>
        <w:ind w:right="996"/>
        <w:jc w:val="left"/>
      </w:pPr>
      <w:r>
        <w:rPr/>
        <w:t>入确认流程如下：</w:t>
      </w:r>
    </w:p>
    <w:p>
      <w:pPr>
        <w:spacing w:line="240" w:lineRule="auto" w:before="10"/>
        <w:rPr>
          <w:rFonts w:ascii="宋体" w:hAnsi="宋体" w:cs="宋体" w:eastAsia="宋体" w:hint="default"/>
          <w:sz w:val="21"/>
          <w:szCs w:val="21"/>
        </w:rPr>
      </w:pPr>
    </w:p>
    <w:p>
      <w:pPr>
        <w:spacing w:line="4089" w:lineRule="exact"/>
        <w:ind w:left="554" w:right="0" w:firstLine="0"/>
        <w:rPr>
          <w:rFonts w:ascii="宋体" w:hAnsi="宋体" w:cs="宋体" w:eastAsia="宋体" w:hint="default"/>
          <w:sz w:val="20"/>
          <w:szCs w:val="20"/>
        </w:rPr>
      </w:pPr>
      <w:r>
        <w:rPr>
          <w:rFonts w:ascii="宋体" w:hAnsi="宋体" w:cs="宋体" w:eastAsia="宋体" w:hint="default"/>
          <w:position w:val="-81"/>
          <w:sz w:val="20"/>
          <w:szCs w:val="20"/>
        </w:rPr>
        <w:drawing>
          <wp:inline distT="0" distB="0" distL="0" distR="0">
            <wp:extent cx="5080491" cy="2596610"/>
            <wp:effectExtent l="0" t="0" r="0" b="0"/>
            <wp:docPr id="11" name="image8.jpeg" descr=""/>
            <wp:cNvGraphicFramePr>
              <a:graphicFrameLocks noChangeAspect="1"/>
            </wp:cNvGraphicFramePr>
            <a:graphic>
              <a:graphicData uri="http://schemas.openxmlformats.org/drawingml/2006/picture">
                <pic:pic>
                  <pic:nvPicPr>
                    <pic:cNvPr id="12" name="image8.jpeg"/>
                    <pic:cNvPicPr/>
                  </pic:nvPicPr>
                  <pic:blipFill>
                    <a:blip r:embed="rId34" cstate="print"/>
                    <a:stretch>
                      <a:fillRect/>
                    </a:stretch>
                  </pic:blipFill>
                  <pic:spPr>
                    <a:xfrm>
                      <a:off x="0" y="0"/>
                      <a:ext cx="5080491" cy="2596610"/>
                    </a:xfrm>
                    <a:prstGeom prst="rect">
                      <a:avLst/>
                    </a:prstGeom>
                  </pic:spPr>
                </pic:pic>
              </a:graphicData>
            </a:graphic>
          </wp:inline>
        </w:drawing>
      </w:r>
      <w:r>
        <w:rPr>
          <w:rFonts w:ascii="宋体" w:hAnsi="宋体" w:cs="宋体" w:eastAsia="宋体" w:hint="default"/>
          <w:position w:val="-81"/>
          <w:sz w:val="20"/>
          <w:szCs w:val="20"/>
        </w:rPr>
      </w:r>
    </w:p>
    <w:p>
      <w:pPr>
        <w:pStyle w:val="BodyText"/>
        <w:spacing w:line="259" w:lineRule="auto" w:before="186"/>
        <w:ind w:right="1133" w:firstLine="439"/>
        <w:jc w:val="both"/>
      </w:pPr>
      <w:r>
        <w:rPr>
          <w:spacing w:val="-2"/>
        </w:rPr>
        <w:t>公司与分服运营商签订合作运营网络游戏协议，由于公司需后续不断提供服务，将一次性收取的</w:t>
      </w:r>
      <w:r>
        <w:rPr>
          <w:w w:val="100"/>
        </w:rPr>
        <w:t> </w:t>
      </w:r>
      <w:r>
        <w:rPr>
          <w:spacing w:val="-2"/>
        </w:rPr>
        <w:t>版权金予以递延并列为其他流动负债项下的递延收益，分别于协议约定的受益期间内对其按直线法摊</w:t>
      </w:r>
      <w:r>
        <w:rPr>
          <w:spacing w:val="-73"/>
        </w:rPr>
        <w:t> </w:t>
      </w:r>
      <w:r>
        <w:rPr>
          <w:spacing w:val="-73"/>
        </w:rPr>
      </w:r>
      <w:r>
        <w:rPr/>
        <w:t>销确认营业收入。</w:t>
      </w:r>
    </w:p>
    <w:p>
      <w:pPr>
        <w:pStyle w:val="BodyText"/>
        <w:spacing w:line="326" w:lineRule="auto" w:before="126"/>
        <w:ind w:left="652" w:right="996" w:hanging="60"/>
        <w:jc w:val="left"/>
      </w:pPr>
      <w:r>
        <w:rPr>
          <w:rFonts w:ascii="Times New Roman" w:hAnsi="Times New Roman" w:cs="Times New Roman" w:eastAsia="Times New Roman" w:hint="default"/>
        </w:rPr>
        <w:t>3</w:t>
      </w:r>
      <w:r>
        <w:rPr/>
        <w:t>）游戏产品著作权、运营权转让收入的确认原则、方式和流程</w:t>
      </w:r>
      <w:r>
        <w:rPr>
          <w:w w:val="100"/>
        </w:rPr>
        <w:t> </w:t>
      </w:r>
      <w:r>
        <w:rPr>
          <w:spacing w:val="-4"/>
        </w:rPr>
        <w:t>公司按照合同条款将游戏产品交付对方后，由于公司不再提供与该款游戏相关的任何服务，同时</w:t>
      </w:r>
    </w:p>
    <w:p>
      <w:pPr>
        <w:pStyle w:val="BodyText"/>
        <w:spacing w:line="233" w:lineRule="exact"/>
        <w:ind w:right="996"/>
        <w:jc w:val="left"/>
      </w:pPr>
      <w:r>
        <w:rPr/>
        <w:t>也不再享有该游戏相关的权益，于对方验收合格后一次性确认营业收入。</w:t>
      </w:r>
    </w:p>
    <w:p>
      <w:pPr>
        <w:pStyle w:val="BodyText"/>
        <w:spacing w:line="432" w:lineRule="auto" w:before="125"/>
        <w:ind w:left="652" w:right="996"/>
        <w:jc w:val="left"/>
      </w:pPr>
      <w:r>
        <w:rPr>
          <w:rFonts w:ascii="Times New Roman" w:hAnsi="Times New Roman" w:cs="Times New Roman" w:eastAsia="Times New Roman" w:hint="default"/>
        </w:rPr>
        <w:t>4</w:t>
      </w:r>
      <w:r>
        <w:rPr/>
        <w:t>）广告代理收入确认原则和方法</w:t>
      </w:r>
      <w:r>
        <w:rPr>
          <w:spacing w:val="-108"/>
        </w:rPr>
        <w:t> </w:t>
      </w:r>
      <w:r>
        <w:rPr>
          <w:spacing w:val="-108"/>
        </w:rPr>
      </w:r>
      <w:r>
        <w:rPr>
          <w:spacing w:val="-3"/>
        </w:rPr>
        <w:t>公司代理百度时代网络技术（北京）有限公司（以下简称</w:t>
      </w:r>
      <w:r>
        <w:rPr>
          <w:rFonts w:ascii="Times New Roman" w:hAnsi="Times New Roman" w:cs="Times New Roman" w:eastAsia="Times New Roman" w:hint="default"/>
          <w:spacing w:val="-3"/>
        </w:rPr>
        <w:t>“</w:t>
      </w:r>
      <w:r>
        <w:rPr>
          <w:spacing w:val="-3"/>
        </w:rPr>
        <w:t>百度网络公司</w:t>
      </w:r>
      <w:r>
        <w:rPr>
          <w:rFonts w:ascii="Times New Roman" w:hAnsi="Times New Roman" w:cs="Times New Roman" w:eastAsia="Times New Roman" w:hint="default"/>
          <w:spacing w:val="-3"/>
        </w:rPr>
        <w:t>”</w:t>
      </w:r>
      <w:r>
        <w:rPr>
          <w:spacing w:val="-3"/>
        </w:rPr>
        <w:t>）的棋牌游戏行业的推</w:t>
      </w:r>
    </w:p>
    <w:p>
      <w:pPr>
        <w:spacing w:after="0" w:line="432" w:lineRule="auto"/>
        <w:jc w:val="left"/>
        <w:sectPr>
          <w:pgSz w:w="11910" w:h="16840"/>
          <w:pgMar w:header="877" w:footer="980" w:top="1060" w:bottom="1160" w:left="980" w:right="0"/>
        </w:sectPr>
      </w:pPr>
    </w:p>
    <w:p>
      <w:pPr>
        <w:spacing w:line="240" w:lineRule="auto" w:before="4"/>
        <w:rPr>
          <w:rFonts w:ascii="宋体" w:hAnsi="宋体" w:cs="宋体" w:eastAsia="宋体" w:hint="default"/>
          <w:sz w:val="24"/>
          <w:szCs w:val="24"/>
        </w:rPr>
      </w:pPr>
    </w:p>
    <w:p>
      <w:pPr>
        <w:pStyle w:val="BodyText"/>
        <w:spacing w:line="259" w:lineRule="auto" w:before="32"/>
        <w:ind w:right="1128"/>
        <w:jc w:val="both"/>
      </w:pPr>
      <w:r>
        <w:rPr>
          <w:spacing w:val="-2"/>
        </w:rPr>
        <w:t>广业务。在该推广业务中，公司作为百度网络公司的分销商，在合同有效期内享受百度网络公司效果</w:t>
      </w:r>
      <w:r>
        <w:rPr>
          <w:spacing w:val="-67"/>
        </w:rPr>
        <w:t> </w:t>
      </w:r>
      <w:r>
        <w:rPr>
          <w:spacing w:val="-67"/>
        </w:rPr>
      </w:r>
      <w:r>
        <w:rPr>
          <w:spacing w:val="-2"/>
        </w:rPr>
        <w:t>类产品（包括搜索类产品、原生竞价类产品、品牌专区类产品）、展示类产品的分销权，根据终端客</w:t>
      </w:r>
      <w:r>
        <w:rPr>
          <w:spacing w:val="-74"/>
        </w:rPr>
        <w:t> </w:t>
      </w:r>
      <w:r>
        <w:rPr>
          <w:spacing w:val="-74"/>
        </w:rPr>
      </w:r>
      <w:r>
        <w:rPr>
          <w:spacing w:val="-2"/>
        </w:rPr>
        <w:t>户的要求完成对客户的百度推广服务。具体为终端推广用户主体资质及推广内容等经过百度审核通过</w:t>
      </w:r>
      <w:r>
        <w:rPr>
          <w:spacing w:val="-73"/>
        </w:rPr>
        <w:t> </w:t>
      </w:r>
      <w:r>
        <w:rPr>
          <w:spacing w:val="-73"/>
        </w:rPr>
      </w:r>
      <w:r>
        <w:rPr>
          <w:spacing w:val="-2"/>
        </w:rPr>
        <w:t>后，客户推广内容开始在百度推广平台上线进行投放，公司对终端客户己完成的推广投放部分对应的</w:t>
      </w:r>
      <w:r>
        <w:rPr>
          <w:spacing w:val="-70"/>
        </w:rPr>
        <w:t> </w:t>
      </w:r>
      <w:r>
        <w:rPr>
          <w:spacing w:val="-70"/>
        </w:rPr>
      </w:r>
      <w:r>
        <w:rPr/>
        <w:t>金额进行收入确认。</w:t>
      </w:r>
    </w:p>
    <w:p>
      <w:pPr>
        <w:pStyle w:val="BodyText"/>
        <w:spacing w:line="348" w:lineRule="auto" w:before="126"/>
        <w:ind w:left="652" w:right="996"/>
        <w:jc w:val="left"/>
      </w:pPr>
      <w:r>
        <w:rPr/>
        <w:t>（</w:t>
      </w:r>
      <w:r>
        <w:rPr>
          <w:rFonts w:ascii="Times New Roman" w:hAnsi="Times New Roman" w:cs="Times New Roman" w:eastAsia="Times New Roman" w:hint="default"/>
        </w:rPr>
        <w:t>2</w:t>
      </w:r>
      <w:r>
        <w:rPr/>
        <w:t>）云服务收入主要包括数据中心机房出租及相关增值服务收入。</w:t>
      </w:r>
      <w:r>
        <w:rPr>
          <w:w w:val="100"/>
        </w:rPr>
        <w:t> </w:t>
      </w:r>
      <w:r>
        <w:rPr>
          <w:rFonts w:ascii="Times New Roman" w:hAnsi="Times New Roman" w:cs="Times New Roman" w:eastAsia="Times New Roman" w:hint="default"/>
          <w:spacing w:val="-4"/>
        </w:rPr>
        <w:t>1</w:t>
      </w:r>
      <w:r>
        <w:rPr>
          <w:spacing w:val="-4"/>
        </w:rPr>
        <w:t>）机房出租收入的确认原则：相关资产已经由承租人使用，根据合同约定的方法确认租金收入。</w:t>
      </w:r>
      <w:r>
        <w:rPr>
          <w:spacing w:val="-46"/>
        </w:rPr>
        <w:t> </w:t>
      </w:r>
      <w:r>
        <w:rPr>
          <w:spacing w:val="-46"/>
        </w:rPr>
      </w:r>
      <w:r>
        <w:rPr/>
        <w:t>具体的收入确认方法为：</w:t>
      </w:r>
      <w:r>
        <w:rPr>
          <w:w w:val="100"/>
        </w:rPr>
        <w:t> </w:t>
      </w:r>
      <w:r>
        <w:rPr>
          <w:spacing w:val="-4"/>
        </w:rPr>
        <w:t>合同约定收取固定租用费的，根据合同约定，按月与客户确认《数据中心月度结算表》，并根据</w:t>
      </w:r>
    </w:p>
    <w:p>
      <w:pPr>
        <w:pStyle w:val="BodyText"/>
        <w:spacing w:line="213" w:lineRule="exact"/>
        <w:ind w:right="0"/>
        <w:jc w:val="both"/>
      </w:pPr>
      <w:r>
        <w:rPr/>
        <w:t>月度结算表开具发票，确认收入。</w:t>
      </w:r>
    </w:p>
    <w:p>
      <w:pPr>
        <w:pStyle w:val="BodyText"/>
        <w:spacing w:line="261" w:lineRule="auto" w:before="144"/>
        <w:ind w:right="1133" w:firstLine="499"/>
        <w:jc w:val="both"/>
      </w:pPr>
      <w:r>
        <w:rPr>
          <w:spacing w:val="-4"/>
        </w:rPr>
        <w:t>合同约定机柜租赁及带宽租赁分成的，按合同约定分成比例，同时取得由运营商确认的结算清单</w:t>
      </w:r>
      <w:r>
        <w:rPr>
          <w:w w:val="100"/>
        </w:rPr>
        <w:t> </w:t>
      </w:r>
      <w:r>
        <w:rPr/>
        <w:t>时确认收入。</w:t>
      </w:r>
    </w:p>
    <w:p>
      <w:pPr>
        <w:spacing w:line="240" w:lineRule="auto" w:before="9"/>
        <w:rPr>
          <w:rFonts w:ascii="宋体" w:hAnsi="宋体" w:cs="宋体" w:eastAsia="宋体" w:hint="default"/>
          <w:sz w:val="18"/>
          <w:szCs w:val="18"/>
        </w:rPr>
      </w:pPr>
    </w:p>
    <w:p>
      <w:pPr>
        <w:pStyle w:val="BodyText"/>
        <w:spacing w:line="340" w:lineRule="auto"/>
        <w:ind w:left="652" w:right="996" w:hanging="60"/>
        <w:jc w:val="left"/>
      </w:pPr>
      <w:r>
        <w:rPr>
          <w:rFonts w:ascii="Times New Roman" w:hAnsi="Times New Roman" w:cs="Times New Roman" w:eastAsia="Times New Roman" w:hint="default"/>
        </w:rPr>
        <w:t>2</w:t>
      </w:r>
      <w:r>
        <w:rPr/>
        <w:t>）增值服务收入</w:t>
      </w:r>
      <w:r>
        <w:rPr>
          <w:spacing w:val="-107"/>
        </w:rPr>
        <w:t> </w:t>
      </w:r>
      <w:r>
        <w:rPr>
          <w:spacing w:val="-107"/>
        </w:rPr>
      </w:r>
      <w:r>
        <w:rPr>
          <w:spacing w:val="-4"/>
        </w:rPr>
        <w:t>本公司数据中心的增值服务收入包括：数据中心运维服务收入、运维管理系统和区块链系统销售</w:t>
      </w:r>
    </w:p>
    <w:p>
      <w:pPr>
        <w:pStyle w:val="BodyText"/>
        <w:spacing w:line="220" w:lineRule="exact"/>
        <w:ind w:right="0"/>
        <w:jc w:val="both"/>
      </w:pPr>
      <w:r>
        <w:rPr/>
        <w:t>收入、带宽及短信销售收入、设备销售收入。其中：</w:t>
      </w:r>
    </w:p>
    <w:p>
      <w:pPr>
        <w:pStyle w:val="BodyText"/>
        <w:spacing w:line="259" w:lineRule="auto" w:before="144"/>
        <w:ind w:right="1131" w:firstLine="499"/>
        <w:jc w:val="both"/>
      </w:pPr>
      <w:r>
        <w:rPr>
          <w:spacing w:val="-4"/>
        </w:rPr>
        <w:t>数据中心运维服务收入确认方法：根据合同约定，按月与客户确认维保清单，即在相关运维服务</w:t>
      </w:r>
      <w:r>
        <w:rPr>
          <w:w w:val="100"/>
        </w:rPr>
        <w:t> </w:t>
      </w:r>
      <w:r>
        <w:rPr/>
        <w:t>已经提供，取得客户对运维服务内容的验收确认单时确认收入。</w:t>
      </w:r>
    </w:p>
    <w:p>
      <w:pPr>
        <w:pStyle w:val="BodyText"/>
        <w:spacing w:line="259" w:lineRule="auto" w:before="126"/>
        <w:ind w:right="1133" w:firstLine="499"/>
        <w:jc w:val="both"/>
      </w:pPr>
      <w:r>
        <w:rPr>
          <w:spacing w:val="-4"/>
          <w:w w:val="100"/>
        </w:rPr>
        <w:t>数据中心运维管理系统和区块链系统销售收入确认方法：合同约定的软件系统使用费用在系统验</w:t>
      </w:r>
      <w:r>
        <w:rPr>
          <w:w w:val="100"/>
        </w:rPr>
        <w:t> </w:t>
      </w:r>
      <w:r>
        <w:rPr/>
        <w:t>收并移交给客户后一次性确认收入，合同约定的售后服务费则在售后服务期间分期确认收入。</w:t>
      </w:r>
    </w:p>
    <w:p>
      <w:pPr>
        <w:pStyle w:val="BodyText"/>
        <w:spacing w:line="259" w:lineRule="auto" w:before="126"/>
        <w:ind w:right="1090" w:firstLine="499"/>
        <w:jc w:val="both"/>
      </w:pPr>
      <w:r>
        <w:rPr>
          <w:spacing w:val="-4"/>
        </w:rPr>
        <w:t>带宽和短信业务销售收入确认方法：带宽流量和短信条数已经由客户消耗及使用，根据带宽流量</w:t>
      </w:r>
      <w:r>
        <w:rPr>
          <w:w w:val="100"/>
        </w:rPr>
        <w:t> </w:t>
      </w:r>
      <w:r>
        <w:rPr>
          <w:spacing w:val="-1"/>
        </w:rPr>
        <w:t>和短信平台监控系统记录的数据，按月与客户确认当月带宽流量和短信发送数量，以双方《对账单》</w:t>
      </w:r>
      <w:r>
        <w:rPr>
          <w:spacing w:val="-73"/>
        </w:rPr>
        <w:t> </w:t>
      </w:r>
      <w:r>
        <w:rPr>
          <w:spacing w:val="-73"/>
        </w:rPr>
      </w:r>
      <w:r>
        <w:rPr/>
        <w:t>上双方认可的结果确认收入。</w:t>
      </w:r>
    </w:p>
    <w:p>
      <w:pPr>
        <w:pStyle w:val="BodyText"/>
        <w:spacing w:line="240" w:lineRule="auto" w:before="126"/>
        <w:ind w:left="652" w:right="996"/>
        <w:jc w:val="left"/>
      </w:pPr>
      <w:r>
        <w:rPr/>
        <w:t>设备销售收入确认方法：在设备交付客户并完成验收后确认收入。</w:t>
      </w:r>
    </w:p>
    <w:p>
      <w:pPr>
        <w:spacing w:line="240" w:lineRule="auto" w:before="6"/>
        <w:rPr>
          <w:rFonts w:ascii="宋体" w:hAnsi="宋体" w:cs="宋体" w:eastAsia="宋体" w:hint="default"/>
          <w:sz w:val="25"/>
          <w:szCs w:val="25"/>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p>
    <w:p>
      <w:pPr>
        <w:pStyle w:val="BodyText"/>
        <w:spacing w:line="259" w:lineRule="auto"/>
        <w:ind w:right="996" w:firstLine="499"/>
        <w:jc w:val="left"/>
      </w:pPr>
      <w:r>
        <w:rPr>
          <w:spacing w:val="-4"/>
        </w:rPr>
        <w:t>本公司的政府补助包括发展专项资金、国家高新技术企业培育资助等。其中，与资产相关的政府</w:t>
      </w:r>
      <w:r>
        <w:rPr>
          <w:w w:val="100"/>
        </w:rPr>
        <w:t> </w:t>
      </w:r>
      <w:r>
        <w:rPr>
          <w:spacing w:val="-5"/>
        </w:rPr>
        <w:t>补助，是指本公司取得的、用于购建或以其他方式形成长期资产的政府补助；与收益相关的政府补助，</w:t>
      </w:r>
      <w:r>
        <w:rPr>
          <w:spacing w:val="-50"/>
        </w:rPr>
        <w:t> </w:t>
      </w:r>
      <w:r>
        <w:rPr>
          <w:spacing w:val="-50"/>
        </w:rPr>
      </w:r>
      <w:r>
        <w:rPr>
          <w:spacing w:val="-2"/>
        </w:rPr>
        <w:t>是指除与资产相关的政府补助之外的政府补助。如果政府文件中未明确规定补助对象，本公司按照上</w:t>
      </w:r>
      <w:r>
        <w:rPr>
          <w:spacing w:val="-70"/>
        </w:rPr>
        <w:t> </w:t>
      </w:r>
      <w:r>
        <w:rPr>
          <w:spacing w:val="-70"/>
        </w:rPr>
      </w:r>
      <w:r>
        <w:rPr/>
        <w:t>述区分原则进行判断，难以区分的，整体归类为与收益相关的政府补助。</w:t>
      </w:r>
    </w:p>
    <w:p>
      <w:pPr>
        <w:pStyle w:val="BodyText"/>
        <w:spacing w:line="259" w:lineRule="auto" w:before="126"/>
        <w:ind w:right="1130" w:firstLine="499"/>
        <w:jc w:val="both"/>
      </w:pPr>
      <w:r>
        <w:rPr>
          <w:spacing w:val="-4"/>
        </w:rPr>
        <w:t>政府补助为货币性资产的，按照实际收到的金额计量，对于按照固定的定额标准拨付的补助，或</w:t>
      </w:r>
      <w:r>
        <w:rPr>
          <w:w w:val="100"/>
        </w:rPr>
        <w:t> </w:t>
      </w:r>
      <w:r>
        <w:rPr>
          <w:spacing w:val="-2"/>
        </w:rPr>
        <w:t>对年末有确凿证据表明能够符合财政扶持政策规定的相关条件且预计能够收到财政扶持资金时，按照</w:t>
      </w:r>
      <w:r>
        <w:rPr>
          <w:spacing w:val="-71"/>
        </w:rPr>
        <w:t> </w:t>
      </w:r>
      <w:r>
        <w:rPr>
          <w:spacing w:val="-71"/>
        </w:rPr>
      </w:r>
      <w:r>
        <w:rPr>
          <w:spacing w:val="-2"/>
        </w:rPr>
        <w:t>应收的金额计量；政府补助为非货币性资产的，按照公允价值计量，公允价值不能可靠取得的，按照</w:t>
      </w:r>
      <w:r>
        <w:rPr>
          <w:spacing w:val="-71"/>
        </w:rPr>
        <w:t> </w:t>
      </w:r>
      <w:r>
        <w:rPr>
          <w:spacing w:val="-71"/>
        </w:rPr>
      </w:r>
      <w:r>
        <w:rPr/>
        <w:t>名义金额</w:t>
      </w:r>
      <w:r>
        <w:rPr>
          <w:rFonts w:ascii="Times New Roman" w:hAnsi="Times New Roman" w:cs="Times New Roman" w:eastAsia="Times New Roman" w:hint="default"/>
        </w:rPr>
        <w:t>(1</w:t>
      </w:r>
      <w:r>
        <w:rPr/>
        <w:t>元</w:t>
      </w:r>
      <w:r>
        <w:rPr>
          <w:rFonts w:ascii="Times New Roman" w:hAnsi="Times New Roman" w:cs="Times New Roman" w:eastAsia="Times New Roman" w:hint="default"/>
        </w:rPr>
        <w:t>)</w:t>
      </w:r>
      <w:r>
        <w:rPr/>
        <w:t>计量。</w:t>
      </w:r>
    </w:p>
    <w:p>
      <w:pPr>
        <w:pStyle w:val="BodyText"/>
        <w:spacing w:line="259" w:lineRule="auto" w:before="108"/>
        <w:ind w:right="1133" w:firstLine="499"/>
        <w:jc w:val="both"/>
      </w:pPr>
      <w:r>
        <w:rPr>
          <w:spacing w:val="-4"/>
        </w:rPr>
        <w:t>与资产相关的政府补助确认为递延收益，确认为递延收益的与资产相关的政府补助，在相关资产</w:t>
      </w:r>
      <w:r>
        <w:rPr>
          <w:w w:val="100"/>
        </w:rPr>
        <w:t> </w:t>
      </w:r>
      <w:r>
        <w:rPr/>
        <w:t>使用寿命内平均分配计入当期损益。</w:t>
      </w:r>
    </w:p>
    <w:p>
      <w:pPr>
        <w:pStyle w:val="BodyText"/>
        <w:spacing w:line="259" w:lineRule="auto" w:before="124"/>
        <w:ind w:right="1133" w:firstLine="499"/>
        <w:jc w:val="both"/>
      </w:pPr>
      <w:r>
        <w:rPr>
          <w:spacing w:val="-4"/>
        </w:rPr>
        <w:t>相关资产在使用寿命结束前被出售、转让、报废或发生毁损的，将尚未分配的相关递延收益余额</w:t>
      </w:r>
      <w:r>
        <w:rPr>
          <w:w w:val="100"/>
        </w:rPr>
        <w:t> </w:t>
      </w:r>
      <w:r>
        <w:rPr/>
        <w:t>转入资产处置当期的损益。</w:t>
      </w:r>
    </w:p>
    <w:p>
      <w:pPr>
        <w:spacing w:after="0" w:line="259" w:lineRule="auto"/>
        <w:jc w:val="both"/>
        <w:sectPr>
          <w:pgSz w:w="11910" w:h="16840"/>
          <w:pgMar w:header="877" w:footer="980" w:top="1060" w:bottom="1160" w:left="980" w:right="0"/>
        </w:sectPr>
      </w:pPr>
    </w:p>
    <w:p>
      <w:pPr>
        <w:spacing w:line="240" w:lineRule="auto" w:before="4"/>
        <w:rPr>
          <w:rFonts w:ascii="宋体" w:hAnsi="宋体" w:cs="宋体" w:eastAsia="宋体" w:hint="default"/>
          <w:sz w:val="24"/>
          <w:szCs w:val="24"/>
        </w:rPr>
      </w:pPr>
    </w:p>
    <w:p>
      <w:pPr>
        <w:pStyle w:val="BodyText"/>
        <w:spacing w:line="259" w:lineRule="auto" w:before="32"/>
        <w:ind w:right="1126" w:firstLine="499"/>
        <w:jc w:val="both"/>
      </w:pPr>
      <w:r>
        <w:rPr>
          <w:spacing w:val="-4"/>
        </w:rPr>
        <w:t>与收益相关的政府补助，用于补偿以后期间的相关成本费用或损失的，确认为递延收益，并在确</w:t>
      </w:r>
      <w:r>
        <w:rPr>
          <w:w w:val="100"/>
        </w:rPr>
        <w:t> </w:t>
      </w:r>
      <w:r>
        <w:rPr>
          <w:spacing w:val="-2"/>
        </w:rPr>
        <w:t>认相关成本费用或损失的期间计入当期损益。与日常活动相关的政府补助，按照经济业务实质，计入</w:t>
      </w:r>
      <w:r>
        <w:rPr>
          <w:spacing w:val="-65"/>
        </w:rPr>
        <w:t> </w:t>
      </w:r>
      <w:r>
        <w:rPr>
          <w:spacing w:val="-65"/>
        </w:rPr>
      </w:r>
      <w:r>
        <w:rPr/>
        <w:t>其他收益或冲减相关成本费用。与日常活动无关的政府补助，计入营业外收支。</w:t>
      </w:r>
    </w:p>
    <w:p>
      <w:pPr>
        <w:pStyle w:val="BodyText"/>
        <w:spacing w:line="240" w:lineRule="auto" w:before="126"/>
        <w:ind w:left="652" w:right="996"/>
        <w:jc w:val="left"/>
      </w:pPr>
      <w:r>
        <w:rPr/>
        <w:t>本公司已确认的政府补助需要退回的，在需要退回的当期分情况按照以下规定进行会计处理：</w:t>
      </w:r>
    </w:p>
    <w:p>
      <w:pPr>
        <w:pStyle w:val="BodyText"/>
        <w:spacing w:line="240" w:lineRule="auto" w:before="144"/>
        <w:ind w:left="652" w:right="996"/>
        <w:jc w:val="left"/>
      </w:pPr>
      <w:r>
        <w:rPr>
          <w:rFonts w:ascii="Times New Roman" w:hAnsi="Times New Roman" w:cs="Times New Roman" w:eastAsia="Times New Roman" w:hint="default"/>
        </w:rPr>
        <w:t>1</w:t>
      </w:r>
      <w:r>
        <w:rPr/>
        <w:t>）初始确认时冲减相关资产账面价值的，调整资产账面价值。</w:t>
      </w:r>
    </w:p>
    <w:p>
      <w:pPr>
        <w:pStyle w:val="BodyText"/>
        <w:spacing w:line="240" w:lineRule="auto" w:before="127"/>
        <w:ind w:left="652" w:right="996"/>
        <w:jc w:val="left"/>
      </w:pPr>
      <w:r>
        <w:rPr>
          <w:rFonts w:ascii="Times New Roman" w:hAnsi="Times New Roman" w:cs="Times New Roman" w:eastAsia="Times New Roman" w:hint="default"/>
        </w:rPr>
        <w:t>2</w:t>
      </w:r>
      <w:r>
        <w:rPr/>
        <w:t>）存在相关递延收益的，冲减相关递延收益账面余额，超出部分计入当期损益。</w:t>
      </w:r>
    </w:p>
    <w:p>
      <w:pPr>
        <w:pStyle w:val="BodyText"/>
        <w:spacing w:line="240" w:lineRule="auto" w:before="127"/>
        <w:ind w:left="652" w:right="996"/>
        <w:jc w:val="left"/>
      </w:pPr>
      <w:r>
        <w:rPr>
          <w:rFonts w:ascii="Times New Roman" w:hAnsi="Times New Roman" w:cs="Times New Roman" w:eastAsia="Times New Roman" w:hint="default"/>
        </w:rPr>
        <w:t>3</w:t>
      </w:r>
      <w:r>
        <w:rPr/>
        <w:t>）属于其他情况的，直接计入当期损益。</w:t>
      </w:r>
    </w:p>
    <w:p>
      <w:pPr>
        <w:spacing w:line="240" w:lineRule="auto" w:before="3"/>
        <w:rPr>
          <w:rFonts w:ascii="宋体" w:hAnsi="宋体" w:cs="宋体" w:eastAsia="宋体" w:hint="default"/>
          <w:sz w:val="24"/>
          <w:szCs w:val="24"/>
        </w:rPr>
      </w:pPr>
    </w:p>
    <w:p>
      <w:pPr>
        <w:spacing w:before="0"/>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p>
    <w:p>
      <w:pPr>
        <w:pStyle w:val="BodyText"/>
        <w:spacing w:line="252" w:lineRule="auto"/>
        <w:ind w:right="1128" w:firstLine="499"/>
        <w:jc w:val="both"/>
      </w:pPr>
      <w:r>
        <w:rPr/>
        <w:t>本公司递延所得税资产和递延所得税负债根据资产和负债的计税基础与其账面价值的差额</w:t>
      </w:r>
      <w:r>
        <w:rPr>
          <w:rFonts w:ascii="Times New Roman" w:hAnsi="Times New Roman" w:cs="Times New Roman" w:eastAsia="Times New Roman" w:hint="default"/>
        </w:rPr>
        <w:t>(</w:t>
      </w:r>
      <w:r>
        <w:rPr/>
        <w:t>暂时</w:t>
      </w:r>
      <w:r>
        <w:rPr>
          <w:spacing w:val="-3"/>
          <w:w w:val="100"/>
        </w:rPr>
        <w:t> </w:t>
      </w:r>
      <w:r>
        <w:rPr/>
        <w:t>性差异</w:t>
      </w:r>
      <w:r>
        <w:rPr>
          <w:rFonts w:ascii="Times New Roman" w:hAnsi="Times New Roman" w:cs="Times New Roman" w:eastAsia="Times New Roman" w:hint="default"/>
        </w:rPr>
        <w:t>)</w:t>
      </w:r>
      <w:r>
        <w:rPr/>
        <w:t>计算确认。对于按照税法规定能够于以后年度抵减应纳税所得额的可抵扣亏损，确认相应的</w:t>
      </w:r>
      <w:r>
        <w:rPr>
          <w:spacing w:val="-11"/>
        </w:rPr>
        <w:t> </w:t>
      </w:r>
      <w:r>
        <w:rPr>
          <w:spacing w:val="-11"/>
        </w:rPr>
      </w:r>
      <w:r>
        <w:rPr>
          <w:spacing w:val="-2"/>
        </w:rPr>
        <w:t>递延所得税资产。对于商誉的初始确认产生的暂时性差异，不确认相应的递延所得税负债。对于既不</w:t>
      </w:r>
      <w:r>
        <w:rPr>
          <w:spacing w:val="-67"/>
        </w:rPr>
        <w:t> </w:t>
      </w:r>
      <w:r>
        <w:rPr>
          <w:spacing w:val="-67"/>
        </w:rPr>
      </w:r>
      <w:r>
        <w:rPr/>
        <w:t>影响会计利润也不影响应纳税所得额</w:t>
      </w:r>
      <w:r>
        <w:rPr>
          <w:rFonts w:ascii="Times New Roman" w:hAnsi="Times New Roman" w:cs="Times New Roman" w:eastAsia="Times New Roman" w:hint="default"/>
        </w:rPr>
        <w:t>(</w:t>
      </w:r>
      <w:r>
        <w:rPr/>
        <w:t>或可抵扣亏损</w:t>
      </w:r>
      <w:r>
        <w:rPr>
          <w:rFonts w:ascii="Times New Roman" w:hAnsi="Times New Roman" w:cs="Times New Roman" w:eastAsia="Times New Roman" w:hint="default"/>
        </w:rPr>
        <w:t>)</w:t>
      </w:r>
      <w:r>
        <w:rPr/>
        <w:t>的非企业合并的交易中产生的资产或负债的初始</w:t>
      </w:r>
      <w:r>
        <w:rPr>
          <w:spacing w:val="-78"/>
        </w:rPr>
        <w:t> </w:t>
      </w:r>
      <w:r>
        <w:rPr>
          <w:spacing w:val="-78"/>
        </w:rPr>
      </w:r>
      <w:r>
        <w:rPr>
          <w:spacing w:val="-2"/>
        </w:rPr>
        <w:t>确认形成的暂时性差异，不确认相应的递延所得税资产和递延所得税负债。于资产负债表日，递延所</w:t>
      </w:r>
      <w:r>
        <w:rPr>
          <w:spacing w:val="-65"/>
        </w:rPr>
        <w:t> </w:t>
      </w:r>
      <w:r>
        <w:rPr>
          <w:spacing w:val="-65"/>
        </w:rPr>
      </w:r>
      <w:r>
        <w:rPr/>
        <w:t>得税资产和递延所得税负债，按照预期收回该资产或清偿该负债期间的适用税率计量。</w:t>
      </w:r>
    </w:p>
    <w:p>
      <w:pPr>
        <w:pStyle w:val="BodyText"/>
        <w:spacing w:line="259" w:lineRule="auto" w:before="133"/>
        <w:ind w:right="1133" w:firstLine="499"/>
        <w:jc w:val="both"/>
      </w:pPr>
      <w:r>
        <w:rPr>
          <w:spacing w:val="-4"/>
          <w:w w:val="100"/>
        </w:rPr>
        <w:t>本公司以很可能取得用来抵扣可抵扣暂时性差异、可抵扣亏损和税款抵减的未来应纳税所得额为</w:t>
      </w:r>
      <w:r>
        <w:rPr>
          <w:w w:val="100"/>
        </w:rPr>
        <w:t> </w:t>
      </w:r>
      <w:r>
        <w:rPr/>
        <w:t>限，确认递延所得税资产。</w:t>
      </w:r>
    </w:p>
    <w:p>
      <w:pPr>
        <w:spacing w:line="240" w:lineRule="auto" w:before="2"/>
        <w:rPr>
          <w:rFonts w:ascii="宋体" w:hAnsi="宋体" w:cs="宋体" w:eastAsia="宋体" w:hint="default"/>
          <w:sz w:val="24"/>
          <w:szCs w:val="24"/>
        </w:rPr>
      </w:pPr>
    </w:p>
    <w:p>
      <w:pPr>
        <w:spacing w:before="0"/>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、租赁</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sz w:val="21"/>
          <w:szCs w:val="21"/>
        </w:rPr>
      </w:r>
    </w:p>
    <w:p>
      <w:pPr>
        <w:spacing w:line="240" w:lineRule="auto" w:before="7"/>
        <w:rPr>
          <w:rFonts w:ascii="宋体" w:hAnsi="宋体" w:cs="宋体" w:eastAsia="宋体" w:hint="default"/>
          <w:b/>
          <w:bCs/>
          <w:sz w:val="21"/>
          <w:szCs w:val="21"/>
        </w:rPr>
      </w:pPr>
    </w:p>
    <w:p>
      <w:pPr>
        <w:pStyle w:val="BodyText"/>
        <w:spacing w:line="259" w:lineRule="auto" w:before="32"/>
        <w:ind w:left="594" w:right="996" w:firstLine="57"/>
        <w:jc w:val="left"/>
      </w:pPr>
      <w:r>
        <w:rPr/>
        <w:t>本公司的租赁业务包括经营租赁租入房屋建筑物。</w:t>
      </w:r>
      <w:r>
        <w:rPr>
          <w:w w:val="100"/>
        </w:rPr>
        <w:t> </w:t>
      </w:r>
      <w:r>
        <w:rPr>
          <w:spacing w:val="-1"/>
        </w:rPr>
        <w:t>本公司作为经营租赁承租方的租金在租赁期内的各个期间按直线法计入相关资产成本或当期损</w:t>
      </w:r>
    </w:p>
    <w:p>
      <w:pPr>
        <w:pStyle w:val="BodyText"/>
        <w:spacing w:line="240" w:lineRule="auto" w:before="6"/>
        <w:ind w:right="996"/>
        <w:jc w:val="left"/>
      </w:pPr>
      <w:r>
        <w:rPr/>
        <w:t>益。</w:t>
      </w:r>
    </w:p>
    <w:p>
      <w:pPr>
        <w:spacing w:line="240" w:lineRule="auto" w:before="9"/>
        <w:rPr>
          <w:rFonts w:ascii="宋体" w:hAnsi="宋体" w:cs="宋体" w:eastAsia="宋体" w:hint="default"/>
          <w:sz w:val="22"/>
          <w:szCs w:val="22"/>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、重要会计政策和会计估计变更</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）重要会计政策变更</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9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402"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340"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年颁布了《关于修订印发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 </w:t>
            </w:r>
            <w:r>
              <w:rPr>
                <w:rFonts w:ascii="宋体" w:hAnsi="宋体" w:cs="宋体" w:eastAsia="宋体" w:hint="default"/>
                <w:spacing w:val="-6"/>
                <w:sz w:val="18"/>
                <w:szCs w:val="18"/>
              </w:rPr>
              <w:t>一般企业财务报表格式的通知》（财会</w:t>
            </w:r>
          </w:p>
          <w:p>
            <w:pPr>
              <w:pStyle w:val="TableParagraph"/>
              <w:spacing w:line="240" w:lineRule="auto" w:before="32"/>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9</w:t>
            </w:r>
            <w:r>
              <w:rPr>
                <w:rFonts w:ascii="宋体" w:hAnsi="宋体" w:cs="宋体" w:eastAsia="宋体" w:hint="default"/>
                <w:spacing w:val="-92"/>
                <w:sz w:val="18"/>
                <w:szCs w:val="18"/>
              </w:rPr>
              <w:t>〕</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z w:val="18"/>
                <w:szCs w:val="18"/>
              </w:rPr>
              <w:t>本公司按该通知编制</w:t>
            </w:r>
            <w:r>
              <w:rPr>
                <w:rFonts w:ascii="宋体" w:hAnsi="宋体" w:cs="宋体" w:eastAsia="宋体" w:hint="default"/>
                <w:spacing w:val="-51"/>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年度财务报表。</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3" w:right="93"/>
              <w:jc w:val="left"/>
              <w:rPr>
                <w:rFonts w:ascii="宋体" w:hAnsi="宋体" w:cs="宋体" w:eastAsia="宋体" w:hint="default"/>
                <w:sz w:val="18"/>
                <w:szCs w:val="18"/>
              </w:rPr>
            </w:pPr>
            <w:r>
              <w:rPr>
                <w:rFonts w:ascii="宋体" w:hAnsi="宋体" w:cs="宋体" w:eastAsia="宋体" w:hint="default"/>
                <w:sz w:val="18"/>
                <w:szCs w:val="18"/>
              </w:rPr>
              <w:t>相关会计政策变更已经本公司第四届董 事会第二十八次会议批准。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说明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3195"/>
        <w:gridCol w:w="3188"/>
        <w:gridCol w:w="3190"/>
      </w:tblGrid>
      <w:tr>
        <w:trPr>
          <w:trHeight w:val="477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年颁布了修订后的《企业</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金融工具确认和计</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量</w:t>
            </w:r>
            <w:r>
              <w:rPr>
                <w:rFonts w:ascii="宋体" w:hAnsi="宋体" w:cs="宋体" w:eastAsia="宋体" w:hint="default"/>
                <w:spacing w:val="-92"/>
                <w:sz w:val="18"/>
                <w:szCs w:val="18"/>
              </w:rPr>
              <w:t>》、</w:t>
            </w:r>
            <w:r>
              <w:rPr>
                <w:rFonts w:ascii="宋体" w:hAnsi="宋体" w:cs="宋体" w:eastAsia="宋体" w:hint="default"/>
                <w:sz w:val="18"/>
                <w:szCs w:val="18"/>
              </w:rPr>
              <w:t>《企业会计准则第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金融资产</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转移</w:t>
            </w:r>
            <w:r>
              <w:rPr>
                <w:rFonts w:ascii="宋体" w:hAnsi="宋体" w:cs="宋体" w:eastAsia="宋体" w:hint="default"/>
                <w:spacing w:val="-92"/>
                <w:sz w:val="18"/>
                <w:szCs w:val="18"/>
              </w:rPr>
              <w:t>》、</w:t>
            </w:r>
            <w:r>
              <w:rPr>
                <w:rFonts w:ascii="宋体" w:hAnsi="宋体" w:cs="宋体" w:eastAsia="宋体" w:hint="default"/>
                <w:sz w:val="18"/>
                <w:szCs w:val="18"/>
              </w:rPr>
              <w:t>《企业会计准则第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套期会</w:t>
            </w:r>
          </w:p>
          <w:p>
            <w:pPr>
              <w:pStyle w:val="TableParagraph"/>
              <w:spacing w:line="300" w:lineRule="auto" w:before="63"/>
              <w:ind w:left="24" w:right="24"/>
              <w:jc w:val="both"/>
              <w:rPr>
                <w:rFonts w:ascii="宋体" w:hAnsi="宋体" w:cs="宋体" w:eastAsia="宋体" w:hint="default"/>
                <w:sz w:val="18"/>
                <w:szCs w:val="18"/>
              </w:rPr>
            </w:pPr>
            <w:r>
              <w:rPr>
                <w:rFonts w:ascii="宋体" w:hAnsi="宋体" w:cs="宋体" w:eastAsia="宋体" w:hint="default"/>
                <w:spacing w:val="-17"/>
                <w:sz w:val="18"/>
                <w:szCs w:val="18"/>
              </w:rPr>
              <w:t>计》，《企业会计准则第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 </w:t>
            </w:r>
            <w:r>
              <w:rPr>
                <w:rFonts w:ascii="宋体" w:hAnsi="宋体" w:cs="宋体" w:eastAsia="宋体" w:hint="default"/>
                <w:spacing w:val="-13"/>
                <w:w w:val="99"/>
                <w:sz w:val="18"/>
                <w:szCs w:val="18"/>
              </w:rPr>
              <w:t>列报》（以下合称</w:t>
            </w:r>
            <w:r>
              <w:rPr>
                <w:rFonts w:ascii="Times New Roman" w:hAnsi="Times New Roman" w:cs="Times New Roman" w:eastAsia="Times New Roman" w:hint="default"/>
                <w:spacing w:val="-13"/>
                <w:w w:val="99"/>
                <w:sz w:val="18"/>
                <w:szCs w:val="18"/>
              </w:rPr>
              <w:t>"</w:t>
            </w:r>
            <w:r>
              <w:rPr>
                <w:rFonts w:ascii="宋体" w:hAnsi="宋体" w:cs="宋体" w:eastAsia="宋体" w:hint="default"/>
                <w:spacing w:val="-13"/>
                <w:w w:val="99"/>
                <w:sz w:val="18"/>
                <w:szCs w:val="18"/>
              </w:rPr>
              <w:t>新金融工具准则</w:t>
            </w:r>
            <w:r>
              <w:rPr>
                <w:rFonts w:ascii="Times New Roman" w:hAnsi="Times New Roman" w:cs="Times New Roman" w:eastAsia="Times New Roman" w:hint="default"/>
                <w:spacing w:val="-13"/>
                <w:w w:val="99"/>
                <w:sz w:val="18"/>
                <w:szCs w:val="18"/>
              </w:rPr>
              <w:t>"</w:t>
            </w:r>
            <w:r>
              <w:rPr>
                <w:rFonts w:ascii="宋体" w:hAnsi="宋体" w:cs="宋体" w:eastAsia="宋体" w:hint="default"/>
                <w:spacing w:val="-13"/>
                <w:w w:val="99"/>
                <w:sz w:val="18"/>
                <w:szCs w:val="18"/>
              </w:rPr>
              <w:t>），并</w:t>
            </w:r>
            <w:r>
              <w:rPr>
                <w:rFonts w:ascii="宋体" w:hAnsi="宋体" w:cs="宋体" w:eastAsia="宋体" w:hint="default"/>
                <w:spacing w:val="-88"/>
                <w:w w:val="99"/>
                <w:sz w:val="18"/>
                <w:szCs w:val="18"/>
              </w:rPr>
              <w:t> </w:t>
            </w:r>
            <w:r>
              <w:rPr>
                <w:rFonts w:ascii="宋体" w:hAnsi="宋体" w:cs="宋体" w:eastAsia="宋体" w:hint="default"/>
                <w:spacing w:val="-88"/>
                <w:w w:val="99"/>
                <w:sz w:val="18"/>
                <w:szCs w:val="18"/>
              </w:rPr>
            </w:r>
            <w:r>
              <w:rPr>
                <w:rFonts w:ascii="宋体" w:hAnsi="宋体" w:cs="宋体" w:eastAsia="宋体" w:hint="default"/>
                <w:sz w:val="18"/>
                <w:szCs w:val="18"/>
              </w:rPr>
              <w:t>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年颁布了修订后的《企业会计准</w:t>
            </w:r>
          </w:p>
          <w:p>
            <w:pPr>
              <w:pStyle w:val="TableParagraph"/>
              <w:spacing w:line="304" w:lineRule="auto" w:before="13"/>
              <w:ind w:left="24" w:right="19"/>
              <w:jc w:val="left"/>
              <w:rPr>
                <w:rFonts w:ascii="宋体" w:hAnsi="宋体" w:cs="宋体" w:eastAsia="宋体" w:hint="default"/>
                <w:sz w:val="18"/>
                <w:szCs w:val="18"/>
              </w:rPr>
            </w:pPr>
            <w:r>
              <w:rPr>
                <w:rFonts w:ascii="宋体" w:hAnsi="宋体" w:cs="宋体" w:eastAsia="宋体" w:hint="default"/>
                <w:sz w:val="18"/>
                <w:szCs w:val="18"/>
              </w:rPr>
              <w:t>则第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号</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非货币性资产交换》（以下合</w:t>
            </w:r>
            <w:r>
              <w:rPr>
                <w:rFonts w:ascii="宋体" w:hAnsi="宋体" w:cs="宋体" w:eastAsia="宋体" w:hint="default"/>
                <w:sz w:val="18"/>
                <w:szCs w:val="18"/>
              </w:rPr>
              <w:t> </w:t>
            </w:r>
            <w:r>
              <w:rPr>
                <w:rFonts w:ascii="宋体" w:hAnsi="宋体" w:cs="宋体" w:eastAsia="宋体" w:hint="default"/>
                <w:spacing w:val="-13"/>
                <w:w w:val="99"/>
                <w:sz w:val="18"/>
                <w:szCs w:val="18"/>
              </w:rPr>
              <w:t>称</w:t>
            </w:r>
            <w:r>
              <w:rPr>
                <w:rFonts w:ascii="Times New Roman" w:hAnsi="Times New Roman" w:cs="Times New Roman" w:eastAsia="Times New Roman" w:hint="default"/>
                <w:spacing w:val="-13"/>
                <w:w w:val="99"/>
                <w:sz w:val="18"/>
                <w:szCs w:val="18"/>
              </w:rPr>
              <w:t>"</w:t>
            </w:r>
            <w:r>
              <w:rPr>
                <w:rFonts w:ascii="宋体" w:hAnsi="宋体" w:cs="宋体" w:eastAsia="宋体" w:hint="default"/>
                <w:spacing w:val="-13"/>
                <w:w w:val="99"/>
                <w:sz w:val="18"/>
                <w:szCs w:val="18"/>
              </w:rPr>
              <w:t>非货币性资产交换准则</w:t>
            </w:r>
            <w:r>
              <w:rPr>
                <w:rFonts w:ascii="Times New Roman" w:hAnsi="Times New Roman" w:cs="Times New Roman" w:eastAsia="Times New Roman" w:hint="default"/>
                <w:spacing w:val="-13"/>
                <w:w w:val="99"/>
                <w:sz w:val="18"/>
                <w:szCs w:val="18"/>
              </w:rPr>
              <w:t>"</w:t>
            </w:r>
            <w:r>
              <w:rPr>
                <w:rFonts w:ascii="宋体" w:hAnsi="宋体" w:cs="宋体" w:eastAsia="宋体" w:hint="default"/>
                <w:spacing w:val="-13"/>
                <w:w w:val="99"/>
                <w:sz w:val="18"/>
                <w:szCs w:val="18"/>
              </w:rPr>
              <w:t>）、《企业会计</w:t>
            </w:r>
            <w:r>
              <w:rPr>
                <w:rFonts w:ascii="宋体" w:hAnsi="宋体" w:cs="宋体" w:eastAsia="宋体" w:hint="default"/>
                <w:spacing w:val="-87"/>
                <w:w w:val="99"/>
                <w:sz w:val="18"/>
                <w:szCs w:val="18"/>
              </w:rPr>
              <w:t> </w:t>
            </w:r>
            <w:r>
              <w:rPr>
                <w:rFonts w:ascii="宋体" w:hAnsi="宋体" w:cs="宋体" w:eastAsia="宋体" w:hint="default"/>
                <w:spacing w:val="-87"/>
                <w:w w:val="99"/>
                <w:sz w:val="18"/>
                <w:szCs w:val="18"/>
              </w:rPr>
            </w:r>
            <w:r>
              <w:rPr>
                <w:rFonts w:ascii="宋体" w:hAnsi="宋体" w:cs="宋体" w:eastAsia="宋体" w:hint="default"/>
                <w:sz w:val="18"/>
                <w:szCs w:val="18"/>
              </w:rPr>
              <w:t>准则第</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pacing w:val="-7"/>
                <w:w w:val="99"/>
                <w:sz w:val="18"/>
                <w:szCs w:val="18"/>
              </w:rPr>
              <w:t>号</w:t>
            </w:r>
            <w:r>
              <w:rPr>
                <w:rFonts w:ascii="Times New Roman" w:hAnsi="Times New Roman" w:cs="Times New Roman" w:eastAsia="Times New Roman" w:hint="default"/>
                <w:spacing w:val="-7"/>
                <w:w w:val="99"/>
                <w:sz w:val="18"/>
                <w:szCs w:val="18"/>
              </w:rPr>
              <w:t>--</w:t>
            </w:r>
            <w:r>
              <w:rPr>
                <w:rFonts w:ascii="宋体" w:hAnsi="宋体" w:cs="宋体" w:eastAsia="宋体" w:hint="default"/>
                <w:spacing w:val="-7"/>
                <w:w w:val="99"/>
                <w:sz w:val="18"/>
                <w:szCs w:val="18"/>
              </w:rPr>
              <w:t>债务重组》（以下合称</w:t>
            </w:r>
            <w:r>
              <w:rPr>
                <w:rFonts w:ascii="Times New Roman" w:hAnsi="Times New Roman" w:cs="Times New Roman" w:eastAsia="Times New Roman" w:hint="default"/>
                <w:spacing w:val="-7"/>
                <w:w w:val="99"/>
                <w:sz w:val="18"/>
                <w:szCs w:val="18"/>
              </w:rPr>
              <w:t>"</w:t>
            </w:r>
            <w:r>
              <w:rPr>
                <w:rFonts w:ascii="宋体" w:hAnsi="宋体" w:cs="宋体" w:eastAsia="宋体" w:hint="default"/>
                <w:spacing w:val="-7"/>
                <w:w w:val="99"/>
                <w:sz w:val="18"/>
                <w:szCs w:val="18"/>
              </w:rPr>
              <w:t>债</w:t>
            </w:r>
            <w:r>
              <w:rPr>
                <w:rFonts w:ascii="宋体" w:hAnsi="宋体" w:cs="宋体" w:eastAsia="宋体" w:hint="default"/>
                <w:spacing w:val="-87"/>
                <w:w w:val="99"/>
                <w:sz w:val="18"/>
                <w:szCs w:val="18"/>
              </w:rPr>
              <w:t> </w:t>
            </w:r>
            <w:r>
              <w:rPr>
                <w:rFonts w:ascii="宋体" w:hAnsi="宋体" w:cs="宋体" w:eastAsia="宋体" w:hint="default"/>
                <w:spacing w:val="-12"/>
                <w:w w:val="99"/>
                <w:sz w:val="18"/>
                <w:szCs w:val="18"/>
              </w:rPr>
              <w:t>务重组准则</w:t>
            </w:r>
            <w:r>
              <w:rPr>
                <w:rFonts w:ascii="Times New Roman" w:hAnsi="Times New Roman" w:cs="Times New Roman" w:eastAsia="Times New Roman" w:hint="default"/>
                <w:spacing w:val="-12"/>
                <w:w w:val="99"/>
                <w:sz w:val="18"/>
                <w:szCs w:val="18"/>
              </w:rPr>
              <w:t>"</w:t>
            </w:r>
            <w:r>
              <w:rPr>
                <w:rFonts w:ascii="宋体" w:hAnsi="宋体" w:cs="宋体" w:eastAsia="宋体" w:hint="default"/>
                <w:spacing w:val="-12"/>
                <w:w w:val="99"/>
                <w:sz w:val="18"/>
                <w:szCs w:val="18"/>
              </w:rPr>
              <w:t>）。</w:t>
            </w:r>
            <w:r>
              <w:rPr>
                <w:rFonts w:ascii="宋体" w:hAnsi="宋体" w:cs="宋体" w:eastAsia="宋体" w:hint="default"/>
                <w:spacing w:val="4"/>
                <w:w w:val="99"/>
                <w:sz w:val="18"/>
                <w:szCs w:val="18"/>
              </w:rPr>
              <w:t> </w:t>
            </w:r>
            <w:r>
              <w:rPr>
                <w:rFonts w:ascii="宋体" w:hAnsi="宋体" w:cs="宋体" w:eastAsia="宋体" w:hint="default"/>
                <w:sz w:val="18"/>
                <w:szCs w:val="18"/>
              </w:rPr>
              <w:t>修订后非货币性资产交</w:t>
            </w:r>
            <w:r>
              <w:rPr>
                <w:rFonts w:ascii="宋体" w:hAnsi="宋体" w:cs="宋体" w:eastAsia="宋体" w:hint="default"/>
                <w:sz w:val="18"/>
                <w:szCs w:val="18"/>
              </w:rPr>
              <w:t> 换准则和债务重组准则对本集团及本公 司无显著影响。本公司在编制</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 财务报表时，执行了相关会计准则，并 按照有关的衔接规定进行了处理。</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316" w:lineRule="auto"/>
              <w:ind w:left="23" w:right="93"/>
              <w:jc w:val="left"/>
              <w:rPr>
                <w:rFonts w:ascii="宋体" w:hAnsi="宋体" w:cs="宋体" w:eastAsia="宋体" w:hint="default"/>
                <w:sz w:val="18"/>
                <w:szCs w:val="18"/>
              </w:rPr>
            </w:pPr>
            <w:r>
              <w:rPr>
                <w:rFonts w:ascii="宋体" w:hAnsi="宋体" w:cs="宋体" w:eastAsia="宋体" w:hint="default"/>
                <w:sz w:val="18"/>
                <w:szCs w:val="18"/>
              </w:rPr>
              <w:t>相关会计政策变更已经本公司第四届董 事会第二十三次会议批准。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本附注四</w:t>
            </w:r>
            <w:r>
              <w:rPr>
                <w:rFonts w:ascii="Times New Roman" w:hAnsi="Times New Roman" w:cs="Times New Roman" w:eastAsia="Times New Roman" w:hint="default"/>
                <w:sz w:val="18"/>
                <w:szCs w:val="18"/>
              </w:rPr>
              <w:t>.26.(3</w:t>
            </w:r>
            <w:r>
              <w:rPr>
                <w:rFonts w:ascii="宋体" w:hAnsi="宋体" w:cs="宋体" w:eastAsia="宋体" w:hint="default"/>
                <w:sz w:val="18"/>
                <w:szCs w:val="18"/>
              </w:rPr>
              <w:t>）</w:t>
            </w:r>
          </w:p>
        </w:tc>
      </w:tr>
    </w:tbl>
    <w:p>
      <w:pPr>
        <w:spacing w:line="240" w:lineRule="auto" w:before="0"/>
        <w:rPr>
          <w:rFonts w:ascii="宋体" w:hAnsi="宋体" w:cs="宋体" w:eastAsia="宋体" w:hint="default"/>
          <w:sz w:val="5"/>
          <w:szCs w:val="5"/>
        </w:rPr>
      </w:pPr>
    </w:p>
    <w:p>
      <w:pPr>
        <w:pStyle w:val="BodyText"/>
        <w:spacing w:line="240" w:lineRule="auto" w:before="32"/>
        <w:ind w:left="592" w:right="996"/>
        <w:jc w:val="left"/>
      </w:pPr>
      <w:r>
        <w:rPr/>
        <w:t>说明</w:t>
      </w:r>
      <w:r>
        <w:rPr>
          <w:rFonts w:ascii="Times New Roman" w:hAnsi="Times New Roman" w:cs="Times New Roman" w:eastAsia="Times New Roman" w:hint="default"/>
        </w:rPr>
        <w:t>1</w:t>
      </w:r>
      <w:r>
        <w:rPr>
          <w:rFonts w:ascii="MS Gothic" w:hAnsi="MS Gothic" w:cs="MS Gothic" w:eastAsia="MS Gothic" w:hint="default"/>
        </w:rPr>
        <w:t>､新</w:t>
      </w:r>
      <w:r>
        <w:rPr/>
        <w:t>财务报表格式</w:t>
      </w:r>
    </w:p>
    <w:p>
      <w:pPr>
        <w:pStyle w:val="BodyText"/>
        <w:spacing w:line="244" w:lineRule="auto" w:before="127"/>
        <w:ind w:right="996" w:firstLine="439"/>
        <w:jc w:val="left"/>
      </w:pPr>
      <w:r>
        <w:rPr>
          <w:spacing w:val="2"/>
        </w:rPr>
        <w:t>财务报表因新财务报表格式变更引起的追溯重述对</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日合并及母公司的资产负债表</w:t>
      </w:r>
      <w:r>
        <w:rPr>
          <w:w w:val="100"/>
        </w:rPr>
        <w:t> </w:t>
      </w:r>
      <w:r>
        <w:rPr/>
        <w:t>的影响如下：</w:t>
      </w:r>
    </w:p>
    <w:p>
      <w:pPr>
        <w:pStyle w:val="BodyText"/>
        <w:spacing w:line="240" w:lineRule="auto" w:before="139"/>
        <w:ind w:left="592" w:right="996"/>
        <w:jc w:val="left"/>
      </w:pPr>
      <w:r>
        <w:rPr/>
        <w:t>对合并资产负债表的影响列示如下</w:t>
      </w:r>
    </w:p>
    <w:p>
      <w:pPr>
        <w:spacing w:line="240" w:lineRule="auto" w:before="9"/>
        <w:rPr>
          <w:rFonts w:ascii="宋体" w:hAnsi="宋体" w:cs="宋体" w:eastAsia="宋体"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148"/>
        <w:gridCol w:w="1213"/>
        <w:gridCol w:w="1615"/>
        <w:gridCol w:w="1776"/>
        <w:gridCol w:w="1664"/>
      </w:tblGrid>
      <w:tr>
        <w:trPr>
          <w:trHeight w:val="965"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
              <w:ind w:left="869" w:right="64" w:hanging="805"/>
              <w:jc w:val="left"/>
              <w:rPr>
                <w:rFonts w:ascii="宋体" w:hAnsi="宋体" w:cs="宋体" w:eastAsia="宋体" w:hint="default"/>
                <w:sz w:val="20"/>
                <w:szCs w:val="20"/>
              </w:rPr>
            </w:pPr>
            <w:r>
              <w:rPr>
                <w:rFonts w:ascii="宋体" w:hAnsi="宋体" w:cs="宋体" w:eastAsia="宋体" w:hint="default"/>
                <w:b/>
                <w:bCs/>
                <w:sz w:val="20"/>
                <w:szCs w:val="20"/>
              </w:rPr>
              <w:t>会计政策变更的内容和</w:t>
            </w:r>
            <w:r>
              <w:rPr>
                <w:rFonts w:ascii="宋体" w:hAnsi="宋体" w:cs="宋体" w:eastAsia="宋体" w:hint="default"/>
                <w:b/>
                <w:bCs/>
                <w:w w:val="99"/>
                <w:sz w:val="20"/>
                <w:szCs w:val="20"/>
              </w:rPr>
              <w:t> </w:t>
            </w:r>
            <w:r>
              <w:rPr>
                <w:rFonts w:ascii="宋体" w:hAnsi="宋体" w:cs="宋体" w:eastAsia="宋体" w:hint="default"/>
                <w:b/>
                <w:bCs/>
                <w:sz w:val="20"/>
                <w:szCs w:val="20"/>
              </w:rPr>
              <w:t>原因</w:t>
            </w:r>
            <w:r>
              <w:rPr>
                <w:rFonts w:ascii="宋体" w:hAnsi="宋体" w:cs="宋体" w:eastAsia="宋体" w:hint="default"/>
                <w:sz w:val="20"/>
                <w:szCs w:val="20"/>
              </w:rPr>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
              <w:ind w:left="98" w:right="100"/>
              <w:jc w:val="center"/>
              <w:rPr>
                <w:rFonts w:ascii="宋体" w:hAnsi="宋体" w:cs="宋体" w:eastAsia="宋体" w:hint="default"/>
                <w:sz w:val="20"/>
                <w:szCs w:val="20"/>
              </w:rPr>
            </w:pPr>
            <w:r>
              <w:rPr>
                <w:rFonts w:ascii="宋体" w:hAnsi="宋体" w:cs="宋体" w:eastAsia="宋体" w:hint="default"/>
                <w:b/>
                <w:bCs/>
                <w:sz w:val="20"/>
                <w:szCs w:val="20"/>
              </w:rPr>
              <w:t>受影响的报</w:t>
            </w:r>
            <w:r>
              <w:rPr>
                <w:rFonts w:ascii="宋体" w:hAnsi="宋体" w:cs="宋体" w:eastAsia="宋体" w:hint="default"/>
                <w:b/>
                <w:bCs/>
                <w:w w:val="99"/>
                <w:sz w:val="20"/>
                <w:szCs w:val="20"/>
              </w:rPr>
              <w:t> </w:t>
            </w:r>
            <w:r>
              <w:rPr>
                <w:rFonts w:ascii="宋体" w:hAnsi="宋体" w:cs="宋体" w:eastAsia="宋体" w:hint="default"/>
                <w:b/>
                <w:bCs/>
                <w:sz w:val="20"/>
                <w:szCs w:val="20"/>
              </w:rPr>
              <w:t>表项目和名</w:t>
            </w:r>
            <w:r>
              <w:rPr>
                <w:rFonts w:ascii="宋体" w:hAnsi="宋体" w:cs="宋体" w:eastAsia="宋体" w:hint="default"/>
                <w:b/>
                <w:bCs/>
                <w:w w:val="99"/>
                <w:sz w:val="20"/>
                <w:szCs w:val="20"/>
              </w:rPr>
              <w:t> </w:t>
            </w:r>
            <w:r>
              <w:rPr>
                <w:rFonts w:ascii="宋体" w:hAnsi="宋体" w:cs="宋体" w:eastAsia="宋体" w:hint="default"/>
                <w:b/>
                <w:bCs/>
                <w:sz w:val="20"/>
                <w:szCs w:val="20"/>
              </w:rPr>
              <w:t>称</w:t>
            </w:r>
            <w:r>
              <w:rPr>
                <w:rFonts w:ascii="宋体" w:hAnsi="宋体" w:cs="宋体" w:eastAsia="宋体" w:hint="default"/>
                <w:sz w:val="20"/>
                <w:szCs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
              <w:ind w:left="100" w:right="97"/>
              <w:jc w:val="both"/>
              <w:rPr>
                <w:rFonts w:ascii="宋体" w:hAnsi="宋体" w:cs="宋体" w:eastAsia="宋体" w:hint="default"/>
                <w:sz w:val="20"/>
                <w:szCs w:val="20"/>
              </w:rPr>
            </w:pPr>
            <w:r>
              <w:rPr>
                <w:rFonts w:ascii="宋体" w:hAnsi="宋体" w:cs="宋体" w:eastAsia="宋体" w:hint="default"/>
                <w:b/>
                <w:bCs/>
                <w:sz w:val="20"/>
                <w:szCs w:val="20"/>
              </w:rPr>
              <w:t>会计政策变更前</w:t>
            </w:r>
            <w:r>
              <w:rPr>
                <w:rFonts w:ascii="宋体" w:hAnsi="宋体" w:cs="宋体" w:eastAsia="宋体" w:hint="default"/>
                <w:b/>
                <w:bCs/>
                <w:w w:val="99"/>
                <w:sz w:val="20"/>
                <w:szCs w:val="20"/>
              </w:rPr>
              <w:t> </w:t>
            </w:r>
            <w:r>
              <w:rPr>
                <w:rFonts w:ascii="宋体" w:hAnsi="宋体" w:cs="宋体" w:eastAsia="宋体" w:hint="default"/>
                <w:b/>
                <w:bCs/>
                <w:sz w:val="20"/>
                <w:szCs w:val="20"/>
              </w:rPr>
              <w:t>列示的账面价值</w:t>
            </w:r>
            <w:r>
              <w:rPr>
                <w:rFonts w:ascii="宋体" w:hAnsi="宋体" w:cs="宋体" w:eastAsia="宋体" w:hint="default"/>
                <w:b/>
                <w:bCs/>
                <w:w w:val="99"/>
                <w:sz w:val="20"/>
                <w:szCs w:val="20"/>
              </w:rPr>
              <w:t> </w:t>
            </w:r>
            <w:r>
              <w:rPr>
                <w:rFonts w:ascii="Times New Roman" w:hAnsi="Times New Roman" w:cs="Times New Roman" w:eastAsia="Times New Roman" w:hint="default"/>
                <w:b/>
                <w:bCs/>
                <w:sz w:val="20"/>
                <w:szCs w:val="20"/>
              </w:rPr>
              <w:t>2018</w:t>
            </w:r>
            <w:r>
              <w:rPr>
                <w:rFonts w:ascii="宋体" w:hAnsi="宋体" w:cs="宋体" w:eastAsia="宋体" w:hint="default"/>
                <w:b/>
                <w:bCs/>
                <w:sz w:val="20"/>
                <w:szCs w:val="20"/>
              </w:rPr>
              <w:t>年</w:t>
            </w:r>
            <w:r>
              <w:rPr>
                <w:rFonts w:ascii="Times New Roman" w:hAnsi="Times New Roman" w:cs="Times New Roman" w:eastAsia="Times New Roman" w:hint="default"/>
                <w:b/>
                <w:bCs/>
                <w:sz w:val="20"/>
                <w:szCs w:val="20"/>
              </w:rPr>
              <w:t>12</w:t>
            </w:r>
            <w:r>
              <w:rPr>
                <w:rFonts w:ascii="宋体" w:hAnsi="宋体" w:cs="宋体" w:eastAsia="宋体" w:hint="default"/>
                <w:b/>
                <w:bCs/>
                <w:sz w:val="20"/>
                <w:szCs w:val="20"/>
              </w:rPr>
              <w:t>月</w:t>
            </w:r>
            <w:r>
              <w:rPr>
                <w:rFonts w:ascii="Times New Roman" w:hAnsi="Times New Roman" w:cs="Times New Roman" w:eastAsia="Times New Roman" w:hint="default"/>
                <w:b/>
                <w:bCs/>
                <w:sz w:val="20"/>
                <w:szCs w:val="20"/>
              </w:rPr>
              <w:t>31</w:t>
            </w:r>
            <w:r>
              <w:rPr>
                <w:rFonts w:ascii="宋体" w:hAnsi="宋体" w:cs="宋体" w:eastAsia="宋体" w:hint="default"/>
                <w:b/>
                <w:bCs/>
                <w:sz w:val="20"/>
                <w:szCs w:val="20"/>
              </w:rPr>
              <w:t>日</w:t>
            </w:r>
            <w:r>
              <w:rPr>
                <w:rFonts w:ascii="宋体" w:hAnsi="宋体" w:cs="宋体" w:eastAsia="宋体" w:hint="default"/>
                <w:sz w:val="20"/>
                <w:szCs w:val="20"/>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83" w:right="0"/>
              <w:jc w:val="left"/>
              <w:rPr>
                <w:rFonts w:ascii="宋体" w:hAnsi="宋体" w:cs="宋体" w:eastAsia="宋体" w:hint="default"/>
                <w:sz w:val="20"/>
                <w:szCs w:val="20"/>
              </w:rPr>
            </w:pPr>
            <w:r>
              <w:rPr>
                <w:rFonts w:ascii="宋体" w:hAnsi="宋体" w:cs="宋体" w:eastAsia="宋体" w:hint="default"/>
                <w:b/>
                <w:bCs/>
                <w:spacing w:val="2"/>
                <w:sz w:val="20"/>
                <w:szCs w:val="20"/>
              </w:rPr>
              <w:t>重分类</w:t>
            </w:r>
            <w:r>
              <w:rPr>
                <w:rFonts w:ascii="宋体" w:hAnsi="宋体" w:cs="宋体" w:eastAsia="宋体" w:hint="default"/>
                <w:sz w:val="20"/>
                <w:szCs w:val="20"/>
              </w:rPr>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
              <w:ind w:left="26" w:right="18" w:hanging="3"/>
              <w:jc w:val="center"/>
              <w:rPr>
                <w:rFonts w:ascii="宋体" w:hAnsi="宋体" w:cs="宋体" w:eastAsia="宋体" w:hint="default"/>
                <w:sz w:val="20"/>
                <w:szCs w:val="20"/>
              </w:rPr>
            </w:pPr>
            <w:r>
              <w:rPr>
                <w:rFonts w:ascii="宋体" w:hAnsi="宋体" w:cs="宋体" w:eastAsia="宋体" w:hint="default"/>
                <w:b/>
                <w:bCs/>
                <w:sz w:val="20"/>
                <w:szCs w:val="20"/>
              </w:rPr>
              <w:t>会计政策变更后列</w:t>
            </w:r>
            <w:r>
              <w:rPr>
                <w:rFonts w:ascii="宋体" w:hAnsi="宋体" w:cs="宋体" w:eastAsia="宋体" w:hint="default"/>
                <w:b/>
                <w:bCs/>
                <w:w w:val="99"/>
                <w:sz w:val="20"/>
                <w:szCs w:val="20"/>
              </w:rPr>
              <w:t> </w:t>
            </w:r>
            <w:r>
              <w:rPr>
                <w:rFonts w:ascii="宋体" w:hAnsi="宋体" w:cs="宋体" w:eastAsia="宋体" w:hint="default"/>
                <w:b/>
                <w:bCs/>
                <w:sz w:val="20"/>
                <w:szCs w:val="20"/>
              </w:rPr>
              <w:t>示的账面价值</w:t>
            </w:r>
            <w:r>
              <w:rPr>
                <w:rFonts w:ascii="Times New Roman" w:hAnsi="Times New Roman" w:cs="Times New Roman" w:eastAsia="Times New Roman" w:hint="default"/>
                <w:b/>
                <w:bCs/>
                <w:sz w:val="20"/>
                <w:szCs w:val="20"/>
              </w:rPr>
              <w:t>2019</w:t>
            </w:r>
            <w:r>
              <w:rPr>
                <w:rFonts w:ascii="Times New Roman" w:hAnsi="Times New Roman" w:cs="Times New Roman" w:eastAsia="Times New Roman" w:hint="default"/>
                <w:b/>
                <w:bCs/>
                <w:w w:val="99"/>
                <w:sz w:val="20"/>
                <w:szCs w:val="20"/>
              </w:rPr>
              <w:t> </w:t>
            </w:r>
            <w:r>
              <w:rPr>
                <w:rFonts w:ascii="宋体" w:hAnsi="宋体" w:cs="宋体" w:eastAsia="宋体" w:hint="default"/>
                <w:b/>
                <w:bCs/>
                <w:sz w:val="20"/>
                <w:szCs w:val="20"/>
              </w:rPr>
              <w:t>年</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月</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日</w:t>
            </w:r>
            <w:r>
              <w:rPr>
                <w:rFonts w:ascii="宋体" w:hAnsi="宋体" w:cs="宋体" w:eastAsia="宋体" w:hint="default"/>
                <w:sz w:val="20"/>
                <w:szCs w:val="20"/>
              </w:rPr>
            </w:r>
          </w:p>
        </w:tc>
      </w:tr>
      <w:tr>
        <w:trPr>
          <w:trHeight w:val="343" w:hRule="exact"/>
        </w:trPr>
        <w:tc>
          <w:tcPr>
            <w:tcW w:w="2148" w:type="dxa"/>
            <w:vMerge w:val="restart"/>
            <w:tcBorders>
              <w:top w:val="single" w:sz="4" w:space="0" w:color="000000"/>
              <w:left w:val="single" w:sz="4" w:space="0" w:color="000000"/>
              <w:right w:val="single" w:sz="4" w:space="0" w:color="000000"/>
            </w:tcBorders>
          </w:tcPr>
          <w:p>
            <w:pPr>
              <w:pStyle w:val="TableParagraph"/>
              <w:spacing w:line="285" w:lineRule="auto" w:before="1"/>
              <w:ind w:left="7" w:right="7"/>
              <w:jc w:val="both"/>
              <w:rPr>
                <w:rFonts w:ascii="宋体" w:hAnsi="宋体" w:cs="宋体" w:eastAsia="宋体" w:hint="default"/>
                <w:sz w:val="20"/>
                <w:szCs w:val="20"/>
              </w:rPr>
            </w:pPr>
            <w:r>
              <w:rPr>
                <w:rFonts w:ascii="宋体" w:hAnsi="宋体" w:cs="宋体" w:eastAsia="宋体" w:hint="default"/>
                <w:spacing w:val="12"/>
                <w:sz w:val="20"/>
                <w:szCs w:val="20"/>
              </w:rPr>
              <w:t>将应收票据及应收账款</w:t>
            </w:r>
            <w:r>
              <w:rPr>
                <w:rFonts w:ascii="宋体" w:hAnsi="宋体" w:cs="宋体" w:eastAsia="宋体" w:hint="default"/>
                <w:w w:val="99"/>
                <w:sz w:val="20"/>
                <w:szCs w:val="20"/>
              </w:rPr>
              <w:t> </w:t>
            </w:r>
            <w:r>
              <w:rPr>
                <w:rFonts w:ascii="宋体" w:hAnsi="宋体" w:cs="宋体" w:eastAsia="宋体" w:hint="default"/>
                <w:spacing w:val="12"/>
                <w:sz w:val="20"/>
                <w:szCs w:val="20"/>
              </w:rPr>
              <w:t>项目分拆为应收票据项</w:t>
            </w:r>
            <w:r>
              <w:rPr>
                <w:rFonts w:ascii="宋体" w:hAnsi="宋体" w:cs="宋体" w:eastAsia="宋体" w:hint="default"/>
                <w:w w:val="99"/>
                <w:sz w:val="20"/>
                <w:szCs w:val="20"/>
              </w:rPr>
              <w:t> </w:t>
            </w:r>
            <w:r>
              <w:rPr>
                <w:rFonts w:ascii="宋体" w:hAnsi="宋体" w:cs="宋体" w:eastAsia="宋体" w:hint="default"/>
                <w:sz w:val="20"/>
                <w:szCs w:val="20"/>
              </w:rPr>
              <w:t>目和应收账款项目</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1615"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148" w:type="dxa"/>
            <w:vMerge/>
            <w:tcBorders>
              <w:left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615"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w w:val="95"/>
                <w:sz w:val="20"/>
              </w:rPr>
              <w:t>154,246,153.78</w:t>
            </w:r>
            <w:r>
              <w:rPr>
                <w:rFonts w:ascii="Times New Roman"/>
                <w:sz w:val="20"/>
              </w:rPr>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w w:val="95"/>
                <w:sz w:val="20"/>
              </w:rPr>
              <w:t>154,246,153.78</w:t>
            </w:r>
            <w:r>
              <w:rPr>
                <w:rFonts w:ascii="Times New Roman"/>
                <w:sz w:val="20"/>
              </w:rPr>
            </w:r>
          </w:p>
        </w:tc>
      </w:tr>
      <w:tr>
        <w:trPr>
          <w:trHeight w:val="655" w:hRule="exact"/>
        </w:trPr>
        <w:tc>
          <w:tcPr>
            <w:tcW w:w="2148" w:type="dxa"/>
            <w:vMerge/>
            <w:tcBorders>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
              <w:ind w:left="4" w:right="6"/>
              <w:jc w:val="left"/>
              <w:rPr>
                <w:rFonts w:ascii="宋体" w:hAnsi="宋体" w:cs="宋体" w:eastAsia="宋体" w:hint="default"/>
                <w:sz w:val="20"/>
                <w:szCs w:val="20"/>
              </w:rPr>
            </w:pPr>
            <w:r>
              <w:rPr>
                <w:rFonts w:ascii="宋体" w:hAnsi="宋体" w:cs="宋体" w:eastAsia="宋体" w:hint="default"/>
                <w:sz w:val="20"/>
                <w:szCs w:val="20"/>
              </w:rPr>
              <w:t>应</w:t>
            </w:r>
            <w:r>
              <w:rPr>
                <w:rFonts w:ascii="宋体" w:hAnsi="宋体" w:cs="宋体" w:eastAsia="宋体" w:hint="default"/>
                <w:spacing w:val="-54"/>
                <w:sz w:val="20"/>
                <w:szCs w:val="20"/>
              </w:rPr>
              <w:t> </w:t>
            </w:r>
            <w:r>
              <w:rPr>
                <w:rFonts w:ascii="宋体" w:hAnsi="宋体" w:cs="宋体" w:eastAsia="宋体" w:hint="default"/>
                <w:sz w:val="20"/>
                <w:szCs w:val="20"/>
              </w:rPr>
              <w:t>收</w:t>
            </w:r>
            <w:r>
              <w:rPr>
                <w:rFonts w:ascii="宋体" w:hAnsi="宋体" w:cs="宋体" w:eastAsia="宋体" w:hint="default"/>
                <w:spacing w:val="-54"/>
                <w:sz w:val="20"/>
                <w:szCs w:val="20"/>
              </w:rPr>
              <w:t> </w:t>
            </w:r>
            <w:r>
              <w:rPr>
                <w:rFonts w:ascii="宋体" w:hAnsi="宋体" w:cs="宋体" w:eastAsia="宋体" w:hint="default"/>
                <w:sz w:val="20"/>
                <w:szCs w:val="20"/>
              </w:rPr>
              <w:t>票</w:t>
            </w:r>
            <w:r>
              <w:rPr>
                <w:rFonts w:ascii="宋体" w:hAnsi="宋体" w:cs="宋体" w:eastAsia="宋体" w:hint="default"/>
                <w:spacing w:val="-51"/>
                <w:sz w:val="20"/>
                <w:szCs w:val="20"/>
              </w:rPr>
              <w:t> </w:t>
            </w:r>
            <w:r>
              <w:rPr>
                <w:rFonts w:ascii="宋体" w:hAnsi="宋体" w:cs="宋体" w:eastAsia="宋体" w:hint="default"/>
                <w:sz w:val="20"/>
                <w:szCs w:val="20"/>
              </w:rPr>
              <w:t>据</w:t>
            </w:r>
            <w:r>
              <w:rPr>
                <w:rFonts w:ascii="宋体" w:hAnsi="宋体" w:cs="宋体" w:eastAsia="宋体" w:hint="default"/>
                <w:spacing w:val="-54"/>
                <w:sz w:val="20"/>
                <w:szCs w:val="20"/>
              </w:rPr>
              <w:t> </w:t>
            </w:r>
            <w:r>
              <w:rPr>
                <w:rFonts w:ascii="宋体" w:hAnsi="宋体" w:cs="宋体" w:eastAsia="宋体" w:hint="default"/>
                <w:sz w:val="20"/>
                <w:szCs w:val="20"/>
              </w:rPr>
              <w:t>及</w:t>
            </w:r>
            <w:r>
              <w:rPr>
                <w:rFonts w:ascii="宋体" w:hAnsi="宋体" w:cs="宋体" w:eastAsia="宋体" w:hint="default"/>
                <w:w w:val="99"/>
                <w:sz w:val="20"/>
                <w:szCs w:val="20"/>
              </w:rPr>
              <w:t> </w:t>
            </w:r>
            <w:r>
              <w:rPr>
                <w:rFonts w:ascii="宋体" w:hAnsi="宋体" w:cs="宋体" w:eastAsia="宋体" w:hint="default"/>
                <w:sz w:val="20"/>
                <w:szCs w:val="20"/>
              </w:rPr>
              <w:t>应收账款</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154,246,153.78</w:t>
            </w:r>
            <w:r>
              <w:rPr>
                <w:rFonts w:ascii="Times New Roman"/>
                <w:sz w:val="20"/>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-154,246,153.78</w:t>
            </w:r>
            <w:r>
              <w:rPr>
                <w:rFonts w:ascii="Times New Roman"/>
                <w:sz w:val="20"/>
              </w:rPr>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1" w:hRule="exact"/>
        </w:trPr>
        <w:tc>
          <w:tcPr>
            <w:tcW w:w="2148" w:type="dxa"/>
            <w:vMerge w:val="restart"/>
            <w:tcBorders>
              <w:top w:val="single" w:sz="4" w:space="0" w:color="000000"/>
              <w:left w:val="single" w:sz="4" w:space="0" w:color="000000"/>
              <w:right w:val="single" w:sz="4" w:space="0" w:color="000000"/>
            </w:tcBorders>
          </w:tcPr>
          <w:p>
            <w:pPr>
              <w:pStyle w:val="TableParagraph"/>
              <w:spacing w:line="240" w:lineRule="auto" w:before="1"/>
              <w:ind w:left="7" w:right="0"/>
              <w:jc w:val="both"/>
              <w:rPr>
                <w:rFonts w:ascii="宋体" w:hAnsi="宋体" w:cs="宋体" w:eastAsia="宋体" w:hint="default"/>
                <w:sz w:val="20"/>
                <w:szCs w:val="20"/>
              </w:rPr>
            </w:pPr>
            <w:r>
              <w:rPr>
                <w:rFonts w:ascii="宋体" w:hAnsi="宋体" w:cs="宋体" w:eastAsia="宋体" w:hint="default"/>
                <w:spacing w:val="12"/>
                <w:sz w:val="20"/>
                <w:szCs w:val="20"/>
              </w:rPr>
              <w:t>递延收益预计在一年内</w:t>
            </w:r>
          </w:p>
          <w:p>
            <w:pPr>
              <w:pStyle w:val="TableParagraph"/>
              <w:spacing w:line="278" w:lineRule="auto" w:before="50"/>
              <w:ind w:left="7" w:right="-1"/>
              <w:jc w:val="both"/>
              <w:rPr>
                <w:rFonts w:ascii="Times New Roman" w:hAnsi="Times New Roman" w:cs="Times New Roman" w:eastAsia="Times New Roman" w:hint="default"/>
                <w:sz w:val="20"/>
                <w:szCs w:val="20"/>
              </w:rPr>
            </w:pPr>
            <w:r>
              <w:rPr>
                <w:rFonts w:ascii="宋体" w:hAnsi="宋体" w:cs="宋体" w:eastAsia="宋体" w:hint="default"/>
                <w:spacing w:val="-7"/>
                <w:sz w:val="20"/>
                <w:szCs w:val="20"/>
              </w:rPr>
              <w:t>（含一年）进行摊销的部</w:t>
            </w:r>
            <w:r>
              <w:rPr>
                <w:rFonts w:ascii="宋体" w:hAnsi="宋体" w:cs="宋体" w:eastAsia="宋体" w:hint="default"/>
                <w:w w:val="99"/>
                <w:sz w:val="20"/>
                <w:szCs w:val="20"/>
              </w:rPr>
              <w:t> </w:t>
            </w:r>
            <w:r>
              <w:rPr>
                <w:rFonts w:ascii="宋体" w:hAnsi="宋体" w:cs="宋体" w:eastAsia="宋体" w:hint="default"/>
                <w:spacing w:val="3"/>
                <w:sz w:val="20"/>
                <w:szCs w:val="20"/>
              </w:rPr>
              <w:t>分不转入</w:t>
            </w:r>
            <w:r>
              <w:rPr>
                <w:rFonts w:ascii="Times New Roman" w:hAnsi="Times New Roman" w:cs="Times New Roman" w:eastAsia="Times New Roman" w:hint="default"/>
                <w:spacing w:val="3"/>
                <w:sz w:val="20"/>
                <w:szCs w:val="20"/>
              </w:rPr>
              <w:t>“</w:t>
            </w:r>
            <w:r>
              <w:rPr>
                <w:rFonts w:ascii="宋体" w:hAnsi="宋体" w:cs="宋体" w:eastAsia="宋体" w:hint="default"/>
                <w:spacing w:val="3"/>
                <w:sz w:val="20"/>
                <w:szCs w:val="20"/>
              </w:rPr>
              <w:t>一年内到期的</w:t>
            </w:r>
            <w:r>
              <w:rPr>
                <w:rFonts w:ascii="宋体" w:hAnsi="宋体" w:cs="宋体" w:eastAsia="宋体" w:hint="default"/>
                <w:spacing w:val="4"/>
                <w:w w:val="99"/>
                <w:sz w:val="20"/>
                <w:szCs w:val="20"/>
              </w:rPr>
              <w:t> </w:t>
            </w:r>
            <w:r>
              <w:rPr>
                <w:rFonts w:ascii="宋体" w:hAnsi="宋体" w:cs="宋体" w:eastAsia="宋体" w:hint="default"/>
                <w:sz w:val="20"/>
                <w:szCs w:val="20"/>
              </w:rPr>
              <w:t>非流负债</w:t>
            </w:r>
            <w:r>
              <w:rPr>
                <w:rFonts w:ascii="Times New Roman" w:hAnsi="Times New Roman" w:cs="Times New Roman" w:eastAsia="Times New Roman" w:hint="default"/>
                <w:sz w:val="20"/>
                <w:szCs w:val="20"/>
              </w:rPr>
              <w:t>”</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递延收益</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1,643,333.47</w:t>
            </w:r>
            <w:r>
              <w:rPr>
                <w:rFonts w:ascii="Times New Roman"/>
                <w:sz w:val="20"/>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10,123,925.06</w:t>
            </w:r>
            <w:r>
              <w:rPr>
                <w:rFonts w:ascii="Times New Roman"/>
                <w:sz w:val="20"/>
              </w:rPr>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11,767,258.53</w:t>
            </w:r>
            <w:r>
              <w:rPr>
                <w:rFonts w:ascii="Times New Roman"/>
                <w:sz w:val="20"/>
              </w:rPr>
            </w:r>
          </w:p>
        </w:tc>
      </w:tr>
      <w:tr>
        <w:trPr>
          <w:trHeight w:val="936" w:hRule="exact"/>
        </w:trPr>
        <w:tc>
          <w:tcPr>
            <w:tcW w:w="2148" w:type="dxa"/>
            <w:vMerge/>
            <w:tcBorders>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
              <w:ind w:left="4" w:right="198"/>
              <w:jc w:val="left"/>
              <w:rPr>
                <w:rFonts w:ascii="宋体" w:hAnsi="宋体" w:cs="宋体" w:eastAsia="宋体" w:hint="default"/>
                <w:sz w:val="20"/>
                <w:szCs w:val="20"/>
              </w:rPr>
            </w:pPr>
            <w:r>
              <w:rPr>
                <w:rFonts w:ascii="宋体" w:hAnsi="宋体" w:cs="宋体" w:eastAsia="宋体" w:hint="default"/>
                <w:sz w:val="20"/>
                <w:szCs w:val="20"/>
              </w:rPr>
              <w:t>其他流动负</w:t>
            </w:r>
            <w:r>
              <w:rPr>
                <w:rFonts w:ascii="宋体" w:hAnsi="宋体" w:cs="宋体" w:eastAsia="宋体" w:hint="default"/>
                <w:w w:val="99"/>
                <w:sz w:val="20"/>
                <w:szCs w:val="20"/>
              </w:rPr>
              <w:t> </w:t>
            </w:r>
            <w:r>
              <w:rPr>
                <w:rFonts w:ascii="宋体" w:hAnsi="宋体" w:cs="宋体" w:eastAsia="宋体" w:hint="default"/>
                <w:sz w:val="20"/>
                <w:szCs w:val="20"/>
              </w:rPr>
              <w:t>债</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10,123,925.06</w:t>
            </w:r>
            <w:r>
              <w:rPr>
                <w:rFonts w:ascii="Times New Roman"/>
                <w:sz w:val="20"/>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-10,123,925.06</w:t>
            </w:r>
            <w:r>
              <w:rPr>
                <w:rFonts w:ascii="Times New Roman"/>
                <w:sz w:val="20"/>
              </w:rPr>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55" w:hRule="exact"/>
        </w:trPr>
        <w:tc>
          <w:tcPr>
            <w:tcW w:w="2148" w:type="dxa"/>
            <w:vMerge w:val="restart"/>
            <w:tcBorders>
              <w:top w:val="single" w:sz="4" w:space="0" w:color="000000"/>
              <w:left w:val="single" w:sz="4" w:space="0" w:color="000000"/>
              <w:right w:val="single" w:sz="4" w:space="0" w:color="000000"/>
            </w:tcBorders>
          </w:tcPr>
          <w:p>
            <w:pPr>
              <w:pStyle w:val="TableParagraph"/>
              <w:spacing w:line="280" w:lineRule="auto" w:before="1"/>
              <w:ind w:left="7" w:right="-1"/>
              <w:jc w:val="both"/>
              <w:rPr>
                <w:rFonts w:ascii="Times New Roman" w:hAnsi="Times New Roman" w:cs="Times New Roman" w:eastAsia="Times New Roman" w:hint="default"/>
                <w:sz w:val="20"/>
                <w:szCs w:val="20"/>
              </w:rPr>
            </w:pPr>
            <w:r>
              <w:rPr>
                <w:rFonts w:ascii="宋体" w:hAnsi="宋体" w:cs="宋体" w:eastAsia="宋体" w:hint="default"/>
                <w:spacing w:val="12"/>
                <w:sz w:val="20"/>
                <w:szCs w:val="20"/>
              </w:rPr>
              <w:t>长期待摊费用预计在一</w:t>
            </w:r>
            <w:r>
              <w:rPr>
                <w:rFonts w:ascii="宋体" w:hAnsi="宋体" w:cs="宋体" w:eastAsia="宋体" w:hint="default"/>
                <w:w w:val="99"/>
                <w:sz w:val="20"/>
                <w:szCs w:val="20"/>
              </w:rPr>
              <w:t> </w:t>
            </w:r>
            <w:r>
              <w:rPr>
                <w:rFonts w:ascii="宋体" w:hAnsi="宋体" w:cs="宋体" w:eastAsia="宋体" w:hint="default"/>
                <w:spacing w:val="-7"/>
                <w:sz w:val="20"/>
                <w:szCs w:val="20"/>
              </w:rPr>
              <w:t>年内（含一年）进行摊销</w:t>
            </w:r>
            <w:r>
              <w:rPr>
                <w:rFonts w:ascii="宋体" w:hAnsi="宋体" w:cs="宋体" w:eastAsia="宋体" w:hint="default"/>
                <w:w w:val="99"/>
                <w:sz w:val="20"/>
                <w:szCs w:val="20"/>
              </w:rPr>
              <w:t> </w:t>
            </w:r>
            <w:r>
              <w:rPr>
                <w:rFonts w:ascii="宋体" w:hAnsi="宋体" w:cs="宋体" w:eastAsia="宋体" w:hint="default"/>
                <w:spacing w:val="3"/>
                <w:sz w:val="20"/>
                <w:szCs w:val="20"/>
              </w:rPr>
              <w:t>的部分不转入</w:t>
            </w:r>
            <w:r>
              <w:rPr>
                <w:rFonts w:ascii="Times New Roman" w:hAnsi="Times New Roman" w:cs="Times New Roman" w:eastAsia="Times New Roman" w:hint="default"/>
                <w:spacing w:val="3"/>
                <w:sz w:val="20"/>
                <w:szCs w:val="20"/>
              </w:rPr>
              <w:t>“</w:t>
            </w:r>
            <w:r>
              <w:rPr>
                <w:rFonts w:ascii="宋体" w:hAnsi="宋体" w:cs="宋体" w:eastAsia="宋体" w:hint="default"/>
                <w:spacing w:val="3"/>
                <w:sz w:val="20"/>
                <w:szCs w:val="20"/>
              </w:rPr>
              <w:t>一年内到</w:t>
            </w:r>
            <w:r>
              <w:rPr>
                <w:rFonts w:ascii="宋体" w:hAnsi="宋体" w:cs="宋体" w:eastAsia="宋体" w:hint="default"/>
                <w:spacing w:val="4"/>
                <w:w w:val="99"/>
                <w:sz w:val="20"/>
                <w:szCs w:val="20"/>
              </w:rPr>
              <w:t> </w:t>
            </w:r>
            <w:r>
              <w:rPr>
                <w:rFonts w:ascii="宋体" w:hAnsi="宋体" w:cs="宋体" w:eastAsia="宋体" w:hint="default"/>
                <w:sz w:val="20"/>
                <w:szCs w:val="20"/>
              </w:rPr>
              <w:t>期的非流动资产</w:t>
            </w:r>
            <w:r>
              <w:rPr>
                <w:rFonts w:ascii="Times New Roman" w:hAnsi="Times New Roman" w:cs="Times New Roman" w:eastAsia="Times New Roman" w:hint="default"/>
                <w:sz w:val="20"/>
                <w:szCs w:val="20"/>
              </w:rPr>
              <w:t>”</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
              <w:ind w:left="4" w:right="198"/>
              <w:jc w:val="left"/>
              <w:rPr>
                <w:rFonts w:ascii="宋体" w:hAnsi="宋体" w:cs="宋体" w:eastAsia="宋体" w:hint="default"/>
                <w:sz w:val="20"/>
                <w:szCs w:val="20"/>
              </w:rPr>
            </w:pPr>
            <w:r>
              <w:rPr>
                <w:rFonts w:ascii="宋体" w:hAnsi="宋体" w:cs="宋体" w:eastAsia="宋体" w:hint="default"/>
                <w:sz w:val="20"/>
                <w:szCs w:val="20"/>
              </w:rPr>
              <w:t>长期待摊费</w:t>
            </w:r>
            <w:r>
              <w:rPr>
                <w:rFonts w:ascii="宋体" w:hAnsi="宋体" w:cs="宋体" w:eastAsia="宋体" w:hint="default"/>
                <w:w w:val="99"/>
                <w:sz w:val="20"/>
                <w:szCs w:val="20"/>
              </w:rPr>
              <w:t> </w:t>
            </w:r>
            <w:r>
              <w:rPr>
                <w:rFonts w:ascii="宋体" w:hAnsi="宋体" w:cs="宋体" w:eastAsia="宋体" w:hint="default"/>
                <w:sz w:val="20"/>
                <w:szCs w:val="20"/>
              </w:rPr>
              <w:t>用</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9,920,461.71</w:t>
            </w:r>
            <w:r>
              <w:rPr>
                <w:rFonts w:ascii="Times New Roman"/>
                <w:sz w:val="20"/>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7,214,642.64</w:t>
            </w:r>
            <w:r>
              <w:rPr>
                <w:rFonts w:ascii="Times New Roman"/>
                <w:sz w:val="20"/>
              </w:rPr>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17,135,104.35</w:t>
            </w:r>
            <w:r>
              <w:rPr>
                <w:rFonts w:ascii="Times New Roman"/>
                <w:sz w:val="20"/>
              </w:rPr>
            </w:r>
          </w:p>
        </w:tc>
      </w:tr>
      <w:tr>
        <w:trPr>
          <w:trHeight w:val="965" w:hRule="exact"/>
        </w:trPr>
        <w:tc>
          <w:tcPr>
            <w:tcW w:w="2148" w:type="dxa"/>
            <w:vMerge/>
            <w:tcBorders>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
              <w:ind w:left="4" w:right="198"/>
              <w:jc w:val="both"/>
              <w:rPr>
                <w:rFonts w:ascii="宋体" w:hAnsi="宋体" w:cs="宋体" w:eastAsia="宋体" w:hint="default"/>
                <w:sz w:val="20"/>
                <w:szCs w:val="20"/>
              </w:rPr>
            </w:pPr>
            <w:r>
              <w:rPr>
                <w:rFonts w:ascii="宋体" w:hAnsi="宋体" w:cs="宋体" w:eastAsia="宋体" w:hint="default"/>
                <w:sz w:val="20"/>
                <w:szCs w:val="20"/>
              </w:rPr>
              <w:t>一年内到期</w:t>
            </w:r>
            <w:r>
              <w:rPr>
                <w:rFonts w:ascii="宋体" w:hAnsi="宋体" w:cs="宋体" w:eastAsia="宋体" w:hint="default"/>
                <w:w w:val="99"/>
                <w:sz w:val="20"/>
                <w:szCs w:val="20"/>
              </w:rPr>
              <w:t> </w:t>
            </w:r>
            <w:r>
              <w:rPr>
                <w:rFonts w:ascii="宋体" w:hAnsi="宋体" w:cs="宋体" w:eastAsia="宋体" w:hint="default"/>
                <w:sz w:val="20"/>
                <w:szCs w:val="20"/>
              </w:rPr>
              <w:t>的非流动资</w:t>
            </w:r>
            <w:r>
              <w:rPr>
                <w:rFonts w:ascii="宋体" w:hAnsi="宋体" w:cs="宋体" w:eastAsia="宋体" w:hint="default"/>
                <w:w w:val="99"/>
                <w:sz w:val="20"/>
                <w:szCs w:val="20"/>
              </w:rPr>
              <w:t> </w:t>
            </w:r>
            <w:r>
              <w:rPr>
                <w:rFonts w:ascii="宋体" w:hAnsi="宋体" w:cs="宋体" w:eastAsia="宋体" w:hint="default"/>
                <w:sz w:val="20"/>
                <w:szCs w:val="20"/>
              </w:rPr>
              <w:t>产</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7,214,642.64</w:t>
            </w:r>
            <w:r>
              <w:rPr>
                <w:rFonts w:ascii="Times New Roman"/>
                <w:sz w:val="20"/>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-7,214,642.64</w:t>
            </w:r>
            <w:r>
              <w:rPr>
                <w:rFonts w:ascii="Times New Roman"/>
                <w:sz w:val="20"/>
              </w:rPr>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3" w:hRule="exact"/>
        </w:trPr>
        <w:tc>
          <w:tcPr>
            <w:tcW w:w="2148" w:type="dxa"/>
            <w:vMerge w:val="restart"/>
            <w:tcBorders>
              <w:top w:val="single" w:sz="4" w:space="0" w:color="000000"/>
              <w:left w:val="single" w:sz="4" w:space="0" w:color="000000"/>
              <w:right w:val="single" w:sz="4" w:space="0" w:color="000000"/>
            </w:tcBorders>
          </w:tcPr>
          <w:p>
            <w:pPr>
              <w:pStyle w:val="TableParagraph"/>
              <w:spacing w:line="283" w:lineRule="auto" w:before="1"/>
              <w:ind w:left="7" w:right="5"/>
              <w:jc w:val="both"/>
              <w:rPr>
                <w:rFonts w:ascii="宋体" w:hAnsi="宋体" w:cs="宋体" w:eastAsia="宋体" w:hint="default"/>
                <w:sz w:val="20"/>
                <w:szCs w:val="20"/>
              </w:rPr>
            </w:pPr>
            <w:r>
              <w:rPr>
                <w:rFonts w:ascii="宋体" w:hAnsi="宋体" w:cs="宋体" w:eastAsia="宋体" w:hint="default"/>
                <w:spacing w:val="6"/>
                <w:sz w:val="20"/>
                <w:szCs w:val="20"/>
              </w:rPr>
              <w:t>其他应付款</w:t>
            </w:r>
            <w:r>
              <w:rPr>
                <w:rFonts w:ascii="Times New Roman" w:hAnsi="Times New Roman" w:cs="Times New Roman" w:eastAsia="Times New Roman" w:hint="default"/>
                <w:spacing w:val="6"/>
                <w:sz w:val="20"/>
                <w:szCs w:val="20"/>
              </w:rPr>
              <w:t>-</w:t>
            </w:r>
            <w:r>
              <w:rPr>
                <w:rFonts w:ascii="Times New Roman" w:hAnsi="Times New Roman" w:cs="Times New Roman" w:eastAsia="Times New Roman" w:hint="default"/>
                <w:spacing w:val="6"/>
                <w:sz w:val="20"/>
                <w:szCs w:val="20"/>
              </w:rPr>
              <w:t>“</w:t>
            </w:r>
            <w:r>
              <w:rPr>
                <w:rFonts w:ascii="宋体" w:hAnsi="宋体" w:cs="宋体" w:eastAsia="宋体" w:hint="default"/>
                <w:spacing w:val="6"/>
                <w:sz w:val="20"/>
                <w:szCs w:val="20"/>
              </w:rPr>
              <w:t>应付利息</w:t>
            </w:r>
            <w:r>
              <w:rPr>
                <w:rFonts w:ascii="Times New Roman" w:hAnsi="Times New Roman" w:cs="Times New Roman" w:eastAsia="Times New Roman" w:hint="default"/>
                <w:spacing w:val="6"/>
                <w:sz w:val="20"/>
                <w:szCs w:val="20"/>
              </w:rPr>
              <w:t>”</w:t>
            </w:r>
            <w:r>
              <w:rPr>
                <w:rFonts w:ascii="Times New Roman" w:hAnsi="Times New Roman" w:cs="Times New Roman" w:eastAsia="Times New Roman" w:hint="default"/>
                <w:w w:val="99"/>
                <w:sz w:val="20"/>
                <w:szCs w:val="20"/>
              </w:rPr>
              <w:t> </w:t>
            </w:r>
            <w:r>
              <w:rPr>
                <w:rFonts w:ascii="宋体" w:hAnsi="宋体" w:cs="宋体" w:eastAsia="宋体" w:hint="default"/>
                <w:spacing w:val="12"/>
                <w:sz w:val="20"/>
                <w:szCs w:val="20"/>
              </w:rPr>
              <w:t>仅反映相关金融工具已</w:t>
            </w:r>
            <w:r>
              <w:rPr>
                <w:rFonts w:ascii="宋体" w:hAnsi="宋体" w:cs="宋体" w:eastAsia="宋体" w:hint="default"/>
                <w:w w:val="99"/>
                <w:sz w:val="20"/>
                <w:szCs w:val="20"/>
              </w:rPr>
              <w:t> </w:t>
            </w:r>
            <w:r>
              <w:rPr>
                <w:rFonts w:ascii="宋体" w:hAnsi="宋体" w:cs="宋体" w:eastAsia="宋体" w:hint="default"/>
                <w:spacing w:val="12"/>
                <w:sz w:val="20"/>
                <w:szCs w:val="20"/>
              </w:rPr>
              <w:t>到期可收取但尚未收到</w:t>
            </w:r>
            <w:r>
              <w:rPr>
                <w:rFonts w:ascii="宋体" w:hAnsi="宋体" w:cs="宋体" w:eastAsia="宋体" w:hint="default"/>
                <w:w w:val="99"/>
                <w:sz w:val="20"/>
                <w:szCs w:val="20"/>
              </w:rPr>
              <w:t> </w:t>
            </w:r>
            <w:r>
              <w:rPr>
                <w:rFonts w:ascii="宋体" w:hAnsi="宋体" w:cs="宋体" w:eastAsia="宋体" w:hint="default"/>
                <w:spacing w:val="12"/>
                <w:sz w:val="20"/>
                <w:szCs w:val="20"/>
              </w:rPr>
              <w:t>或已到期应支付但尚未</w:t>
            </w:r>
            <w:r>
              <w:rPr>
                <w:rFonts w:ascii="宋体" w:hAnsi="宋体" w:cs="宋体" w:eastAsia="宋体" w:hint="default"/>
                <w:w w:val="99"/>
                <w:sz w:val="20"/>
                <w:szCs w:val="20"/>
              </w:rPr>
              <w:t> </w:t>
            </w:r>
            <w:r>
              <w:rPr>
                <w:rFonts w:ascii="宋体" w:hAnsi="宋体" w:cs="宋体" w:eastAsia="宋体" w:hint="default"/>
                <w:spacing w:val="-7"/>
                <w:sz w:val="20"/>
                <w:szCs w:val="20"/>
              </w:rPr>
              <w:t>支付的利息，基于实际利</w:t>
            </w:r>
            <w:r>
              <w:rPr>
                <w:rFonts w:ascii="宋体" w:hAnsi="宋体" w:cs="宋体" w:eastAsia="宋体" w:hint="default"/>
                <w:w w:val="99"/>
                <w:sz w:val="20"/>
                <w:szCs w:val="20"/>
              </w:rPr>
              <w:t> </w:t>
            </w:r>
            <w:r>
              <w:rPr>
                <w:rFonts w:ascii="宋体" w:hAnsi="宋体" w:cs="宋体" w:eastAsia="宋体" w:hint="default"/>
                <w:spacing w:val="12"/>
                <w:sz w:val="20"/>
                <w:szCs w:val="20"/>
              </w:rPr>
              <w:t>率法计提的利息应包含</w:t>
            </w:r>
            <w:r>
              <w:rPr>
                <w:rFonts w:ascii="宋体" w:hAnsi="宋体" w:cs="宋体" w:eastAsia="宋体" w:hint="default"/>
                <w:w w:val="99"/>
                <w:sz w:val="20"/>
                <w:szCs w:val="20"/>
              </w:rPr>
              <w:t> </w:t>
            </w:r>
            <w:r>
              <w:rPr>
                <w:rFonts w:ascii="宋体" w:hAnsi="宋体" w:cs="宋体" w:eastAsia="宋体" w:hint="default"/>
                <w:spacing w:val="12"/>
                <w:sz w:val="20"/>
                <w:szCs w:val="20"/>
              </w:rPr>
              <w:t>在相应金融工具的账面</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119,599.99</w:t>
            </w:r>
            <w:r>
              <w:rPr>
                <w:rFonts w:ascii="Times New Roman"/>
                <w:sz w:val="20"/>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-119,599.99</w:t>
            </w:r>
            <w:r>
              <w:rPr>
                <w:rFonts w:ascii="Times New Roman"/>
                <w:sz w:val="20"/>
              </w:rPr>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1872" w:hRule="exact"/>
        </w:trPr>
        <w:tc>
          <w:tcPr>
            <w:tcW w:w="2148" w:type="dxa"/>
            <w:vMerge/>
            <w:tcBorders>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60,000,000.00</w:t>
            </w:r>
            <w:r>
              <w:rPr>
                <w:rFonts w:ascii="Times New Roman"/>
                <w:sz w:val="20"/>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119,599.99</w:t>
            </w:r>
            <w:r>
              <w:rPr>
                <w:rFonts w:ascii="Times New Roman"/>
                <w:sz w:val="20"/>
              </w:rPr>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60,119,599.99</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48"/>
        <w:gridCol w:w="1213"/>
        <w:gridCol w:w="1615"/>
        <w:gridCol w:w="1776"/>
        <w:gridCol w:w="1664"/>
      </w:tblGrid>
      <w:tr>
        <w:trPr>
          <w:trHeight w:val="343"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余额中</w:t>
            </w:r>
          </w:p>
        </w:tc>
        <w:tc>
          <w:tcPr>
            <w:tcW w:w="1213"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148" w:type="dxa"/>
            <w:vMerge w:val="restart"/>
            <w:tcBorders>
              <w:top w:val="single" w:sz="4" w:space="0" w:color="000000"/>
              <w:left w:val="single" w:sz="4" w:space="0" w:color="000000"/>
              <w:right w:val="single" w:sz="4" w:space="0" w:color="000000"/>
            </w:tcBorders>
          </w:tcPr>
          <w:p>
            <w:pPr>
              <w:pStyle w:val="TableParagraph"/>
              <w:spacing w:line="285" w:lineRule="auto" w:before="2"/>
              <w:ind w:left="7" w:right="7"/>
              <w:jc w:val="both"/>
              <w:rPr>
                <w:rFonts w:ascii="宋体" w:hAnsi="宋体" w:cs="宋体" w:eastAsia="宋体" w:hint="default"/>
                <w:sz w:val="20"/>
                <w:szCs w:val="20"/>
              </w:rPr>
            </w:pPr>
            <w:r>
              <w:rPr>
                <w:rFonts w:ascii="宋体" w:hAnsi="宋体" w:cs="宋体" w:eastAsia="宋体" w:hint="default"/>
                <w:spacing w:val="12"/>
                <w:sz w:val="20"/>
                <w:szCs w:val="20"/>
              </w:rPr>
              <w:t>将应付票据及应付账款</w:t>
            </w:r>
            <w:r>
              <w:rPr>
                <w:rFonts w:ascii="宋体" w:hAnsi="宋体" w:cs="宋体" w:eastAsia="宋体" w:hint="default"/>
                <w:w w:val="99"/>
                <w:sz w:val="20"/>
                <w:szCs w:val="20"/>
              </w:rPr>
              <w:t> </w:t>
            </w:r>
            <w:r>
              <w:rPr>
                <w:rFonts w:ascii="宋体" w:hAnsi="宋体" w:cs="宋体" w:eastAsia="宋体" w:hint="default"/>
                <w:spacing w:val="12"/>
                <w:sz w:val="20"/>
                <w:szCs w:val="20"/>
              </w:rPr>
              <w:t>项目分拆为应付票据项</w:t>
            </w:r>
            <w:r>
              <w:rPr>
                <w:rFonts w:ascii="宋体" w:hAnsi="宋体" w:cs="宋体" w:eastAsia="宋体" w:hint="default"/>
                <w:w w:val="99"/>
                <w:sz w:val="20"/>
                <w:szCs w:val="20"/>
              </w:rPr>
              <w:t> </w:t>
            </w:r>
            <w:r>
              <w:rPr>
                <w:rFonts w:ascii="宋体" w:hAnsi="宋体" w:cs="宋体" w:eastAsia="宋体" w:hint="default"/>
                <w:sz w:val="20"/>
                <w:szCs w:val="20"/>
              </w:rPr>
              <w:t>目和应付账款项目</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1615"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148" w:type="dxa"/>
            <w:vMerge/>
            <w:tcBorders>
              <w:left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615"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53,373,071.49</w:t>
            </w:r>
            <w:r>
              <w:rPr>
                <w:rFonts w:ascii="Times New Roman"/>
                <w:sz w:val="20"/>
              </w:rPr>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53,373,071.49</w:t>
            </w:r>
            <w:r>
              <w:rPr>
                <w:rFonts w:ascii="Times New Roman"/>
                <w:sz w:val="20"/>
              </w:rPr>
            </w:r>
          </w:p>
        </w:tc>
      </w:tr>
      <w:tr>
        <w:trPr>
          <w:trHeight w:val="653" w:hRule="exact"/>
        </w:trPr>
        <w:tc>
          <w:tcPr>
            <w:tcW w:w="2148" w:type="dxa"/>
            <w:vMerge/>
            <w:tcBorders>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
              <w:ind w:left="4" w:right="6"/>
              <w:jc w:val="left"/>
              <w:rPr>
                <w:rFonts w:ascii="宋体" w:hAnsi="宋体" w:cs="宋体" w:eastAsia="宋体" w:hint="default"/>
                <w:sz w:val="20"/>
                <w:szCs w:val="20"/>
              </w:rPr>
            </w:pPr>
            <w:r>
              <w:rPr>
                <w:rFonts w:ascii="宋体" w:hAnsi="宋体" w:cs="宋体" w:eastAsia="宋体" w:hint="default"/>
                <w:sz w:val="20"/>
                <w:szCs w:val="20"/>
              </w:rPr>
              <w:t>应</w:t>
            </w:r>
            <w:r>
              <w:rPr>
                <w:rFonts w:ascii="宋体" w:hAnsi="宋体" w:cs="宋体" w:eastAsia="宋体" w:hint="default"/>
                <w:spacing w:val="-54"/>
                <w:sz w:val="20"/>
                <w:szCs w:val="20"/>
              </w:rPr>
              <w:t> </w:t>
            </w:r>
            <w:r>
              <w:rPr>
                <w:rFonts w:ascii="宋体" w:hAnsi="宋体" w:cs="宋体" w:eastAsia="宋体" w:hint="default"/>
                <w:sz w:val="20"/>
                <w:szCs w:val="20"/>
              </w:rPr>
              <w:t>付</w:t>
            </w:r>
            <w:r>
              <w:rPr>
                <w:rFonts w:ascii="宋体" w:hAnsi="宋体" w:cs="宋体" w:eastAsia="宋体" w:hint="default"/>
                <w:spacing w:val="-54"/>
                <w:sz w:val="20"/>
                <w:szCs w:val="20"/>
              </w:rPr>
              <w:t> </w:t>
            </w:r>
            <w:r>
              <w:rPr>
                <w:rFonts w:ascii="宋体" w:hAnsi="宋体" w:cs="宋体" w:eastAsia="宋体" w:hint="default"/>
                <w:sz w:val="20"/>
                <w:szCs w:val="20"/>
              </w:rPr>
              <w:t>票</w:t>
            </w:r>
            <w:r>
              <w:rPr>
                <w:rFonts w:ascii="宋体" w:hAnsi="宋体" w:cs="宋体" w:eastAsia="宋体" w:hint="default"/>
                <w:spacing w:val="-51"/>
                <w:sz w:val="20"/>
                <w:szCs w:val="20"/>
              </w:rPr>
              <w:t> </w:t>
            </w:r>
            <w:r>
              <w:rPr>
                <w:rFonts w:ascii="宋体" w:hAnsi="宋体" w:cs="宋体" w:eastAsia="宋体" w:hint="default"/>
                <w:sz w:val="20"/>
                <w:szCs w:val="20"/>
              </w:rPr>
              <w:t>据</w:t>
            </w:r>
            <w:r>
              <w:rPr>
                <w:rFonts w:ascii="宋体" w:hAnsi="宋体" w:cs="宋体" w:eastAsia="宋体" w:hint="default"/>
                <w:spacing w:val="-54"/>
                <w:sz w:val="20"/>
                <w:szCs w:val="20"/>
              </w:rPr>
              <w:t> </w:t>
            </w:r>
            <w:r>
              <w:rPr>
                <w:rFonts w:ascii="宋体" w:hAnsi="宋体" w:cs="宋体" w:eastAsia="宋体" w:hint="default"/>
                <w:sz w:val="20"/>
                <w:szCs w:val="20"/>
              </w:rPr>
              <w:t>和</w:t>
            </w:r>
            <w:r>
              <w:rPr>
                <w:rFonts w:ascii="宋体" w:hAnsi="宋体" w:cs="宋体" w:eastAsia="宋体" w:hint="default"/>
                <w:w w:val="99"/>
                <w:sz w:val="20"/>
                <w:szCs w:val="20"/>
              </w:rPr>
              <w:t> </w:t>
            </w:r>
            <w:r>
              <w:rPr>
                <w:rFonts w:ascii="宋体" w:hAnsi="宋体" w:cs="宋体" w:eastAsia="宋体" w:hint="default"/>
                <w:sz w:val="20"/>
                <w:szCs w:val="20"/>
              </w:rPr>
              <w:t>应付账款</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53" w:right="0"/>
              <w:jc w:val="left"/>
              <w:rPr>
                <w:rFonts w:ascii="Times New Roman" w:hAnsi="Times New Roman" w:cs="Times New Roman" w:eastAsia="Times New Roman" w:hint="default"/>
                <w:sz w:val="20"/>
                <w:szCs w:val="20"/>
              </w:rPr>
            </w:pPr>
            <w:r>
              <w:rPr>
                <w:rFonts w:ascii="Times New Roman"/>
                <w:sz w:val="20"/>
              </w:rPr>
              <w:t>53,373,071.49</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-53,373,071.49</w:t>
            </w:r>
            <w:r>
              <w:rPr>
                <w:rFonts w:ascii="Times New Roman"/>
                <w:sz w:val="20"/>
              </w:rPr>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bl>
    <w:p>
      <w:pPr>
        <w:spacing w:line="240" w:lineRule="auto" w:before="2"/>
        <w:rPr>
          <w:rFonts w:ascii="宋体" w:hAnsi="宋体" w:cs="宋体" w:eastAsia="宋体" w:hint="default"/>
          <w:sz w:val="14"/>
          <w:szCs w:val="14"/>
        </w:rPr>
      </w:pPr>
    </w:p>
    <w:p>
      <w:pPr>
        <w:pStyle w:val="BodyText"/>
        <w:spacing w:line="240" w:lineRule="auto" w:before="32"/>
        <w:ind w:left="952" w:right="996"/>
        <w:jc w:val="left"/>
      </w:pPr>
      <w:r>
        <w:rPr/>
        <w:t>对母公司资产负债表的影响列示如下：</w:t>
      </w:r>
    </w:p>
    <w:p>
      <w:pPr>
        <w:spacing w:line="240" w:lineRule="auto" w:before="11"/>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2028"/>
        <w:gridCol w:w="1201"/>
        <w:gridCol w:w="1706"/>
        <w:gridCol w:w="1690"/>
        <w:gridCol w:w="1791"/>
      </w:tblGrid>
      <w:tr>
        <w:trPr>
          <w:trHeight w:val="967"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
              <w:ind w:left="811" w:right="2" w:hanging="805"/>
              <w:jc w:val="left"/>
              <w:rPr>
                <w:rFonts w:ascii="宋体" w:hAnsi="宋体" w:cs="宋体" w:eastAsia="宋体" w:hint="default"/>
                <w:sz w:val="20"/>
                <w:szCs w:val="20"/>
              </w:rPr>
            </w:pPr>
            <w:r>
              <w:rPr>
                <w:rFonts w:ascii="宋体" w:hAnsi="宋体" w:cs="宋体" w:eastAsia="宋体" w:hint="default"/>
                <w:b/>
                <w:bCs/>
                <w:sz w:val="20"/>
                <w:szCs w:val="20"/>
              </w:rPr>
              <w:t>会计政策变更的内容和</w:t>
            </w:r>
            <w:r>
              <w:rPr>
                <w:rFonts w:ascii="宋体" w:hAnsi="宋体" w:cs="宋体" w:eastAsia="宋体" w:hint="default"/>
                <w:b/>
                <w:bCs/>
                <w:w w:val="99"/>
                <w:sz w:val="20"/>
                <w:szCs w:val="20"/>
              </w:rPr>
              <w:t> </w:t>
            </w:r>
            <w:r>
              <w:rPr>
                <w:rFonts w:ascii="宋体" w:hAnsi="宋体" w:cs="宋体" w:eastAsia="宋体" w:hint="default"/>
                <w:b/>
                <w:bCs/>
                <w:sz w:val="20"/>
                <w:szCs w:val="20"/>
              </w:rPr>
              <w:t>原因</w:t>
            </w:r>
            <w:r>
              <w:rPr>
                <w:rFonts w:ascii="宋体" w:hAnsi="宋体" w:cs="宋体" w:eastAsia="宋体" w:hint="default"/>
                <w:sz w:val="20"/>
                <w:szCs w:val="20"/>
              </w:rPr>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
              <w:ind w:left="95" w:right="90"/>
              <w:jc w:val="center"/>
              <w:rPr>
                <w:rFonts w:ascii="宋体" w:hAnsi="宋体" w:cs="宋体" w:eastAsia="宋体" w:hint="default"/>
                <w:sz w:val="20"/>
                <w:szCs w:val="20"/>
              </w:rPr>
            </w:pPr>
            <w:r>
              <w:rPr>
                <w:rFonts w:ascii="宋体" w:hAnsi="宋体" w:cs="宋体" w:eastAsia="宋体" w:hint="default"/>
                <w:b/>
                <w:bCs/>
                <w:sz w:val="20"/>
                <w:szCs w:val="20"/>
              </w:rPr>
              <w:t>受影响的报</w:t>
            </w:r>
            <w:r>
              <w:rPr>
                <w:rFonts w:ascii="宋体" w:hAnsi="宋体" w:cs="宋体" w:eastAsia="宋体" w:hint="default"/>
                <w:b/>
                <w:bCs/>
                <w:w w:val="99"/>
                <w:sz w:val="20"/>
                <w:szCs w:val="20"/>
              </w:rPr>
              <w:t> </w:t>
            </w:r>
            <w:r>
              <w:rPr>
                <w:rFonts w:ascii="宋体" w:hAnsi="宋体" w:cs="宋体" w:eastAsia="宋体" w:hint="default"/>
                <w:b/>
                <w:bCs/>
                <w:sz w:val="20"/>
                <w:szCs w:val="20"/>
              </w:rPr>
              <w:t>表项目和名</w:t>
            </w:r>
            <w:r>
              <w:rPr>
                <w:rFonts w:ascii="宋体" w:hAnsi="宋体" w:cs="宋体" w:eastAsia="宋体" w:hint="default"/>
                <w:b/>
                <w:bCs/>
                <w:w w:val="99"/>
                <w:sz w:val="20"/>
                <w:szCs w:val="20"/>
              </w:rPr>
              <w:t> </w:t>
            </w:r>
            <w:r>
              <w:rPr>
                <w:rFonts w:ascii="宋体" w:hAnsi="宋体" w:cs="宋体" w:eastAsia="宋体" w:hint="default"/>
                <w:b/>
                <w:bCs/>
                <w:sz w:val="20"/>
                <w:szCs w:val="20"/>
              </w:rPr>
              <w:t>称</w:t>
            </w:r>
            <w:r>
              <w:rPr>
                <w:rFonts w:ascii="宋体" w:hAnsi="宋体" w:cs="宋体" w:eastAsia="宋体" w:hint="default"/>
                <w:sz w:val="20"/>
                <w:szCs w:val="20"/>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
              <w:ind w:left="47" w:right="40" w:hanging="2"/>
              <w:jc w:val="center"/>
              <w:rPr>
                <w:rFonts w:ascii="宋体" w:hAnsi="宋体" w:cs="宋体" w:eastAsia="宋体" w:hint="default"/>
                <w:sz w:val="20"/>
                <w:szCs w:val="20"/>
              </w:rPr>
            </w:pPr>
            <w:r>
              <w:rPr>
                <w:rFonts w:ascii="宋体" w:hAnsi="宋体" w:cs="宋体" w:eastAsia="宋体" w:hint="default"/>
                <w:b/>
                <w:bCs/>
                <w:sz w:val="20"/>
                <w:szCs w:val="20"/>
              </w:rPr>
              <w:t>会计政策变更前列</w:t>
            </w:r>
            <w:r>
              <w:rPr>
                <w:rFonts w:ascii="宋体" w:hAnsi="宋体" w:cs="宋体" w:eastAsia="宋体" w:hint="default"/>
                <w:b/>
                <w:bCs/>
                <w:w w:val="99"/>
                <w:sz w:val="20"/>
                <w:szCs w:val="20"/>
              </w:rPr>
              <w:t> </w:t>
            </w:r>
            <w:r>
              <w:rPr>
                <w:rFonts w:ascii="宋体" w:hAnsi="宋体" w:cs="宋体" w:eastAsia="宋体" w:hint="default"/>
                <w:b/>
                <w:bCs/>
                <w:sz w:val="20"/>
                <w:szCs w:val="20"/>
              </w:rPr>
              <w:t>示的账面价值</w:t>
            </w:r>
            <w:r>
              <w:rPr>
                <w:rFonts w:ascii="Times New Roman" w:hAnsi="Times New Roman" w:cs="Times New Roman" w:eastAsia="Times New Roman" w:hint="default"/>
                <w:b/>
                <w:bCs/>
                <w:sz w:val="20"/>
                <w:szCs w:val="20"/>
              </w:rPr>
              <w:t>2018</w:t>
            </w:r>
            <w:r>
              <w:rPr>
                <w:rFonts w:ascii="Times New Roman" w:hAnsi="Times New Roman" w:cs="Times New Roman" w:eastAsia="Times New Roman" w:hint="default"/>
                <w:b/>
                <w:bCs/>
                <w:w w:val="99"/>
                <w:sz w:val="20"/>
                <w:szCs w:val="20"/>
              </w:rPr>
              <w:t> </w:t>
            </w:r>
            <w:r>
              <w:rPr>
                <w:rFonts w:ascii="宋体" w:hAnsi="宋体" w:cs="宋体" w:eastAsia="宋体" w:hint="default"/>
                <w:b/>
                <w:bCs/>
                <w:sz w:val="20"/>
                <w:szCs w:val="20"/>
              </w:rPr>
              <w:t>年</w:t>
            </w:r>
            <w:r>
              <w:rPr>
                <w:rFonts w:ascii="Times New Roman" w:hAnsi="Times New Roman" w:cs="Times New Roman" w:eastAsia="Times New Roman" w:hint="default"/>
                <w:b/>
                <w:bCs/>
                <w:sz w:val="20"/>
                <w:szCs w:val="20"/>
              </w:rPr>
              <w:t>12</w:t>
            </w:r>
            <w:r>
              <w:rPr>
                <w:rFonts w:ascii="宋体" w:hAnsi="宋体" w:cs="宋体" w:eastAsia="宋体" w:hint="default"/>
                <w:b/>
                <w:bCs/>
                <w:sz w:val="20"/>
                <w:szCs w:val="20"/>
              </w:rPr>
              <w:t>月</w:t>
            </w:r>
            <w:r>
              <w:rPr>
                <w:rFonts w:ascii="Times New Roman" w:hAnsi="Times New Roman" w:cs="Times New Roman" w:eastAsia="Times New Roman" w:hint="default"/>
                <w:b/>
                <w:bCs/>
                <w:sz w:val="20"/>
                <w:szCs w:val="20"/>
              </w:rPr>
              <w:t>31</w:t>
            </w:r>
            <w:r>
              <w:rPr>
                <w:rFonts w:ascii="宋体" w:hAnsi="宋体" w:cs="宋体" w:eastAsia="宋体" w:hint="default"/>
                <w:b/>
                <w:bCs/>
                <w:sz w:val="20"/>
                <w:szCs w:val="20"/>
              </w:rPr>
              <w:t>日</w:t>
            </w:r>
            <w:r>
              <w:rPr>
                <w:rFonts w:ascii="宋体" w:hAnsi="宋体" w:cs="宋体" w:eastAsia="宋体" w:hint="default"/>
                <w:sz w:val="20"/>
                <w:szCs w:val="20"/>
              </w:rPr>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37" w:right="0"/>
              <w:jc w:val="left"/>
              <w:rPr>
                <w:rFonts w:ascii="宋体" w:hAnsi="宋体" w:cs="宋体" w:eastAsia="宋体" w:hint="default"/>
                <w:sz w:val="20"/>
                <w:szCs w:val="20"/>
              </w:rPr>
            </w:pPr>
            <w:r>
              <w:rPr>
                <w:rFonts w:ascii="宋体" w:hAnsi="宋体" w:cs="宋体" w:eastAsia="宋体" w:hint="default"/>
                <w:b/>
                <w:bCs/>
                <w:spacing w:val="2"/>
                <w:sz w:val="20"/>
                <w:szCs w:val="20"/>
              </w:rPr>
              <w:t>重分类</w:t>
            </w:r>
            <w:r>
              <w:rPr>
                <w:rFonts w:ascii="宋体" w:hAnsi="宋体" w:cs="宋体" w:eastAsia="宋体" w:hint="default"/>
                <w:sz w:val="20"/>
                <w:szCs w:val="20"/>
              </w:rPr>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
              <w:ind w:left="86" w:right="86" w:hanging="3"/>
              <w:jc w:val="center"/>
              <w:rPr>
                <w:rFonts w:ascii="宋体" w:hAnsi="宋体" w:cs="宋体" w:eastAsia="宋体" w:hint="default"/>
                <w:sz w:val="20"/>
                <w:szCs w:val="20"/>
              </w:rPr>
            </w:pPr>
            <w:r>
              <w:rPr>
                <w:rFonts w:ascii="宋体" w:hAnsi="宋体" w:cs="宋体" w:eastAsia="宋体" w:hint="default"/>
                <w:b/>
                <w:bCs/>
                <w:sz w:val="20"/>
                <w:szCs w:val="20"/>
              </w:rPr>
              <w:t>会计政策变更后列</w:t>
            </w:r>
            <w:r>
              <w:rPr>
                <w:rFonts w:ascii="宋体" w:hAnsi="宋体" w:cs="宋体" w:eastAsia="宋体" w:hint="default"/>
                <w:b/>
                <w:bCs/>
                <w:w w:val="99"/>
                <w:sz w:val="20"/>
                <w:szCs w:val="20"/>
              </w:rPr>
              <w:t> </w:t>
            </w:r>
            <w:r>
              <w:rPr>
                <w:rFonts w:ascii="宋体" w:hAnsi="宋体" w:cs="宋体" w:eastAsia="宋体" w:hint="default"/>
                <w:b/>
                <w:bCs/>
                <w:sz w:val="20"/>
                <w:szCs w:val="20"/>
              </w:rPr>
              <w:t>示的账面价值</w:t>
            </w:r>
            <w:r>
              <w:rPr>
                <w:rFonts w:ascii="Times New Roman" w:hAnsi="Times New Roman" w:cs="Times New Roman" w:eastAsia="Times New Roman" w:hint="default"/>
                <w:b/>
                <w:bCs/>
                <w:sz w:val="20"/>
                <w:szCs w:val="20"/>
              </w:rPr>
              <w:t>2019</w:t>
            </w:r>
            <w:r>
              <w:rPr>
                <w:rFonts w:ascii="Times New Roman" w:hAnsi="Times New Roman" w:cs="Times New Roman" w:eastAsia="Times New Roman" w:hint="default"/>
                <w:b/>
                <w:bCs/>
                <w:w w:val="99"/>
                <w:sz w:val="20"/>
                <w:szCs w:val="20"/>
              </w:rPr>
              <w:t> </w:t>
            </w:r>
            <w:r>
              <w:rPr>
                <w:rFonts w:ascii="宋体" w:hAnsi="宋体" w:cs="宋体" w:eastAsia="宋体" w:hint="default"/>
                <w:b/>
                <w:bCs/>
                <w:sz w:val="20"/>
                <w:szCs w:val="20"/>
              </w:rPr>
              <w:t>年</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月</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日</w:t>
            </w:r>
            <w:r>
              <w:rPr>
                <w:rFonts w:ascii="宋体" w:hAnsi="宋体" w:cs="宋体" w:eastAsia="宋体" w:hint="default"/>
                <w:sz w:val="20"/>
                <w:szCs w:val="20"/>
              </w:rPr>
            </w:r>
          </w:p>
        </w:tc>
      </w:tr>
      <w:tr>
        <w:trPr>
          <w:trHeight w:val="341" w:hRule="exact"/>
        </w:trPr>
        <w:tc>
          <w:tcPr>
            <w:tcW w:w="2028" w:type="dxa"/>
            <w:vMerge w:val="restart"/>
            <w:tcBorders>
              <w:top w:val="single" w:sz="4" w:space="0" w:color="000000"/>
              <w:left w:val="single" w:sz="4" w:space="0" w:color="000000"/>
              <w:right w:val="single" w:sz="4" w:space="0" w:color="000000"/>
            </w:tcBorders>
          </w:tcPr>
          <w:p>
            <w:pPr>
              <w:pStyle w:val="TableParagraph"/>
              <w:spacing w:line="285" w:lineRule="auto" w:before="1"/>
              <w:ind w:left="7" w:right="4"/>
              <w:jc w:val="both"/>
              <w:rPr>
                <w:rFonts w:ascii="宋体" w:hAnsi="宋体" w:cs="宋体" w:eastAsia="宋体" w:hint="default"/>
                <w:sz w:val="20"/>
                <w:szCs w:val="20"/>
              </w:rPr>
            </w:pPr>
            <w:r>
              <w:rPr>
                <w:rFonts w:ascii="宋体" w:hAnsi="宋体" w:cs="宋体" w:eastAsia="宋体" w:hint="default"/>
                <w:sz w:val="20"/>
                <w:szCs w:val="20"/>
              </w:rPr>
              <w:t>将应收票据及应收账款</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项目分拆为应收票据项</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目和应收账款项目</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1706"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344" w:hRule="exact"/>
        </w:trPr>
        <w:tc>
          <w:tcPr>
            <w:tcW w:w="2028" w:type="dxa"/>
            <w:vMerge/>
            <w:tcBorders>
              <w:left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706"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
              <w:jc w:val="right"/>
              <w:rPr>
                <w:rFonts w:ascii="Times New Roman" w:hAnsi="Times New Roman" w:cs="Times New Roman" w:eastAsia="Times New Roman" w:hint="default"/>
                <w:sz w:val="20"/>
                <w:szCs w:val="20"/>
              </w:rPr>
            </w:pPr>
            <w:r>
              <w:rPr>
                <w:rFonts w:ascii="Times New Roman"/>
                <w:w w:val="95"/>
                <w:sz w:val="20"/>
              </w:rPr>
              <w:t>56,799,644.47</w:t>
            </w:r>
            <w:r>
              <w:rPr>
                <w:rFonts w:ascii="Times New Roman"/>
                <w:sz w:val="20"/>
              </w:rPr>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
              <w:jc w:val="right"/>
              <w:rPr>
                <w:rFonts w:ascii="Times New Roman" w:hAnsi="Times New Roman" w:cs="Times New Roman" w:eastAsia="Times New Roman" w:hint="default"/>
                <w:sz w:val="20"/>
                <w:szCs w:val="20"/>
              </w:rPr>
            </w:pPr>
            <w:r>
              <w:rPr>
                <w:rFonts w:ascii="Times New Roman"/>
                <w:w w:val="95"/>
                <w:sz w:val="20"/>
              </w:rPr>
              <w:t>56,799,644.47</w:t>
            </w:r>
            <w:r>
              <w:rPr>
                <w:rFonts w:ascii="Times New Roman"/>
                <w:sz w:val="20"/>
              </w:rPr>
            </w:r>
          </w:p>
        </w:tc>
      </w:tr>
      <w:tr>
        <w:trPr>
          <w:trHeight w:val="653" w:hRule="exact"/>
        </w:trPr>
        <w:tc>
          <w:tcPr>
            <w:tcW w:w="2028" w:type="dxa"/>
            <w:vMerge/>
            <w:tcBorders>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
              <w:ind w:left="7" w:right="-41"/>
              <w:jc w:val="left"/>
              <w:rPr>
                <w:rFonts w:ascii="宋体" w:hAnsi="宋体" w:cs="宋体" w:eastAsia="宋体" w:hint="default"/>
                <w:sz w:val="20"/>
                <w:szCs w:val="20"/>
              </w:rPr>
            </w:pPr>
            <w:r>
              <w:rPr>
                <w:rFonts w:ascii="宋体" w:hAnsi="宋体" w:cs="宋体" w:eastAsia="宋体" w:hint="default"/>
                <w:spacing w:val="36"/>
                <w:sz w:val="20"/>
                <w:szCs w:val="20"/>
              </w:rPr>
              <w:t>应收票据及</w:t>
            </w:r>
            <w:r>
              <w:rPr>
                <w:rFonts w:ascii="宋体" w:hAnsi="宋体" w:cs="宋体" w:eastAsia="宋体" w:hint="default"/>
                <w:spacing w:val="-55"/>
                <w:sz w:val="20"/>
                <w:szCs w:val="20"/>
              </w:rPr>
              <w:t> </w:t>
            </w:r>
            <w:r>
              <w:rPr>
                <w:rFonts w:ascii="宋体" w:hAnsi="宋体" w:cs="宋体" w:eastAsia="宋体" w:hint="default"/>
                <w:sz w:val="20"/>
                <w:szCs w:val="20"/>
              </w:rPr>
              <w:t>应收账款</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56,799,644.47</w:t>
            </w:r>
            <w:r>
              <w:rPr>
                <w:rFonts w:ascii="Times New Roman"/>
                <w:sz w:val="20"/>
              </w:rPr>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6"/>
              <w:jc w:val="right"/>
              <w:rPr>
                <w:rFonts w:ascii="Times New Roman" w:hAnsi="Times New Roman" w:cs="Times New Roman" w:eastAsia="Times New Roman" w:hint="default"/>
                <w:sz w:val="20"/>
                <w:szCs w:val="20"/>
              </w:rPr>
            </w:pPr>
            <w:r>
              <w:rPr>
                <w:rFonts w:ascii="Times New Roman"/>
                <w:w w:val="95"/>
                <w:sz w:val="20"/>
              </w:rPr>
              <w:t>-56,799,644.47</w:t>
            </w:r>
            <w:r>
              <w:rPr>
                <w:rFonts w:ascii="Times New Roman"/>
                <w:sz w:val="20"/>
              </w:rPr>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3" w:hRule="exact"/>
        </w:trPr>
        <w:tc>
          <w:tcPr>
            <w:tcW w:w="2028" w:type="dxa"/>
            <w:vMerge w:val="restart"/>
            <w:tcBorders>
              <w:top w:val="single" w:sz="4" w:space="0" w:color="000000"/>
              <w:left w:val="single" w:sz="4" w:space="0" w:color="000000"/>
              <w:right w:val="single" w:sz="4" w:space="0" w:color="000000"/>
            </w:tcBorders>
          </w:tcPr>
          <w:p>
            <w:pPr>
              <w:pStyle w:val="TableParagraph"/>
              <w:spacing w:line="240" w:lineRule="auto" w:before="1"/>
              <w:ind w:left="7" w:right="0"/>
              <w:jc w:val="both"/>
              <w:rPr>
                <w:rFonts w:ascii="宋体" w:hAnsi="宋体" w:cs="宋体" w:eastAsia="宋体" w:hint="default"/>
                <w:sz w:val="20"/>
                <w:szCs w:val="20"/>
              </w:rPr>
            </w:pPr>
            <w:r>
              <w:rPr>
                <w:rFonts w:ascii="宋体" w:hAnsi="宋体" w:cs="宋体" w:eastAsia="宋体" w:hint="default"/>
                <w:sz w:val="20"/>
                <w:szCs w:val="20"/>
              </w:rPr>
              <w:t>递延收益预计在一年内</w:t>
            </w:r>
          </w:p>
          <w:p>
            <w:pPr>
              <w:pStyle w:val="TableParagraph"/>
              <w:spacing w:line="278" w:lineRule="auto" w:before="50"/>
              <w:ind w:left="7" w:right="-13"/>
              <w:jc w:val="both"/>
              <w:rPr>
                <w:rFonts w:ascii="Times New Roman" w:hAnsi="Times New Roman" w:cs="Times New Roman" w:eastAsia="Times New Roman" w:hint="default"/>
                <w:sz w:val="20"/>
                <w:szCs w:val="20"/>
              </w:rPr>
            </w:pPr>
            <w:r>
              <w:rPr>
                <w:rFonts w:ascii="宋体" w:hAnsi="宋体" w:cs="宋体" w:eastAsia="宋体" w:hint="default"/>
                <w:sz w:val="20"/>
                <w:szCs w:val="20"/>
              </w:rPr>
              <w:t>（含一年）进行摊销的</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3"/>
                <w:sz w:val="20"/>
                <w:szCs w:val="20"/>
              </w:rPr>
              <w:t>部分不转入</w:t>
            </w:r>
            <w:r>
              <w:rPr>
                <w:rFonts w:ascii="Times New Roman" w:hAnsi="Times New Roman" w:cs="Times New Roman" w:eastAsia="Times New Roman" w:hint="default"/>
                <w:spacing w:val="13"/>
                <w:sz w:val="20"/>
                <w:szCs w:val="20"/>
              </w:rPr>
              <w:t>“</w:t>
            </w:r>
            <w:r>
              <w:rPr>
                <w:rFonts w:ascii="宋体" w:hAnsi="宋体" w:cs="宋体" w:eastAsia="宋体" w:hint="default"/>
                <w:spacing w:val="13"/>
                <w:sz w:val="20"/>
                <w:szCs w:val="20"/>
              </w:rPr>
              <w:t>一年内到</w:t>
            </w:r>
            <w:r>
              <w:rPr>
                <w:rFonts w:ascii="宋体" w:hAnsi="宋体" w:cs="宋体" w:eastAsia="宋体" w:hint="default"/>
                <w:spacing w:val="14"/>
                <w:w w:val="99"/>
                <w:sz w:val="20"/>
                <w:szCs w:val="20"/>
              </w:rPr>
              <w:t> </w:t>
            </w:r>
            <w:r>
              <w:rPr>
                <w:rFonts w:ascii="宋体" w:hAnsi="宋体" w:cs="宋体" w:eastAsia="宋体" w:hint="default"/>
                <w:sz w:val="20"/>
                <w:szCs w:val="20"/>
              </w:rPr>
              <w:t>期的非流动负债</w:t>
            </w:r>
            <w:r>
              <w:rPr>
                <w:rFonts w:ascii="Times New Roman" w:hAnsi="Times New Roman" w:cs="Times New Roman" w:eastAsia="Times New Roman" w:hint="default"/>
                <w:sz w:val="20"/>
                <w:szCs w:val="20"/>
              </w:rPr>
              <w:t>”</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递延收益</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1,643,333.47</w:t>
            </w:r>
            <w:r>
              <w:rPr>
                <w:rFonts w:ascii="Times New Roman"/>
                <w:sz w:val="20"/>
              </w:rPr>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
              <w:jc w:val="right"/>
              <w:rPr>
                <w:rFonts w:ascii="Times New Roman" w:hAnsi="Times New Roman" w:cs="Times New Roman" w:eastAsia="Times New Roman" w:hint="default"/>
                <w:sz w:val="20"/>
                <w:szCs w:val="20"/>
              </w:rPr>
            </w:pPr>
            <w:r>
              <w:rPr>
                <w:rFonts w:ascii="Times New Roman"/>
                <w:w w:val="95"/>
                <w:sz w:val="20"/>
              </w:rPr>
              <w:t>10,123,925.06</w:t>
            </w:r>
            <w:r>
              <w:rPr>
                <w:rFonts w:ascii="Times New Roman"/>
                <w:sz w:val="20"/>
              </w:rPr>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
              <w:jc w:val="right"/>
              <w:rPr>
                <w:rFonts w:ascii="Times New Roman" w:hAnsi="Times New Roman" w:cs="Times New Roman" w:eastAsia="Times New Roman" w:hint="default"/>
                <w:sz w:val="20"/>
                <w:szCs w:val="20"/>
              </w:rPr>
            </w:pPr>
            <w:r>
              <w:rPr>
                <w:rFonts w:ascii="Times New Roman"/>
                <w:w w:val="95"/>
                <w:sz w:val="20"/>
              </w:rPr>
              <w:t>11,767,258.53</w:t>
            </w:r>
            <w:r>
              <w:rPr>
                <w:rFonts w:ascii="Times New Roman"/>
                <w:sz w:val="20"/>
              </w:rPr>
            </w:r>
          </w:p>
        </w:tc>
      </w:tr>
      <w:tr>
        <w:trPr>
          <w:trHeight w:val="936" w:hRule="exact"/>
        </w:trPr>
        <w:tc>
          <w:tcPr>
            <w:tcW w:w="2028" w:type="dxa"/>
            <w:vMerge/>
            <w:tcBorders>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
              <w:ind w:left="7" w:right="183"/>
              <w:jc w:val="left"/>
              <w:rPr>
                <w:rFonts w:ascii="宋体" w:hAnsi="宋体" w:cs="宋体" w:eastAsia="宋体" w:hint="default"/>
                <w:sz w:val="20"/>
                <w:szCs w:val="20"/>
              </w:rPr>
            </w:pPr>
            <w:r>
              <w:rPr>
                <w:rFonts w:ascii="宋体" w:hAnsi="宋体" w:cs="宋体" w:eastAsia="宋体" w:hint="default"/>
                <w:sz w:val="20"/>
                <w:szCs w:val="20"/>
              </w:rPr>
              <w:t>其他流动负</w:t>
            </w:r>
            <w:r>
              <w:rPr>
                <w:rFonts w:ascii="宋体" w:hAnsi="宋体" w:cs="宋体" w:eastAsia="宋体" w:hint="default"/>
                <w:w w:val="99"/>
                <w:sz w:val="20"/>
                <w:szCs w:val="20"/>
              </w:rPr>
              <w:t> </w:t>
            </w:r>
            <w:r>
              <w:rPr>
                <w:rFonts w:ascii="宋体" w:hAnsi="宋体" w:cs="宋体" w:eastAsia="宋体" w:hint="default"/>
                <w:sz w:val="20"/>
                <w:szCs w:val="20"/>
              </w:rPr>
              <w:t>债</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10,123,925.06</w:t>
            </w:r>
            <w:r>
              <w:rPr>
                <w:rFonts w:ascii="Times New Roman"/>
                <w:sz w:val="20"/>
              </w:rPr>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6"/>
              <w:jc w:val="right"/>
              <w:rPr>
                <w:rFonts w:ascii="Times New Roman" w:hAnsi="Times New Roman" w:cs="Times New Roman" w:eastAsia="Times New Roman" w:hint="default"/>
                <w:sz w:val="20"/>
                <w:szCs w:val="20"/>
              </w:rPr>
            </w:pPr>
            <w:r>
              <w:rPr>
                <w:rFonts w:ascii="Times New Roman"/>
                <w:w w:val="95"/>
                <w:sz w:val="20"/>
              </w:rPr>
              <w:t>-10,123,925.06</w:t>
            </w:r>
            <w:r>
              <w:rPr>
                <w:rFonts w:ascii="Times New Roman"/>
                <w:sz w:val="20"/>
              </w:rPr>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53" w:hRule="exact"/>
        </w:trPr>
        <w:tc>
          <w:tcPr>
            <w:tcW w:w="2028" w:type="dxa"/>
            <w:vMerge w:val="restart"/>
            <w:tcBorders>
              <w:top w:val="single" w:sz="4" w:space="0" w:color="000000"/>
              <w:left w:val="single" w:sz="4" w:space="0" w:color="000000"/>
              <w:right w:val="single" w:sz="4" w:space="0" w:color="000000"/>
            </w:tcBorders>
          </w:tcPr>
          <w:p>
            <w:pPr>
              <w:pStyle w:val="TableParagraph"/>
              <w:spacing w:line="280" w:lineRule="auto" w:before="1"/>
              <w:ind w:left="7" w:right="-13"/>
              <w:jc w:val="both"/>
              <w:rPr>
                <w:rFonts w:ascii="Times New Roman" w:hAnsi="Times New Roman" w:cs="Times New Roman" w:eastAsia="Times New Roman" w:hint="default"/>
                <w:sz w:val="20"/>
                <w:szCs w:val="20"/>
              </w:rPr>
            </w:pPr>
            <w:r>
              <w:rPr>
                <w:rFonts w:ascii="宋体" w:hAnsi="宋体" w:cs="宋体" w:eastAsia="宋体" w:hint="default"/>
                <w:sz w:val="20"/>
                <w:szCs w:val="20"/>
              </w:rPr>
              <w:t>长期待摊费用预计在一</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年内（含一年）进行摊</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3"/>
                <w:sz w:val="20"/>
                <w:szCs w:val="20"/>
              </w:rPr>
              <w:t>销的部分不转入</w:t>
            </w:r>
            <w:r>
              <w:rPr>
                <w:rFonts w:ascii="Times New Roman" w:hAnsi="Times New Roman" w:cs="Times New Roman" w:eastAsia="Times New Roman" w:hint="default"/>
                <w:spacing w:val="13"/>
                <w:sz w:val="20"/>
                <w:szCs w:val="20"/>
              </w:rPr>
              <w:t>“</w:t>
            </w:r>
            <w:r>
              <w:rPr>
                <w:rFonts w:ascii="宋体" w:hAnsi="宋体" w:cs="宋体" w:eastAsia="宋体" w:hint="default"/>
                <w:spacing w:val="13"/>
                <w:sz w:val="20"/>
                <w:szCs w:val="20"/>
              </w:rPr>
              <w:t>一年</w:t>
            </w:r>
            <w:r>
              <w:rPr>
                <w:rFonts w:ascii="宋体" w:hAnsi="宋体" w:cs="宋体" w:eastAsia="宋体" w:hint="default"/>
                <w:spacing w:val="14"/>
                <w:w w:val="99"/>
                <w:sz w:val="20"/>
                <w:szCs w:val="20"/>
              </w:rPr>
              <w:t> </w:t>
            </w:r>
            <w:r>
              <w:rPr>
                <w:rFonts w:ascii="宋体" w:hAnsi="宋体" w:cs="宋体" w:eastAsia="宋体" w:hint="default"/>
                <w:sz w:val="20"/>
                <w:szCs w:val="20"/>
              </w:rPr>
              <w:t>内到期的非流动资产</w:t>
            </w:r>
            <w:r>
              <w:rPr>
                <w:rFonts w:ascii="Times New Roman" w:hAnsi="Times New Roman" w:cs="Times New Roman" w:eastAsia="Times New Roman" w:hint="default"/>
                <w:sz w:val="20"/>
                <w:szCs w:val="20"/>
              </w:rPr>
              <w:t>”</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
              <w:ind w:left="7" w:right="183"/>
              <w:jc w:val="left"/>
              <w:rPr>
                <w:rFonts w:ascii="宋体" w:hAnsi="宋体" w:cs="宋体" w:eastAsia="宋体" w:hint="default"/>
                <w:sz w:val="20"/>
                <w:szCs w:val="20"/>
              </w:rPr>
            </w:pPr>
            <w:r>
              <w:rPr>
                <w:rFonts w:ascii="宋体" w:hAnsi="宋体" w:cs="宋体" w:eastAsia="宋体" w:hint="default"/>
                <w:sz w:val="20"/>
                <w:szCs w:val="20"/>
              </w:rPr>
              <w:t>长期待摊费</w:t>
            </w:r>
            <w:r>
              <w:rPr>
                <w:rFonts w:ascii="宋体" w:hAnsi="宋体" w:cs="宋体" w:eastAsia="宋体" w:hint="default"/>
                <w:w w:val="99"/>
                <w:sz w:val="20"/>
                <w:szCs w:val="20"/>
              </w:rPr>
              <w:t> </w:t>
            </w:r>
            <w:r>
              <w:rPr>
                <w:rFonts w:ascii="宋体" w:hAnsi="宋体" w:cs="宋体" w:eastAsia="宋体" w:hint="default"/>
                <w:sz w:val="20"/>
                <w:szCs w:val="20"/>
              </w:rPr>
              <w:t>用</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9,737,609.75</w:t>
            </w:r>
            <w:r>
              <w:rPr>
                <w:rFonts w:ascii="Times New Roman"/>
                <w:sz w:val="20"/>
              </w:rPr>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
              <w:jc w:val="right"/>
              <w:rPr>
                <w:rFonts w:ascii="Times New Roman" w:hAnsi="Times New Roman" w:cs="Times New Roman" w:eastAsia="Times New Roman" w:hint="default"/>
                <w:sz w:val="20"/>
                <w:szCs w:val="20"/>
              </w:rPr>
            </w:pPr>
            <w:r>
              <w:rPr>
                <w:rFonts w:ascii="Times New Roman"/>
                <w:w w:val="95"/>
                <w:sz w:val="20"/>
              </w:rPr>
              <w:t>4,094,155.76</w:t>
            </w:r>
            <w:r>
              <w:rPr>
                <w:rFonts w:ascii="Times New Roman"/>
                <w:sz w:val="20"/>
              </w:rPr>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
              <w:jc w:val="right"/>
              <w:rPr>
                <w:rFonts w:ascii="Times New Roman" w:hAnsi="Times New Roman" w:cs="Times New Roman" w:eastAsia="Times New Roman" w:hint="default"/>
                <w:sz w:val="20"/>
                <w:szCs w:val="20"/>
              </w:rPr>
            </w:pPr>
            <w:r>
              <w:rPr>
                <w:rFonts w:ascii="Times New Roman"/>
                <w:w w:val="95"/>
                <w:sz w:val="20"/>
              </w:rPr>
              <w:t>13,831,765.51</w:t>
            </w:r>
            <w:r>
              <w:rPr>
                <w:rFonts w:ascii="Times New Roman"/>
                <w:sz w:val="20"/>
              </w:rPr>
            </w:r>
          </w:p>
        </w:tc>
      </w:tr>
      <w:tr>
        <w:trPr>
          <w:trHeight w:val="655" w:hRule="exact"/>
        </w:trPr>
        <w:tc>
          <w:tcPr>
            <w:tcW w:w="2028" w:type="dxa"/>
            <w:vMerge/>
            <w:tcBorders>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
              <w:ind w:left="7" w:right="183"/>
              <w:jc w:val="left"/>
              <w:rPr>
                <w:rFonts w:ascii="宋体" w:hAnsi="宋体" w:cs="宋体" w:eastAsia="宋体" w:hint="default"/>
                <w:sz w:val="20"/>
                <w:szCs w:val="20"/>
              </w:rPr>
            </w:pPr>
            <w:r>
              <w:rPr>
                <w:rFonts w:ascii="宋体" w:hAnsi="宋体" w:cs="宋体" w:eastAsia="宋体" w:hint="default"/>
                <w:sz w:val="20"/>
                <w:szCs w:val="20"/>
              </w:rPr>
              <w:t>其他流动资</w:t>
            </w:r>
            <w:r>
              <w:rPr>
                <w:rFonts w:ascii="宋体" w:hAnsi="宋体" w:cs="宋体" w:eastAsia="宋体" w:hint="default"/>
                <w:w w:val="99"/>
                <w:sz w:val="20"/>
                <w:szCs w:val="20"/>
              </w:rPr>
              <w:t> </w:t>
            </w:r>
            <w:r>
              <w:rPr>
                <w:rFonts w:ascii="宋体" w:hAnsi="宋体" w:cs="宋体" w:eastAsia="宋体" w:hint="default"/>
                <w:sz w:val="20"/>
                <w:szCs w:val="20"/>
              </w:rPr>
              <w:t>产</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4,094,155.76</w:t>
            </w:r>
            <w:r>
              <w:rPr>
                <w:rFonts w:ascii="Times New Roman"/>
                <w:sz w:val="20"/>
              </w:rPr>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
              <w:jc w:val="right"/>
              <w:rPr>
                <w:rFonts w:ascii="Times New Roman" w:hAnsi="Times New Roman" w:cs="Times New Roman" w:eastAsia="Times New Roman" w:hint="default"/>
                <w:sz w:val="20"/>
                <w:szCs w:val="20"/>
              </w:rPr>
            </w:pPr>
            <w:r>
              <w:rPr>
                <w:rFonts w:ascii="Times New Roman"/>
                <w:w w:val="95"/>
                <w:sz w:val="20"/>
              </w:rPr>
              <w:t>-4,094,155.76</w:t>
            </w:r>
            <w:r>
              <w:rPr>
                <w:rFonts w:ascii="Times New Roman"/>
                <w:sz w:val="20"/>
              </w:rPr>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1" w:hRule="exact"/>
        </w:trPr>
        <w:tc>
          <w:tcPr>
            <w:tcW w:w="2028" w:type="dxa"/>
            <w:vMerge w:val="restart"/>
            <w:tcBorders>
              <w:top w:val="single" w:sz="4" w:space="0" w:color="000000"/>
              <w:left w:val="single" w:sz="4" w:space="0" w:color="000000"/>
              <w:right w:val="single" w:sz="4" w:space="0" w:color="000000"/>
            </w:tcBorders>
          </w:tcPr>
          <w:p>
            <w:pPr>
              <w:pStyle w:val="TableParagraph"/>
              <w:spacing w:line="280" w:lineRule="auto" w:before="1"/>
              <w:ind w:left="7" w:right="13"/>
              <w:jc w:val="left"/>
              <w:rPr>
                <w:rFonts w:ascii="宋体" w:hAnsi="宋体" w:cs="宋体" w:eastAsia="宋体" w:hint="default"/>
                <w:sz w:val="20"/>
                <w:szCs w:val="20"/>
              </w:rPr>
            </w:pPr>
            <w:r>
              <w:rPr>
                <w:rFonts w:ascii="宋体" w:hAnsi="宋体" w:cs="宋体" w:eastAsia="宋体" w:hint="default"/>
                <w:sz w:val="20"/>
                <w:szCs w:val="20"/>
              </w:rPr>
              <w:t>其他应付款</w:t>
            </w:r>
            <w:r>
              <w:rPr>
                <w:rFonts w:ascii="Times New Roman" w:hAnsi="Times New Roman" w:cs="Times New Roman" w:eastAsia="Times New Roman"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应付利</w:t>
            </w:r>
            <w:r>
              <w:rPr>
                <w:rFonts w:ascii="宋体" w:hAnsi="宋体" w:cs="宋体" w:eastAsia="宋体" w:hint="default"/>
                <w:w w:val="99"/>
                <w:sz w:val="20"/>
                <w:szCs w:val="20"/>
              </w:rPr>
              <w:t> </w:t>
            </w:r>
            <w:r>
              <w:rPr>
                <w:rFonts w:ascii="宋体" w:hAnsi="宋体" w:cs="宋体" w:eastAsia="宋体" w:hint="default"/>
                <w:sz w:val="20"/>
                <w:szCs w:val="20"/>
              </w:rPr>
              <w:t>息</w:t>
            </w:r>
            <w:r>
              <w:rPr>
                <w:rFonts w:ascii="Times New Roman" w:hAnsi="Times New Roman" w:cs="Times New Roman" w:eastAsia="Times New Roman" w:hint="default"/>
                <w:sz w:val="20"/>
                <w:szCs w:val="20"/>
              </w:rPr>
              <w:t>”</w:t>
            </w:r>
            <w:r>
              <w:rPr>
                <w:rFonts w:ascii="宋体" w:hAnsi="宋体" w:cs="宋体" w:eastAsia="宋体" w:hint="default"/>
                <w:sz w:val="20"/>
                <w:szCs w:val="20"/>
              </w:rPr>
              <w:t>仅反映相关金融工</w:t>
            </w:r>
            <w:r>
              <w:rPr>
                <w:rFonts w:ascii="宋体" w:hAnsi="宋体" w:cs="宋体" w:eastAsia="宋体" w:hint="default"/>
                <w:w w:val="99"/>
                <w:sz w:val="20"/>
                <w:szCs w:val="20"/>
              </w:rPr>
              <w:t> </w:t>
            </w:r>
            <w:r>
              <w:rPr>
                <w:rFonts w:ascii="宋体" w:hAnsi="宋体" w:cs="宋体" w:eastAsia="宋体" w:hint="default"/>
                <w:sz w:val="20"/>
                <w:szCs w:val="20"/>
              </w:rPr>
              <w:t>具已到期可收取但尚未</w:t>
            </w:r>
            <w:r>
              <w:rPr>
                <w:rFonts w:ascii="宋体" w:hAnsi="宋体" w:cs="宋体" w:eastAsia="宋体" w:hint="default"/>
                <w:w w:val="99"/>
                <w:sz w:val="20"/>
                <w:szCs w:val="20"/>
              </w:rPr>
              <w:t> </w:t>
            </w:r>
            <w:r>
              <w:rPr>
                <w:rFonts w:ascii="宋体" w:hAnsi="宋体" w:cs="宋体" w:eastAsia="宋体" w:hint="default"/>
                <w:sz w:val="20"/>
                <w:szCs w:val="20"/>
              </w:rPr>
              <w:t>收到或已到期应支付但</w:t>
            </w:r>
            <w:r>
              <w:rPr>
                <w:rFonts w:ascii="宋体" w:hAnsi="宋体" w:cs="宋体" w:eastAsia="宋体" w:hint="default"/>
                <w:w w:val="99"/>
                <w:sz w:val="20"/>
                <w:szCs w:val="20"/>
              </w:rPr>
              <w:t> </w:t>
            </w:r>
            <w:r>
              <w:rPr>
                <w:rFonts w:ascii="宋体" w:hAnsi="宋体" w:cs="宋体" w:eastAsia="宋体" w:hint="default"/>
                <w:sz w:val="20"/>
                <w:szCs w:val="20"/>
              </w:rPr>
              <w:t>尚未支付的利息，基于</w:t>
            </w:r>
            <w:r>
              <w:rPr>
                <w:rFonts w:ascii="宋体" w:hAnsi="宋体" w:cs="宋体" w:eastAsia="宋体" w:hint="default"/>
                <w:w w:val="99"/>
                <w:sz w:val="20"/>
                <w:szCs w:val="20"/>
              </w:rPr>
              <w:t> </w:t>
            </w:r>
            <w:r>
              <w:rPr>
                <w:rFonts w:ascii="宋体" w:hAnsi="宋体" w:cs="宋体" w:eastAsia="宋体" w:hint="default"/>
                <w:sz w:val="20"/>
                <w:szCs w:val="20"/>
              </w:rPr>
              <w:t>实际利率法计提的利息</w:t>
            </w:r>
            <w:r>
              <w:rPr>
                <w:rFonts w:ascii="宋体" w:hAnsi="宋体" w:cs="宋体" w:eastAsia="宋体" w:hint="default"/>
                <w:w w:val="99"/>
                <w:sz w:val="20"/>
                <w:szCs w:val="20"/>
              </w:rPr>
              <w:t> </w:t>
            </w:r>
            <w:r>
              <w:rPr>
                <w:rFonts w:ascii="宋体" w:hAnsi="宋体" w:cs="宋体" w:eastAsia="宋体" w:hint="default"/>
                <w:sz w:val="20"/>
                <w:szCs w:val="20"/>
              </w:rPr>
              <w:t>应包含在相应金融工具</w:t>
            </w:r>
            <w:r>
              <w:rPr>
                <w:rFonts w:ascii="宋体" w:hAnsi="宋体" w:cs="宋体" w:eastAsia="宋体" w:hint="default"/>
                <w:w w:val="99"/>
                <w:sz w:val="20"/>
                <w:szCs w:val="20"/>
              </w:rPr>
              <w:t> </w:t>
            </w:r>
            <w:r>
              <w:rPr>
                <w:rFonts w:ascii="宋体" w:hAnsi="宋体" w:cs="宋体" w:eastAsia="宋体" w:hint="default"/>
                <w:sz w:val="20"/>
                <w:szCs w:val="20"/>
              </w:rPr>
              <w:t>的账面余额中</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119,599.99</w:t>
            </w:r>
            <w:r>
              <w:rPr>
                <w:rFonts w:ascii="Times New Roman"/>
                <w:sz w:val="20"/>
              </w:rPr>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
              <w:jc w:val="right"/>
              <w:rPr>
                <w:rFonts w:ascii="Times New Roman" w:hAnsi="Times New Roman" w:cs="Times New Roman" w:eastAsia="Times New Roman" w:hint="default"/>
                <w:sz w:val="20"/>
                <w:szCs w:val="20"/>
              </w:rPr>
            </w:pPr>
            <w:r>
              <w:rPr>
                <w:rFonts w:ascii="Times New Roman"/>
                <w:w w:val="95"/>
                <w:sz w:val="20"/>
              </w:rPr>
              <w:t>-119,599.99</w:t>
            </w:r>
            <w:r>
              <w:rPr>
                <w:rFonts w:ascii="Times New Roman"/>
                <w:sz w:val="20"/>
              </w:rPr>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184" w:hRule="exact"/>
        </w:trPr>
        <w:tc>
          <w:tcPr>
            <w:tcW w:w="2028" w:type="dxa"/>
            <w:vMerge/>
            <w:tcBorders>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w w:val="95"/>
                <w:sz w:val="20"/>
              </w:rPr>
              <w:t>60,000,000.00</w:t>
            </w:r>
            <w:r>
              <w:rPr>
                <w:rFonts w:ascii="Times New Roman"/>
                <w:sz w:val="20"/>
              </w:rPr>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right"/>
              <w:rPr>
                <w:rFonts w:ascii="Times New Roman" w:hAnsi="Times New Roman" w:cs="Times New Roman" w:eastAsia="Times New Roman" w:hint="default"/>
                <w:sz w:val="20"/>
                <w:szCs w:val="20"/>
              </w:rPr>
            </w:pPr>
            <w:r>
              <w:rPr>
                <w:rFonts w:ascii="Times New Roman"/>
                <w:w w:val="95"/>
                <w:sz w:val="20"/>
              </w:rPr>
              <w:t>119,599.99</w:t>
            </w:r>
            <w:r>
              <w:rPr>
                <w:rFonts w:ascii="Times New Roman"/>
                <w:sz w:val="20"/>
              </w:rPr>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right"/>
              <w:rPr>
                <w:rFonts w:ascii="Times New Roman" w:hAnsi="Times New Roman" w:cs="Times New Roman" w:eastAsia="Times New Roman" w:hint="default"/>
                <w:sz w:val="20"/>
                <w:szCs w:val="20"/>
              </w:rPr>
            </w:pPr>
            <w:r>
              <w:rPr>
                <w:rFonts w:ascii="Times New Roman"/>
                <w:w w:val="95"/>
                <w:sz w:val="20"/>
              </w:rPr>
              <w:t>60,119,599.99</w:t>
            </w:r>
            <w:r>
              <w:rPr>
                <w:rFonts w:ascii="Times New Roman"/>
                <w:sz w:val="20"/>
              </w:rPr>
            </w:r>
          </w:p>
        </w:tc>
      </w:tr>
      <w:tr>
        <w:trPr>
          <w:trHeight w:val="343" w:hRule="exact"/>
        </w:trPr>
        <w:tc>
          <w:tcPr>
            <w:tcW w:w="2028" w:type="dxa"/>
            <w:vMerge w:val="restart"/>
            <w:tcBorders>
              <w:top w:val="single" w:sz="4" w:space="0" w:color="000000"/>
              <w:left w:val="single" w:sz="4" w:space="0" w:color="000000"/>
              <w:right w:val="single" w:sz="4" w:space="0" w:color="000000"/>
            </w:tcBorders>
          </w:tcPr>
          <w:p>
            <w:pPr>
              <w:pStyle w:val="TableParagraph"/>
              <w:spacing w:line="285" w:lineRule="auto" w:before="1"/>
              <w:ind w:left="7" w:right="4"/>
              <w:jc w:val="both"/>
              <w:rPr>
                <w:rFonts w:ascii="宋体" w:hAnsi="宋体" w:cs="宋体" w:eastAsia="宋体" w:hint="default"/>
                <w:sz w:val="20"/>
                <w:szCs w:val="20"/>
              </w:rPr>
            </w:pPr>
            <w:r>
              <w:rPr>
                <w:rFonts w:ascii="宋体" w:hAnsi="宋体" w:cs="宋体" w:eastAsia="宋体" w:hint="default"/>
                <w:sz w:val="20"/>
                <w:szCs w:val="20"/>
              </w:rPr>
              <w:t>将应付票据及应付账款</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项目分拆为应付票据项</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目和应付账款项目</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1706"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028" w:type="dxa"/>
            <w:vMerge/>
            <w:tcBorders>
              <w:left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706"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
              <w:jc w:val="right"/>
              <w:rPr>
                <w:rFonts w:ascii="Times New Roman" w:hAnsi="Times New Roman" w:cs="Times New Roman" w:eastAsia="Times New Roman" w:hint="default"/>
                <w:sz w:val="20"/>
                <w:szCs w:val="20"/>
              </w:rPr>
            </w:pPr>
            <w:r>
              <w:rPr>
                <w:rFonts w:ascii="Times New Roman"/>
                <w:w w:val="95"/>
                <w:sz w:val="20"/>
              </w:rPr>
              <w:t>925,377.76</w:t>
            </w:r>
            <w:r>
              <w:rPr>
                <w:rFonts w:ascii="Times New Roman"/>
                <w:sz w:val="20"/>
              </w:rPr>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925,377.76</w:t>
            </w:r>
            <w:r>
              <w:rPr>
                <w:rFonts w:ascii="Times New Roman"/>
                <w:sz w:val="20"/>
              </w:rPr>
            </w:r>
          </w:p>
        </w:tc>
      </w:tr>
      <w:tr>
        <w:trPr>
          <w:trHeight w:val="655" w:hRule="exact"/>
        </w:trPr>
        <w:tc>
          <w:tcPr>
            <w:tcW w:w="2028" w:type="dxa"/>
            <w:vMerge/>
            <w:tcBorders>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
              <w:ind w:left="7" w:right="-41"/>
              <w:jc w:val="left"/>
              <w:rPr>
                <w:rFonts w:ascii="宋体" w:hAnsi="宋体" w:cs="宋体" w:eastAsia="宋体" w:hint="default"/>
                <w:sz w:val="20"/>
                <w:szCs w:val="20"/>
              </w:rPr>
            </w:pPr>
            <w:r>
              <w:rPr>
                <w:rFonts w:ascii="宋体" w:hAnsi="宋体" w:cs="宋体" w:eastAsia="宋体" w:hint="default"/>
                <w:spacing w:val="36"/>
                <w:sz w:val="20"/>
                <w:szCs w:val="20"/>
              </w:rPr>
              <w:t>应付票据和</w:t>
            </w:r>
            <w:r>
              <w:rPr>
                <w:rFonts w:ascii="宋体" w:hAnsi="宋体" w:cs="宋体" w:eastAsia="宋体" w:hint="default"/>
                <w:spacing w:val="-55"/>
                <w:sz w:val="20"/>
                <w:szCs w:val="20"/>
              </w:rPr>
              <w:t> </w:t>
            </w:r>
            <w:r>
              <w:rPr>
                <w:rFonts w:ascii="宋体" w:hAnsi="宋体" w:cs="宋体" w:eastAsia="宋体" w:hint="default"/>
                <w:sz w:val="20"/>
                <w:szCs w:val="20"/>
              </w:rPr>
              <w:t>应付账款</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925,377.76</w:t>
            </w:r>
            <w:r>
              <w:rPr>
                <w:rFonts w:ascii="Times New Roman"/>
                <w:sz w:val="20"/>
              </w:rPr>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
              <w:jc w:val="right"/>
              <w:rPr>
                <w:rFonts w:ascii="Times New Roman" w:hAnsi="Times New Roman" w:cs="Times New Roman" w:eastAsia="Times New Roman" w:hint="default"/>
                <w:sz w:val="20"/>
                <w:szCs w:val="20"/>
              </w:rPr>
            </w:pPr>
            <w:r>
              <w:rPr>
                <w:rFonts w:ascii="Times New Roman"/>
                <w:w w:val="95"/>
                <w:sz w:val="20"/>
              </w:rPr>
              <w:t>-925,377.76</w:t>
            </w:r>
            <w:r>
              <w:rPr>
                <w:rFonts w:ascii="Times New Roman"/>
                <w:sz w:val="20"/>
              </w:rPr>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）重要会计估计变更</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9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15"/>
          <w:sz w:val="21"/>
          <w:szCs w:val="21"/>
        </w:rPr>
        <w:t> </w:t>
      </w:r>
      <w:r>
        <w:rPr>
          <w:rFonts w:ascii="宋体" w:hAnsi="宋体" w:cs="宋体" w:eastAsia="宋体" w:hint="default"/>
          <w:b/>
          <w:bCs/>
          <w:sz w:val="21"/>
          <w:szCs w:val="21"/>
        </w:rPr>
        <w:t>年起执行新金融工具准则、新收入准则或新租赁准则调整执行当年年初财务报表相关项目情况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9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spacing w:before="44"/>
        <w:ind w:left="152" w:right="996" w:firstLine="0"/>
        <w:jc w:val="left"/>
        <w:rPr>
          <w:rFonts w:ascii="宋体" w:hAnsi="宋体" w:cs="宋体" w:eastAsia="宋体" w:hint="default"/>
          <w:sz w:val="18"/>
          <w:szCs w:val="18"/>
        </w:rPr>
      </w:pPr>
      <w:r>
        <w:rPr>
          <w:rFonts w:ascii="宋体" w:hAnsi="宋体" w:cs="宋体" w:eastAsia="宋体" w:hint="default"/>
          <w:sz w:val="18"/>
          <w:szCs w:val="18"/>
        </w:rPr>
        <w:t>合并资产负债表</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229,974,588.37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229,974,588.37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20,131,506.85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20,131,506.85</w:t>
            </w:r>
          </w:p>
        </w:tc>
      </w:tr>
      <w:tr>
        <w:trPr>
          <w:trHeight w:val="1028"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20,131,506.85</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-20,131,506.85</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154,246,153.78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154,246,153.78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57,014,253.81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57,014,253.81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14,424,203.81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14,424,203.81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7,214,642.64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7,214,642.64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47,816,626.67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47,816,626.67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530,821,975.93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530,821,975.93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361,431,985.65</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-361,431,985.65</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52,633,058.13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52,633,058.13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335,073,434.15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335,073,434.15</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9"/>
              <w:jc w:val="righ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26,358,551.50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26,358,551.50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109,404,655.94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109,404,655.94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80,157,877.83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80,157,877.83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15,504,897.60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15,504,897.60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25,728,379.32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25,728,379.32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9,920,461.71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9,920,461.71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24,248,302.74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24,248,302.74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18,036,269.11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18,036,269.11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697,065,888.03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697,065,888.03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1,227,887,863.96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1,227,887,863.96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60,119,599.99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60,119,599.99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53,373,071.49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53,373,071.49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2,979,360.63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2,979,360.63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9"/>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9"/>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5,423,305.90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5,423,305.90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22,667,291.36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22,667,291.36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279,597,515.07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279,597,515.07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9"/>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10,123,925.06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10,123,925.06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434,284,069.50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434,284,069.50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1,643,333.47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1,643,333.47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26,997,334.01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26,997,334.01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28,640,667.48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28,640,667.48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462,924,736.98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462,924,736.98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264,708,600.00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264,708,600.00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322,532,057.77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322,532,057.77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05"/>
        <w:gridCol w:w="2453"/>
        <w:gridCol w:w="2456"/>
        <w:gridCol w:w="2453"/>
      </w:tblGrid>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22,754,000.00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22,754,000.00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-3,169,073.79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-3,169,073.79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55,072,269.92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55,072,269.92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133,239,250.29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133,239,250.29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0"/>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749,629,104.19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749,629,104.19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15,334,022.79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15,334,022.79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764,963,126.98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764,963,126.98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1,227,887,863.96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1,227,887,863.96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2" w:right="996" w:firstLine="0"/>
        <w:jc w:val="left"/>
        <w:rPr>
          <w:rFonts w:ascii="宋体" w:hAnsi="宋体" w:cs="宋体" w:eastAsia="宋体" w:hint="default"/>
          <w:sz w:val="18"/>
          <w:szCs w:val="18"/>
        </w:rPr>
      </w:pPr>
      <w:r>
        <w:rPr>
          <w:rFonts w:ascii="宋体" w:hAnsi="宋体" w:cs="宋体" w:eastAsia="宋体" w:hint="default"/>
          <w:sz w:val="18"/>
          <w:szCs w:val="18"/>
        </w:rPr>
        <w:t>母公司资产负债表</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98,386,233.10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98,386,233.10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56,799,644.47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56,799,644.47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18,490,203.97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18,490,203.97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221,459,051.34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221,459,051.34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4,094,155.76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4,094,155.76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30,255,830.23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30,255,830.23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429,485,118.87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429,485,118.87</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249,473,546.70</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-249,473,546.70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573,081,649.46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573,081,649.46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249,473,546.70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249,473,546.70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14,133,149.81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14,133,149.81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12,225,751.22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12,225,751.22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9,737,609.75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9,737,609.75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22,205,992.39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22,205,992.39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6,230,109.80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6,230,109.80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887,087,809.13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887,087,809.13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1,316,572,928.00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1,316,572,928.00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60,119,599.99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60,119,599.99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925,377.76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925,377.76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3,070,838.53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3,070,838.53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2,314,970.00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2,314,970.00</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6,985,951.30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6,985,951.30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403,842,121.18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403,842,121.18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9"/>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10,123,925.06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10,123,925.06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487,382,783.82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487,382,783.82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9"/>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1,643,333.47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1,643,333.47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26,997,334.01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26,997,334.01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28,640,667.48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28,640,667.48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516,023,451.30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516,023,451.30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264,708,600.00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264,708,600.00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280,258,413.96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280,258,413.96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22,754,000.00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22,754,000.00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55,072,269.92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55,072,269.92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223,264,192.82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223,264,192.82</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05"/>
        <w:gridCol w:w="2453"/>
        <w:gridCol w:w="2456"/>
        <w:gridCol w:w="2453"/>
      </w:tblGrid>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800,549,476.70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800,549,476.70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1,316,572,928.00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1,316,572,928.00</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spacing w:before="36"/>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5"/>
          <w:sz w:val="21"/>
          <w:szCs w:val="21"/>
        </w:rPr>
        <w:t> </w:t>
      </w:r>
      <w:r>
        <w:rPr>
          <w:rFonts w:ascii="宋体" w:hAnsi="宋体" w:cs="宋体" w:eastAsia="宋体" w:hint="default"/>
          <w:b/>
          <w:bCs/>
          <w:sz w:val="21"/>
          <w:szCs w:val="21"/>
        </w:rPr>
        <w:t>年起执行新金融工具准则或新租赁准则追溯调整前期比较数据说明</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9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40" w:lineRule="auto" w:before="153"/>
        <w:ind w:left="592" w:right="996"/>
        <w:jc w:val="left"/>
      </w:pPr>
      <w:r>
        <w:rPr>
          <w:rFonts w:ascii="Times New Roman" w:hAnsi="Times New Roman" w:cs="Times New Roman" w:eastAsia="Times New Roman" w:hint="default"/>
        </w:rPr>
        <w:t>1</w:t>
      </w:r>
      <w:r>
        <w:rPr/>
        <w:t>）新金融工具准则</w:t>
      </w:r>
      <w:r>
        <w:rPr>
          <w:w w:val="100"/>
        </w:rPr>
        <w:t> </w:t>
      </w:r>
      <w:r>
        <w:rPr>
          <w:spacing w:val="-1"/>
        </w:rPr>
        <w:t>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日，本公司执行新金融工具准则对本公司的合并及母公司资产负债表的影响如下：</w:t>
      </w:r>
      <w:r>
        <w:rPr>
          <w:spacing w:val="-75"/>
        </w:rPr>
        <w:t> </w:t>
      </w:r>
      <w:r>
        <w:rPr>
          <w:spacing w:val="-75"/>
        </w:rPr>
      </w:r>
      <w:r>
        <w:rPr/>
        <w:t>本公司合并资产负债表</w:t>
      </w:r>
    </w:p>
    <w:p>
      <w:pPr>
        <w:spacing w:line="240" w:lineRule="auto" w:before="8"/>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940"/>
        <w:gridCol w:w="1618"/>
        <w:gridCol w:w="1976"/>
        <w:gridCol w:w="1354"/>
        <w:gridCol w:w="1637"/>
      </w:tblGrid>
      <w:tr>
        <w:trPr>
          <w:trHeight w:val="341" w:hRule="exact"/>
        </w:trPr>
        <w:tc>
          <w:tcPr>
            <w:tcW w:w="1940" w:type="dxa"/>
            <w:vMerge w:val="restart"/>
            <w:tcBorders>
              <w:top w:val="single" w:sz="4" w:space="0" w:color="000000"/>
              <w:left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b/>
                <w:bCs/>
                <w:sz w:val="20"/>
                <w:szCs w:val="20"/>
              </w:rPr>
              <w:t>报表项目</w:t>
            </w:r>
            <w:r>
              <w:rPr>
                <w:rFonts w:ascii="宋体" w:hAnsi="宋体" w:cs="宋体" w:eastAsia="宋体" w:hint="default"/>
                <w:sz w:val="20"/>
                <w:szCs w:val="20"/>
              </w:rPr>
            </w:r>
          </w:p>
        </w:tc>
        <w:tc>
          <w:tcPr>
            <w:tcW w:w="1618" w:type="dxa"/>
            <w:vMerge w:val="restart"/>
            <w:tcBorders>
              <w:top w:val="single" w:sz="4" w:space="0" w:color="000000"/>
              <w:left w:val="single" w:sz="4" w:space="0" w:color="000000"/>
              <w:right w:val="single" w:sz="4" w:space="0" w:color="000000"/>
            </w:tcBorders>
          </w:tcPr>
          <w:p>
            <w:pPr>
              <w:pStyle w:val="TableParagraph"/>
              <w:spacing w:line="285" w:lineRule="auto" w:before="1"/>
              <w:ind w:left="7" w:right="194"/>
              <w:jc w:val="both"/>
              <w:rPr>
                <w:rFonts w:ascii="Times New Roman" w:hAnsi="Times New Roman" w:cs="Times New Roman" w:eastAsia="Times New Roman" w:hint="default"/>
                <w:sz w:val="20"/>
                <w:szCs w:val="20"/>
              </w:rPr>
            </w:pPr>
            <w:r>
              <w:rPr>
                <w:rFonts w:ascii="宋体" w:hAnsi="宋体" w:cs="宋体" w:eastAsia="宋体" w:hint="default"/>
                <w:b/>
                <w:bCs/>
                <w:sz w:val="20"/>
                <w:szCs w:val="20"/>
              </w:rPr>
              <w:t>按原金融工具准</w:t>
            </w:r>
            <w:r>
              <w:rPr>
                <w:rFonts w:ascii="宋体" w:hAnsi="宋体" w:cs="宋体" w:eastAsia="宋体" w:hint="default"/>
                <w:b/>
                <w:bCs/>
                <w:w w:val="99"/>
                <w:sz w:val="20"/>
                <w:szCs w:val="20"/>
              </w:rPr>
              <w:t> </w:t>
            </w:r>
            <w:r>
              <w:rPr>
                <w:rFonts w:ascii="宋体" w:hAnsi="宋体" w:cs="宋体" w:eastAsia="宋体" w:hint="default"/>
                <w:b/>
                <w:bCs/>
                <w:sz w:val="20"/>
                <w:szCs w:val="20"/>
              </w:rPr>
              <w:t>则列示的账面价</w:t>
            </w:r>
            <w:r>
              <w:rPr>
                <w:rFonts w:ascii="宋体" w:hAnsi="宋体" w:cs="宋体" w:eastAsia="宋体" w:hint="default"/>
                <w:b/>
                <w:bCs/>
                <w:w w:val="99"/>
                <w:sz w:val="20"/>
                <w:szCs w:val="20"/>
              </w:rPr>
              <w:t> </w:t>
            </w:r>
            <w:r>
              <w:rPr>
                <w:rFonts w:ascii="宋体" w:hAnsi="宋体" w:cs="宋体" w:eastAsia="宋体" w:hint="default"/>
                <w:b/>
                <w:bCs/>
                <w:sz w:val="20"/>
                <w:szCs w:val="20"/>
              </w:rPr>
              <w:t>值</w:t>
            </w:r>
            <w:r>
              <w:rPr>
                <w:rFonts w:ascii="Times New Roman" w:hAnsi="Times New Roman" w:cs="Times New Roman" w:eastAsia="Times New Roman" w:hint="default"/>
                <w:b/>
                <w:bCs/>
                <w:sz w:val="20"/>
                <w:szCs w:val="20"/>
              </w:rPr>
              <w:t>2018</w:t>
            </w:r>
            <w:r>
              <w:rPr>
                <w:rFonts w:ascii="宋体" w:hAnsi="宋体" w:cs="宋体" w:eastAsia="宋体" w:hint="default"/>
                <w:b/>
                <w:bCs/>
                <w:sz w:val="20"/>
                <w:szCs w:val="20"/>
              </w:rPr>
              <w:t>年</w:t>
            </w:r>
            <w:r>
              <w:rPr>
                <w:rFonts w:ascii="Times New Roman" w:hAnsi="Times New Roman" w:cs="Times New Roman" w:eastAsia="Times New Roman" w:hint="default"/>
                <w:b/>
                <w:bCs/>
                <w:sz w:val="20"/>
                <w:szCs w:val="20"/>
              </w:rPr>
              <w:t>12</w:t>
            </w:r>
            <w:r>
              <w:rPr>
                <w:rFonts w:ascii="宋体" w:hAnsi="宋体" w:cs="宋体" w:eastAsia="宋体" w:hint="default"/>
                <w:b/>
                <w:bCs/>
                <w:sz w:val="20"/>
                <w:szCs w:val="20"/>
              </w:rPr>
              <w:t>月</w:t>
            </w:r>
            <w:r>
              <w:rPr>
                <w:rFonts w:ascii="Times New Roman" w:hAnsi="Times New Roman" w:cs="Times New Roman" w:eastAsia="Times New Roman" w:hint="default"/>
                <w:b/>
                <w:bCs/>
                <w:sz w:val="20"/>
                <w:szCs w:val="20"/>
              </w:rPr>
              <w:t>31</w:t>
            </w:r>
            <w:r>
              <w:rPr>
                <w:rFonts w:ascii="Times New Roman" w:hAnsi="Times New Roman" w:cs="Times New Roman" w:eastAsia="Times New Roman" w:hint="default"/>
                <w:sz w:val="20"/>
                <w:szCs w:val="20"/>
              </w:rPr>
            </w:r>
          </w:p>
          <w:p>
            <w:pPr>
              <w:pStyle w:val="TableParagraph"/>
              <w:spacing w:line="255" w:lineRule="exact"/>
              <w:ind w:left="7" w:right="0"/>
              <w:jc w:val="both"/>
              <w:rPr>
                <w:rFonts w:ascii="宋体" w:hAnsi="宋体" w:cs="宋体" w:eastAsia="宋体" w:hint="default"/>
                <w:sz w:val="20"/>
                <w:szCs w:val="20"/>
              </w:rPr>
            </w:pPr>
            <w:r>
              <w:rPr>
                <w:rFonts w:ascii="宋体" w:hAnsi="宋体" w:cs="宋体" w:eastAsia="宋体" w:hint="default"/>
                <w:b/>
                <w:bCs/>
                <w:w w:val="99"/>
                <w:sz w:val="20"/>
                <w:szCs w:val="20"/>
              </w:rPr>
              <w:t>日</w:t>
            </w:r>
            <w:r>
              <w:rPr>
                <w:rFonts w:ascii="宋体" w:hAnsi="宋体" w:cs="宋体" w:eastAsia="宋体" w:hint="default"/>
                <w:sz w:val="20"/>
                <w:szCs w:val="20"/>
              </w:rPr>
            </w:r>
          </w:p>
        </w:tc>
        <w:tc>
          <w:tcPr>
            <w:tcW w:w="33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56" w:right="0"/>
              <w:jc w:val="left"/>
              <w:rPr>
                <w:rFonts w:ascii="宋体" w:hAnsi="宋体" w:cs="宋体" w:eastAsia="宋体" w:hint="default"/>
                <w:sz w:val="20"/>
                <w:szCs w:val="20"/>
              </w:rPr>
            </w:pPr>
            <w:r>
              <w:rPr>
                <w:rFonts w:ascii="宋体" w:hAnsi="宋体" w:cs="宋体" w:eastAsia="宋体" w:hint="default"/>
                <w:b/>
                <w:bCs/>
                <w:sz w:val="20"/>
                <w:szCs w:val="20"/>
              </w:rPr>
              <w:t>施行新金融工具准则</w:t>
            </w:r>
            <w:r>
              <w:rPr>
                <w:rFonts w:ascii="宋体" w:hAnsi="宋体" w:cs="宋体" w:eastAsia="宋体" w:hint="default"/>
                <w:sz w:val="20"/>
                <w:szCs w:val="20"/>
              </w:rPr>
            </w:r>
          </w:p>
        </w:tc>
        <w:tc>
          <w:tcPr>
            <w:tcW w:w="1637" w:type="dxa"/>
            <w:vMerge w:val="restart"/>
            <w:tcBorders>
              <w:top w:val="single" w:sz="4" w:space="0" w:color="000000"/>
              <w:left w:val="single" w:sz="4" w:space="0" w:color="000000"/>
              <w:right w:val="single" w:sz="4" w:space="0" w:color="000000"/>
            </w:tcBorders>
          </w:tcPr>
          <w:p>
            <w:pPr>
              <w:pStyle w:val="TableParagraph"/>
              <w:spacing w:line="285" w:lineRule="auto" w:before="1"/>
              <w:ind w:left="9" w:right="11"/>
              <w:jc w:val="center"/>
              <w:rPr>
                <w:rFonts w:ascii="宋体" w:hAnsi="宋体" w:cs="宋体" w:eastAsia="宋体" w:hint="default"/>
                <w:sz w:val="20"/>
                <w:szCs w:val="20"/>
              </w:rPr>
            </w:pPr>
            <w:r>
              <w:rPr>
                <w:rFonts w:ascii="宋体" w:hAnsi="宋体" w:cs="宋体" w:eastAsia="宋体" w:hint="default"/>
                <w:b/>
                <w:bCs/>
                <w:sz w:val="20"/>
                <w:szCs w:val="20"/>
              </w:rPr>
              <w:t>按新金融工具准则</w:t>
            </w:r>
            <w:r>
              <w:rPr>
                <w:rFonts w:ascii="宋体" w:hAnsi="宋体" w:cs="宋体" w:eastAsia="宋体" w:hint="default"/>
                <w:b/>
                <w:bCs/>
                <w:w w:val="99"/>
                <w:sz w:val="20"/>
                <w:szCs w:val="20"/>
              </w:rPr>
              <w:t> </w:t>
            </w:r>
            <w:r>
              <w:rPr>
                <w:rFonts w:ascii="宋体" w:hAnsi="宋体" w:cs="宋体" w:eastAsia="宋体" w:hint="default"/>
                <w:b/>
                <w:bCs/>
                <w:sz w:val="20"/>
                <w:szCs w:val="20"/>
              </w:rPr>
              <w:t>列示的账面价值</w:t>
            </w:r>
            <w:r>
              <w:rPr>
                <w:rFonts w:ascii="宋体" w:hAnsi="宋体" w:cs="宋体" w:eastAsia="宋体" w:hint="default"/>
                <w:b/>
                <w:bCs/>
                <w:w w:val="99"/>
                <w:sz w:val="20"/>
                <w:szCs w:val="20"/>
              </w:rPr>
              <w:t> </w:t>
            </w:r>
            <w:r>
              <w:rPr>
                <w:rFonts w:ascii="Times New Roman" w:hAnsi="Times New Roman" w:cs="Times New Roman" w:eastAsia="Times New Roman" w:hint="default"/>
                <w:b/>
                <w:bCs/>
                <w:sz w:val="20"/>
                <w:szCs w:val="20"/>
              </w:rPr>
              <w:t>2019</w:t>
            </w:r>
            <w:r>
              <w:rPr>
                <w:rFonts w:ascii="宋体" w:hAnsi="宋体" w:cs="宋体" w:eastAsia="宋体" w:hint="default"/>
                <w:b/>
                <w:bCs/>
                <w:sz w:val="20"/>
                <w:szCs w:val="20"/>
              </w:rPr>
              <w:t>年</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月</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日</w:t>
            </w:r>
            <w:r>
              <w:rPr>
                <w:rFonts w:ascii="宋体" w:hAnsi="宋体" w:cs="宋体" w:eastAsia="宋体" w:hint="default"/>
                <w:sz w:val="20"/>
                <w:szCs w:val="20"/>
              </w:rPr>
            </w:r>
          </w:p>
        </w:tc>
      </w:tr>
      <w:tr>
        <w:trPr>
          <w:trHeight w:val="968" w:hRule="exact"/>
        </w:trPr>
        <w:tc>
          <w:tcPr>
            <w:tcW w:w="1940" w:type="dxa"/>
            <w:vMerge/>
            <w:tcBorders>
              <w:left w:val="single" w:sz="4" w:space="0" w:color="000000"/>
              <w:bottom w:val="single" w:sz="4" w:space="0" w:color="000000"/>
              <w:right w:val="single" w:sz="4" w:space="0" w:color="000000"/>
            </w:tcBorders>
          </w:tcPr>
          <w:p>
            <w:pPr/>
          </w:p>
        </w:tc>
        <w:tc>
          <w:tcPr>
            <w:tcW w:w="1618" w:type="dxa"/>
            <w:vMerge/>
            <w:tcBorders>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28" w:right="0"/>
              <w:jc w:val="left"/>
              <w:rPr>
                <w:rFonts w:ascii="宋体" w:hAnsi="宋体" w:cs="宋体" w:eastAsia="宋体" w:hint="default"/>
                <w:sz w:val="20"/>
                <w:szCs w:val="20"/>
              </w:rPr>
            </w:pPr>
            <w:r>
              <w:rPr>
                <w:rFonts w:ascii="宋体" w:hAnsi="宋体" w:cs="宋体" w:eastAsia="宋体" w:hint="default"/>
                <w:b/>
                <w:bCs/>
                <w:sz w:val="20"/>
                <w:szCs w:val="20"/>
              </w:rPr>
              <w:t>重分类（注</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w:t>
            </w:r>
            <w:r>
              <w:rPr>
                <w:rFonts w:ascii="宋体" w:hAnsi="宋体" w:cs="宋体" w:eastAsia="宋体" w:hint="default"/>
                <w:sz w:val="20"/>
                <w:szCs w:val="20"/>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7" w:right="3"/>
              <w:jc w:val="center"/>
              <w:rPr>
                <w:rFonts w:ascii="Times New Roman" w:hAnsi="Times New Roman" w:cs="Times New Roman" w:eastAsia="Times New Roman" w:hint="default"/>
                <w:sz w:val="20"/>
                <w:szCs w:val="20"/>
              </w:rPr>
            </w:pPr>
            <w:r>
              <w:rPr>
                <w:rFonts w:ascii="宋体" w:hAnsi="宋体" w:cs="宋体" w:eastAsia="宋体" w:hint="default"/>
                <w:b/>
                <w:bCs/>
                <w:spacing w:val="-10"/>
                <w:w w:val="95"/>
                <w:sz w:val="20"/>
                <w:szCs w:val="20"/>
              </w:rPr>
              <w:t>重新计量：预期</w:t>
            </w:r>
            <w:r>
              <w:rPr>
                <w:rFonts w:ascii="宋体" w:hAnsi="宋体" w:cs="宋体" w:eastAsia="宋体" w:hint="default"/>
                <w:b/>
                <w:bCs/>
                <w:spacing w:val="-38"/>
                <w:w w:val="95"/>
                <w:sz w:val="20"/>
                <w:szCs w:val="20"/>
              </w:rPr>
              <w:t> </w:t>
            </w:r>
            <w:r>
              <w:rPr>
                <w:rFonts w:ascii="宋体" w:hAnsi="宋体" w:cs="宋体" w:eastAsia="宋体" w:hint="default"/>
                <w:b/>
                <w:bCs/>
                <w:spacing w:val="-38"/>
                <w:w w:val="95"/>
                <w:sz w:val="20"/>
                <w:szCs w:val="20"/>
              </w:rPr>
            </w:r>
            <w:r>
              <w:rPr>
                <w:rFonts w:ascii="宋体" w:hAnsi="宋体" w:cs="宋体" w:eastAsia="宋体" w:hint="default"/>
                <w:b/>
                <w:bCs/>
                <w:sz w:val="20"/>
                <w:szCs w:val="20"/>
              </w:rPr>
              <w:t>信用损失准备</w:t>
            </w:r>
            <w:r>
              <w:rPr>
                <w:rFonts w:ascii="宋体" w:hAnsi="宋体" w:cs="宋体" w:eastAsia="宋体" w:hint="default"/>
                <w:b/>
                <w:bCs/>
                <w:w w:val="99"/>
                <w:sz w:val="20"/>
                <w:szCs w:val="20"/>
              </w:rPr>
              <w:t> </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注</w:t>
            </w:r>
            <w:r>
              <w:rPr>
                <w:rFonts w:ascii="Times New Roman" w:hAnsi="Times New Roman" w:cs="Times New Roman" w:eastAsia="Times New Roman" w:hint="default"/>
                <w:b/>
                <w:bCs/>
                <w:sz w:val="20"/>
                <w:szCs w:val="20"/>
              </w:rPr>
              <w:t>2)</w:t>
            </w:r>
            <w:r>
              <w:rPr>
                <w:rFonts w:ascii="Times New Roman" w:hAnsi="Times New Roman" w:cs="Times New Roman" w:eastAsia="Times New Roman" w:hint="default"/>
                <w:sz w:val="20"/>
                <w:szCs w:val="20"/>
              </w:rPr>
            </w:r>
          </w:p>
        </w:tc>
        <w:tc>
          <w:tcPr>
            <w:tcW w:w="1637" w:type="dxa"/>
            <w:vMerge/>
            <w:tcBorders>
              <w:left w:val="single" w:sz="4" w:space="0" w:color="000000"/>
              <w:bottom w:val="single" w:sz="4" w:space="0" w:color="000000"/>
              <w:right w:val="single" w:sz="4" w:space="0" w:color="000000"/>
            </w:tcBorders>
          </w:tcPr>
          <w:p>
            <w:pPr/>
          </w:p>
        </w:tc>
      </w:tr>
      <w:tr>
        <w:trPr>
          <w:trHeight w:val="341"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52" w:right="0"/>
              <w:jc w:val="left"/>
              <w:rPr>
                <w:rFonts w:ascii="Times New Roman" w:hAnsi="Times New Roman" w:cs="Times New Roman" w:eastAsia="Times New Roman" w:hint="default"/>
                <w:sz w:val="20"/>
                <w:szCs w:val="20"/>
              </w:rPr>
            </w:pPr>
            <w:r>
              <w:rPr>
                <w:rFonts w:ascii="Times New Roman"/>
                <w:sz w:val="20"/>
              </w:rPr>
              <w:t>361,431,985.65</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
              <w:jc w:val="right"/>
              <w:rPr>
                <w:rFonts w:ascii="Times New Roman" w:hAnsi="Times New Roman" w:cs="Times New Roman" w:eastAsia="Times New Roman" w:hint="default"/>
                <w:sz w:val="20"/>
                <w:szCs w:val="20"/>
              </w:rPr>
            </w:pPr>
            <w:r>
              <w:rPr>
                <w:rFonts w:ascii="Times New Roman"/>
                <w:w w:val="95"/>
                <w:sz w:val="20"/>
              </w:rPr>
              <w:t>-361,431,985.65</w:t>
            </w:r>
            <w:r>
              <w:rPr>
                <w:rFonts w:ascii="Times New Roman"/>
                <w:sz w:val="20"/>
              </w:rPr>
            </w:r>
          </w:p>
        </w:tc>
        <w:tc>
          <w:tcPr>
            <w:tcW w:w="1354"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3"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宋体" w:hAnsi="宋体" w:cs="宋体" w:eastAsia="宋体" w:hint="default"/>
                <w:sz w:val="20"/>
                <w:szCs w:val="20"/>
              </w:rPr>
              <w:t>其他权益工具投资</w:t>
            </w:r>
          </w:p>
        </w:tc>
        <w:tc>
          <w:tcPr>
            <w:tcW w:w="1618"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w w:val="95"/>
                <w:sz w:val="20"/>
              </w:rPr>
              <w:t>335,073,434.15</w:t>
            </w:r>
            <w:r>
              <w:rPr>
                <w:rFonts w:ascii="Times New Roman"/>
                <w:sz w:val="20"/>
              </w:rPr>
            </w:r>
          </w:p>
        </w:tc>
        <w:tc>
          <w:tcPr>
            <w:tcW w:w="1354"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w w:val="95"/>
                <w:sz w:val="20"/>
              </w:rPr>
              <w:t>335,073,434.15</w:t>
            </w:r>
            <w:r>
              <w:rPr>
                <w:rFonts w:ascii="Times New Roman"/>
                <w:sz w:val="20"/>
              </w:rPr>
            </w:r>
          </w:p>
        </w:tc>
      </w:tr>
      <w:tr>
        <w:trPr>
          <w:trHeight w:val="341"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其他非流动金融资产</w:t>
            </w:r>
          </w:p>
        </w:tc>
        <w:tc>
          <w:tcPr>
            <w:tcW w:w="1618"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26,358,551.50</w:t>
            </w:r>
            <w:r>
              <w:rPr>
                <w:rFonts w:ascii="Times New Roman"/>
                <w:sz w:val="20"/>
              </w:rPr>
            </w:r>
          </w:p>
        </w:tc>
        <w:tc>
          <w:tcPr>
            <w:tcW w:w="1354"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
              <w:jc w:val="right"/>
              <w:rPr>
                <w:rFonts w:ascii="Times New Roman" w:hAnsi="Times New Roman" w:cs="Times New Roman" w:eastAsia="Times New Roman" w:hint="default"/>
                <w:sz w:val="20"/>
                <w:szCs w:val="20"/>
              </w:rPr>
            </w:pPr>
            <w:r>
              <w:rPr>
                <w:rFonts w:ascii="Times New Roman"/>
                <w:w w:val="95"/>
                <w:sz w:val="20"/>
              </w:rPr>
              <w:t>26,358,551.50</w:t>
            </w:r>
            <w:r>
              <w:rPr>
                <w:rFonts w:ascii="Times New Roman"/>
                <w:sz w:val="20"/>
              </w:rPr>
            </w:r>
          </w:p>
        </w:tc>
      </w:tr>
    </w:tbl>
    <w:p>
      <w:pPr>
        <w:spacing w:line="240" w:lineRule="auto" w:before="0"/>
        <w:rPr>
          <w:rFonts w:ascii="宋体" w:hAnsi="宋体" w:cs="宋体" w:eastAsia="宋体" w:hint="default"/>
          <w:sz w:val="5"/>
          <w:szCs w:val="5"/>
        </w:rPr>
      </w:pPr>
    </w:p>
    <w:p>
      <w:pPr>
        <w:pStyle w:val="BodyText"/>
        <w:spacing w:line="244" w:lineRule="auto" w:before="32"/>
        <w:ind w:right="1129" w:firstLine="439"/>
        <w:jc w:val="both"/>
      </w:pPr>
      <w:r>
        <w:rPr/>
        <w:t>注</w:t>
      </w:r>
      <w:r>
        <w:rPr>
          <w:spacing w:val="-85"/>
        </w:rPr>
        <w:t> </w:t>
      </w:r>
      <w:r>
        <w:rPr>
          <w:rFonts w:ascii="Times New Roman" w:hAnsi="Times New Roman" w:cs="Times New Roman" w:eastAsia="Times New Roman" w:hint="default"/>
        </w:rPr>
        <w:t>1:</w:t>
      </w:r>
      <w:r>
        <w:rPr>
          <w:rFonts w:ascii="Times New Roman" w:hAnsi="Times New Roman" w:cs="Times New Roman" w:eastAsia="Times New Roman" w:hint="default"/>
          <w:spacing w:val="20"/>
        </w:rPr>
        <w:t> </w:t>
      </w:r>
      <w:r>
        <w:rPr>
          <w:spacing w:val="17"/>
        </w:rPr>
        <w:t>根据新金融工具准则的要求，</w:t>
      </w:r>
      <w:r>
        <w:rPr>
          <w:spacing w:val="-85"/>
        </w:rPr>
        <w:t> </w:t>
      </w:r>
      <w:r>
        <w:rPr/>
        <w:t>自</w:t>
      </w:r>
      <w:r>
        <w:rPr>
          <w:spacing w:val="-8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0"/>
        </w:rPr>
        <w:t> </w:t>
      </w:r>
      <w:r>
        <w:rPr/>
        <w:t>年</w:t>
      </w:r>
      <w:r>
        <w:rPr>
          <w:spacing w:val="-85"/>
        </w:rPr>
        <w:t> </w:t>
      </w:r>
      <w:r>
        <w:rPr>
          <w:rFonts w:ascii="Times New Roman" w:hAnsi="Times New Roman" w:cs="Times New Roman" w:eastAsia="Times New Roman" w:hint="default"/>
        </w:rPr>
        <w:t>1</w:t>
      </w:r>
      <w:r>
        <w:rPr>
          <w:rFonts w:ascii="Times New Roman" w:hAnsi="Times New Roman" w:cs="Times New Roman" w:eastAsia="Times New Roman" w:hint="default"/>
          <w:spacing w:val="-33"/>
        </w:rPr>
        <w:t> </w:t>
      </w:r>
      <w:r>
        <w:rPr/>
        <w:t>月</w:t>
      </w:r>
      <w:r>
        <w:rPr>
          <w:spacing w:val="-85"/>
        </w:rPr>
        <w:t> </w:t>
      </w: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spacing w:val="13"/>
        </w:rPr>
        <w:t>日起，</w:t>
      </w:r>
      <w:r>
        <w:rPr>
          <w:spacing w:val="-88"/>
        </w:rPr>
        <w:t> </w:t>
      </w:r>
      <w:r>
        <w:rPr>
          <w:spacing w:val="18"/>
        </w:rPr>
        <w:t>本公司可供出售金融资产人民币</w:t>
      </w:r>
      <w:r>
        <w:rPr>
          <w:w w:val="100"/>
        </w:rPr>
        <w:t> </w:t>
      </w:r>
      <w:r>
        <w:rPr>
          <w:rFonts w:ascii="Times New Roman" w:hAnsi="Times New Roman" w:cs="Times New Roman" w:eastAsia="Times New Roman" w:hint="default"/>
        </w:rPr>
        <w:t>361,431,985.65</w:t>
      </w:r>
      <w:r>
        <w:rPr/>
        <w:t>元中</w:t>
      </w:r>
      <w:r>
        <w:rPr>
          <w:rFonts w:ascii="Times New Roman" w:hAnsi="Times New Roman" w:cs="Times New Roman" w:eastAsia="Times New Roman" w:hint="default"/>
        </w:rPr>
        <w:t>335,073,434.15</w:t>
      </w:r>
      <w:r>
        <w:rPr/>
        <w:t>元因指定为以公允价值计量且其变动计入其他综合收益的金融资产</w:t>
      </w:r>
      <w:r>
        <w:rPr>
          <w:spacing w:val="-48"/>
        </w:rPr>
        <w:t> </w:t>
      </w:r>
      <w:r>
        <w:rPr>
          <w:spacing w:val="-48"/>
        </w:rPr>
      </w:r>
      <w:r>
        <w:rPr>
          <w:spacing w:val="-1"/>
        </w:rPr>
        <w:t>而重分类至其他权益工具投资；</w:t>
      </w:r>
      <w:r>
        <w:rPr>
          <w:rFonts w:ascii="Times New Roman" w:hAnsi="Times New Roman" w:cs="Times New Roman" w:eastAsia="Times New Roman" w:hint="default"/>
          <w:spacing w:val="-1"/>
        </w:rPr>
        <w:t>26,358,551.50</w:t>
      </w:r>
      <w:r>
        <w:rPr>
          <w:spacing w:val="-1"/>
        </w:rPr>
        <w:t>元因指定为以公允价值计量且其变动计入当期损益的金</w:t>
      </w:r>
      <w:r>
        <w:rPr>
          <w:spacing w:val="-47"/>
        </w:rPr>
        <w:t> </w:t>
      </w:r>
      <w:r>
        <w:rPr>
          <w:spacing w:val="-47"/>
        </w:rPr>
      </w:r>
      <w:r>
        <w:rPr/>
        <w:t>融资产而重分类至其他非流动金融资产。</w:t>
      </w:r>
    </w:p>
    <w:p>
      <w:pPr>
        <w:pStyle w:val="BodyText"/>
        <w:spacing w:line="244" w:lineRule="auto" w:before="139"/>
        <w:ind w:right="1131" w:firstLine="439"/>
        <w:jc w:val="both"/>
      </w:pPr>
      <w:r>
        <w:rPr/>
        <w:t>注</w:t>
      </w:r>
      <w:r>
        <w:rPr>
          <w:rFonts w:ascii="Times New Roman" w:hAnsi="Times New Roman" w:cs="Times New Roman" w:eastAsia="Times New Roman" w:hint="default"/>
        </w:rPr>
        <w:t>2:</w:t>
      </w:r>
      <w:r>
        <w:rPr>
          <w:rFonts w:ascii="Times New Roman" w:hAnsi="Times New Roman" w:cs="Times New Roman" w:eastAsia="Times New Roman" w:hint="default"/>
          <w:spacing w:val="12"/>
        </w:rPr>
        <w:t> </w:t>
      </w:r>
      <w:r>
        <w:rPr>
          <w:spacing w:val="-3"/>
        </w:rPr>
        <w:t>根据新金融工具准则的要求，自</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日起，本公司金融资产减值计量由「已发生损失</w:t>
      </w:r>
      <w:r>
        <w:rPr>
          <w:w w:val="100"/>
        </w:rPr>
        <w:t> </w:t>
      </w:r>
      <w:r>
        <w:rPr/>
        <w:t>模型」变更为「预期信用损失模型」。</w:t>
      </w:r>
    </w:p>
    <w:p>
      <w:pPr>
        <w:pStyle w:val="BodyText"/>
        <w:spacing w:line="240" w:lineRule="auto" w:before="140"/>
        <w:ind w:left="592" w:right="996"/>
        <w:jc w:val="left"/>
      </w:pPr>
      <w:r>
        <w:rPr/>
        <w:t>母公司资产负债表</w:t>
      </w:r>
    </w:p>
    <w:p>
      <w:pPr>
        <w:spacing w:line="240" w:lineRule="auto" w:before="9"/>
        <w:rPr>
          <w:rFonts w:ascii="宋体" w:hAnsi="宋体" w:cs="宋体" w:eastAsia="宋体"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59"/>
        <w:gridCol w:w="1661"/>
        <w:gridCol w:w="1750"/>
        <w:gridCol w:w="1495"/>
        <w:gridCol w:w="1659"/>
      </w:tblGrid>
      <w:tr>
        <w:trPr>
          <w:trHeight w:val="343" w:hRule="exact"/>
        </w:trPr>
        <w:tc>
          <w:tcPr>
            <w:tcW w:w="1959" w:type="dxa"/>
            <w:vMerge w:val="restart"/>
            <w:tcBorders>
              <w:top w:val="single" w:sz="4" w:space="0" w:color="000000"/>
              <w:left w:val="single" w:sz="4" w:space="0" w:color="000000"/>
              <w:right w:val="single" w:sz="4" w:space="0" w:color="000000"/>
            </w:tcBorders>
          </w:tcPr>
          <w:p>
            <w:pPr>
              <w:pStyle w:val="TableParagraph"/>
              <w:spacing w:line="240" w:lineRule="auto" w:before="4"/>
              <w:ind w:left="574" w:right="0"/>
              <w:jc w:val="left"/>
              <w:rPr>
                <w:rFonts w:ascii="宋体" w:hAnsi="宋体" w:cs="宋体" w:eastAsia="宋体" w:hint="default"/>
                <w:sz w:val="20"/>
                <w:szCs w:val="20"/>
              </w:rPr>
            </w:pPr>
            <w:r>
              <w:rPr>
                <w:rFonts w:ascii="宋体" w:hAnsi="宋体" w:cs="宋体" w:eastAsia="宋体" w:hint="default"/>
                <w:b/>
                <w:bCs/>
                <w:sz w:val="20"/>
                <w:szCs w:val="20"/>
              </w:rPr>
              <w:t>报表项目</w:t>
            </w:r>
            <w:r>
              <w:rPr>
                <w:rFonts w:ascii="宋体" w:hAnsi="宋体" w:cs="宋体" w:eastAsia="宋体" w:hint="default"/>
                <w:sz w:val="20"/>
                <w:szCs w:val="20"/>
              </w:rPr>
            </w:r>
          </w:p>
        </w:tc>
        <w:tc>
          <w:tcPr>
            <w:tcW w:w="1661" w:type="dxa"/>
            <w:vMerge w:val="restart"/>
            <w:tcBorders>
              <w:top w:val="single" w:sz="4" w:space="0" w:color="000000"/>
              <w:left w:val="single" w:sz="4" w:space="0" w:color="000000"/>
              <w:right w:val="single" w:sz="4" w:space="0" w:color="000000"/>
            </w:tcBorders>
          </w:tcPr>
          <w:p>
            <w:pPr>
              <w:pStyle w:val="TableParagraph"/>
              <w:spacing w:line="285" w:lineRule="auto" w:before="4"/>
              <w:ind w:left="122" w:right="21" w:hanging="99"/>
              <w:jc w:val="left"/>
              <w:rPr>
                <w:rFonts w:ascii="宋体" w:hAnsi="宋体" w:cs="宋体" w:eastAsia="宋体" w:hint="default"/>
                <w:sz w:val="20"/>
                <w:szCs w:val="20"/>
              </w:rPr>
            </w:pPr>
            <w:r>
              <w:rPr>
                <w:rFonts w:ascii="宋体" w:hAnsi="宋体" w:cs="宋体" w:eastAsia="宋体" w:hint="default"/>
                <w:b/>
                <w:bCs/>
                <w:sz w:val="20"/>
                <w:szCs w:val="20"/>
              </w:rPr>
              <w:t>按原金融工具准则</w:t>
            </w:r>
            <w:r>
              <w:rPr>
                <w:rFonts w:ascii="宋体" w:hAnsi="宋体" w:cs="宋体" w:eastAsia="宋体" w:hint="default"/>
                <w:b/>
                <w:bCs/>
                <w:w w:val="99"/>
                <w:sz w:val="20"/>
                <w:szCs w:val="20"/>
              </w:rPr>
              <w:t> </w:t>
            </w:r>
            <w:r>
              <w:rPr>
                <w:rFonts w:ascii="宋体" w:hAnsi="宋体" w:cs="宋体" w:eastAsia="宋体" w:hint="default"/>
                <w:b/>
                <w:bCs/>
                <w:sz w:val="20"/>
                <w:szCs w:val="20"/>
              </w:rPr>
              <w:t>列示的账面价值</w:t>
            </w:r>
            <w:r>
              <w:rPr>
                <w:rFonts w:ascii="宋体" w:hAnsi="宋体" w:cs="宋体" w:eastAsia="宋体" w:hint="default"/>
                <w:b/>
                <w:bCs/>
                <w:w w:val="99"/>
                <w:sz w:val="20"/>
                <w:szCs w:val="20"/>
              </w:rPr>
              <w:t> </w:t>
            </w:r>
            <w:r>
              <w:rPr>
                <w:rFonts w:ascii="Times New Roman" w:hAnsi="Times New Roman" w:cs="Times New Roman" w:eastAsia="Times New Roman" w:hint="default"/>
                <w:b/>
                <w:bCs/>
                <w:sz w:val="20"/>
                <w:szCs w:val="20"/>
              </w:rPr>
              <w:t>2018</w:t>
            </w:r>
            <w:r>
              <w:rPr>
                <w:rFonts w:ascii="宋体" w:hAnsi="宋体" w:cs="宋体" w:eastAsia="宋体" w:hint="default"/>
                <w:b/>
                <w:bCs/>
                <w:sz w:val="20"/>
                <w:szCs w:val="20"/>
              </w:rPr>
              <w:t>年</w:t>
            </w:r>
            <w:r>
              <w:rPr>
                <w:rFonts w:ascii="Times New Roman" w:hAnsi="Times New Roman" w:cs="Times New Roman" w:eastAsia="Times New Roman" w:hint="default"/>
                <w:b/>
                <w:bCs/>
                <w:sz w:val="20"/>
                <w:szCs w:val="20"/>
              </w:rPr>
              <w:t>12</w:t>
            </w:r>
            <w:r>
              <w:rPr>
                <w:rFonts w:ascii="宋体" w:hAnsi="宋体" w:cs="宋体" w:eastAsia="宋体" w:hint="default"/>
                <w:b/>
                <w:bCs/>
                <w:sz w:val="20"/>
                <w:szCs w:val="20"/>
              </w:rPr>
              <w:t>月</w:t>
            </w:r>
            <w:r>
              <w:rPr>
                <w:rFonts w:ascii="Times New Roman" w:hAnsi="Times New Roman" w:cs="Times New Roman" w:eastAsia="Times New Roman" w:hint="default"/>
                <w:b/>
                <w:bCs/>
                <w:sz w:val="20"/>
                <w:szCs w:val="20"/>
              </w:rPr>
              <w:t>31</w:t>
            </w:r>
            <w:r>
              <w:rPr>
                <w:rFonts w:ascii="宋体" w:hAnsi="宋体" w:cs="宋体" w:eastAsia="宋体" w:hint="default"/>
                <w:b/>
                <w:bCs/>
                <w:sz w:val="20"/>
                <w:szCs w:val="20"/>
              </w:rPr>
              <w:t>日</w:t>
            </w:r>
            <w:r>
              <w:rPr>
                <w:rFonts w:ascii="宋体" w:hAnsi="宋体" w:cs="宋体" w:eastAsia="宋体" w:hint="default"/>
                <w:sz w:val="20"/>
                <w:szCs w:val="20"/>
              </w:rPr>
            </w:r>
          </w:p>
        </w:tc>
        <w:tc>
          <w:tcPr>
            <w:tcW w:w="32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15" w:right="0"/>
              <w:jc w:val="left"/>
              <w:rPr>
                <w:rFonts w:ascii="宋体" w:hAnsi="宋体" w:cs="宋体" w:eastAsia="宋体" w:hint="default"/>
                <w:sz w:val="20"/>
                <w:szCs w:val="20"/>
              </w:rPr>
            </w:pPr>
            <w:r>
              <w:rPr>
                <w:rFonts w:ascii="宋体" w:hAnsi="宋体" w:cs="宋体" w:eastAsia="宋体" w:hint="default"/>
                <w:b/>
                <w:bCs/>
                <w:sz w:val="20"/>
                <w:szCs w:val="20"/>
              </w:rPr>
              <w:t>施行新金融工具准则</w:t>
            </w:r>
            <w:r>
              <w:rPr>
                <w:rFonts w:ascii="宋体" w:hAnsi="宋体" w:cs="宋体" w:eastAsia="宋体" w:hint="default"/>
                <w:sz w:val="20"/>
                <w:szCs w:val="20"/>
              </w:rPr>
            </w:r>
          </w:p>
        </w:tc>
        <w:tc>
          <w:tcPr>
            <w:tcW w:w="1659" w:type="dxa"/>
            <w:vMerge w:val="restart"/>
            <w:tcBorders>
              <w:top w:val="single" w:sz="4" w:space="0" w:color="000000"/>
              <w:left w:val="single" w:sz="4" w:space="0" w:color="000000"/>
              <w:right w:val="single" w:sz="4" w:space="0" w:color="000000"/>
            </w:tcBorders>
          </w:tcPr>
          <w:p>
            <w:pPr>
              <w:pStyle w:val="TableParagraph"/>
              <w:spacing w:line="285" w:lineRule="auto" w:before="4"/>
              <w:ind w:left="21" w:right="21"/>
              <w:jc w:val="center"/>
              <w:rPr>
                <w:rFonts w:ascii="宋体" w:hAnsi="宋体" w:cs="宋体" w:eastAsia="宋体" w:hint="default"/>
                <w:sz w:val="20"/>
                <w:szCs w:val="20"/>
              </w:rPr>
            </w:pPr>
            <w:r>
              <w:rPr>
                <w:rFonts w:ascii="宋体" w:hAnsi="宋体" w:cs="宋体" w:eastAsia="宋体" w:hint="default"/>
                <w:b/>
                <w:bCs/>
                <w:sz w:val="20"/>
                <w:szCs w:val="20"/>
              </w:rPr>
              <w:t>按新金融工具准则</w:t>
            </w:r>
            <w:r>
              <w:rPr>
                <w:rFonts w:ascii="宋体" w:hAnsi="宋体" w:cs="宋体" w:eastAsia="宋体" w:hint="default"/>
                <w:b/>
                <w:bCs/>
                <w:w w:val="99"/>
                <w:sz w:val="20"/>
                <w:szCs w:val="20"/>
              </w:rPr>
              <w:t> </w:t>
            </w:r>
            <w:r>
              <w:rPr>
                <w:rFonts w:ascii="宋体" w:hAnsi="宋体" w:cs="宋体" w:eastAsia="宋体" w:hint="default"/>
                <w:b/>
                <w:bCs/>
                <w:sz w:val="20"/>
                <w:szCs w:val="20"/>
              </w:rPr>
              <w:t>列示的账面价值</w:t>
            </w:r>
            <w:r>
              <w:rPr>
                <w:rFonts w:ascii="宋体" w:hAnsi="宋体" w:cs="宋体" w:eastAsia="宋体" w:hint="default"/>
                <w:b/>
                <w:bCs/>
                <w:w w:val="99"/>
                <w:sz w:val="20"/>
                <w:szCs w:val="20"/>
              </w:rPr>
              <w:t> </w:t>
            </w:r>
            <w:r>
              <w:rPr>
                <w:rFonts w:ascii="Times New Roman" w:hAnsi="Times New Roman" w:cs="Times New Roman" w:eastAsia="Times New Roman" w:hint="default"/>
                <w:b/>
                <w:bCs/>
                <w:sz w:val="20"/>
                <w:szCs w:val="20"/>
              </w:rPr>
              <w:t>2019</w:t>
            </w:r>
            <w:r>
              <w:rPr>
                <w:rFonts w:ascii="宋体" w:hAnsi="宋体" w:cs="宋体" w:eastAsia="宋体" w:hint="default"/>
                <w:b/>
                <w:bCs/>
                <w:sz w:val="20"/>
                <w:szCs w:val="20"/>
              </w:rPr>
              <w:t>年</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月</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日</w:t>
            </w:r>
            <w:r>
              <w:rPr>
                <w:rFonts w:ascii="宋体" w:hAnsi="宋体" w:cs="宋体" w:eastAsia="宋体" w:hint="default"/>
                <w:sz w:val="20"/>
                <w:szCs w:val="20"/>
              </w:rPr>
            </w:r>
          </w:p>
        </w:tc>
      </w:tr>
      <w:tr>
        <w:trPr>
          <w:trHeight w:val="965" w:hRule="exact"/>
        </w:trPr>
        <w:tc>
          <w:tcPr>
            <w:tcW w:w="1959" w:type="dxa"/>
            <w:vMerge/>
            <w:tcBorders>
              <w:left w:val="single" w:sz="4" w:space="0" w:color="000000"/>
              <w:bottom w:val="single" w:sz="4" w:space="0" w:color="000000"/>
              <w:right w:val="single" w:sz="4" w:space="0" w:color="000000"/>
            </w:tcBorders>
          </w:tcPr>
          <w:p>
            <w:pPr/>
          </w:p>
        </w:tc>
        <w:tc>
          <w:tcPr>
            <w:tcW w:w="1661" w:type="dxa"/>
            <w:vMerge/>
            <w:tcBorders>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87" w:right="0"/>
              <w:jc w:val="left"/>
              <w:rPr>
                <w:rFonts w:ascii="宋体" w:hAnsi="宋体" w:cs="宋体" w:eastAsia="宋体" w:hint="default"/>
                <w:sz w:val="20"/>
                <w:szCs w:val="20"/>
              </w:rPr>
            </w:pPr>
            <w:r>
              <w:rPr>
                <w:rFonts w:ascii="宋体" w:hAnsi="宋体" w:cs="宋体" w:eastAsia="宋体" w:hint="default"/>
                <w:b/>
                <w:bCs/>
                <w:sz w:val="20"/>
                <w:szCs w:val="20"/>
              </w:rPr>
              <w:t>重分类</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（注</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w:t>
            </w:r>
            <w:r>
              <w:rPr>
                <w:rFonts w:ascii="宋体" w:hAnsi="宋体" w:cs="宋体" w:eastAsia="宋体" w:hint="default"/>
                <w:sz w:val="20"/>
                <w:szCs w:val="20"/>
              </w:rPr>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
              <w:ind w:left="9" w:right="2" w:hanging="4"/>
              <w:jc w:val="center"/>
              <w:rPr>
                <w:rFonts w:ascii="Times New Roman" w:hAnsi="Times New Roman" w:cs="Times New Roman" w:eastAsia="Times New Roman" w:hint="default"/>
                <w:sz w:val="20"/>
                <w:szCs w:val="20"/>
              </w:rPr>
            </w:pPr>
            <w:r>
              <w:rPr>
                <w:rFonts w:ascii="宋体" w:hAnsi="宋体" w:cs="宋体" w:eastAsia="宋体" w:hint="default"/>
                <w:b/>
                <w:bCs/>
                <w:sz w:val="20"/>
                <w:szCs w:val="20"/>
              </w:rPr>
              <w:t>重新计量：预期</w:t>
            </w:r>
            <w:r>
              <w:rPr>
                <w:rFonts w:ascii="宋体" w:hAnsi="宋体" w:cs="宋体" w:eastAsia="宋体" w:hint="default"/>
                <w:b/>
                <w:bCs/>
                <w:w w:val="99"/>
                <w:sz w:val="20"/>
                <w:szCs w:val="20"/>
              </w:rPr>
              <w:t> </w:t>
            </w:r>
            <w:r>
              <w:rPr>
                <w:rFonts w:ascii="宋体" w:hAnsi="宋体" w:cs="宋体" w:eastAsia="宋体" w:hint="default"/>
                <w:b/>
                <w:bCs/>
                <w:sz w:val="20"/>
                <w:szCs w:val="20"/>
              </w:rPr>
              <w:t>信用损失凖备</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注</w:t>
            </w:r>
            <w:r>
              <w:rPr>
                <w:rFonts w:ascii="宋体" w:hAnsi="宋体" w:cs="宋体" w:eastAsia="宋体" w:hint="default"/>
                <w:b/>
                <w:bCs/>
                <w:w w:val="99"/>
                <w:sz w:val="20"/>
                <w:szCs w:val="20"/>
              </w:rPr>
              <w:t> </w:t>
            </w:r>
            <w:r>
              <w:rPr>
                <w:rFonts w:ascii="Times New Roman" w:hAnsi="Times New Roman" w:cs="Times New Roman" w:eastAsia="Times New Roman" w:hint="default"/>
                <w:b/>
                <w:bCs/>
                <w:sz w:val="20"/>
                <w:szCs w:val="20"/>
              </w:rPr>
              <w:t>2)</w:t>
            </w:r>
            <w:r>
              <w:rPr>
                <w:rFonts w:ascii="Times New Roman" w:hAnsi="Times New Roman" w:cs="Times New Roman" w:eastAsia="Times New Roman" w:hint="default"/>
                <w:sz w:val="20"/>
                <w:szCs w:val="20"/>
              </w:rPr>
            </w:r>
          </w:p>
        </w:tc>
        <w:tc>
          <w:tcPr>
            <w:tcW w:w="1659" w:type="dxa"/>
            <w:vMerge/>
            <w:tcBorders>
              <w:left w:val="single" w:sz="4" w:space="0" w:color="000000"/>
              <w:bottom w:val="single" w:sz="4" w:space="0" w:color="000000"/>
              <w:right w:val="single" w:sz="4" w:space="0" w:color="000000"/>
            </w:tcBorders>
          </w:tcPr>
          <w:p>
            <w:pPr/>
          </w:p>
        </w:tc>
      </w:tr>
      <w:tr>
        <w:trPr>
          <w:trHeight w:val="343"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5" w:right="0"/>
              <w:jc w:val="left"/>
              <w:rPr>
                <w:rFonts w:ascii="Times New Roman" w:hAnsi="Times New Roman" w:cs="Times New Roman" w:eastAsia="Times New Roman" w:hint="default"/>
                <w:sz w:val="20"/>
                <w:szCs w:val="20"/>
              </w:rPr>
            </w:pPr>
            <w:r>
              <w:rPr>
                <w:rFonts w:ascii="Times New Roman"/>
                <w:sz w:val="20"/>
              </w:rPr>
              <w:t>249,473,546.70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-249,473,546.70</w:t>
            </w:r>
            <w:r>
              <w:rPr>
                <w:rFonts w:ascii="Times New Roman"/>
                <w:sz w:val="20"/>
              </w:rPr>
            </w:r>
          </w:p>
        </w:tc>
        <w:tc>
          <w:tcPr>
            <w:tcW w:w="1495"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3"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其他权益投资</w:t>
            </w:r>
          </w:p>
        </w:tc>
        <w:tc>
          <w:tcPr>
            <w:tcW w:w="1661"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249,473,546.70</w:t>
            </w:r>
            <w:r>
              <w:rPr>
                <w:rFonts w:ascii="Times New Roman"/>
                <w:sz w:val="20"/>
              </w:rPr>
            </w:r>
          </w:p>
        </w:tc>
        <w:tc>
          <w:tcPr>
            <w:tcW w:w="1495"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
              <w:jc w:val="right"/>
              <w:rPr>
                <w:rFonts w:ascii="Times New Roman" w:hAnsi="Times New Roman" w:cs="Times New Roman" w:eastAsia="Times New Roman" w:hint="default"/>
                <w:sz w:val="20"/>
                <w:szCs w:val="20"/>
              </w:rPr>
            </w:pPr>
            <w:r>
              <w:rPr>
                <w:rFonts w:ascii="Times New Roman"/>
                <w:w w:val="95"/>
                <w:sz w:val="20"/>
              </w:rPr>
              <w:t>249,473,546.70</w:t>
            </w:r>
            <w:r>
              <w:rPr>
                <w:rFonts w:ascii="Times New Roman"/>
                <w:sz w:val="20"/>
              </w:rPr>
            </w:r>
          </w:p>
        </w:tc>
      </w:tr>
    </w:tbl>
    <w:p>
      <w:pPr>
        <w:spacing w:line="240" w:lineRule="auto" w:before="0"/>
        <w:rPr>
          <w:rFonts w:ascii="宋体" w:hAnsi="宋体" w:cs="宋体" w:eastAsia="宋体" w:hint="default"/>
          <w:sz w:val="5"/>
          <w:szCs w:val="5"/>
        </w:rPr>
      </w:pPr>
    </w:p>
    <w:p>
      <w:pPr>
        <w:pStyle w:val="BodyText"/>
        <w:spacing w:line="247" w:lineRule="auto" w:before="32"/>
        <w:ind w:right="1130" w:firstLine="439"/>
        <w:jc w:val="both"/>
      </w:pPr>
      <w:r>
        <w:rPr/>
        <w:t>注</w:t>
      </w:r>
      <w:r>
        <w:rPr>
          <w:spacing w:val="-85"/>
        </w:rPr>
        <w:t> </w:t>
      </w:r>
      <w:r>
        <w:rPr>
          <w:rFonts w:ascii="Times New Roman" w:hAnsi="Times New Roman" w:cs="Times New Roman" w:eastAsia="Times New Roman" w:hint="default"/>
        </w:rPr>
        <w:t>1:</w:t>
      </w:r>
      <w:r>
        <w:rPr>
          <w:rFonts w:ascii="Times New Roman" w:hAnsi="Times New Roman" w:cs="Times New Roman" w:eastAsia="Times New Roman" w:hint="default"/>
          <w:spacing w:val="20"/>
        </w:rPr>
        <w:t> </w:t>
      </w:r>
      <w:r>
        <w:rPr>
          <w:spacing w:val="17"/>
        </w:rPr>
        <w:t>根据新金融工具准则的要求，</w:t>
      </w:r>
      <w:r>
        <w:rPr>
          <w:spacing w:val="-85"/>
        </w:rPr>
        <w:t> </w:t>
      </w:r>
      <w:r>
        <w:rPr/>
        <w:t>自</w:t>
      </w:r>
      <w:r>
        <w:rPr>
          <w:spacing w:val="-8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0"/>
        </w:rPr>
        <w:t> </w:t>
      </w:r>
      <w:r>
        <w:rPr/>
        <w:t>年</w:t>
      </w:r>
      <w:r>
        <w:rPr>
          <w:spacing w:val="-85"/>
        </w:rPr>
        <w:t> </w:t>
      </w:r>
      <w:r>
        <w:rPr>
          <w:rFonts w:ascii="Times New Roman" w:hAnsi="Times New Roman" w:cs="Times New Roman" w:eastAsia="Times New Roman" w:hint="default"/>
        </w:rPr>
        <w:t>1</w:t>
      </w:r>
      <w:r>
        <w:rPr>
          <w:rFonts w:ascii="Times New Roman" w:hAnsi="Times New Roman" w:cs="Times New Roman" w:eastAsia="Times New Roman" w:hint="default"/>
          <w:spacing w:val="-33"/>
        </w:rPr>
        <w:t> </w:t>
      </w:r>
      <w:r>
        <w:rPr/>
        <w:t>月</w:t>
      </w:r>
      <w:r>
        <w:rPr>
          <w:spacing w:val="-85"/>
        </w:rPr>
        <w:t> </w:t>
      </w: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spacing w:val="13"/>
        </w:rPr>
        <w:t>日起，</w:t>
      </w:r>
      <w:r>
        <w:rPr>
          <w:spacing w:val="-88"/>
        </w:rPr>
        <w:t> </w:t>
      </w:r>
      <w:r>
        <w:rPr>
          <w:spacing w:val="18"/>
        </w:rPr>
        <w:t>母公司可供出售金融资产人民币</w:t>
      </w:r>
      <w:r>
        <w:rPr>
          <w:w w:val="100"/>
        </w:rPr>
        <w:t> </w:t>
      </w:r>
      <w:r>
        <w:rPr>
          <w:rFonts w:ascii="Times New Roman" w:hAnsi="Times New Roman" w:cs="Times New Roman" w:eastAsia="Times New Roman" w:hint="default"/>
          <w:sz w:val="20"/>
          <w:szCs w:val="20"/>
        </w:rPr>
        <w:t>249,473,546.70</w:t>
      </w:r>
      <w:r>
        <w:rPr/>
        <w:t>元因指定为以公允价值计量且其变动计入其他综合收益的金融资产而重分类至其他权益</w:t>
      </w:r>
      <w:r>
        <w:rPr>
          <w:spacing w:val="-82"/>
        </w:rPr>
        <w:t> </w:t>
      </w:r>
      <w:r>
        <w:rPr>
          <w:spacing w:val="-82"/>
        </w:rPr>
      </w:r>
      <w:r>
        <w:rPr/>
        <w:t>工具投资。</w:t>
      </w:r>
    </w:p>
    <w:p>
      <w:pPr>
        <w:pStyle w:val="BodyText"/>
        <w:spacing w:line="244" w:lineRule="auto" w:before="138"/>
        <w:ind w:right="1131" w:firstLine="439"/>
        <w:jc w:val="both"/>
      </w:pPr>
      <w:r>
        <w:rPr/>
        <w:t>注</w:t>
      </w:r>
      <w:r>
        <w:rPr>
          <w:rFonts w:ascii="Times New Roman" w:hAnsi="Times New Roman" w:cs="Times New Roman" w:eastAsia="Times New Roman" w:hint="default"/>
        </w:rPr>
        <w:t>2:</w:t>
      </w:r>
      <w:r>
        <w:rPr>
          <w:rFonts w:ascii="Times New Roman" w:hAnsi="Times New Roman" w:cs="Times New Roman" w:eastAsia="Times New Roman" w:hint="default"/>
          <w:spacing w:val="12"/>
        </w:rPr>
        <w:t> </w:t>
      </w:r>
      <w:r>
        <w:rPr>
          <w:spacing w:val="-3"/>
        </w:rPr>
        <w:t>根据新金融工具准则的要求，自</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日起，母公司金融资产减值计量由「已发生损失</w:t>
      </w:r>
      <w:r>
        <w:rPr>
          <w:w w:val="100"/>
        </w:rPr>
        <w:t> </w:t>
      </w:r>
      <w:r>
        <w:rPr/>
        <w:t>模型」变更为「预期信用损失模型」。</w:t>
      </w:r>
    </w:p>
    <w:p>
      <w:pPr>
        <w:spacing w:after="0" w:line="244" w:lineRule="auto"/>
        <w:jc w:val="both"/>
        <w:sectPr>
          <w:pgSz w:w="11910" w:h="16840"/>
          <w:pgMar w:header="877"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996"/>
        <w:jc w:val="left"/>
        <w:rPr>
          <w:b w:val="0"/>
          <w:bCs w:val="0"/>
        </w:rPr>
      </w:pPr>
      <w:r>
        <w:rPr/>
        <w:t>六、税项</w:t>
      </w:r>
      <w:r>
        <w:rPr>
          <w:b w:val="0"/>
          <w:bCs w:val="0"/>
        </w:rPr>
      </w:r>
    </w:p>
    <w:p>
      <w:pPr>
        <w:spacing w:line="240" w:lineRule="auto" w:before="12"/>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销售收入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应纳所得税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现代服务业收入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360" w:hRule="exact"/>
        </w:trPr>
        <w:tc>
          <w:tcPr>
            <w:tcW w:w="3191" w:type="dxa"/>
            <w:tcBorders>
              <w:top w:val="single" w:sz="4" w:space="0" w:color="000000"/>
              <w:left w:val="single" w:sz="4" w:space="0" w:color="000000"/>
              <w:bottom w:val="nil" w:sz="6" w:space="0" w:color="auto"/>
              <w:right w:val="single" w:sz="4" w:space="0" w:color="000000"/>
            </w:tcBorders>
          </w:tcPr>
          <w:p>
            <w:pPr/>
          </w:p>
        </w:tc>
        <w:tc>
          <w:tcPr>
            <w:tcW w:w="31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经营自用的房屋，按照房产原值的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70%</w:t>
            </w:r>
          </w:p>
        </w:tc>
        <w:tc>
          <w:tcPr>
            <w:tcW w:w="319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nil" w:sz="6" w:space="0" w:color="auto"/>
              <w:left w:val="single" w:sz="4" w:space="0" w:color="000000"/>
              <w:bottom w:val="nil" w:sz="6" w:space="0" w:color="auto"/>
              <w:right w:val="single" w:sz="10" w:space="0" w:color="FFFFFF"/>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pacing w:val="-5"/>
                <w:sz w:val="18"/>
                <w:szCs w:val="18"/>
              </w:rPr>
              <w:t>为纳税基准，税率为</w:t>
            </w:r>
            <w:r>
              <w:rPr>
                <w:rFonts w:ascii="宋体" w:hAnsi="宋体" w:cs="宋体" w:eastAsia="宋体" w:hint="default"/>
                <w:spacing w:val="-30"/>
                <w:sz w:val="18"/>
                <w:szCs w:val="18"/>
              </w:rPr>
              <w:t> </w:t>
            </w:r>
            <w:r>
              <w:rPr>
                <w:rFonts w:ascii="Times New Roman" w:hAnsi="Times New Roman" w:cs="Times New Roman" w:eastAsia="Times New Roman" w:hint="default"/>
                <w:spacing w:val="-5"/>
                <w:sz w:val="18"/>
                <w:szCs w:val="18"/>
              </w:rPr>
              <w:t>1.2%</w:t>
            </w:r>
            <w:r>
              <w:rPr>
                <w:rFonts w:ascii="宋体" w:hAnsi="宋体" w:cs="宋体" w:eastAsia="宋体" w:hint="default"/>
                <w:spacing w:val="-5"/>
                <w:sz w:val="18"/>
                <w:szCs w:val="18"/>
              </w:rPr>
              <w:t>；出租的房屋</w:t>
            </w:r>
          </w:p>
        </w:tc>
        <w:tc>
          <w:tcPr>
            <w:tcW w:w="3190" w:type="dxa"/>
            <w:tcBorders>
              <w:top w:val="nil" w:sz="6" w:space="0" w:color="auto"/>
              <w:left w:val="single" w:sz="10" w:space="0" w:color="FFFFFF"/>
              <w:bottom w:val="nil" w:sz="6" w:space="0" w:color="auto"/>
              <w:right w:val="single" w:sz="4" w:space="0" w:color="000000"/>
            </w:tcBorders>
          </w:tcPr>
          <w:p>
            <w:pPr>
              <w:pStyle w:val="TableParagraph"/>
              <w:spacing w:line="240" w:lineRule="auto" w:before="4"/>
              <w:ind w:left="-130"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55" w:hRule="exact"/>
        </w:trPr>
        <w:tc>
          <w:tcPr>
            <w:tcW w:w="3191" w:type="dxa"/>
            <w:tcBorders>
              <w:top w:val="nil" w:sz="6" w:space="0" w:color="auto"/>
              <w:left w:val="single" w:sz="4" w:space="0" w:color="000000"/>
              <w:bottom w:val="single" w:sz="4" w:space="0" w:color="000000"/>
              <w:right w:val="single" w:sz="4" w:space="0" w:color="000000"/>
            </w:tcBorders>
          </w:tcPr>
          <w:p>
            <w:pPr/>
          </w:p>
        </w:tc>
        <w:tc>
          <w:tcPr>
            <w:tcW w:w="31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以租金收入为计税依据，税率</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p>
        </w:tc>
        <w:tc>
          <w:tcPr>
            <w:tcW w:w="3190"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员工个人所得税由本公司代扣代缴</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996" w:firstLine="0"/>
        <w:jc w:val="left"/>
        <w:rPr>
          <w:rFonts w:ascii="宋体" w:hAnsi="宋体" w:cs="宋体" w:eastAsia="宋体" w:hint="default"/>
          <w:sz w:val="18"/>
          <w:szCs w:val="18"/>
        </w:rPr>
      </w:pPr>
      <w:r>
        <w:rPr/>
        <w:pict>
          <v:group style="position:absolute;margin-left:377.109985pt;margin-top:-55.798267pt;width:156.75pt;height:19.6pt;mso-position-horizontal-relative:page;mso-position-vertical-relative:paragraph;z-index:-1243840" coordorigin="7542,-1116" coordsize="3135,392">
            <v:shape style="position:absolute;left:7542;top:-1116;width:3135;height:392" coordorigin="7542,-1116" coordsize="3135,392" path="m7542,-725l10677,-725,10677,-1116,7542,-1116,7542,-725xe" filled="true" fillcolor="#ffffff" stroked="false">
              <v:path arrowok="t"/>
              <v:fill type="solid"/>
            </v:shape>
            <w10:wrap type="none"/>
          </v:group>
        </w:pict>
      </w:r>
      <w:r>
        <w:rPr>
          <w:rFonts w:ascii="宋体" w:hAnsi="宋体" w:cs="宋体" w:eastAsia="宋体" w:hint="default"/>
          <w:sz w:val="18"/>
          <w:szCs w:val="18"/>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深圳老友互动</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深圳宝腾互联</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深圳宝腾大数据</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4"/>
                <w:sz w:val="18"/>
              </w:rPr>
              <w:t>CUPLAY</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见附注六</w:t>
            </w:r>
            <w:r>
              <w:rPr>
                <w:rFonts w:ascii="宋体" w:hAnsi="宋体" w:cs="宋体" w:eastAsia="宋体" w:hint="default"/>
                <w:spacing w:val="-92"/>
                <w:sz w:val="18"/>
                <w:szCs w:val="18"/>
              </w:rPr>
              <w:t>、</w:t>
            </w:r>
            <w:r>
              <w:rPr>
                <w:rFonts w:ascii="宋体" w:hAnsi="宋体" w:cs="宋体" w:eastAsia="宋体" w:hint="default"/>
                <w:sz w:val="18"/>
                <w:szCs w:val="18"/>
              </w:rPr>
              <w:t>（三）其他说明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美国中青宝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见附注六</w:t>
            </w:r>
            <w:r>
              <w:rPr>
                <w:rFonts w:ascii="宋体" w:hAnsi="宋体" w:cs="宋体" w:eastAsia="宋体" w:hint="default"/>
                <w:spacing w:val="-92"/>
                <w:sz w:val="18"/>
                <w:szCs w:val="18"/>
              </w:rPr>
              <w:t>、</w:t>
            </w:r>
            <w:r>
              <w:rPr>
                <w:rFonts w:ascii="宋体" w:hAnsi="宋体" w:cs="宋体" w:eastAsia="宋体" w:hint="default"/>
                <w:sz w:val="18"/>
                <w:szCs w:val="18"/>
              </w:rPr>
              <w:t>（三）其他说明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香港中青宝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见附注六</w:t>
            </w:r>
            <w:r>
              <w:rPr>
                <w:rFonts w:ascii="宋体" w:hAnsi="宋体" w:cs="宋体" w:eastAsia="宋体" w:hint="default"/>
                <w:spacing w:val="-92"/>
                <w:sz w:val="18"/>
                <w:szCs w:val="18"/>
              </w:rPr>
              <w:t>、</w:t>
            </w:r>
            <w:r>
              <w:rPr>
                <w:rFonts w:ascii="宋体" w:hAnsi="宋体" w:cs="宋体" w:eastAsia="宋体" w:hint="default"/>
                <w:sz w:val="18"/>
                <w:szCs w:val="18"/>
              </w:rPr>
              <w:t>（三）其他说明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4"/>
                <w:sz w:val="18"/>
              </w:rPr>
              <w:t>LEEPLAY</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见附注六</w:t>
            </w:r>
            <w:r>
              <w:rPr>
                <w:rFonts w:ascii="宋体" w:hAnsi="宋体" w:cs="宋体" w:eastAsia="宋体" w:hint="default"/>
                <w:spacing w:val="-92"/>
                <w:sz w:val="18"/>
                <w:szCs w:val="18"/>
              </w:rPr>
              <w:t>、</w:t>
            </w:r>
            <w:r>
              <w:rPr>
                <w:rFonts w:ascii="宋体" w:hAnsi="宋体" w:cs="宋体" w:eastAsia="宋体" w:hint="default"/>
                <w:sz w:val="18"/>
                <w:szCs w:val="18"/>
              </w:rPr>
              <w:t>（三）其他说明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LEEGAME</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见附注六</w:t>
            </w:r>
            <w:r>
              <w:rPr>
                <w:rFonts w:ascii="宋体" w:hAnsi="宋体" w:cs="宋体" w:eastAsia="宋体" w:hint="default"/>
                <w:spacing w:val="-92"/>
                <w:sz w:val="18"/>
                <w:szCs w:val="18"/>
              </w:rPr>
              <w:t>、</w:t>
            </w:r>
            <w:r>
              <w:rPr>
                <w:rFonts w:ascii="宋体" w:hAnsi="宋体" w:cs="宋体" w:eastAsia="宋体" w:hint="default"/>
                <w:sz w:val="18"/>
                <w:szCs w:val="18"/>
              </w:rPr>
              <w:t>（三）其他说明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、税收优惠</w:t>
      </w:r>
      <w:r>
        <w:rPr>
          <w:rFonts w:ascii="宋体" w:hAnsi="宋体" w:cs="宋体" w:eastAsia="宋体" w:hint="default"/>
          <w:sz w:val="21"/>
          <w:szCs w:val="21"/>
        </w:rPr>
      </w:r>
    </w:p>
    <w:p>
      <w:pPr>
        <w:spacing w:line="240" w:lineRule="auto" w:before="11"/>
        <w:rPr>
          <w:rFonts w:ascii="宋体" w:hAnsi="宋体" w:cs="宋体" w:eastAsia="宋体" w:hint="default"/>
          <w:b/>
          <w:bCs/>
          <w:sz w:val="23"/>
          <w:szCs w:val="23"/>
        </w:rPr>
      </w:pPr>
    </w:p>
    <w:p>
      <w:pPr>
        <w:pStyle w:val="BodyText"/>
        <w:spacing w:line="240" w:lineRule="auto"/>
        <w:ind w:left="592" w:right="996"/>
        <w:jc w:val="left"/>
      </w:pPr>
      <w:r>
        <w:rPr>
          <w:rFonts w:ascii="Times New Roman" w:hAnsi="Times New Roman" w:cs="Times New Roman" w:eastAsia="Times New Roman" w:hint="default"/>
        </w:rPr>
        <w:t>1</w:t>
      </w:r>
      <w:r>
        <w:rPr/>
        <w:t>、增值税</w:t>
      </w:r>
    </w:p>
    <w:p>
      <w:pPr>
        <w:pStyle w:val="BodyText"/>
        <w:spacing w:line="244" w:lineRule="auto" w:before="128"/>
        <w:ind w:right="1131" w:firstLine="439"/>
        <w:jc w:val="both"/>
      </w:pPr>
      <w:r>
        <w:rPr>
          <w:spacing w:val="-2"/>
        </w:rPr>
        <w:t>（</w:t>
      </w:r>
      <w:r>
        <w:rPr>
          <w:rFonts w:ascii="Times New Roman" w:hAnsi="Times New Roman" w:cs="Times New Roman" w:eastAsia="Times New Roman" w:hint="default"/>
          <w:spacing w:val="-2"/>
        </w:rPr>
        <w:t>1</w:t>
      </w:r>
      <w:r>
        <w:rPr>
          <w:spacing w:val="-2"/>
        </w:rPr>
        <w:t>）根椐国发【</w:t>
      </w:r>
      <w:r>
        <w:rPr>
          <w:rFonts w:ascii="Times New Roman" w:hAnsi="Times New Roman" w:cs="Times New Roman" w:eastAsia="Times New Roman" w:hint="default"/>
          <w:spacing w:val="-2"/>
        </w:rPr>
        <w:t>2011</w:t>
      </w:r>
      <w:r>
        <w:rPr>
          <w:spacing w:val="-2"/>
        </w:rPr>
        <w:t>】</w:t>
      </w:r>
      <w:r>
        <w:rPr>
          <w:rFonts w:ascii="Times New Roman" w:hAnsi="Times New Roman" w:cs="Times New Roman" w:eastAsia="Times New Roman" w:hint="default"/>
          <w:spacing w:val="-2"/>
        </w:rPr>
        <w:t>4</w:t>
      </w:r>
      <w:r>
        <w:rPr>
          <w:spacing w:val="-2"/>
        </w:rPr>
        <w:t>号《国务院关于印发进一步鼓励软件产业和集成电路产业发展若干政策</w:t>
      </w:r>
      <w:r>
        <w:rPr>
          <w:w w:val="100"/>
        </w:rPr>
        <w:t> </w:t>
      </w:r>
      <w:r>
        <w:rPr/>
        <w:t>的通知》、财税【</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100</w:t>
      </w:r>
      <w:r>
        <w:rPr/>
        <w:t>号《关于软件产品增值税政策的通知》及《深圳市软件产品增值税即征</w:t>
      </w:r>
      <w:r>
        <w:rPr>
          <w:spacing w:val="-47"/>
        </w:rPr>
        <w:t> </w:t>
      </w:r>
      <w:r>
        <w:rPr>
          <w:spacing w:val="-47"/>
        </w:rPr>
      </w:r>
      <w:r>
        <w:rPr>
          <w:spacing w:val="-2"/>
        </w:rPr>
        <w:t>即退管理办法》对增值税一般纳税人销售其自行开发生产的软件产品，按</w:t>
      </w:r>
      <w:r>
        <w:rPr>
          <w:rFonts w:ascii="Times New Roman" w:hAnsi="Times New Roman" w:cs="Times New Roman" w:eastAsia="Times New Roman" w:hint="default"/>
          <w:spacing w:val="-2"/>
        </w:rPr>
        <w:t>17%</w:t>
      </w:r>
      <w:r>
        <w:rPr>
          <w:spacing w:val="-2"/>
        </w:rPr>
        <w:t>的法定税率征收增值税</w:t>
      </w:r>
      <w:r>
        <w:rPr>
          <w:spacing w:val="-33"/>
        </w:rPr>
        <w:t> </w:t>
      </w:r>
      <w:r>
        <w:rPr>
          <w:spacing w:val="-33"/>
        </w:rPr>
      </w:r>
      <w:r>
        <w:rPr/>
        <w:t>后，对其增值税实际税负超过</w:t>
      </w:r>
      <w:r>
        <w:rPr>
          <w:rFonts w:ascii="Times New Roman" w:hAnsi="Times New Roman" w:cs="Times New Roman" w:eastAsia="Times New Roman" w:hint="default"/>
        </w:rPr>
        <w:t>3%</w:t>
      </w:r>
      <w:r>
        <w:rPr/>
        <w:t>的部分实行即征即退政策。</w:t>
      </w:r>
    </w:p>
    <w:p>
      <w:pPr>
        <w:pStyle w:val="BodyText"/>
        <w:spacing w:line="244" w:lineRule="auto" w:before="122"/>
        <w:ind w:right="1129" w:firstLine="439"/>
        <w:jc w:val="both"/>
      </w:pPr>
      <w:r>
        <w:rPr/>
        <w:t>（</w:t>
      </w:r>
      <w:r>
        <w:rPr>
          <w:rFonts w:ascii="Times New Roman" w:hAnsi="Times New Roman" w:cs="Times New Roman" w:eastAsia="Times New Roman" w:hint="default"/>
        </w:rPr>
        <w:t>2</w:t>
      </w:r>
      <w:r>
        <w:rPr/>
        <w:t>）根据《财政部、国家税务总局关于在全国开展交通运输业和部分现代服务业营业税改征增</w:t>
      </w:r>
      <w:r>
        <w:rPr>
          <w:w w:val="100"/>
        </w:rPr>
        <w:t> </w:t>
      </w:r>
      <w:r>
        <w:rPr>
          <w:spacing w:val="-5"/>
        </w:rPr>
        <w:t>值税试点税收政策的通知》（财税〔</w:t>
      </w:r>
      <w:r>
        <w:rPr>
          <w:rFonts w:ascii="Times New Roman" w:hAnsi="Times New Roman" w:cs="Times New Roman" w:eastAsia="Times New Roman" w:hint="default"/>
          <w:spacing w:val="-5"/>
        </w:rPr>
        <w:t>2013</w:t>
      </w:r>
      <w:r>
        <w:rPr>
          <w:spacing w:val="-5"/>
        </w:rPr>
        <w:t>〕</w:t>
      </w:r>
      <w:r>
        <w:rPr>
          <w:rFonts w:ascii="Times New Roman" w:hAnsi="Times New Roman" w:cs="Times New Roman" w:eastAsia="Times New Roman" w:hint="default"/>
          <w:spacing w:val="-5"/>
        </w:rPr>
        <w:t>37</w:t>
      </w:r>
      <w:r>
        <w:rPr>
          <w:spacing w:val="-5"/>
        </w:rPr>
        <w:t>号）及《国家税务总局关于印发</w:t>
      </w:r>
      <w:r>
        <w:rPr>
          <w:rFonts w:ascii="Times New Roman" w:hAnsi="Times New Roman" w:cs="Times New Roman" w:eastAsia="Times New Roman" w:hint="default"/>
          <w:spacing w:val="-5"/>
        </w:rPr>
        <w:t>&lt;</w:t>
      </w:r>
      <w:r>
        <w:rPr>
          <w:spacing w:val="-5"/>
        </w:rPr>
        <w:t>税收减免管理办法（实</w:t>
      </w:r>
      <w:r>
        <w:rPr>
          <w:spacing w:val="-44"/>
        </w:rPr>
        <w:t> </w:t>
      </w:r>
      <w:r>
        <w:rPr>
          <w:spacing w:val="-44"/>
        </w:rPr>
      </w:r>
      <w:r>
        <w:rPr>
          <w:spacing w:val="-3"/>
        </w:rPr>
        <w:t>行）</w:t>
      </w:r>
      <w:r>
        <w:rPr>
          <w:rFonts w:ascii="Times New Roman" w:hAnsi="Times New Roman" w:cs="Times New Roman" w:eastAsia="Times New Roman" w:hint="default"/>
          <w:spacing w:val="-3"/>
        </w:rPr>
        <w:t>&gt;</w:t>
      </w:r>
      <w:r>
        <w:rPr>
          <w:spacing w:val="-3"/>
        </w:rPr>
        <w:t>的通知》（国税发〔</w:t>
      </w:r>
      <w:r>
        <w:rPr>
          <w:rFonts w:ascii="Times New Roman" w:hAnsi="Times New Roman" w:cs="Times New Roman" w:eastAsia="Times New Roman" w:hint="default"/>
          <w:spacing w:val="-3"/>
        </w:rPr>
        <w:t>2005</w:t>
      </w:r>
      <w:r>
        <w:rPr>
          <w:spacing w:val="-3"/>
        </w:rPr>
        <w:t>〕</w:t>
      </w:r>
      <w:r>
        <w:rPr>
          <w:rFonts w:ascii="Times New Roman" w:hAnsi="Times New Roman" w:cs="Times New Roman" w:eastAsia="Times New Roman" w:hint="default"/>
          <w:spacing w:val="-3"/>
        </w:rPr>
        <w:t>129</w:t>
      </w:r>
      <w:r>
        <w:rPr>
          <w:spacing w:val="-3"/>
        </w:rPr>
        <w:t>号），技术转让、技术开发和与之相关的技术咨询、技术服务免</w:t>
      </w:r>
    </w:p>
    <w:p>
      <w:pPr>
        <w:spacing w:after="0" w:line="244" w:lineRule="auto"/>
        <w:jc w:val="both"/>
        <w:sectPr>
          <w:pgSz w:w="11910" w:h="16840"/>
          <w:pgMar w:header="877" w:footer="980" w:top="1060" w:bottom="1160" w:left="980" w:right="0"/>
        </w:sectPr>
      </w:pPr>
    </w:p>
    <w:p>
      <w:pPr>
        <w:spacing w:line="240" w:lineRule="auto" w:before="4"/>
        <w:rPr>
          <w:rFonts w:ascii="宋体" w:hAnsi="宋体" w:cs="宋体" w:eastAsia="宋体" w:hint="default"/>
          <w:sz w:val="24"/>
          <w:szCs w:val="24"/>
        </w:rPr>
      </w:pPr>
    </w:p>
    <w:p>
      <w:pPr>
        <w:pStyle w:val="BodyText"/>
        <w:spacing w:line="247" w:lineRule="auto" w:before="32"/>
        <w:ind w:right="996"/>
        <w:jc w:val="left"/>
      </w:pPr>
      <w:r>
        <w:rPr>
          <w:spacing w:val="-1"/>
        </w:rPr>
        <w:t>征增值税，已取得福田区国税局深国税福减免备【</w:t>
      </w:r>
      <w:r>
        <w:rPr>
          <w:rFonts w:ascii="Times New Roman" w:hAnsi="Times New Roman" w:cs="Times New Roman" w:eastAsia="Times New Roman" w:hint="default"/>
          <w:spacing w:val="-1"/>
        </w:rPr>
        <w:t>2014</w:t>
      </w:r>
      <w:r>
        <w:rPr>
          <w:spacing w:val="-1"/>
        </w:rPr>
        <w:t>】</w:t>
      </w:r>
      <w:r>
        <w:rPr>
          <w:rFonts w:ascii="Times New Roman" w:hAnsi="Times New Roman" w:cs="Times New Roman" w:eastAsia="Times New Roman" w:hint="default"/>
          <w:spacing w:val="-1"/>
        </w:rPr>
        <w:t>1663</w:t>
      </w:r>
      <w:r>
        <w:rPr>
          <w:spacing w:val="-1"/>
        </w:rPr>
        <w:t>号、深国税福减免备【</w:t>
      </w:r>
      <w:r>
        <w:rPr>
          <w:rFonts w:ascii="Times New Roman" w:hAnsi="Times New Roman" w:cs="Times New Roman" w:eastAsia="Times New Roman" w:hint="default"/>
          <w:spacing w:val="-1"/>
        </w:rPr>
        <w:t>2014</w:t>
      </w:r>
      <w:r>
        <w:rPr>
          <w:spacing w:val="-1"/>
        </w:rPr>
        <w:t>】</w:t>
      </w:r>
      <w:r>
        <w:rPr>
          <w:rFonts w:ascii="Times New Roman" w:hAnsi="Times New Roman" w:cs="Times New Roman" w:eastAsia="Times New Roman" w:hint="default"/>
          <w:spacing w:val="-1"/>
        </w:rPr>
        <w:t>1664</w:t>
      </w:r>
      <w:r>
        <w:rPr>
          <w:spacing w:val="-1"/>
        </w:rPr>
        <w:t>号、</w:t>
      </w:r>
      <w:r>
        <w:rPr>
          <w:spacing w:val="-64"/>
        </w:rPr>
        <w:t> </w:t>
      </w:r>
      <w:r>
        <w:rPr/>
        <w:t>深国税福减免备【</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2070</w:t>
      </w:r>
      <w:r>
        <w:rPr/>
        <w:t>号增值税税收优惠备案通知书。</w:t>
      </w:r>
    </w:p>
    <w:p>
      <w:pPr>
        <w:pStyle w:val="BodyText"/>
        <w:spacing w:line="244" w:lineRule="auto" w:before="120"/>
        <w:ind w:right="996" w:firstLine="439"/>
        <w:jc w:val="left"/>
      </w:pPr>
      <w:r>
        <w:rPr>
          <w:spacing w:val="-4"/>
        </w:rPr>
        <w:t>（</w:t>
      </w:r>
      <w:r>
        <w:rPr>
          <w:rFonts w:ascii="Times New Roman" w:hAnsi="Times New Roman" w:cs="Times New Roman" w:eastAsia="Times New Roman" w:hint="default"/>
          <w:spacing w:val="-4"/>
        </w:rPr>
        <w:t>3</w:t>
      </w:r>
      <w:r>
        <w:rPr>
          <w:spacing w:val="-4"/>
        </w:rPr>
        <w:t>）</w:t>
      </w:r>
      <w:r>
        <w:rPr>
          <w:rFonts w:ascii="Times New Roman" w:hAnsi="Times New Roman" w:cs="Times New Roman" w:eastAsia="Times New Roman" w:hint="default"/>
          <w:spacing w:val="-4"/>
        </w:rPr>
        <w:t>2015</w:t>
      </w:r>
      <w:r>
        <w:rPr>
          <w:spacing w:val="-4"/>
        </w:rPr>
        <w:t>年度取得福田区国税局深国税福减免备【</w:t>
      </w:r>
      <w:r>
        <w:rPr>
          <w:rFonts w:ascii="Times New Roman" w:hAnsi="Times New Roman" w:cs="Times New Roman" w:eastAsia="Times New Roman" w:hint="default"/>
          <w:spacing w:val="-4"/>
        </w:rPr>
        <w:t>2013</w:t>
      </w:r>
      <w:r>
        <w:rPr>
          <w:spacing w:val="-4"/>
        </w:rPr>
        <w:t>】</w:t>
      </w:r>
      <w:r>
        <w:rPr>
          <w:rFonts w:ascii="Times New Roman" w:hAnsi="Times New Roman" w:cs="Times New Roman" w:eastAsia="Times New Roman" w:hint="default"/>
          <w:spacing w:val="-4"/>
        </w:rPr>
        <w:t>1343</w:t>
      </w:r>
      <w:r>
        <w:rPr>
          <w:spacing w:val="-4"/>
        </w:rPr>
        <w:t>号、深国税福减免备【</w:t>
      </w:r>
      <w:r>
        <w:rPr>
          <w:rFonts w:ascii="Times New Roman" w:hAnsi="Times New Roman" w:cs="Times New Roman" w:eastAsia="Times New Roman" w:hint="default"/>
          <w:spacing w:val="-4"/>
        </w:rPr>
        <w:t>2013</w:t>
      </w:r>
      <w:r>
        <w:rPr>
          <w:spacing w:val="-4"/>
        </w:rPr>
        <w:t>】</w:t>
      </w:r>
      <w:r>
        <w:rPr>
          <w:rFonts w:ascii="Times New Roman" w:hAnsi="Times New Roman" w:cs="Times New Roman" w:eastAsia="Times New Roman" w:hint="default"/>
          <w:spacing w:val="-4"/>
        </w:rPr>
        <w:t>0424</w:t>
      </w:r>
      <w:r>
        <w:rPr>
          <w:rFonts w:ascii="Times New Roman" w:hAnsi="Times New Roman" w:cs="Times New Roman" w:eastAsia="Times New Roman" w:hint="default"/>
          <w:w w:val="100"/>
        </w:rPr>
        <w:t> </w:t>
      </w:r>
      <w:r>
        <w:rPr/>
        <w:t>号、深国税福减免备【</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1506</w:t>
      </w:r>
      <w:r>
        <w:rPr/>
        <w:t>号的增值税税收优惠备案通知书，软件出口免税。</w:t>
      </w:r>
    </w:p>
    <w:p>
      <w:pPr>
        <w:pStyle w:val="BodyText"/>
        <w:spacing w:line="244" w:lineRule="auto" w:before="122"/>
        <w:ind w:right="1131" w:firstLine="355"/>
        <w:jc w:val="both"/>
      </w:pPr>
      <w:r>
        <w:rPr>
          <w:spacing w:val="-5"/>
        </w:rPr>
        <w:t>（</w:t>
      </w:r>
      <w:r>
        <w:rPr>
          <w:rFonts w:ascii="Times New Roman" w:hAnsi="Times New Roman" w:cs="Times New Roman" w:eastAsia="Times New Roman" w:hint="default"/>
          <w:spacing w:val="-5"/>
        </w:rPr>
        <w:t>4</w:t>
      </w:r>
      <w:r>
        <w:rPr>
          <w:spacing w:val="-5"/>
        </w:rPr>
        <w:t>）财税</w:t>
      </w:r>
      <w:r>
        <w:rPr>
          <w:rFonts w:ascii="Times New Roman" w:hAnsi="Times New Roman" w:cs="Times New Roman" w:eastAsia="Times New Roman" w:hint="default"/>
          <w:spacing w:val="-5"/>
        </w:rPr>
        <w:t>[2018]32</w:t>
      </w:r>
      <w:r>
        <w:rPr>
          <w:spacing w:val="-5"/>
        </w:rPr>
        <w:t>号调整增值税税率：纳税人发生增值税应税销售行为或者进口货物，原适用</w:t>
      </w:r>
      <w:r>
        <w:rPr>
          <w:rFonts w:ascii="Times New Roman" w:hAnsi="Times New Roman" w:cs="Times New Roman" w:eastAsia="Times New Roman" w:hint="default"/>
          <w:spacing w:val="-5"/>
        </w:rPr>
        <w:t>17%</w:t>
      </w:r>
      <w:r>
        <w:rPr>
          <w:rFonts w:ascii="Times New Roman" w:hAnsi="Times New Roman" w:cs="Times New Roman" w:eastAsia="Times New Roman" w:hint="default"/>
          <w:w w:val="100"/>
        </w:rPr>
        <w:t> </w:t>
      </w:r>
      <w:r>
        <w:rPr>
          <w:spacing w:val="-3"/>
        </w:rPr>
        <w:t>和</w:t>
      </w:r>
      <w:r>
        <w:rPr>
          <w:rFonts w:ascii="Times New Roman" w:hAnsi="Times New Roman" w:cs="Times New Roman" w:eastAsia="Times New Roman" w:hint="default"/>
          <w:spacing w:val="-3"/>
        </w:rPr>
        <w:t>11%</w:t>
      </w:r>
      <w:r>
        <w:rPr>
          <w:spacing w:val="-3"/>
        </w:rPr>
        <w:t>税率的，税率分别调整为</w:t>
      </w:r>
      <w:r>
        <w:rPr>
          <w:rFonts w:ascii="Times New Roman" w:hAnsi="Times New Roman" w:cs="Times New Roman" w:eastAsia="Times New Roman" w:hint="default"/>
          <w:spacing w:val="-3"/>
        </w:rPr>
        <w:t>16%</w:t>
      </w:r>
      <w:r>
        <w:rPr>
          <w:spacing w:val="-3"/>
        </w:rPr>
        <w:t>、</w:t>
      </w:r>
      <w:r>
        <w:rPr>
          <w:rFonts w:ascii="Times New Roman" w:hAnsi="Times New Roman" w:cs="Times New Roman" w:eastAsia="Times New Roman" w:hint="default"/>
          <w:spacing w:val="-3"/>
        </w:rPr>
        <w:t>10%</w:t>
      </w:r>
      <w:r>
        <w:rPr>
          <w:spacing w:val="-3"/>
        </w:rPr>
        <w:t>。财税</w:t>
      </w:r>
      <w:r>
        <w:rPr>
          <w:rFonts w:ascii="Times New Roman" w:hAnsi="Times New Roman" w:cs="Times New Roman" w:eastAsia="Times New Roman" w:hint="default"/>
          <w:spacing w:val="-3"/>
        </w:rPr>
        <w:t>[2019]39</w:t>
      </w:r>
      <w:r>
        <w:rPr>
          <w:spacing w:val="-3"/>
        </w:rPr>
        <w:t>号调整增值税税率：增值税一般纳税人发生</w:t>
      </w:r>
      <w:r>
        <w:rPr>
          <w:spacing w:val="-46"/>
        </w:rPr>
        <w:t> </w:t>
      </w:r>
      <w:r>
        <w:rPr>
          <w:spacing w:val="-46"/>
        </w:rPr>
      </w:r>
      <w:r>
        <w:rPr/>
        <w:t>增值税应税销售行为或者进口货物，原适用</w:t>
      </w:r>
      <w:r>
        <w:rPr>
          <w:rFonts w:ascii="Times New Roman" w:hAnsi="Times New Roman" w:cs="Times New Roman" w:eastAsia="Times New Roman" w:hint="default"/>
        </w:rPr>
        <w:t>16%</w:t>
      </w:r>
      <w:r>
        <w:rPr/>
        <w:t>税率的，税率调整为</w:t>
      </w:r>
      <w:r>
        <w:rPr>
          <w:rFonts w:ascii="Times New Roman" w:hAnsi="Times New Roman" w:cs="Times New Roman" w:eastAsia="Times New Roman" w:hint="default"/>
        </w:rPr>
        <w:t>13%</w:t>
      </w:r>
      <w:r>
        <w:rPr/>
        <w:t>；原适用</w:t>
      </w:r>
      <w:r>
        <w:rPr>
          <w:rFonts w:ascii="Times New Roman" w:hAnsi="Times New Roman" w:cs="Times New Roman" w:eastAsia="Times New Roman" w:hint="default"/>
        </w:rPr>
        <w:t>10%</w:t>
      </w:r>
      <w:r>
        <w:rPr/>
        <w:t>税率的，税率</w:t>
      </w:r>
      <w:r>
        <w:rPr>
          <w:spacing w:val="-49"/>
        </w:rPr>
        <w:t> </w:t>
      </w:r>
      <w:r>
        <w:rPr>
          <w:spacing w:val="-49"/>
        </w:rPr>
      </w:r>
      <w:r>
        <w:rPr/>
        <w:t>调整为</w:t>
      </w:r>
      <w:r>
        <w:rPr>
          <w:rFonts w:ascii="Times New Roman" w:hAnsi="Times New Roman" w:cs="Times New Roman" w:eastAsia="Times New Roman" w:hint="default"/>
        </w:rPr>
        <w:t>9%</w:t>
      </w:r>
      <w:r>
        <w:rPr/>
        <w:t>。</w:t>
      </w:r>
    </w:p>
    <w:p>
      <w:pPr>
        <w:pStyle w:val="BodyText"/>
        <w:spacing w:line="244" w:lineRule="auto" w:before="122"/>
        <w:ind w:right="996" w:firstLine="355"/>
        <w:jc w:val="left"/>
      </w:pPr>
      <w:r>
        <w:rPr>
          <w:spacing w:val="-1"/>
        </w:rPr>
        <w:t>（</w:t>
      </w:r>
      <w:r>
        <w:rPr>
          <w:rFonts w:ascii="Times New Roman" w:hAnsi="Times New Roman" w:cs="Times New Roman" w:eastAsia="Times New Roman" w:hint="default"/>
          <w:spacing w:val="-1"/>
        </w:rPr>
        <w:t>5</w:t>
      </w:r>
      <w:r>
        <w:rPr>
          <w:spacing w:val="-1"/>
        </w:rPr>
        <w:t>）财税</w:t>
      </w:r>
      <w:r>
        <w:rPr>
          <w:rFonts w:ascii="Times New Roman" w:hAnsi="Times New Roman" w:cs="Times New Roman" w:eastAsia="Times New Roman" w:hint="default"/>
          <w:spacing w:val="-1"/>
        </w:rPr>
        <w:t>[2019]39</w:t>
      </w:r>
      <w:r>
        <w:rPr>
          <w:spacing w:val="-1"/>
        </w:rPr>
        <w:t>号公布自</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2021</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日，允许生产、生活性服务业纳税人按</w:t>
      </w:r>
      <w:r>
        <w:rPr>
          <w:w w:val="100"/>
        </w:rPr>
        <w:t> </w:t>
      </w:r>
      <w:r>
        <w:rPr/>
        <w:t>照当期可抵扣进项税额加计</w:t>
      </w:r>
      <w:r>
        <w:rPr>
          <w:rFonts w:ascii="Times New Roman" w:hAnsi="Times New Roman" w:cs="Times New Roman" w:eastAsia="Times New Roman" w:hint="default"/>
        </w:rPr>
        <w:t>10%</w:t>
      </w:r>
      <w:r>
        <w:rPr/>
        <w:t>，抵减应纳税额。</w:t>
      </w:r>
    </w:p>
    <w:p>
      <w:pPr>
        <w:pStyle w:val="BodyText"/>
        <w:spacing w:line="240" w:lineRule="auto" w:before="122"/>
        <w:ind w:left="592" w:right="996"/>
        <w:jc w:val="left"/>
      </w:pPr>
      <w:r>
        <w:rPr>
          <w:rFonts w:ascii="Times New Roman" w:hAnsi="Times New Roman" w:cs="Times New Roman" w:eastAsia="Times New Roman" w:hint="default"/>
        </w:rPr>
        <w:t>2</w:t>
      </w:r>
      <w:r>
        <w:rPr/>
        <w:t>、企业所得税</w:t>
      </w:r>
    </w:p>
    <w:p>
      <w:pPr>
        <w:pStyle w:val="BodyText"/>
        <w:spacing w:line="252" w:lineRule="auto" w:before="128"/>
        <w:ind w:right="996" w:firstLine="439"/>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日，本公司高新技术企业资格复审合格，取得深圳市科技创新委员会、深圳</w:t>
      </w:r>
      <w:r>
        <w:rPr>
          <w:w w:val="100"/>
        </w:rPr>
        <w:t> </w:t>
      </w:r>
      <w:r>
        <w:rPr>
          <w:spacing w:val="-5"/>
        </w:rPr>
        <w:t>市财政委员会、深圳市国家税务局、深圳市地方税务局联合颁发的《高新技术企业证书》，证书编号：</w:t>
      </w:r>
      <w:r>
        <w:rPr>
          <w:spacing w:val="-42"/>
        </w:rPr>
        <w:t> </w:t>
      </w:r>
      <w:r>
        <w:rPr>
          <w:spacing w:val="-42"/>
        </w:rPr>
      </w:r>
      <w:r>
        <w:rPr>
          <w:rFonts w:ascii="Times New Roman" w:hAnsi="Times New Roman" w:cs="Times New Roman" w:eastAsia="Times New Roman" w:hint="default"/>
        </w:rPr>
        <w:t>GR201744203959</w:t>
      </w:r>
      <w:r>
        <w:rPr/>
        <w:t>，企业所得税税率自</w:t>
      </w:r>
      <w:r>
        <w:rPr>
          <w:rFonts w:ascii="Times New Roman" w:hAnsi="Times New Roman" w:cs="Times New Roman" w:eastAsia="Times New Roman" w:hint="default"/>
        </w:rPr>
        <w:t>2017</w:t>
      </w:r>
      <w:r>
        <w:rPr/>
        <w:t>年起（包括</w:t>
      </w:r>
      <w:r>
        <w:rPr>
          <w:rFonts w:ascii="Times New Roman" w:hAnsi="Times New Roman" w:cs="Times New Roman" w:eastAsia="Times New Roman" w:hint="default"/>
        </w:rPr>
        <w:t>2017</w:t>
      </w:r>
      <w:r>
        <w:rPr/>
        <w:t>年度）</w:t>
      </w:r>
      <w:r>
        <w:rPr>
          <w:rFonts w:ascii="Times New Roman" w:hAnsi="Times New Roman" w:cs="Times New Roman" w:eastAsia="Times New Roman" w:hint="default"/>
        </w:rPr>
        <w:t>3</w:t>
      </w:r>
      <w:r>
        <w:rPr/>
        <w:t>年享受</w:t>
      </w:r>
      <w:r>
        <w:rPr>
          <w:rFonts w:ascii="Times New Roman" w:hAnsi="Times New Roman" w:cs="Times New Roman" w:eastAsia="Times New Roman" w:hint="default"/>
        </w:rPr>
        <w:t>15%</w:t>
      </w:r>
      <w:r>
        <w:rPr/>
        <w:t>的优惠政策。</w:t>
      </w:r>
    </w:p>
    <w:p>
      <w:pPr>
        <w:pStyle w:val="BodyText"/>
        <w:spacing w:line="244" w:lineRule="auto" w:before="115"/>
        <w:ind w:right="996" w:firstLine="439"/>
        <w:jc w:val="left"/>
      </w:pPr>
      <w:r>
        <w:rPr>
          <w:spacing w:val="-5"/>
        </w:rPr>
        <w:t>（</w:t>
      </w:r>
      <w:r>
        <w:rPr>
          <w:rFonts w:ascii="Times New Roman" w:hAnsi="Times New Roman" w:cs="Times New Roman" w:eastAsia="Times New Roman" w:hint="default"/>
          <w:spacing w:val="-5"/>
        </w:rPr>
        <w:t>2</w:t>
      </w:r>
      <w:r>
        <w:rPr>
          <w:spacing w:val="-5"/>
        </w:rPr>
        <w:t>）</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11</w:t>
      </w:r>
      <w:r>
        <w:rPr>
          <w:spacing w:val="-5"/>
        </w:rPr>
        <w:t>月</w:t>
      </w:r>
      <w:r>
        <w:rPr>
          <w:rFonts w:ascii="Times New Roman" w:hAnsi="Times New Roman" w:cs="Times New Roman" w:eastAsia="Times New Roman" w:hint="default"/>
          <w:spacing w:val="-5"/>
        </w:rPr>
        <w:t>9</w:t>
      </w:r>
      <w:r>
        <w:rPr>
          <w:spacing w:val="-5"/>
        </w:rPr>
        <w:t>日，控股子公司深圳老友互动获取深圳市科技创新委员会、深圳市财政委员会、</w:t>
      </w:r>
      <w:r>
        <w:rPr>
          <w:w w:val="100"/>
        </w:rPr>
        <w:t> </w:t>
      </w:r>
      <w:r>
        <w:rPr/>
        <w:t>国家税务总局深圳市税务局联合颁发的《高新技术企业资格证书》，证书编号</w:t>
      </w:r>
      <w:r>
        <w:rPr>
          <w:rFonts w:ascii="Times New Roman" w:hAnsi="Times New Roman" w:cs="Times New Roman" w:eastAsia="Times New Roman" w:hint="default"/>
        </w:rPr>
        <w:t>:GR201844203500,</w:t>
      </w:r>
      <w:r>
        <w:rPr/>
        <w:t>企业</w:t>
      </w:r>
      <w:r>
        <w:rPr>
          <w:w w:val="100"/>
        </w:rPr>
        <w:t> </w:t>
      </w:r>
      <w:r>
        <w:rPr/>
        <w:t>所得税税率自</w:t>
      </w:r>
      <w:r>
        <w:rPr>
          <w:rFonts w:ascii="Times New Roman" w:hAnsi="Times New Roman" w:cs="Times New Roman" w:eastAsia="Times New Roman" w:hint="default"/>
        </w:rPr>
        <w:t>2018</w:t>
      </w:r>
      <w:r>
        <w:rPr/>
        <w:t>年起（包括</w:t>
      </w:r>
      <w:r>
        <w:rPr>
          <w:rFonts w:ascii="Times New Roman" w:hAnsi="Times New Roman" w:cs="Times New Roman" w:eastAsia="Times New Roman" w:hint="default"/>
        </w:rPr>
        <w:t>2018</w:t>
      </w:r>
      <w:r>
        <w:rPr/>
        <w:t>年度）</w:t>
      </w:r>
      <w:r>
        <w:rPr>
          <w:rFonts w:ascii="Times New Roman" w:hAnsi="Times New Roman" w:cs="Times New Roman" w:eastAsia="Times New Roman" w:hint="default"/>
        </w:rPr>
        <w:t>3</w:t>
      </w:r>
      <w:r>
        <w:rPr/>
        <w:t>年享受</w:t>
      </w:r>
      <w:r>
        <w:rPr>
          <w:rFonts w:ascii="Times New Roman" w:hAnsi="Times New Roman" w:cs="Times New Roman" w:eastAsia="Times New Roman" w:hint="default"/>
        </w:rPr>
        <w:t>15%</w:t>
      </w:r>
      <w:r>
        <w:rPr/>
        <w:t>的政策优惠。</w:t>
      </w:r>
    </w:p>
    <w:p>
      <w:pPr>
        <w:pStyle w:val="BodyText"/>
        <w:spacing w:line="252" w:lineRule="auto" w:before="122"/>
        <w:ind w:right="996" w:firstLine="439"/>
        <w:jc w:val="left"/>
      </w:pPr>
      <w:r>
        <w:rPr/>
        <w:t>（</w:t>
      </w:r>
      <w:r>
        <w:rPr>
          <w:rFonts w:ascii="Times New Roman" w:hAnsi="Times New Roman" w:cs="Times New Roman" w:eastAsia="Times New Roman" w:hint="default"/>
        </w:rPr>
        <w:t>3</w:t>
      </w:r>
      <w:r>
        <w:rPr/>
        <w:t>）全资子公司深圳宝腾互联于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日获得高新技术企业资格，取得深圳市科技创新</w:t>
      </w:r>
      <w:r>
        <w:rPr>
          <w:w w:val="100"/>
        </w:rPr>
        <w:t> </w:t>
      </w:r>
      <w:r>
        <w:rPr>
          <w:spacing w:val="-10"/>
        </w:rPr>
        <w:t>委员会、深圳市财政委员会、深圳市国家税务局、深圳市地方税务局联合颁发的《高新技术企业证书》，</w:t>
      </w:r>
      <w:r>
        <w:rPr>
          <w:spacing w:val="-34"/>
        </w:rPr>
        <w:t> </w:t>
      </w:r>
      <w:r>
        <w:rPr>
          <w:spacing w:val="-34"/>
        </w:rPr>
      </w:r>
      <w:r>
        <w:rPr>
          <w:spacing w:val="-3"/>
        </w:rPr>
        <w:t>证书编号：</w:t>
      </w:r>
      <w:r>
        <w:rPr>
          <w:rFonts w:ascii="Times New Roman" w:hAnsi="Times New Roman" w:cs="Times New Roman" w:eastAsia="Times New Roman" w:hint="default"/>
          <w:spacing w:val="-3"/>
        </w:rPr>
        <w:t>GR201744203590</w:t>
      </w:r>
      <w:r>
        <w:rPr>
          <w:spacing w:val="-3"/>
        </w:rPr>
        <w:t>，企业所得税税率自</w:t>
      </w:r>
      <w:r>
        <w:rPr>
          <w:rFonts w:ascii="Times New Roman" w:hAnsi="Times New Roman" w:cs="Times New Roman" w:eastAsia="Times New Roman" w:hint="default"/>
          <w:spacing w:val="-3"/>
        </w:rPr>
        <w:t>2017</w:t>
      </w:r>
      <w:r>
        <w:rPr>
          <w:spacing w:val="-3"/>
        </w:rPr>
        <w:t>年起（包括</w:t>
      </w:r>
      <w:r>
        <w:rPr>
          <w:rFonts w:ascii="Times New Roman" w:hAnsi="Times New Roman" w:cs="Times New Roman" w:eastAsia="Times New Roman" w:hint="default"/>
          <w:spacing w:val="-3"/>
        </w:rPr>
        <w:t>2017</w:t>
      </w:r>
      <w:r>
        <w:rPr>
          <w:spacing w:val="-3"/>
        </w:rPr>
        <w:t>年度）</w:t>
      </w:r>
      <w:r>
        <w:rPr>
          <w:rFonts w:ascii="Times New Roman" w:hAnsi="Times New Roman" w:cs="Times New Roman" w:eastAsia="Times New Roman" w:hint="default"/>
          <w:spacing w:val="-3"/>
        </w:rPr>
        <w:t>3</w:t>
      </w:r>
      <w:r>
        <w:rPr>
          <w:spacing w:val="-3"/>
        </w:rPr>
        <w:t>年享受</w:t>
      </w:r>
      <w:r>
        <w:rPr>
          <w:rFonts w:ascii="Times New Roman" w:hAnsi="Times New Roman" w:cs="Times New Roman" w:eastAsia="Times New Roman" w:hint="default"/>
          <w:spacing w:val="-3"/>
        </w:rPr>
        <w:t>15%</w:t>
      </w:r>
      <w:r>
        <w:rPr>
          <w:spacing w:val="-3"/>
        </w:rPr>
        <w:t>的优惠政策。</w:t>
      </w:r>
    </w:p>
    <w:p>
      <w:pPr>
        <w:pStyle w:val="BodyText"/>
        <w:spacing w:line="244" w:lineRule="auto"/>
        <w:ind w:right="1130" w:firstLine="266"/>
        <w:jc w:val="both"/>
      </w:pPr>
      <w:r>
        <w:rPr>
          <w:spacing w:val="-1"/>
        </w:rPr>
        <w:t>（</w:t>
      </w:r>
      <w:r>
        <w:rPr>
          <w:rFonts w:ascii="Times New Roman" w:hAnsi="Times New Roman" w:cs="Times New Roman" w:eastAsia="Times New Roman" w:hint="default"/>
          <w:spacing w:val="-1"/>
        </w:rPr>
        <w:t>4</w:t>
      </w:r>
      <w:r>
        <w:rPr>
          <w:spacing w:val="-1"/>
        </w:rPr>
        <w:t>）全资孙公司深圳宝腾大数据于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3</w:t>
      </w:r>
      <w:r>
        <w:rPr>
          <w:spacing w:val="-1"/>
        </w:rPr>
        <w:t>日成立，属于信息传输、软件和信息技术服务业，</w:t>
      </w:r>
      <w:r>
        <w:rPr>
          <w:w w:val="100"/>
        </w:rPr>
        <w:t> </w:t>
      </w:r>
      <w:r>
        <w:rPr>
          <w:spacing w:val="-2"/>
        </w:rPr>
        <w:t>根据财政部税务总局公告</w:t>
      </w:r>
      <w:r>
        <w:rPr>
          <w:rFonts w:ascii="Times New Roman" w:hAnsi="Times New Roman" w:cs="Times New Roman" w:eastAsia="Times New Roman" w:hint="default"/>
          <w:spacing w:val="-2"/>
        </w:rPr>
        <w:t>2019</w:t>
      </w:r>
      <w:r>
        <w:rPr>
          <w:spacing w:val="-2"/>
        </w:rPr>
        <w:t>年第</w:t>
      </w:r>
      <w:r>
        <w:rPr>
          <w:rFonts w:ascii="Times New Roman" w:hAnsi="Times New Roman" w:cs="Times New Roman" w:eastAsia="Times New Roman" w:hint="default"/>
          <w:spacing w:val="-2"/>
        </w:rPr>
        <w:t>68</w:t>
      </w:r>
      <w:r>
        <w:rPr>
          <w:spacing w:val="-2"/>
        </w:rPr>
        <w:t>号为支持集成电路设计和软件产业发展，依法成立且符合条件的</w:t>
      </w:r>
      <w:r>
        <w:rPr>
          <w:spacing w:val="-66"/>
        </w:rPr>
        <w:t> </w:t>
      </w:r>
      <w:r>
        <w:rPr>
          <w:spacing w:val="-66"/>
        </w:rPr>
      </w:r>
      <w:r>
        <w:rPr>
          <w:spacing w:val="-2"/>
        </w:rPr>
        <w:t>集成电路设计企业和软件企业，在</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日前自获利年度起计算优惠期，第一年至第二年免征</w:t>
      </w:r>
      <w:r>
        <w:rPr>
          <w:spacing w:val="-61"/>
        </w:rPr>
        <w:t> </w:t>
      </w:r>
      <w:r>
        <w:rPr>
          <w:spacing w:val="-61"/>
        </w:rPr>
      </w:r>
      <w:r>
        <w:rPr/>
        <w:t>企业所得税，第三年至第五年按照</w:t>
      </w:r>
      <w:r>
        <w:rPr>
          <w:rFonts w:ascii="Times New Roman" w:hAnsi="Times New Roman" w:cs="Times New Roman" w:eastAsia="Times New Roman" w:hint="default"/>
        </w:rPr>
        <w:t>25%</w:t>
      </w:r>
      <w:r>
        <w:rPr/>
        <w:t>的法定税率减半征收企业所得税，并享受至期满为止。</w:t>
      </w:r>
    </w:p>
    <w:p>
      <w:pPr>
        <w:spacing w:line="240" w:lineRule="auto" w:before="11"/>
        <w:rPr>
          <w:rFonts w:ascii="宋体" w:hAnsi="宋体" w:cs="宋体" w:eastAsia="宋体" w:hint="default"/>
          <w:sz w:val="23"/>
          <w:szCs w:val="23"/>
        </w:rPr>
      </w:pPr>
    </w:p>
    <w:p>
      <w:pPr>
        <w:spacing w:before="0"/>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p>
    <w:p>
      <w:pPr>
        <w:pStyle w:val="BodyText"/>
        <w:spacing w:line="244" w:lineRule="auto"/>
        <w:ind w:right="996" w:firstLine="439"/>
        <w:jc w:val="left"/>
      </w:pPr>
      <w:r>
        <w:rPr>
          <w:rFonts w:ascii="Times New Roman" w:hAnsi="Times New Roman" w:cs="Times New Roman" w:eastAsia="Times New Roman" w:hint="default"/>
          <w:spacing w:val="-1"/>
        </w:rPr>
        <w:t>1</w:t>
      </w:r>
      <w:r>
        <w:rPr>
          <w:spacing w:val="-1"/>
        </w:rPr>
        <w:t>、本公司全资子公司</w:t>
      </w:r>
      <w:r>
        <w:rPr>
          <w:rFonts w:ascii="Times New Roman" w:hAnsi="Times New Roman" w:cs="Times New Roman" w:eastAsia="Times New Roman" w:hint="default"/>
          <w:spacing w:val="-1"/>
        </w:rPr>
        <w:t>CUPLAY</w:t>
      </w:r>
      <w:r>
        <w:rPr>
          <w:spacing w:val="-1"/>
        </w:rPr>
        <w:t>、全资孙公司</w:t>
      </w:r>
      <w:r>
        <w:rPr>
          <w:rFonts w:ascii="Times New Roman" w:hAnsi="Times New Roman" w:cs="Times New Roman" w:eastAsia="Times New Roman" w:hint="default"/>
          <w:spacing w:val="-1"/>
        </w:rPr>
        <w:t>LEEPLAY</w:t>
      </w:r>
      <w:r>
        <w:rPr>
          <w:spacing w:val="-1"/>
        </w:rPr>
        <w:t>和</w:t>
      </w:r>
      <w:r>
        <w:rPr>
          <w:rFonts w:ascii="Times New Roman" w:hAnsi="Times New Roman" w:cs="Times New Roman" w:eastAsia="Times New Roman" w:hint="default"/>
          <w:spacing w:val="-1"/>
        </w:rPr>
        <w:t>LEEGAME</w:t>
      </w:r>
      <w:r>
        <w:rPr>
          <w:spacing w:val="-1"/>
        </w:rPr>
        <w:t>系在英属维尔京群岛、开曼</w:t>
      </w:r>
      <w:r>
        <w:rPr>
          <w:w w:val="100"/>
        </w:rPr>
        <w:t> </w:t>
      </w:r>
      <w:r>
        <w:rPr/>
        <w:t>群岛注册登记的公司，该公司无需缴纳企业所得税。</w:t>
      </w:r>
    </w:p>
    <w:p>
      <w:pPr>
        <w:pStyle w:val="BodyText"/>
        <w:spacing w:line="244" w:lineRule="auto" w:before="139"/>
        <w:ind w:right="996" w:firstLine="439"/>
        <w:jc w:val="left"/>
      </w:pPr>
      <w:r>
        <w:rPr>
          <w:rFonts w:ascii="Times New Roman" w:hAnsi="Times New Roman" w:cs="Times New Roman" w:eastAsia="Times New Roman" w:hint="default"/>
        </w:rPr>
        <w:t>2</w:t>
      </w:r>
      <w:r>
        <w:rPr/>
        <w:t>、本公司全资孙公司美国中青宝按照美国政府税法规定，依法缴纳州税（加利福尼亚）和联邦</w:t>
      </w:r>
      <w:r>
        <w:rPr>
          <w:w w:val="100"/>
        </w:rPr>
        <w:t> </w:t>
      </w:r>
      <w:r>
        <w:rPr/>
        <w:t>企业所得税。</w:t>
      </w:r>
    </w:p>
    <w:p>
      <w:pPr>
        <w:pStyle w:val="BodyText"/>
        <w:spacing w:line="244" w:lineRule="auto" w:before="139"/>
        <w:ind w:right="996" w:firstLine="439"/>
        <w:jc w:val="left"/>
      </w:pPr>
      <w:r>
        <w:rPr>
          <w:rFonts w:ascii="Times New Roman" w:hAnsi="Times New Roman" w:cs="Times New Roman" w:eastAsia="Times New Roman" w:hint="default"/>
        </w:rPr>
        <w:t>3</w:t>
      </w:r>
      <w:r>
        <w:rPr/>
        <w:t>、本公司全资子公司香港中青宝按照利润来源地征税的原则缴纳利得税，对于来源于香港地区</w:t>
      </w:r>
      <w:r>
        <w:rPr>
          <w:w w:val="100"/>
        </w:rPr>
        <w:t> </w:t>
      </w:r>
      <w:r>
        <w:rPr/>
        <w:t>的企业利得按照</w:t>
      </w:r>
      <w:r>
        <w:rPr>
          <w:rFonts w:ascii="Times New Roman" w:hAnsi="Times New Roman" w:cs="Times New Roman" w:eastAsia="Times New Roman" w:hint="default"/>
        </w:rPr>
        <w:t>16.5%</w:t>
      </w:r>
      <w:r>
        <w:rPr/>
        <w:t>的税率缴纳利得税，对于来源于香港地区以外的利得则免交利得税。</w:t>
      </w:r>
    </w:p>
    <w:p>
      <w:pPr>
        <w:spacing w:line="240" w:lineRule="auto" w:before="12"/>
        <w:rPr>
          <w:rFonts w:ascii="宋体" w:hAnsi="宋体" w:cs="宋体" w:eastAsia="宋体" w:hint="default"/>
          <w:sz w:val="21"/>
          <w:szCs w:val="21"/>
        </w:rPr>
      </w:pPr>
    </w:p>
    <w:p>
      <w:pPr>
        <w:pStyle w:val="Heading2"/>
        <w:spacing w:line="240" w:lineRule="auto"/>
        <w:ind w:right="996"/>
        <w:jc w:val="left"/>
        <w:rPr>
          <w:b w:val="0"/>
          <w:bCs w:val="0"/>
        </w:rPr>
      </w:pPr>
      <w:r>
        <w:rPr/>
        <w:t>七、合并财务报表项目注释</w:t>
      </w:r>
      <w:r>
        <w:rPr>
          <w:b w:val="0"/>
          <w:bCs w:val="0"/>
        </w:rPr>
      </w:r>
    </w:p>
    <w:p>
      <w:pPr>
        <w:spacing w:line="240" w:lineRule="auto" w:before="9"/>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5,875.30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28,810.34</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169,110,294.23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229,945,778.03</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101,453,942.67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270,570,112.20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229,974,588.37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4,539,790.34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727,860.23</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、交易性金融资产</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2"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4"/>
              <w:jc w:val="left"/>
              <w:rPr>
                <w:rFonts w:ascii="宋体" w:hAnsi="宋体" w:cs="宋体" w:eastAsia="宋体" w:hint="default"/>
                <w:sz w:val="18"/>
                <w:szCs w:val="18"/>
              </w:rPr>
            </w:pPr>
            <w:r>
              <w:rPr>
                <w:rFonts w:ascii="宋体" w:hAnsi="宋体" w:cs="宋体" w:eastAsia="宋体" w:hint="default"/>
                <w:sz w:val="18"/>
                <w:szCs w:val="18"/>
              </w:rPr>
              <w:t>指定以公允价值计量且其变动计入当期 损益的金融资产</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20,131,506.85</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结构性存款及收益</w:t>
            </w:r>
          </w:p>
        </w:tc>
        <w:tc>
          <w:tcPr>
            <w:tcW w:w="320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20,131,506.85</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20,131,506.85</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4"/>
        <w:gridCol w:w="761"/>
        <w:gridCol w:w="763"/>
        <w:gridCol w:w="790"/>
        <w:gridCol w:w="775"/>
        <w:gridCol w:w="797"/>
        <w:gridCol w:w="800"/>
        <w:gridCol w:w="790"/>
        <w:gridCol w:w="931"/>
      </w:tblGrid>
      <w:tr>
        <w:trPr>
          <w:trHeight w:val="396"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类别</w:t>
            </w: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9"/>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172,713.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172,713.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单项不重大</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172,713.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172,713.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232,102,</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026.60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99.93%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26,391,5</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16.27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11.37%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205,710,5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10.33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172,245,6</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30.62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17,999,47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6.84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10.45%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154,246,15</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3.78</w:t>
            </w:r>
          </w:p>
        </w:tc>
      </w:tr>
      <w:tr>
        <w:trPr>
          <w:trHeight w:val="403"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5" w:hRule="exact"/>
        </w:trPr>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232,102,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026.60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99.93%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26,391,5</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16.27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11.37%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205,710,5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10.33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172,245,6</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30.62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17,999,47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6.84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10.45%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154,246,15</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3.78</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4"/>
        <w:gridCol w:w="761"/>
        <w:gridCol w:w="763"/>
        <w:gridCol w:w="790"/>
        <w:gridCol w:w="775"/>
        <w:gridCol w:w="797"/>
        <w:gridCol w:w="800"/>
        <w:gridCol w:w="790"/>
        <w:gridCol w:w="931"/>
      </w:tblGrid>
      <w:tr>
        <w:trPr>
          <w:trHeight w:val="71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232,274,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740.18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26,564,2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29.85</w:t>
            </w: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205,710,5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10.33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172,245,6</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30.62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17,999,47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6.84</w:t>
            </w: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154,246,15</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3.78</w:t>
            </w:r>
          </w:p>
        </w:tc>
      </w:tr>
    </w:tbl>
    <w:p>
      <w:pPr>
        <w:spacing w:before="49"/>
        <w:ind w:left="152" w:right="996"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11"/>
              <w:jc w:val="left"/>
              <w:rPr>
                <w:rFonts w:ascii="宋体" w:hAnsi="宋体" w:cs="宋体" w:eastAsia="宋体" w:hint="default"/>
                <w:sz w:val="18"/>
                <w:szCs w:val="18"/>
              </w:rPr>
            </w:pPr>
            <w:r>
              <w:rPr>
                <w:rFonts w:ascii="宋体" w:hAnsi="宋体" w:cs="宋体" w:eastAsia="宋体" w:hint="default"/>
                <w:spacing w:val="-4"/>
                <w:sz w:val="18"/>
                <w:szCs w:val="18"/>
              </w:rPr>
              <w:t>乐视网信息技术（北京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53"/>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8" w:lineRule="exact"/>
              <w:ind w:left="1073" w:right="0"/>
              <w:jc w:val="left"/>
              <w:rPr>
                <w:rFonts w:ascii="Times New Roman" w:hAnsi="Times New Roman" w:cs="Times New Roman" w:eastAsia="Times New Roman" w:hint="default"/>
                <w:sz w:val="18"/>
                <w:szCs w:val="18"/>
              </w:rPr>
            </w:pPr>
            <w:r>
              <w:rPr>
                <w:rFonts w:ascii="Times New Roman"/>
                <w:sz w:val="18"/>
              </w:rPr>
              <w:t>172,713.58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172,713.58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35" w:right="0"/>
              <w:jc w:val="lef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79"/>
              <w:jc w:val="left"/>
              <w:rPr>
                <w:rFonts w:ascii="宋体" w:hAnsi="宋体" w:cs="宋体" w:eastAsia="宋体" w:hint="default"/>
                <w:sz w:val="18"/>
                <w:szCs w:val="18"/>
              </w:rPr>
            </w:pPr>
            <w:r>
              <w:rPr>
                <w:rFonts w:ascii="宋体" w:hAnsi="宋体" w:cs="宋体" w:eastAsia="宋体" w:hint="default"/>
                <w:sz w:val="18"/>
                <w:szCs w:val="18"/>
              </w:rPr>
              <w:t>因乐视自身经营风险， 导致账款难以收回</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3" w:right="0"/>
              <w:jc w:val="left"/>
              <w:rPr>
                <w:rFonts w:ascii="Times New Roman" w:hAnsi="Times New Roman" w:cs="Times New Roman" w:eastAsia="Times New Roman" w:hint="default"/>
                <w:sz w:val="18"/>
                <w:szCs w:val="18"/>
              </w:rPr>
            </w:pPr>
            <w:r>
              <w:rPr>
                <w:rFonts w:ascii="Times New Roman"/>
                <w:sz w:val="18"/>
              </w:rPr>
              <w:t>172,713.58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172,713.58</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996" w:firstLine="0"/>
        <w:jc w:val="left"/>
        <w:rPr>
          <w:rFonts w:ascii="宋体" w:hAnsi="宋体" w:cs="宋体" w:eastAsia="宋体" w:hint="default"/>
          <w:sz w:val="18"/>
          <w:szCs w:val="18"/>
        </w:rPr>
      </w:pPr>
      <w:r>
        <w:rPr/>
        <w:pict>
          <v:group style="position:absolute;margin-left:152.660004pt;margin-top:-55.798264pt;width:95.2pt;height:27.9pt;mso-position-horizontal-relative:page;mso-position-vertical-relative:paragraph;z-index:-1243816" coordorigin="3053,-1116" coordsize="1904,558">
            <v:group style="position:absolute;left:3053;top:-1116;width:1904;height:156" coordorigin="3053,-1116" coordsize="1904,156">
              <v:shape style="position:absolute;left:3053;top:-1116;width:1904;height:156" coordorigin="3053,-1116" coordsize="1904,156" path="m3053,-960l4957,-960,4957,-1116,3053,-1116,3053,-960xe" filled="true" fillcolor="#ffffff" stroked="false">
                <v:path arrowok="t"/>
                <v:fill type="solid"/>
              </v:shape>
            </v:group>
            <v:group style="position:absolute;left:3064;top:-960;width:2;height:392" coordorigin="3064,-960" coordsize="2,392">
              <v:shape style="position:absolute;left:3064;top:-960;width:2;height:392" coordorigin="3064,-960" coordsize="0,392" path="m3064,-960l3064,-569e" filled="false" stroked="true" strokeweight="1.08pt" strokecolor="#ffffff">
                <v:path arrowok="t"/>
              </v:shape>
            </v:group>
            <v:group style="position:absolute;left:3075;top:-960;width:1861;height:392" coordorigin="3075,-960" coordsize="1861,392">
              <v:shape style="position:absolute;left:3075;top:-960;width:1861;height:392" coordorigin="3075,-960" coordsize="1861,392" path="m3075,-569l4935,-569,4935,-960,3075,-960,3075,-569xe" filled="true" fillcolor="#ffffff" stroked="false">
                <v:path arrowok="t"/>
                <v:fill type="solid"/>
              </v:shape>
            </v:group>
            <w10:wrap type="none"/>
          </v:group>
        </w:pict>
      </w:r>
      <w:r>
        <w:rPr>
          <w:rFonts w:ascii="宋体" w:hAnsi="宋体" w:cs="宋体" w:eastAsia="宋体" w:hint="default"/>
          <w:sz w:val="18"/>
          <w:szCs w:val="18"/>
        </w:rPr>
        <w:t>按组合计提坏账准备：</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200,783,632.18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5,162,821.31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2.57%</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16,628,577.20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6,817,716.65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1,991,706.55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1,712,867.64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86.00%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12,698,110.67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12,698,110.67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232,102,026.60</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26,391,516.27</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996" w:firstLine="0"/>
        <w:jc w:val="left"/>
        <w:rPr>
          <w:rFonts w:ascii="宋体" w:hAnsi="宋体" w:cs="宋体" w:eastAsia="宋体" w:hint="default"/>
          <w:sz w:val="18"/>
          <w:szCs w:val="18"/>
        </w:rPr>
      </w:pPr>
      <w:r>
        <w:rPr>
          <w:rFonts w:ascii="宋体" w:hAnsi="宋体" w:cs="宋体" w:eastAsia="宋体" w:hint="default"/>
          <w:sz w:val="18"/>
          <w:szCs w:val="18"/>
        </w:rPr>
        <w:t>如是按照预期信用损失一般模型计提应收账款坏账准备，请参照其他应收款的披露方式披露坏账准备的相关信息：</w:t>
      </w:r>
    </w:p>
    <w:p>
      <w:pPr>
        <w:spacing w:line="338" w:lineRule="auto" w:before="117"/>
        <w:ind w:left="152" w:right="870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按账龄披露</w:t>
      </w:r>
    </w:p>
    <w:p>
      <w:pPr>
        <w:spacing w:before="4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200,783,666.38</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16,629,050.32</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2,098,661.41</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12,763,362.07</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232,274,740.18</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152" w:right="996"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78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11"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应收账款坏账准备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8" w:right="0"/>
              <w:jc w:val="left"/>
              <w:rPr>
                <w:rFonts w:ascii="Times New Roman" w:hAnsi="Times New Roman" w:cs="Times New Roman" w:eastAsia="Times New Roman" w:hint="default"/>
                <w:sz w:val="18"/>
                <w:szCs w:val="18"/>
              </w:rPr>
            </w:pPr>
            <w:r>
              <w:rPr>
                <w:rFonts w:ascii="Times New Roman"/>
                <w:sz w:val="18"/>
              </w:rPr>
              <w:t>17,999,476.84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8,564,753.01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8" w:right="0"/>
              <w:jc w:val="left"/>
              <w:rPr>
                <w:rFonts w:ascii="Times New Roman" w:hAnsi="Times New Roman" w:cs="Times New Roman" w:eastAsia="Times New Roman" w:hint="default"/>
                <w:sz w:val="18"/>
                <w:szCs w:val="18"/>
              </w:rPr>
            </w:pPr>
            <w:r>
              <w:rPr>
                <w:rFonts w:ascii="Times New Roman"/>
                <w:sz w:val="18"/>
              </w:rPr>
              <w:t>26,564,229.85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8" w:right="0"/>
              <w:jc w:val="left"/>
              <w:rPr>
                <w:rFonts w:ascii="Times New Roman" w:hAnsi="Times New Roman" w:cs="Times New Roman" w:eastAsia="Times New Roman" w:hint="default"/>
                <w:sz w:val="18"/>
                <w:szCs w:val="18"/>
              </w:rPr>
            </w:pPr>
            <w:r>
              <w:rPr>
                <w:rFonts w:ascii="Times New Roman"/>
                <w:sz w:val="18"/>
              </w:rPr>
              <w:t>17,999,476.84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8,564,753.01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8" w:right="0"/>
              <w:jc w:val="left"/>
              <w:rPr>
                <w:rFonts w:ascii="Times New Roman" w:hAnsi="Times New Roman" w:cs="Times New Roman" w:eastAsia="Times New Roman" w:hint="default"/>
                <w:sz w:val="18"/>
                <w:szCs w:val="18"/>
              </w:rPr>
            </w:pPr>
            <w:r>
              <w:rPr>
                <w:rFonts w:ascii="Times New Roman"/>
                <w:sz w:val="18"/>
              </w:rPr>
              <w:t>26,564,229.85</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）按欠款方归集的期末余额前五名的应收账款情况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0"/>
        <w:gridCol w:w="2530"/>
        <w:gridCol w:w="2530"/>
        <w:gridCol w:w="2528"/>
      </w:tblGrid>
      <w:tr>
        <w:trPr>
          <w:trHeight w:val="71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80" w:right="89" w:hanging="992"/>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深圳市欧朋科技有限公 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28,912,915.80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12.45%</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867,387.47</w:t>
            </w:r>
          </w:p>
        </w:tc>
      </w:tr>
      <w:tr>
        <w:trPr>
          <w:trHeight w:val="71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深圳市超维网络有限公 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20,230,950.70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8.71%</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3,101,886.08</w:t>
            </w:r>
          </w:p>
        </w:tc>
      </w:tr>
      <w:tr>
        <w:trPr>
          <w:trHeight w:val="71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深圳市圳通通信有限公 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18,098,419.38</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7.79%</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542,952.58</w:t>
            </w:r>
          </w:p>
        </w:tc>
      </w:tr>
      <w:tr>
        <w:trPr>
          <w:trHeight w:val="71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上海旺翔文化传媒股份 有限公司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15,570,000.00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6.70%</w:t>
            </w:r>
          </w:p>
        </w:tc>
        <w:tc>
          <w:tcPr>
            <w:tcW w:w="252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大庆鑫讯捷科技有限公 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14,000,458.20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6.03%</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420,013.75</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96,812,744.08</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41.68%</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、预付款项</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6"/>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4"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116,626,116.44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87.93%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45,378,081.71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79.59%</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13,819,955.23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9,558,331.82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16.76%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956,108.30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1,868,240.29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1,231,512.80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209,599.99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132,633,692.77</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57,014,253.81</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996"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446"/>
        <w:gridCol w:w="1489"/>
        <w:gridCol w:w="1539"/>
        <w:gridCol w:w="1462"/>
        <w:gridCol w:w="1589"/>
      </w:tblGrid>
      <w:tr>
        <w:trPr>
          <w:trHeight w:val="344" w:hRule="exact"/>
        </w:trPr>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818" w:right="0"/>
              <w:jc w:val="left"/>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39" w:right="0"/>
              <w:jc w:val="left"/>
              <w:rPr>
                <w:rFonts w:ascii="宋体" w:hAnsi="宋体" w:cs="宋体" w:eastAsia="宋体" w:hint="default"/>
                <w:sz w:val="20"/>
                <w:szCs w:val="20"/>
              </w:rPr>
            </w:pPr>
            <w:r>
              <w:rPr>
                <w:rFonts w:ascii="宋体" w:hAnsi="宋体" w:cs="宋体" w:eastAsia="宋体" w:hint="default"/>
                <w:b/>
                <w:bCs/>
                <w:sz w:val="20"/>
                <w:szCs w:val="20"/>
              </w:rPr>
              <w:t>与本公司关系</w:t>
            </w:r>
            <w:r>
              <w:rPr>
                <w:rFonts w:ascii="宋体" w:hAnsi="宋体" w:cs="宋体" w:eastAsia="宋体" w:hint="default"/>
                <w:sz w:val="20"/>
                <w:szCs w:val="20"/>
              </w:rPr>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0"/>
                <w:szCs w:val="20"/>
              </w:rPr>
            </w:pPr>
            <w:r>
              <w:rPr>
                <w:rFonts w:ascii="宋体" w:hAnsi="宋体" w:cs="宋体" w:eastAsia="宋体" w:hint="default"/>
                <w:b/>
                <w:bCs/>
                <w:sz w:val="20"/>
                <w:szCs w:val="20"/>
              </w:rPr>
              <w:t>未结算原因</w:t>
            </w:r>
            <w:r>
              <w:rPr>
                <w:rFonts w:ascii="宋体" w:hAnsi="宋体" w:cs="宋体" w:eastAsia="宋体" w:hint="default"/>
                <w:sz w:val="20"/>
                <w:szCs w:val="20"/>
              </w:rPr>
            </w:r>
          </w:p>
        </w:tc>
      </w:tr>
      <w:tr>
        <w:trPr>
          <w:trHeight w:val="653" w:hRule="exact"/>
        </w:trPr>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
              <w:ind w:left="7" w:right="5"/>
              <w:jc w:val="left"/>
              <w:rPr>
                <w:rFonts w:ascii="宋体" w:hAnsi="宋体" w:cs="宋体" w:eastAsia="宋体" w:hint="default"/>
                <w:sz w:val="20"/>
                <w:szCs w:val="20"/>
              </w:rPr>
            </w:pPr>
            <w:r>
              <w:rPr>
                <w:rFonts w:ascii="宋体" w:hAnsi="宋体" w:cs="宋体" w:eastAsia="宋体" w:hint="default"/>
                <w:spacing w:val="2"/>
                <w:sz w:val="20"/>
                <w:szCs w:val="20"/>
              </w:rPr>
              <w:t>深圳市安果文化传播有限公</w:t>
            </w:r>
            <w:r>
              <w:rPr>
                <w:rFonts w:ascii="宋体" w:hAnsi="宋体" w:cs="宋体" w:eastAsia="宋体" w:hint="default"/>
                <w:w w:val="99"/>
                <w:sz w:val="20"/>
                <w:szCs w:val="20"/>
              </w:rPr>
              <w:t> </w:t>
            </w:r>
            <w:r>
              <w:rPr>
                <w:rFonts w:ascii="宋体" w:hAnsi="宋体" w:cs="宋体" w:eastAsia="宋体" w:hint="default"/>
                <w:sz w:val="20"/>
                <w:szCs w:val="20"/>
              </w:rPr>
              <w:t>司</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独立第三方</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2,776,694.87</w:t>
            </w:r>
            <w:r>
              <w:rPr>
                <w:rFonts w:ascii="Times New Roman"/>
                <w:sz w:val="20"/>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w:t>
            </w:r>
            <w:r>
              <w:rPr>
                <w:rFonts w:ascii="Times New Roman" w:hAnsi="Times New Roman" w:cs="Times New Roman" w:eastAsia="Times New Roman" w:hint="default"/>
                <w:sz w:val="20"/>
                <w:szCs w:val="20"/>
              </w:rPr>
              <w:t>2</w:t>
            </w:r>
            <w:r>
              <w:rPr>
                <w:rFonts w:ascii="宋体" w:hAnsi="宋体" w:cs="宋体" w:eastAsia="宋体" w:hint="default"/>
                <w:sz w:val="20"/>
                <w:szCs w:val="20"/>
              </w:rPr>
              <w:t>年</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3"/>
              <w:jc w:val="center"/>
              <w:rPr>
                <w:rFonts w:ascii="宋体" w:hAnsi="宋体" w:cs="宋体" w:eastAsia="宋体" w:hint="default"/>
                <w:sz w:val="20"/>
                <w:szCs w:val="20"/>
              </w:rPr>
            </w:pPr>
            <w:r>
              <w:rPr>
                <w:rFonts w:ascii="宋体" w:hAnsi="宋体" w:cs="宋体" w:eastAsia="宋体" w:hint="default"/>
                <w:sz w:val="20"/>
                <w:szCs w:val="20"/>
              </w:rPr>
              <w:t>未到结算期</w:t>
            </w:r>
          </w:p>
        </w:tc>
      </w:tr>
      <w:tr>
        <w:trPr>
          <w:trHeight w:val="343" w:hRule="exact"/>
        </w:trPr>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宋体" w:hAnsi="宋体" w:cs="宋体" w:eastAsia="宋体" w:hint="default"/>
                <w:sz w:val="20"/>
                <w:szCs w:val="20"/>
              </w:rPr>
              <w:t>深圳米趣科技有限公司</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宋体" w:hAnsi="宋体" w:cs="宋体" w:eastAsia="宋体" w:hint="default"/>
                <w:sz w:val="20"/>
                <w:szCs w:val="20"/>
              </w:rPr>
              <w:t>独立第三方</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5,474,688.67</w:t>
            </w:r>
            <w:r>
              <w:rPr>
                <w:rFonts w:ascii="Times New Roman"/>
                <w:sz w:val="20"/>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w:t>
            </w:r>
            <w:r>
              <w:rPr>
                <w:rFonts w:ascii="Times New Roman" w:hAnsi="Times New Roman" w:cs="Times New Roman" w:eastAsia="Times New Roman" w:hint="default"/>
                <w:sz w:val="20"/>
                <w:szCs w:val="20"/>
              </w:rPr>
              <w:t>2</w:t>
            </w:r>
            <w:r>
              <w:rPr>
                <w:rFonts w:ascii="宋体" w:hAnsi="宋体" w:cs="宋体" w:eastAsia="宋体" w:hint="default"/>
                <w:sz w:val="20"/>
                <w:szCs w:val="20"/>
              </w:rPr>
              <w:t>年</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3"/>
              <w:jc w:val="center"/>
              <w:rPr>
                <w:rFonts w:ascii="宋体" w:hAnsi="宋体" w:cs="宋体" w:eastAsia="宋体" w:hint="default"/>
                <w:sz w:val="20"/>
                <w:szCs w:val="20"/>
              </w:rPr>
            </w:pPr>
            <w:r>
              <w:rPr>
                <w:rFonts w:ascii="宋体" w:hAnsi="宋体" w:cs="宋体" w:eastAsia="宋体" w:hint="default"/>
                <w:sz w:val="20"/>
                <w:szCs w:val="20"/>
              </w:rPr>
              <w:t>未到结算期</w:t>
            </w:r>
          </w:p>
        </w:tc>
      </w:tr>
      <w:tr>
        <w:trPr>
          <w:trHeight w:val="341" w:hRule="exact"/>
        </w:trPr>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深圳市手游界网络有限公司</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独立第三方</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3,852,426.72</w:t>
            </w:r>
            <w:r>
              <w:rPr>
                <w:rFonts w:ascii="Times New Roman"/>
                <w:sz w:val="20"/>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w:t>
            </w:r>
            <w:r>
              <w:rPr>
                <w:rFonts w:ascii="Times New Roman" w:hAnsi="Times New Roman" w:cs="Times New Roman" w:eastAsia="Times New Roman" w:hint="default"/>
                <w:sz w:val="20"/>
                <w:szCs w:val="20"/>
              </w:rPr>
              <w:t>2</w:t>
            </w:r>
            <w:r>
              <w:rPr>
                <w:rFonts w:ascii="宋体" w:hAnsi="宋体" w:cs="宋体" w:eastAsia="宋体" w:hint="default"/>
                <w:sz w:val="20"/>
                <w:szCs w:val="20"/>
              </w:rPr>
              <w:t>年</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3"/>
              <w:jc w:val="center"/>
              <w:rPr>
                <w:rFonts w:ascii="宋体" w:hAnsi="宋体" w:cs="宋体" w:eastAsia="宋体" w:hint="default"/>
                <w:sz w:val="20"/>
                <w:szCs w:val="20"/>
              </w:rPr>
            </w:pPr>
            <w:r>
              <w:rPr>
                <w:rFonts w:ascii="宋体" w:hAnsi="宋体" w:cs="宋体" w:eastAsia="宋体" w:hint="default"/>
                <w:sz w:val="20"/>
                <w:szCs w:val="20"/>
              </w:rPr>
              <w:t>游戏未交付</w:t>
            </w:r>
          </w:p>
        </w:tc>
      </w:tr>
      <w:tr>
        <w:trPr>
          <w:trHeight w:val="343" w:hRule="exact"/>
        </w:trPr>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89"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
              <w:jc w:val="right"/>
              <w:rPr>
                <w:rFonts w:ascii="Times New Roman" w:hAnsi="Times New Roman" w:cs="Times New Roman" w:eastAsia="Times New Roman" w:hint="default"/>
                <w:sz w:val="20"/>
                <w:szCs w:val="20"/>
              </w:rPr>
            </w:pPr>
            <w:r>
              <w:rPr>
                <w:rFonts w:ascii="Times New Roman"/>
                <w:b/>
                <w:w w:val="95"/>
                <w:sz w:val="20"/>
              </w:rPr>
              <w:t>12,103,810.26</w:t>
            </w:r>
            <w:r>
              <w:rPr>
                <w:rFonts w:ascii="Times New Roman"/>
                <w:sz w:val="20"/>
              </w:rPr>
            </w:r>
          </w:p>
        </w:tc>
        <w:tc>
          <w:tcPr>
            <w:tcW w:w="146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spacing w:before="36"/>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931"/>
        <w:gridCol w:w="1783"/>
        <w:gridCol w:w="1841"/>
        <w:gridCol w:w="1753"/>
      </w:tblGrid>
      <w:tr>
        <w:trPr>
          <w:trHeight w:val="965"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84"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 w:right="0"/>
              <w:jc w:val="center"/>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
              <w:ind w:left="69" w:right="66"/>
              <w:jc w:val="center"/>
              <w:rPr>
                <w:rFonts w:ascii="Times New Roman" w:hAnsi="Times New Roman" w:cs="Times New Roman" w:eastAsia="Times New Roman" w:hint="default"/>
                <w:sz w:val="20"/>
                <w:szCs w:val="20"/>
              </w:rPr>
            </w:pPr>
            <w:r>
              <w:rPr>
                <w:rFonts w:ascii="宋体" w:hAnsi="宋体" w:cs="宋体" w:eastAsia="宋体" w:hint="default"/>
                <w:b/>
                <w:bCs/>
                <w:sz w:val="20"/>
                <w:szCs w:val="20"/>
              </w:rPr>
              <w:t>占预付款项年末余</w:t>
            </w:r>
            <w:r>
              <w:rPr>
                <w:rFonts w:ascii="宋体" w:hAnsi="宋体" w:cs="宋体" w:eastAsia="宋体" w:hint="default"/>
                <w:b/>
                <w:bCs/>
                <w:w w:val="99"/>
                <w:sz w:val="20"/>
                <w:szCs w:val="20"/>
              </w:rPr>
              <w:t> </w:t>
            </w:r>
            <w:r>
              <w:rPr>
                <w:rFonts w:ascii="宋体" w:hAnsi="宋体" w:cs="宋体" w:eastAsia="宋体" w:hint="default"/>
                <w:b/>
                <w:bCs/>
                <w:sz w:val="20"/>
                <w:szCs w:val="20"/>
              </w:rPr>
              <w:t>额合计数的比例</w:t>
            </w:r>
            <w:r>
              <w:rPr>
                <w:rFonts w:ascii="宋体" w:hAnsi="宋体" w:cs="宋体" w:eastAsia="宋体" w:hint="default"/>
                <w:b/>
                <w:bCs/>
                <w:w w:val="99"/>
                <w:sz w:val="20"/>
                <w:szCs w:val="20"/>
              </w:rPr>
              <w:t> </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r>
      <w:tr>
        <w:trPr>
          <w:trHeight w:val="343" w:hRule="exact"/>
        </w:trPr>
        <w:tc>
          <w:tcPr>
            <w:tcW w:w="2931" w:type="dxa"/>
            <w:vMerge w:val="restart"/>
            <w:tcBorders>
              <w:top w:val="single" w:sz="4" w:space="0" w:color="000000"/>
              <w:left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深圳市安果文化传播有限公司</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20,421,422.85</w:t>
            </w:r>
            <w:r>
              <w:rPr>
                <w:rFonts w:ascii="Times New Roman"/>
                <w:sz w:val="20"/>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753" w:type="dxa"/>
            <w:vMerge w:val="restart"/>
            <w:tcBorders>
              <w:top w:val="single" w:sz="4" w:space="0" w:color="000000"/>
              <w:left w:val="single" w:sz="4" w:space="0" w:color="000000"/>
              <w:right w:val="single" w:sz="4"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sz w:val="20"/>
              </w:rPr>
              <w:t>17.49</w:t>
            </w:r>
          </w:p>
        </w:tc>
      </w:tr>
      <w:tr>
        <w:trPr>
          <w:trHeight w:val="341" w:hRule="exact"/>
        </w:trPr>
        <w:tc>
          <w:tcPr>
            <w:tcW w:w="2931" w:type="dxa"/>
            <w:vMerge/>
            <w:tcBorders>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2,776,694.87</w:t>
            </w:r>
            <w:r>
              <w:rPr>
                <w:rFonts w:ascii="Times New Roman"/>
                <w:sz w:val="20"/>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宋体" w:hAnsi="宋体" w:cs="宋体" w:eastAsia="宋体" w:hint="default"/>
                <w:sz w:val="20"/>
                <w:szCs w:val="20"/>
              </w:rPr>
              <w:t>年</w:t>
            </w:r>
          </w:p>
        </w:tc>
        <w:tc>
          <w:tcPr>
            <w:tcW w:w="1753" w:type="dxa"/>
            <w:vMerge/>
            <w:tcBorders>
              <w:left w:val="single" w:sz="4" w:space="0" w:color="000000"/>
              <w:bottom w:val="single" w:sz="4" w:space="0" w:color="000000"/>
              <w:right w:val="single" w:sz="4" w:space="0" w:color="000000"/>
            </w:tcBorders>
          </w:tcPr>
          <w:p>
            <w:pPr/>
          </w:p>
        </w:tc>
      </w:tr>
      <w:tr>
        <w:trPr>
          <w:trHeight w:val="343"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深圳和润互娱网络科技有限公司</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13,643,396.06</w:t>
            </w:r>
            <w:r>
              <w:rPr>
                <w:rFonts w:ascii="Times New Roman"/>
                <w:sz w:val="20"/>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sz w:val="20"/>
              </w:rPr>
              <w:t>10.29</w:t>
            </w:r>
          </w:p>
        </w:tc>
      </w:tr>
      <w:tr>
        <w:trPr>
          <w:trHeight w:val="341" w:hRule="exact"/>
        </w:trPr>
        <w:tc>
          <w:tcPr>
            <w:tcW w:w="2931" w:type="dxa"/>
            <w:vMerge w:val="restart"/>
            <w:tcBorders>
              <w:top w:val="single" w:sz="4" w:space="0" w:color="000000"/>
              <w:left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深圳市手游界网络有限公司</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9,500,000.00</w:t>
            </w:r>
            <w:r>
              <w:rPr>
                <w:rFonts w:ascii="Times New Roman"/>
                <w:sz w:val="20"/>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753" w:type="dxa"/>
            <w:vMerge w:val="restart"/>
            <w:tcBorders>
              <w:top w:val="single" w:sz="4" w:space="0" w:color="000000"/>
              <w:left w:val="single" w:sz="4" w:space="0" w:color="000000"/>
              <w:right w:val="single" w:sz="4"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sz w:val="20"/>
              </w:rPr>
              <w:t>10.07</w:t>
            </w:r>
          </w:p>
        </w:tc>
      </w:tr>
      <w:tr>
        <w:trPr>
          <w:trHeight w:val="343" w:hRule="exact"/>
        </w:trPr>
        <w:tc>
          <w:tcPr>
            <w:tcW w:w="2931" w:type="dxa"/>
            <w:vMerge/>
            <w:tcBorders>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3,852,426.72</w:t>
            </w:r>
            <w:r>
              <w:rPr>
                <w:rFonts w:ascii="Times New Roman"/>
                <w:sz w:val="20"/>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宋体" w:hAnsi="宋体" w:cs="宋体" w:eastAsia="宋体" w:hint="default"/>
                <w:sz w:val="20"/>
                <w:szCs w:val="20"/>
              </w:rPr>
              <w:t>年</w:t>
            </w:r>
          </w:p>
        </w:tc>
        <w:tc>
          <w:tcPr>
            <w:tcW w:w="1753" w:type="dxa"/>
            <w:vMerge/>
            <w:tcBorders>
              <w:left w:val="single" w:sz="4" w:space="0" w:color="000000"/>
              <w:bottom w:val="single" w:sz="4" w:space="0" w:color="000000"/>
              <w:right w:val="single" w:sz="4" w:space="0" w:color="000000"/>
            </w:tcBorders>
          </w:tcPr>
          <w:p>
            <w:pPr/>
          </w:p>
        </w:tc>
      </w:tr>
      <w:tr>
        <w:trPr>
          <w:trHeight w:val="341"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深圳市飞凡互联科技有限公司</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12,200,000.00</w:t>
            </w:r>
            <w:r>
              <w:rPr>
                <w:rFonts w:ascii="Times New Roman"/>
                <w:sz w:val="20"/>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sz w:val="20"/>
              </w:rPr>
              <w:t>9.20</w:t>
            </w:r>
          </w:p>
        </w:tc>
      </w:tr>
      <w:tr>
        <w:trPr>
          <w:trHeight w:val="656"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
              <w:ind w:left="7" w:right="115"/>
              <w:jc w:val="left"/>
              <w:rPr>
                <w:rFonts w:ascii="宋体" w:hAnsi="宋体" w:cs="宋体" w:eastAsia="宋体" w:hint="default"/>
                <w:sz w:val="20"/>
                <w:szCs w:val="20"/>
              </w:rPr>
            </w:pPr>
            <w:r>
              <w:rPr>
                <w:rFonts w:ascii="宋体" w:hAnsi="宋体" w:cs="宋体" w:eastAsia="宋体" w:hint="default"/>
                <w:sz w:val="20"/>
                <w:szCs w:val="20"/>
              </w:rPr>
              <w:t>深圳市宝德科技集团股份有限公</w:t>
            </w:r>
            <w:r>
              <w:rPr>
                <w:rFonts w:ascii="宋体" w:hAnsi="宋体" w:cs="宋体" w:eastAsia="宋体" w:hint="default"/>
                <w:w w:val="99"/>
                <w:sz w:val="20"/>
                <w:szCs w:val="20"/>
              </w:rPr>
              <w:t> </w:t>
            </w:r>
            <w:r>
              <w:rPr>
                <w:rFonts w:ascii="宋体" w:hAnsi="宋体" w:cs="宋体" w:eastAsia="宋体" w:hint="default"/>
                <w:sz w:val="20"/>
                <w:szCs w:val="20"/>
              </w:rPr>
              <w:t>司</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12,325,904.11</w:t>
            </w:r>
            <w:r>
              <w:rPr>
                <w:rFonts w:ascii="Times New Roman"/>
                <w:sz w:val="20"/>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sz w:val="20"/>
              </w:rPr>
              <w:t>9.29</w:t>
            </w:r>
          </w:p>
        </w:tc>
      </w:tr>
      <w:tr>
        <w:trPr>
          <w:trHeight w:val="341"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b/>
                <w:w w:val="95"/>
                <w:sz w:val="20"/>
              </w:rPr>
              <w:t>74,719,844.61</w:t>
            </w:r>
            <w:r>
              <w:rPr>
                <w:rFonts w:ascii="Times New Roman"/>
                <w:sz w:val="20"/>
              </w:rPr>
            </w:r>
          </w:p>
        </w:tc>
        <w:tc>
          <w:tcPr>
            <w:tcW w:w="1841" w:type="dxa"/>
            <w:tcBorders>
              <w:top w:val="single" w:sz="4" w:space="0" w:color="000000"/>
              <w:left w:val="single" w:sz="4" w:space="0" w:color="000000"/>
              <w:bottom w:val="single" w:sz="4" w:space="0" w:color="000000"/>
              <w:right w:val="single" w:sz="4" w:space="0" w:color="000000"/>
            </w:tcBorders>
          </w:tcPr>
          <w:p>
            <w:pP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b/>
                <w:sz w:val="20"/>
              </w:rPr>
              <w:t>56.34</w:t>
            </w:r>
            <w:r>
              <w:rPr>
                <w:rFonts w:ascii="Times New Roman"/>
                <w:sz w:val="20"/>
              </w:rPr>
            </w:r>
          </w:p>
        </w:tc>
      </w:tr>
    </w:tbl>
    <w:p>
      <w:pPr>
        <w:spacing w:line="240" w:lineRule="auto" w:before="3"/>
        <w:rPr>
          <w:rFonts w:ascii="宋体" w:hAnsi="宋体" w:cs="宋体" w:eastAsia="宋体" w:hint="default"/>
          <w:b/>
          <w:bCs/>
          <w:sz w:val="19"/>
          <w:szCs w:val="19"/>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27,838,293.45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14,424,203.81</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27,838,293.45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14,424,203.81</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13,751,056.69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782,066.69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待退回游戏版权金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11,193,014.10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8,053,369.65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广告框架押金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3,679,468.33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4,209,196.44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个人借款和备用金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3,856,605.24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6,011,884.77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3,151,095.26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3,747,722.11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1,764,583.67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734,901.85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预付分成款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694,853.10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1,047,073.87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代付款项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150,081.41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213,281.81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54,240,757.80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30,799,497.19</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）坏账准备计提情况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5"/>
        <w:gridCol w:w="1663"/>
        <w:gridCol w:w="2098"/>
        <w:gridCol w:w="2101"/>
        <w:gridCol w:w="1805"/>
      </w:tblGrid>
      <w:tr>
        <w:trPr>
          <w:trHeight w:val="403" w:hRule="exact"/>
        </w:trPr>
        <w:tc>
          <w:tcPr>
            <w:tcW w:w="19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3" w:hRule="exact"/>
        </w:trPr>
        <w:tc>
          <w:tcPr>
            <w:tcW w:w="19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560"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71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0" w:hRule="exact"/>
        </w:trPr>
        <w:tc>
          <w:tcPr>
            <w:tcW w:w="19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16,375,293.38</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16,375,293.38</w:t>
            </w:r>
          </w:p>
        </w:tc>
      </w:tr>
      <w:tr>
        <w:trPr>
          <w:trHeight w:val="161" w:hRule="exact"/>
        </w:trPr>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2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905"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905"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12,933,335.42</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12,933,335.42</w:t>
            </w:r>
          </w:p>
        </w:tc>
      </w:tr>
      <w:tr>
        <w:trPr>
          <w:trHeight w:val="401"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本期转销</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2,906,164.45</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2,906,164.45</w:t>
            </w:r>
          </w:p>
        </w:tc>
      </w:tr>
      <w:tr>
        <w:trPr>
          <w:trHeight w:val="403"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26,402,464.35</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26,402,464.35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340" w:lineRule="auto" w:before="115"/>
        <w:ind w:left="152" w:right="1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933" w:space="4896"/>
            <w:col w:w="2101"/>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31,214,163.02</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1,459,659.29</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4,110,271.84</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17,456,663.65</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54,240,757.80</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152" w:right="996"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21"/>
        <w:gridCol w:w="1342"/>
        <w:gridCol w:w="1457"/>
        <w:gridCol w:w="1594"/>
        <w:gridCol w:w="1334"/>
        <w:gridCol w:w="2122"/>
      </w:tblGrid>
      <w:tr>
        <w:trPr>
          <w:trHeight w:val="402" w:hRule="exact"/>
        </w:trPr>
        <w:tc>
          <w:tcPr>
            <w:tcW w:w="17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3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3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21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721" w:type="dxa"/>
            <w:vMerge/>
            <w:tcBorders>
              <w:left w:val="single" w:sz="4" w:space="0" w:color="000000"/>
              <w:bottom w:val="single" w:sz="4" w:space="0" w:color="000000"/>
              <w:right w:val="single" w:sz="4" w:space="0" w:color="000000"/>
            </w:tcBorders>
            <w:shd w:val="clear" w:color="auto" w:fill="D2D2D2"/>
          </w:tcPr>
          <w:p>
            <w:pPr/>
          </w:p>
        </w:tc>
        <w:tc>
          <w:tcPr>
            <w:tcW w:w="1342" w:type="dxa"/>
            <w:vMerge/>
            <w:tcBorders>
              <w:left w:val="single" w:sz="4" w:space="0" w:color="000000"/>
              <w:bottom w:val="single" w:sz="4" w:space="0" w:color="000000"/>
              <w:right w:val="single" w:sz="4" w:space="0" w:color="000000"/>
            </w:tcBorders>
            <w:shd w:val="clear" w:color="auto" w:fill="D2D2D2"/>
          </w:tcPr>
          <w:p>
            <w:pPr/>
          </w:p>
        </w:tc>
        <w:tc>
          <w:tcPr>
            <w:tcW w:w="1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2122"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按信用风险特征组合 计提坏账准备</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16,375,293.38</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12,933,335.42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2,906,164.45</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26,402,464.35</w:t>
            </w:r>
          </w:p>
        </w:tc>
      </w:tr>
      <w:tr>
        <w:trPr>
          <w:trHeight w:val="403" w:hRule="exact"/>
        </w:trPr>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16,375,293.38</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12,933,335.42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2,906,164.45</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26,402,464.35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）本期实际核销的其他应收款情况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其他应收款核销金额</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2,906,164.45</w:t>
            </w:r>
          </w:p>
        </w:tc>
      </w:tr>
    </w:tbl>
    <w:p>
      <w:pPr>
        <w:spacing w:before="49"/>
        <w:ind w:left="152" w:right="996"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23" w:right="7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广州卓游网络科技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2,697,427.56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上报董事会</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118"/>
              <w:jc w:val="left"/>
              <w:rPr>
                <w:rFonts w:ascii="宋体" w:hAnsi="宋体" w:cs="宋体" w:eastAsia="宋体" w:hint="default"/>
                <w:sz w:val="18"/>
                <w:szCs w:val="18"/>
              </w:rPr>
            </w:pPr>
            <w:r>
              <w:rPr>
                <w:rFonts w:ascii="宋体" w:hAnsi="宋体" w:cs="宋体" w:eastAsia="宋体" w:hint="default"/>
                <w:sz w:val="18"/>
                <w:szCs w:val="18"/>
              </w:rPr>
              <w:t>福建龙谷网络科技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预付分成款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208,736.89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上报董事会</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2,906,164.45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薛振山</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18.44%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百度时代网络技术</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（北京）有限公司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18.44%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10"/>
                <w:sz w:val="18"/>
                <w:szCs w:val="18"/>
              </w:rPr>
              <w:t>尊岸广告（上海）有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广告框架押金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年及以上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湖北今日头条科技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北京思恩客广告有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广告框架押金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年及以上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29,000,000.00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53.47%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9,450,000.00</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、一年内到期的非流动资产</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将于一年内摊销的长期待摊费用</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7,214,642.64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7,214,642.64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、其他流动资产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增值税留抵税额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25,193,367.13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17,529,787.68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汇海易融借款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7,969,646.07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30,246,000.00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预缴税费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37,889.77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40,838.99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33,200,902.97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47,816,626.67</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302"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09"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09"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上海巨贤 网络科技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13,974,43</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5.35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168,535.4</w:t>
            </w:r>
          </w:p>
          <w:p>
            <w:pPr>
              <w:pStyle w:val="TableParagraph"/>
              <w:spacing w:line="240" w:lineRule="auto" w:before="103"/>
              <w:ind w:right="23"/>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14,142,97</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0.76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北京山水 地信息技 术有限公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7,157,499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-8,566.33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7,148,933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湖北今古 时代文化 传媒有限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4,741,932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-313,814.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4,428,117</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.65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贵州国信 通电子商 务有限公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5,923,520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-702,835.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931,714.4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4,288,970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931,714.4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上海磐火 网络科技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3,977,401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-498,308.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3,479,092</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.31</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猫鼬互动</w:t>
            </w:r>
          </w:p>
          <w:p>
            <w:pPr>
              <w:pStyle w:val="TableParagraph"/>
              <w:spacing w:line="316" w:lineRule="auto" w:before="77"/>
              <w:ind w:left="24" w:right="41"/>
              <w:jc w:val="both"/>
              <w:rPr>
                <w:rFonts w:ascii="宋体" w:hAnsi="宋体" w:cs="宋体" w:eastAsia="宋体" w:hint="default"/>
                <w:sz w:val="18"/>
                <w:szCs w:val="18"/>
              </w:rPr>
            </w:pPr>
            <w:r>
              <w:rPr>
                <w:rFonts w:ascii="宋体" w:hAnsi="宋体" w:cs="宋体" w:eastAsia="宋体" w:hint="default"/>
                <w:sz w:val="18"/>
                <w:szCs w:val="18"/>
              </w:rPr>
              <w:t>（北京） 科技有限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3,046,771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-48,606.6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2,998,164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深圳市萝 卜互动科 技有限公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2,247,492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531,358.7</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2,778,851</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.21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上海乐矩 网络科技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3,044,992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-747.17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1,455,065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1,589,179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1,455,065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.03</w:t>
            </w:r>
          </w:p>
        </w:tc>
      </w:tr>
      <w:tr>
        <w:trPr>
          <w:trHeight w:val="1340" w:hRule="exact"/>
        </w:trPr>
        <w:tc>
          <w:tcPr>
            <w:tcW w:w="797"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未来人科 </w:t>
            </w:r>
            <w:r>
              <w:rPr>
                <w:rFonts w:ascii="宋体" w:hAnsi="宋体" w:cs="宋体" w:eastAsia="宋体" w:hint="default"/>
                <w:spacing w:val="-18"/>
                <w:sz w:val="18"/>
                <w:szCs w:val="18"/>
              </w:rPr>
              <w:t>技（北京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有限责任 公司</w:t>
            </w:r>
          </w:p>
        </w:tc>
        <w:tc>
          <w:tcPr>
            <w:tcW w:w="79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5" w:right="19"/>
              <w:jc w:val="right"/>
              <w:rPr>
                <w:rFonts w:ascii="Times New Roman" w:hAnsi="Times New Roman" w:cs="Times New Roman" w:eastAsia="Times New Roman"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1,291,616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.86</w:t>
            </w:r>
          </w:p>
          <w:p>
            <w:pPr>
              <w:pStyle w:val="TableParagraph"/>
              <w:spacing w:line="240" w:lineRule="auto" w:before="0"/>
              <w:ind w:right="0"/>
              <w:jc w:val="left"/>
              <w:rPr>
                <w:rFonts w:ascii="宋体" w:hAnsi="宋体" w:cs="宋体" w:eastAsia="宋体" w:hint="default"/>
                <w:sz w:val="24"/>
                <w:szCs w:val="24"/>
              </w:rPr>
            </w:pPr>
          </w:p>
          <w:p>
            <w:pPr>
              <w:pStyle w:val="TableParagraph"/>
              <w:spacing w:line="350" w:lineRule="exact"/>
              <w:ind w:left="12" w:right="-29"/>
              <w:jc w:val="left"/>
              <w:rPr>
                <w:rFonts w:ascii="宋体" w:hAnsi="宋体" w:cs="宋体" w:eastAsia="宋体" w:hint="default"/>
                <w:sz w:val="20"/>
                <w:szCs w:val="20"/>
              </w:rPr>
            </w:pPr>
            <w:r>
              <w:rPr>
                <w:rFonts w:ascii="宋体" w:hAnsi="宋体" w:cs="宋体" w:eastAsia="宋体" w:hint="default"/>
                <w:position w:val="-6"/>
                <w:sz w:val="20"/>
                <w:szCs w:val="20"/>
              </w:rPr>
              <w:pict>
                <v:group style="width:37.1pt;height:17.55pt;mso-position-horizontal-relative:char;mso-position-vertical-relative:line" coordorigin="0,0" coordsize="742,351">
                  <v:group style="position:absolute;left:0;top:0;width:742;height:351" coordorigin="0,0" coordsize="742,351">
                    <v:shape style="position:absolute;left:0;top:0;width:742;height:351" coordorigin="0,0" coordsize="742,351" path="m0,351l742,351,742,0,0,0,0,351xe" filled="true" fillcolor="#ffffff" stroked="false">
                      <v:path arrowok="t"/>
                      <v:fill type="solid"/>
                    </v:shape>
                  </v:group>
                </v:group>
              </w:pict>
            </w:r>
            <w:r>
              <w:rPr>
                <w:rFonts w:ascii="宋体" w:hAnsi="宋体" w:cs="宋体" w:eastAsia="宋体" w:hint="default"/>
                <w:position w:val="-6"/>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-2,805.78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1,288,811</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上海乐加 网络科技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2,482,955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-5,409.62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1,312,147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1,165,398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1,312,147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.12</w:t>
            </w: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成都天合 互动科技 有限责任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1,517,184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-838.68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456,892.3</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1,059,453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456,892.3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北京起源 天泽科技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979,746.7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-757.39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978,989.3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北京初始 之部科技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842,631.9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-211,082.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631,549.8</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上海木铎 信息科技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1,404,877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-2,036.88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1,402,840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1,402,840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.50</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52,633,05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8.13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-1,095,91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5.39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5,558,659</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45,978,48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5,558,659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.45</w:t>
            </w: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52,633,05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8.13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-1,095,91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5.39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5,558,659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45,978,48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5,558,659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.45</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、其他权益工具投资</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r>
        <w:rPr/>
        <w:pict>
          <v:group style="position:absolute;margin-left:217.490005pt;margin-top:188.659988pt;width:156.75pt;height:19.6pt;mso-position-horizontal-relative:page;mso-position-vertical-relative:page;z-index:-1243768" coordorigin="4350,3773" coordsize="3135,392">
            <v:shape style="position:absolute;left:4350;top:3773;width:3135;height:392" coordorigin="4350,3773" coordsize="3135,392" path="m4350,4164l7485,4164,7485,3773,4350,3773,4350,4164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3188"/>
        <w:gridCol w:w="1095"/>
        <w:gridCol w:w="2097"/>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上海跳跃网络科技有限公司</w:t>
            </w:r>
          </w:p>
        </w:tc>
        <w:tc>
          <w:tcPr>
            <w:tcW w:w="31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181,972,226.70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181,972,226.70</w:t>
            </w: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2"/>
              <w:jc w:val="left"/>
              <w:rPr>
                <w:rFonts w:ascii="宋体" w:hAnsi="宋体" w:cs="宋体" w:eastAsia="宋体" w:hint="default"/>
                <w:sz w:val="18"/>
                <w:szCs w:val="18"/>
              </w:rPr>
            </w:pPr>
            <w:r>
              <w:rPr>
                <w:rFonts w:ascii="宋体" w:hAnsi="宋体" w:cs="宋体" w:eastAsia="宋体" w:hint="default"/>
                <w:sz w:val="18"/>
                <w:szCs w:val="18"/>
              </w:rPr>
              <w:t>深圳市前海鹏德移动互联网创业投资基 金（有限合伙）</w:t>
            </w:r>
          </w:p>
        </w:tc>
        <w:tc>
          <w:tcPr>
            <w:tcW w:w="31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28,001,320.00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28,001,320.00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深圳市掌娱炫动信息技术有限公司</w:t>
            </w:r>
          </w:p>
        </w:tc>
        <w:tc>
          <w:tcPr>
            <w:tcW w:w="31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20,020,000.00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20,020,000.00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北京海云捷迅科技有限公司</w:t>
            </w:r>
          </w:p>
        </w:tc>
        <w:tc>
          <w:tcPr>
            <w:tcW w:w="31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14,212,800.00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深圳汇海易融互联网金融服务有限公司</w:t>
            </w:r>
          </w:p>
        </w:tc>
        <w:tc>
          <w:tcPr>
            <w:tcW w:w="31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13,416,135.72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24,000,000.00</w:t>
            </w:r>
          </w:p>
        </w:tc>
      </w:tr>
      <w:tr>
        <w:trPr>
          <w:trHeight w:val="403" w:hRule="exact"/>
        </w:trPr>
        <w:tc>
          <w:tcPr>
            <w:tcW w:w="3188"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新余智博文娱叁号投资企业（有限合伙</w:t>
            </w:r>
          </w:p>
        </w:tc>
        <w:tc>
          <w:tcPr>
            <w:tcW w:w="1095" w:type="dxa"/>
            <w:tcBorders>
              <w:top w:val="single" w:sz="4" w:space="0" w:color="000000"/>
              <w:left w:val="single" w:sz="13" w:space="0" w:color="FFFFFF"/>
              <w:bottom w:val="single" w:sz="4" w:space="0" w:color="000000"/>
              <w:right w:val="nil" w:sz="6" w:space="0" w:color="auto"/>
            </w:tcBorders>
          </w:tcPr>
          <w:p>
            <w:pPr>
              <w:pStyle w:val="TableParagraph"/>
              <w:spacing w:line="240" w:lineRule="auto" w:before="51"/>
              <w:ind w:left="-136" w:right="0"/>
              <w:jc w:val="left"/>
              <w:rPr>
                <w:rFonts w:ascii="宋体" w:hAnsi="宋体" w:cs="宋体" w:eastAsia="宋体" w:hint="default"/>
                <w:sz w:val="18"/>
                <w:szCs w:val="18"/>
              </w:rPr>
            </w:pPr>
            <w:r>
              <w:rPr>
                <w:rFonts w:ascii="宋体" w:hAnsi="宋体" w:cs="宋体" w:eastAsia="宋体" w:hint="default"/>
                <w:sz w:val="18"/>
                <w:szCs w:val="18"/>
              </w:rPr>
              <w:t>）</w:t>
            </w:r>
          </w:p>
        </w:tc>
        <w:tc>
          <w:tcPr>
            <w:tcW w:w="2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1033" w:right="0"/>
              <w:jc w:val="left"/>
              <w:rPr>
                <w:rFonts w:ascii="Times New Roman" w:hAnsi="Times New Roman" w:cs="Times New Roman" w:eastAsia="Times New Roman" w:hint="default"/>
                <w:sz w:val="18"/>
                <w:szCs w:val="18"/>
              </w:rPr>
            </w:pPr>
            <w:r>
              <w:rPr>
                <w:rFonts w:ascii="Times New Roman"/>
                <w:sz w:val="18"/>
              </w:rPr>
              <w:t>13,000,000.00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深圳纽信恒志投资中心（有限合伙）</w:t>
            </w:r>
          </w:p>
        </w:tc>
        <w:tc>
          <w:tcPr>
            <w:tcW w:w="31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成都聚游卓越科技有限公司</w:t>
            </w:r>
          </w:p>
        </w:tc>
        <w:tc>
          <w:tcPr>
            <w:tcW w:w="31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上海传翔文化传媒有限公司</w:t>
            </w:r>
          </w:p>
        </w:tc>
        <w:tc>
          <w:tcPr>
            <w:tcW w:w="31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2,513,083.27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苏州热力时光文化科技有限公司</w:t>
            </w:r>
          </w:p>
        </w:tc>
        <w:tc>
          <w:tcPr>
            <w:tcW w:w="31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上海绮秀文化传播有限公司</w:t>
            </w:r>
          </w:p>
        </w:tc>
        <w:tc>
          <w:tcPr>
            <w:tcW w:w="31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厦门比悦网络科技有限公司</w:t>
            </w:r>
          </w:p>
        </w:tc>
        <w:tc>
          <w:tcPr>
            <w:tcW w:w="31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广东超级队长科技有限公司</w:t>
            </w:r>
          </w:p>
        </w:tc>
        <w:tc>
          <w:tcPr>
            <w:tcW w:w="31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深圳米趣科技有限公司</w:t>
            </w:r>
          </w:p>
        </w:tc>
        <w:tc>
          <w:tcPr>
            <w:tcW w:w="31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794,589.96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广州民营投资股份有限公司</w:t>
            </w:r>
          </w:p>
        </w:tc>
        <w:tc>
          <w:tcPr>
            <w:tcW w:w="31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深圳维爱特科技有限公司</w:t>
            </w:r>
          </w:p>
        </w:tc>
        <w:tc>
          <w:tcPr>
            <w:tcW w:w="3192" w:type="dxa"/>
            <w:gridSpan w:val="2"/>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9,349,627.45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上海侠娱网络科技有限公司</w:t>
            </w:r>
          </w:p>
        </w:tc>
        <w:tc>
          <w:tcPr>
            <w:tcW w:w="3192" w:type="dxa"/>
            <w:gridSpan w:val="2"/>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APPCROSSCO.,ltd</w:t>
            </w:r>
          </w:p>
        </w:tc>
        <w:tc>
          <w:tcPr>
            <w:tcW w:w="3192" w:type="dxa"/>
            <w:gridSpan w:val="2"/>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1,230,260.00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杭州龙焰网络科技有限公司</w:t>
            </w:r>
          </w:p>
        </w:tc>
        <w:tc>
          <w:tcPr>
            <w:tcW w:w="3192" w:type="dxa"/>
            <w:gridSpan w:val="2"/>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33" w:right="0"/>
              <w:jc w:val="left"/>
              <w:rPr>
                <w:rFonts w:ascii="Times New Roman" w:hAnsi="Times New Roman" w:cs="Times New Roman" w:eastAsia="Times New Roman" w:hint="default"/>
                <w:sz w:val="18"/>
                <w:szCs w:val="18"/>
              </w:rPr>
            </w:pPr>
            <w:r>
              <w:rPr>
                <w:rFonts w:ascii="Times New Roman"/>
                <w:sz w:val="18"/>
              </w:rPr>
              <w:t>304,430,155.65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335,073,434.15</w:t>
            </w:r>
          </w:p>
        </w:tc>
      </w:tr>
    </w:tbl>
    <w:p>
      <w:pPr>
        <w:spacing w:before="49"/>
        <w:ind w:left="152" w:right="996" w:firstLine="0"/>
        <w:jc w:val="left"/>
        <w:rPr>
          <w:rFonts w:ascii="宋体" w:hAnsi="宋体" w:cs="宋体" w:eastAsia="宋体" w:hint="default"/>
          <w:sz w:val="18"/>
          <w:szCs w:val="18"/>
        </w:rPr>
      </w:pPr>
      <w:r>
        <w:rPr>
          <w:rFonts w:ascii="宋体" w:hAnsi="宋体" w:cs="宋体" w:eastAsia="宋体" w:hint="default"/>
          <w:sz w:val="18"/>
          <w:szCs w:val="18"/>
        </w:rPr>
        <w:t>分项披露本期非交易性权益工具投资</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1339"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确认的股利收入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入留存收益的金 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6"/>
              <w:jc w:val="center"/>
              <w:rPr>
                <w:rFonts w:ascii="宋体" w:hAnsi="宋体" w:cs="宋体" w:eastAsia="宋体" w:hint="default"/>
                <w:sz w:val="18"/>
                <w:szCs w:val="18"/>
              </w:rPr>
            </w:pPr>
            <w:r>
              <w:rPr>
                <w:rFonts w:ascii="宋体" w:hAnsi="宋体" w:cs="宋体" w:eastAsia="宋体" w:hint="default"/>
                <w:sz w:val="18"/>
                <w:szCs w:val="18"/>
              </w:rPr>
              <w:t>指定为以公允价 值计量且其变动 计入其他综合收 益的原因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入留存收益的原 因</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上海跳跃网络科 技有限公司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Style w:val="TableParagraph"/>
              <w:spacing w:line="314" w:lineRule="auto" w:before="159"/>
              <w:ind w:left="23" w:right="17" w:firstLine="24"/>
              <w:jc w:val="both"/>
              <w:rPr>
                <w:rFonts w:ascii="宋体" w:hAnsi="宋体" w:cs="宋体" w:eastAsia="宋体" w:hint="default"/>
                <w:sz w:val="18"/>
                <w:szCs w:val="18"/>
              </w:rPr>
            </w:pPr>
            <w:r>
              <w:rPr>
                <w:rFonts w:ascii="宋体" w:hAnsi="宋体" w:cs="宋体" w:eastAsia="宋体" w:hint="default"/>
                <w:sz w:val="18"/>
                <w:szCs w:val="18"/>
              </w:rPr>
              <w:t>指定为以公允价 值计量且其变动 计入其他综合收 益的原因系本公 司对上海跳跃网 络科技有限公司 等</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家被投资企 业的投资并非为 了短期交易，不</w:t>
            </w:r>
          </w:p>
        </w:tc>
        <w:tc>
          <w:tcPr>
            <w:tcW w:w="1368" w:type="dxa"/>
            <w:vMerge w:val="restart"/>
            <w:tcBorders>
              <w:top w:val="single" w:sz="4" w:space="0" w:color="000000"/>
              <w:left w:val="single" w:sz="4" w:space="0" w:color="000000"/>
              <w:right w:val="single" w:sz="4" w:space="0" w:color="000000"/>
            </w:tcBorders>
          </w:tcPr>
          <w:p>
            <w:pPr/>
          </w:p>
        </w:tc>
      </w:tr>
      <w:tr>
        <w:trPr>
          <w:trHeight w:val="134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深圳市前海鹏德 移动互联网创业 投资基金（有限 合伙）</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深圳市掌娱炫动 信息技术有限公 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vMerge/>
            <w:tcBorders>
              <w:left w:val="single" w:sz="4" w:space="0" w:color="000000"/>
              <w:bottom w:val="nil" w:sz="6" w:space="0" w:color="auto"/>
              <w:right w:val="single" w:sz="4" w:space="0" w:color="000000"/>
            </w:tcBorders>
          </w:tcPr>
          <w:p>
            <w:pPr/>
          </w:p>
        </w:tc>
        <w:tc>
          <w:tcPr>
            <w:tcW w:w="1368" w:type="dxa"/>
            <w:vMerge/>
            <w:tcBorders>
              <w:left w:val="single" w:sz="4" w:space="0" w:color="000000"/>
              <w:bottom w:val="nil" w:sz="6" w:space="0" w:color="auto"/>
              <w:right w:val="single" w:sz="4" w:space="0" w:color="000000"/>
            </w:tcBorders>
          </w:tcPr>
          <w:p>
            <w:pPr/>
          </w:p>
        </w:tc>
      </w:tr>
    </w:tbl>
    <w:p>
      <w:pPr>
        <w:spacing w:after="0"/>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371"/>
        <w:gridCol w:w="1369"/>
        <w:gridCol w:w="1368"/>
        <w:gridCol w:w="1366"/>
        <w:gridCol w:w="1368"/>
        <w:gridCol w:w="1366"/>
        <w:gridCol w:w="1368"/>
      </w:tblGrid>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北京海云捷迅科 技有限公司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vMerge w:val="restart"/>
            <w:tcBorders>
              <w:top w:val="nil" w:sz="6" w:space="0" w:color="auto"/>
              <w:left w:val="single" w:sz="4" w:space="0" w:color="000000"/>
              <w:right w:val="single" w:sz="4" w:space="0" w:color="000000"/>
            </w:tcBorders>
          </w:tcPr>
          <w:p>
            <w:pPr>
              <w:pStyle w:val="TableParagraph"/>
              <w:spacing w:line="316" w:lineRule="auto" w:before="13"/>
              <w:ind w:left="47" w:right="47"/>
              <w:jc w:val="both"/>
              <w:rPr>
                <w:rFonts w:ascii="宋体" w:hAnsi="宋体" w:cs="宋体" w:eastAsia="宋体" w:hint="default"/>
                <w:sz w:val="18"/>
                <w:szCs w:val="18"/>
              </w:rPr>
            </w:pPr>
            <w:r>
              <w:rPr>
                <w:rFonts w:ascii="宋体" w:hAnsi="宋体" w:cs="宋体" w:eastAsia="宋体" w:hint="default"/>
                <w:sz w:val="18"/>
                <w:szCs w:val="18"/>
              </w:rPr>
              <w:t>存在短期获利模 式，并非衍生工 具，且非负债， 本公司对以上被 投资单位的投资 属于非交易性权 益工具投资。根 据企业会计准则 规定将此项投资 指定为以公允价 值计量且其变动 计入其他综合收 益的金融资产。</w:t>
            </w:r>
          </w:p>
        </w:tc>
        <w:tc>
          <w:tcPr>
            <w:tcW w:w="1368" w:type="dxa"/>
            <w:vMerge w:val="restart"/>
            <w:tcBorders>
              <w:top w:val="single" w:sz="4" w:space="0" w:color="FFFFFF"/>
              <w:left w:val="single" w:sz="4" w:space="0" w:color="000000"/>
              <w:right w:val="single" w:sz="4" w:space="0" w:color="000000"/>
            </w:tcBorders>
          </w:tcPr>
          <w:p>
            <w:pP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深圳汇海易融互 联网金融服务有 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10,583,864.28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新余智博文娱叁 号投资企业（有 限合伙）</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深圳纽信恒志投 资中心（有限合 伙）</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成都聚游卓越科 技有限公司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上海传翔文化传 媒有限公司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5,486,916.73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苏州热力时光文 化科技有限公司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上海绮秀文化传 播有限公司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厦门比悦网络科 技有限公司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广东超级队长科 技有限公司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深圳米趣科技有 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705,410.04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广州民营投资股 份有限公司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深圳维爱特科技 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650,372.55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上海侠娱网络科 技有限公司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APPCROSSCO.,l</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td</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1,230,260.00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杭州龙焰网络科 技有限公司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1,495,000.00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、其他非流动金融资产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网际星辰文化传媒（北京）有限公司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12,550,000.00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6,550,000.00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成都卓杭网络科技股份有限公司</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19,808,551.50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26,358,551.50</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168,312,258.65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109,404,655.94</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168,312,258.65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109,404,655.94</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电子办公设备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54,927,812.71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121,724,495.26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3,788,128.47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9,466,786.88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551,588.96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190,458,812.28</w:t>
            </w: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57,885,552.75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2,248,261.57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35,246.91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19,101,996.31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79,271,057.54</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308,992.72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2,248,261.57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35,246.91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50,810.71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2,643,311.91</w:t>
            </w: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7"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57,576,560.03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19,051,185.60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76,627,745.63</w:t>
            </w: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7"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2,983,109.43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473,448.55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3,456,557.98</w:t>
            </w: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7"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2,983,109.43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473,448.55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3,456,557.98</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112,813,365.46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120,989,647.40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3,788,128.47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9,028,585.24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19,653,585.27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266,273,311.84</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22,571,311.23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47,411,127.74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3,131,514.05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7,510,754.66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397,005.68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81,021,713.36</w:t>
            </w: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6,113,298.96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12,420,381.15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124,119.36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881,205.05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651,884.86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20,190,889.38</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6,113,298.96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12,420,381.15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124,119.36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881,205.05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651,884.86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20,190,889.38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2,833,953.90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450,038.63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3,283,992.53</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2,833,953.90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450,038.63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3,283,992.53</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28,684,610.19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56,997,554.99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3,255,633.41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7,941,921.08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1,048,890.54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97,928,610.21</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32,442.98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32,442.98</w:t>
            </w: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32,442.98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32,442.98</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84,128,755.27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63,959,649.43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532,495.06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1,086,664.16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18,604,694.73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168,312,258.65</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32,356,501.48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74,280,924.54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656,614.42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1,956,032.22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154,583.28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109,404,655.94</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）未办妥产权证书的固定资产情况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9,462,966.20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0"/>
              <w:jc w:val="center"/>
              <w:rPr>
                <w:rFonts w:ascii="宋体" w:hAnsi="宋体" w:cs="宋体" w:eastAsia="宋体" w:hint="default"/>
                <w:sz w:val="18"/>
                <w:szCs w:val="18"/>
              </w:rPr>
            </w:pPr>
            <w:r>
              <w:rPr>
                <w:rFonts w:ascii="宋体" w:hAnsi="宋体" w:cs="宋体" w:eastAsia="宋体" w:hint="default"/>
                <w:sz w:val="18"/>
                <w:szCs w:val="18"/>
              </w:rPr>
              <w:t>全部系深圳人才安居房，无房屋产权证</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9,462,966.20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040" w:right="0"/>
              <w:jc w:val="left"/>
              <w:rPr>
                <w:rFonts w:ascii="Times New Roman" w:hAnsi="Times New Roman" w:cs="Times New Roman" w:eastAsia="Times New Roman" w:hint="default"/>
                <w:sz w:val="18"/>
                <w:szCs w:val="18"/>
              </w:rPr>
            </w:pPr>
            <w:r>
              <w:rPr>
                <w:rFonts w:ascii="Times New Roman"/>
                <w:sz w:val="18"/>
              </w:rPr>
              <w:t>110,697,164.66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80,157,877.83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0" w:right="0"/>
              <w:jc w:val="left"/>
              <w:rPr>
                <w:rFonts w:ascii="Times New Roman" w:hAnsi="Times New Roman" w:cs="Times New Roman" w:eastAsia="Times New Roman" w:hint="default"/>
                <w:sz w:val="18"/>
                <w:szCs w:val="18"/>
              </w:rPr>
            </w:pPr>
            <w:r>
              <w:rPr>
                <w:rFonts w:ascii="Times New Roman"/>
                <w:sz w:val="18"/>
              </w:rPr>
              <w:t>110,697,164.66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80,157,877.83</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北京八达岭水关 长城</w:t>
            </w:r>
            <w:r>
              <w:rPr>
                <w:rFonts w:ascii="Times New Roman" w:hAnsi="Times New Roman" w:cs="Times New Roman" w:eastAsia="Times New Roman" w:hint="default"/>
                <w:sz w:val="18"/>
                <w:szCs w:val="18"/>
              </w:rPr>
              <w:t>"</w:t>
            </w:r>
            <w:r>
              <w:rPr>
                <w:rFonts w:ascii="宋体" w:hAnsi="宋体" w:cs="宋体" w:eastAsia="宋体" w:hint="default"/>
                <w:sz w:val="18"/>
                <w:szCs w:val="18"/>
              </w:rPr>
              <w:t>龙腾九州</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76,464,291.33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76,464,291.33</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宝德观澜数据中 心三期机房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110,030,800.85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110,030,800.85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3,693,586.50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3,693,586.50</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飞水谷项目停车 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666,363.81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666,363.81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110,697,164.66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110,697,164.66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80,157,877.83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80,157,877.83</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）重要在建工程项目本期变动情况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340"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1"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3"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649"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北京八 达岭水 关长城</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龙腾九 州</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76,700,0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76,464,2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91.33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163,454.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76,627,7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45.63</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99.91%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自有资 金</w:t>
            </w:r>
          </w:p>
        </w:tc>
      </w:tr>
      <w:tr>
        <w:trPr>
          <w:trHeight w:val="1339"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宝德观 澜数据 中心三 期机房</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126,109,</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800.00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3,693,58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6.50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106,337,</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214.35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110,030,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800.85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87.25%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87.25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61"/>
              <w:jc w:val="left"/>
              <w:rPr>
                <w:rFonts w:ascii="宋体" w:hAnsi="宋体" w:cs="宋体" w:eastAsia="宋体" w:hint="default"/>
                <w:sz w:val="18"/>
                <w:szCs w:val="18"/>
              </w:rPr>
            </w:pPr>
            <w:r>
              <w:rPr>
                <w:rFonts w:ascii="宋体" w:hAnsi="宋体" w:cs="宋体" w:eastAsia="宋体" w:hint="default"/>
                <w:sz w:val="18"/>
                <w:szCs w:val="18"/>
              </w:rPr>
              <w:t>自有资 金</w:t>
            </w:r>
          </w:p>
        </w:tc>
      </w:tr>
      <w:tr>
        <w:trPr>
          <w:trHeight w:val="102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飞水谷 项目停 车场</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726,336.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666,363.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666,363.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91.74%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91.74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161"/>
              <w:jc w:val="left"/>
              <w:rPr>
                <w:rFonts w:ascii="宋体" w:hAnsi="宋体" w:cs="宋体" w:eastAsia="宋体" w:hint="default"/>
                <w:sz w:val="18"/>
                <w:szCs w:val="18"/>
              </w:rPr>
            </w:pPr>
            <w:r>
              <w:rPr>
                <w:rFonts w:ascii="宋体" w:hAnsi="宋体" w:cs="宋体" w:eastAsia="宋体" w:hint="default"/>
                <w:sz w:val="18"/>
                <w:szCs w:val="18"/>
              </w:rPr>
              <w:t>自有资 金</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203,536,</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136.55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80,157,8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77.83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107,167,</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032.46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76,627,7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45.63</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110,697,</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164.66</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r>
        <w:rPr/>
        <w:pict>
          <v:shape style="position:absolute;margin-left:98.664001pt;margin-top:350.089996pt;width:53.55pt;height:15.6pt;mso-position-horizontal-relative:page;mso-position-vertical-relative:page;z-index:-1243744"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pict>
          <v:group style="position:absolute;margin-left:56.160011pt;margin-top:19.191687pt;width:479.4pt;height:596.85pt;mso-position-horizontal-relative:page;mso-position-vertical-relative:paragraph;z-index:-1243720" coordorigin="1123,384" coordsize="9588,11937">
            <v:group style="position:absolute;left:1151;top:398;width:2;height:392" coordorigin="1151,398" coordsize="2,392">
              <v:shape style="position:absolute;left:1151;top:398;width:2;height:392" coordorigin="1151,398" coordsize="0,392" path="m1151,398l1151,789e" filled="false" stroked="true" strokeweight="1.08pt" strokecolor="#d2d2d2">
                <v:path arrowok="t"/>
              </v:shape>
            </v:group>
            <v:group style="position:absolute;left:2075;top:398;width:2;height:392" coordorigin="2075,398" coordsize="2,392">
              <v:shape style="position:absolute;left:2075;top:398;width:2;height:392" coordorigin="2075,398" coordsize="0,392" path="m2075,398l2075,789e" filled="false" stroked="true" strokeweight="1.08pt" strokecolor="#d2d2d2">
                <v:path arrowok="t"/>
              </v:shape>
            </v:group>
            <v:group style="position:absolute;left:1162;top:398;width:903;height:392" coordorigin="1162,398" coordsize="903,392">
              <v:shape style="position:absolute;left:1162;top:398;width:903;height:392" coordorigin="1162,398" coordsize="903,392" path="m1162,789l2064,789,2064,398,1162,398,1162,789xe" filled="true" fillcolor="#d2d2d2" stroked="false">
                <v:path arrowok="t"/>
                <v:fill type="solid"/>
              </v:shape>
            </v:group>
            <v:group style="position:absolute;left:2108;top:398;width:2;height:392" coordorigin="2108,398" coordsize="2,392">
              <v:shape style="position:absolute;left:2108;top:398;width:2;height:392" coordorigin="2108,398" coordsize="0,392" path="m2108,398l2108,789e" filled="false" stroked="true" strokeweight="1.2pt" strokecolor="#d2d2d2">
                <v:path arrowok="t"/>
              </v:shape>
            </v:group>
            <v:group style="position:absolute;left:3032;top:398;width:2;height:392" coordorigin="3032,398" coordsize="2,392">
              <v:shape style="position:absolute;left:3032;top:398;width:2;height:392" coordorigin="3032,398" coordsize="0,392" path="m3032,398l3032,789e" filled="false" stroked="true" strokeweight="1.2pt" strokecolor="#d2d2d2">
                <v:path arrowok="t"/>
              </v:shape>
            </v:group>
            <v:group style="position:absolute;left:2120;top:398;width:900;height:392" coordorigin="2120,398" coordsize="900,392">
              <v:shape style="position:absolute;left:2120;top:398;width:900;height:392" coordorigin="2120,398" coordsize="900,392" path="m2120,789l3020,789,3020,398,2120,398,2120,789xe" filled="true" fillcolor="#d2d2d2" stroked="false">
                <v:path arrowok="t"/>
                <v:fill type="solid"/>
              </v:shape>
            </v:group>
            <v:group style="position:absolute;left:3065;top:398;width:2;height:392" coordorigin="3065,398" coordsize="2,392">
              <v:shape style="position:absolute;left:3065;top:398;width:2;height:392" coordorigin="3065,398" coordsize="0,392" path="m3065,398l3065,789e" filled="false" stroked="true" strokeweight="1.2pt" strokecolor="#d2d2d2">
                <v:path arrowok="t"/>
              </v:shape>
            </v:group>
            <v:group style="position:absolute;left:3990;top:398;width:2;height:392" coordorigin="3990,398" coordsize="2,392">
              <v:shape style="position:absolute;left:3990;top:398;width:2;height:392" coordorigin="3990,398" coordsize="0,392" path="m3990,398l3990,789e" filled="false" stroked="true" strokeweight="1.2pt" strokecolor="#d2d2d2">
                <v:path arrowok="t"/>
              </v:shape>
            </v:group>
            <v:group style="position:absolute;left:3077;top:398;width:901;height:392" coordorigin="3077,398" coordsize="901,392">
              <v:shape style="position:absolute;left:3077;top:398;width:901;height:392" coordorigin="3077,398" coordsize="901,392" path="m3077,789l3978,789,3978,398,3077,398,3077,789xe" filled="true" fillcolor="#d2d2d2" stroked="false">
                <v:path arrowok="t"/>
                <v:fill type="solid"/>
              </v:shape>
            </v:group>
            <v:group style="position:absolute;left:4022;top:398;width:2;height:392" coordorigin="4022,398" coordsize="2,392">
              <v:shape style="position:absolute;left:4022;top:398;width:2;height:392" coordorigin="4022,398" coordsize="0,392" path="m4022,398l4022,789e" filled="false" stroked="true" strokeweight="1.08pt" strokecolor="#d2d2d2">
                <v:path arrowok="t"/>
              </v:shape>
            </v:group>
            <v:group style="position:absolute;left:4946;top:398;width:2;height:392" coordorigin="4946,398" coordsize="2,392">
              <v:shape style="position:absolute;left:4946;top:398;width:2;height:392" coordorigin="4946,398" coordsize="0,392" path="m4946,398l4946,789e" filled="false" stroked="true" strokeweight="1.08pt" strokecolor="#d2d2d2">
                <v:path arrowok="t"/>
              </v:shape>
            </v:group>
            <v:group style="position:absolute;left:4033;top:398;width:903;height:392" coordorigin="4033,398" coordsize="903,392">
              <v:shape style="position:absolute;left:4033;top:398;width:903;height:392" coordorigin="4033,398" coordsize="903,392" path="m4033,789l4935,789,4935,398,4033,398,4033,789xe" filled="true" fillcolor="#d2d2d2" stroked="false">
                <v:path arrowok="t"/>
                <v:fill type="solid"/>
              </v:shape>
            </v:group>
            <v:group style="position:absolute;left:4980;top:398;width:2;height:392" coordorigin="4980,398" coordsize="2,392">
              <v:shape style="position:absolute;left:4980;top:398;width:2;height:392" coordorigin="4980,398" coordsize="0,392" path="m4980,398l4980,789e" filled="false" stroked="true" strokeweight="1.08pt" strokecolor="#d2d2d2">
                <v:path arrowok="t"/>
              </v:shape>
            </v:group>
            <v:group style="position:absolute;left:5904;top:398;width:2;height:392" coordorigin="5904,398" coordsize="2,392">
              <v:shape style="position:absolute;left:5904;top:398;width:2;height:392" coordorigin="5904,398" coordsize="0,392" path="m5904,398l5904,789e" filled="false" stroked="true" strokeweight="1.08pt" strokecolor="#d2d2d2">
                <v:path arrowok="t"/>
              </v:shape>
            </v:group>
            <v:group style="position:absolute;left:4991;top:398;width:903;height:392" coordorigin="4991,398" coordsize="903,392">
              <v:shape style="position:absolute;left:4991;top:398;width:903;height:392" coordorigin="4991,398" coordsize="903,392" path="m4991,789l5893,789,5893,398,4991,398,4991,789xe" filled="true" fillcolor="#d2d2d2" stroked="false">
                <v:path arrowok="t"/>
                <v:fill type="solid"/>
              </v:shape>
            </v:group>
            <v:group style="position:absolute;left:5936;top:398;width:2;height:392" coordorigin="5936,398" coordsize="2,392">
              <v:shape style="position:absolute;left:5936;top:398;width:2;height:392" coordorigin="5936,398" coordsize="0,392" path="m5936,398l5936,789e" filled="false" stroked="true" strokeweight="1.2pt" strokecolor="#d2d2d2">
                <v:path arrowok="t"/>
              </v:shape>
            </v:group>
            <v:group style="position:absolute;left:6861;top:398;width:2;height:392" coordorigin="6861,398" coordsize="2,392">
              <v:shape style="position:absolute;left:6861;top:398;width:2;height:392" coordorigin="6861,398" coordsize="0,392" path="m6861,398l6861,789e" filled="false" stroked="true" strokeweight="1.2pt" strokecolor="#d2d2d2">
                <v:path arrowok="t"/>
              </v:shape>
            </v:group>
            <v:group style="position:absolute;left:5948;top:398;width:901;height:392" coordorigin="5948,398" coordsize="901,392">
              <v:shape style="position:absolute;left:5948;top:398;width:901;height:392" coordorigin="5948,398" coordsize="901,392" path="m5948,789l6849,789,6849,398,5948,398,5948,789xe" filled="true" fillcolor="#d2d2d2" stroked="false">
                <v:path arrowok="t"/>
                <v:fill type="solid"/>
              </v:shape>
            </v:group>
            <v:group style="position:absolute;left:6894;top:398;width:2;height:392" coordorigin="6894,398" coordsize="2,392">
              <v:shape style="position:absolute;left:6894;top:398;width:2;height:392" coordorigin="6894,398" coordsize="0,392" path="m6894,398l6894,789e" filled="false" stroked="true" strokeweight="1.2pt" strokecolor="#d2d2d2">
                <v:path arrowok="t"/>
              </v:shape>
            </v:group>
            <v:group style="position:absolute;left:7818;top:398;width:2;height:392" coordorigin="7818,398" coordsize="2,392">
              <v:shape style="position:absolute;left:7818;top:398;width:2;height:392" coordorigin="7818,398" coordsize="0,392" path="m7818,398l7818,789e" filled="false" stroked="true" strokeweight="1.2pt" strokecolor="#d2d2d2">
                <v:path arrowok="t"/>
              </v:shape>
            </v:group>
            <v:group style="position:absolute;left:6906;top:398;width:900;height:392" coordorigin="6906,398" coordsize="900,392">
              <v:shape style="position:absolute;left:6906;top:398;width:900;height:392" coordorigin="6906,398" coordsize="900,392" path="m6906,789l7806,789,7806,398,6906,398,6906,789xe" filled="true" fillcolor="#d2d2d2" stroked="false">
                <v:path arrowok="t"/>
                <v:fill type="solid"/>
              </v:shape>
            </v:group>
            <v:group style="position:absolute;left:7851;top:398;width:2;height:392" coordorigin="7851,398" coordsize="2,392">
              <v:shape style="position:absolute;left:7851;top:398;width:2;height:392" coordorigin="7851,398" coordsize="0,392" path="m7851,398l7851,789e" filled="false" stroked="true" strokeweight="1.08pt" strokecolor="#d2d2d2">
                <v:path arrowok="t"/>
              </v:shape>
            </v:group>
            <v:group style="position:absolute;left:8775;top:398;width:2;height:392" coordorigin="8775,398" coordsize="2,392">
              <v:shape style="position:absolute;left:8775;top:398;width:2;height:392" coordorigin="8775,398" coordsize="0,392" path="m8775,398l8775,789e" filled="false" stroked="true" strokeweight="1.08pt" strokecolor="#d2d2d2">
                <v:path arrowok="t"/>
              </v:shape>
            </v:group>
            <v:group style="position:absolute;left:7861;top:398;width:903;height:392" coordorigin="7861,398" coordsize="903,392">
              <v:shape style="position:absolute;left:7861;top:398;width:903;height:392" coordorigin="7861,398" coordsize="903,392" path="m7861,789l8764,789,8764,398,7861,398,7861,789xe" filled="true" fillcolor="#d2d2d2" stroked="false">
                <v:path arrowok="t"/>
                <v:fill type="solid"/>
              </v:shape>
            </v:group>
            <v:group style="position:absolute;left:8809;top:398;width:2;height:392" coordorigin="8809,398" coordsize="2,392">
              <v:shape style="position:absolute;left:8809;top:398;width:2;height:392" coordorigin="8809,398" coordsize="0,392" path="m8809,398l8809,789e" filled="false" stroked="true" strokeweight="1.08pt" strokecolor="#d2d2d2">
                <v:path arrowok="t"/>
              </v:shape>
            </v:group>
            <v:group style="position:absolute;left:9733;top:398;width:2;height:392" coordorigin="9733,398" coordsize="2,392">
              <v:shape style="position:absolute;left:9733;top:398;width:2;height:392" coordorigin="9733,398" coordsize="0,392" path="m9733,398l9733,789e" filled="false" stroked="true" strokeweight="1.08pt" strokecolor="#d2d2d2">
                <v:path arrowok="t"/>
              </v:shape>
            </v:group>
            <v:group style="position:absolute;left:8820;top:398;width:903;height:392" coordorigin="8820,398" coordsize="903,392">
              <v:shape style="position:absolute;left:8820;top:398;width:903;height:392" coordorigin="8820,398" coordsize="903,392" path="m8820,789l9722,789,9722,398,8820,398,8820,789xe" filled="true" fillcolor="#d2d2d2" stroked="false">
                <v:path arrowok="t"/>
                <v:fill type="solid"/>
              </v:shape>
            </v:group>
            <v:group style="position:absolute;left:9765;top:398;width:2;height:392" coordorigin="9765,398" coordsize="2,392">
              <v:shape style="position:absolute;left:9765;top:398;width:2;height:392" coordorigin="9765,398" coordsize="0,392" path="m9765,398l9765,789e" filled="false" stroked="true" strokeweight="1.2pt" strokecolor="#d2d2d2">
                <v:path arrowok="t"/>
              </v:shape>
            </v:group>
            <v:group style="position:absolute;left:10689;top:398;width:2;height:392" coordorigin="10689,398" coordsize="2,392">
              <v:shape style="position:absolute;left:10689;top:398;width:2;height:392" coordorigin="10689,398" coordsize="0,392" path="m10689,398l10689,789e" filled="false" stroked="true" strokeweight="1.2pt" strokecolor="#d2d2d2">
                <v:path arrowok="t"/>
              </v:shape>
            </v:group>
            <v:group style="position:absolute;left:9777;top:398;width:900;height:392" coordorigin="9777,398" coordsize="900,392">
              <v:shape style="position:absolute;left:9777;top:398;width:900;height:392" coordorigin="9777,398" coordsize="900,392" path="m9777,789l10677,789,10677,398,9777,398,9777,789xe" filled="true" fillcolor="#d2d2d2" stroked="false">
                <v:path arrowok="t"/>
                <v:fill type="solid"/>
              </v:shape>
            </v:group>
            <v:group style="position:absolute;left:1138;top:393;width:949;height:2" coordorigin="1138,393" coordsize="949,2">
              <v:shape style="position:absolute;left:1138;top:393;width:949;height:2" coordorigin="1138,393" coordsize="949,0" path="m1138,393l2086,393e" filled="false" stroked="true" strokeweight=".48pt" strokecolor="#000000">
                <v:path arrowok="t"/>
              </v:shape>
            </v:group>
            <v:group style="position:absolute;left:2096;top:393;width:948;height:2" coordorigin="2096,393" coordsize="948,2">
              <v:shape style="position:absolute;left:2096;top:393;width:948;height:2" coordorigin="2096,393" coordsize="948,0" path="m2096,393l3044,393e" filled="false" stroked="true" strokeweight=".48pt" strokecolor="#000000">
                <v:path arrowok="t"/>
              </v:shape>
            </v:group>
            <v:group style="position:absolute;left:3053;top:393;width:947;height:2" coordorigin="3053,393" coordsize="947,2">
              <v:shape style="position:absolute;left:3053;top:393;width:947;height:2" coordorigin="3053,393" coordsize="947,0" path="m3053,393l3999,393e" filled="false" stroked="true" strokeweight=".48pt" strokecolor="#000000">
                <v:path arrowok="t"/>
              </v:shape>
            </v:group>
            <v:group style="position:absolute;left:4009;top:393;width:948;height:2" coordorigin="4009,393" coordsize="948,2">
              <v:shape style="position:absolute;left:4009;top:393;width:948;height:2" coordorigin="4009,393" coordsize="948,0" path="m4009,393l4957,393e" filled="false" stroked="true" strokeweight=".48pt" strokecolor="#000000">
                <v:path arrowok="t"/>
              </v:shape>
            </v:group>
            <v:group style="position:absolute;left:4967;top:393;width:948;height:2" coordorigin="4967,393" coordsize="948,2">
              <v:shape style="position:absolute;left:4967;top:393;width:948;height:2" coordorigin="4967,393" coordsize="948,0" path="m4967,393l5915,393e" filled="false" stroked="true" strokeweight=".48pt" strokecolor="#000000">
                <v:path arrowok="t"/>
              </v:shape>
            </v:group>
            <v:group style="position:absolute;left:5924;top:393;width:949;height:2" coordorigin="5924,393" coordsize="949,2">
              <v:shape style="position:absolute;left:5924;top:393;width:949;height:2" coordorigin="5924,393" coordsize="949,0" path="m5924,393l6873,393e" filled="false" stroked="true" strokeweight=".48pt" strokecolor="#000000">
                <v:path arrowok="t"/>
              </v:shape>
            </v:group>
            <v:group style="position:absolute;left:6882;top:393;width:946;height:2" coordorigin="6882,393" coordsize="946,2">
              <v:shape style="position:absolute;left:6882;top:393;width:946;height:2" coordorigin="6882,393" coordsize="946,0" path="m6882,393l7828,393e" filled="false" stroked="true" strokeweight=".48pt" strokecolor="#000000">
                <v:path arrowok="t"/>
              </v:shape>
            </v:group>
            <v:group style="position:absolute;left:7837;top:393;width:949;height:2" coordorigin="7837,393" coordsize="949,2">
              <v:shape style="position:absolute;left:7837;top:393;width:949;height:2" coordorigin="7837,393" coordsize="949,0" path="m7837,393l8786,393e" filled="false" stroked="true" strokeweight=".48pt" strokecolor="#000000">
                <v:path arrowok="t"/>
              </v:shape>
            </v:group>
            <v:group style="position:absolute;left:8796;top:393;width:948;height:2" coordorigin="8796,393" coordsize="948,2">
              <v:shape style="position:absolute;left:8796;top:393;width:948;height:2" coordorigin="8796,393" coordsize="948,0" path="m8796,393l9744,393e" filled="false" stroked="true" strokeweight=".48pt" strokecolor="#000000">
                <v:path arrowok="t"/>
              </v:shape>
            </v:group>
            <v:group style="position:absolute;left:9753;top:393;width:948;height:2" coordorigin="9753,393" coordsize="948,2">
              <v:shape style="position:absolute;left:9753;top:393;width:948;height:2" coordorigin="9753,393" coordsize="948,0" path="m9753,393l10701,393e" filled="false" stroked="true" strokeweight=".48pt" strokecolor="#000000">
                <v:path arrowok="t"/>
              </v:shape>
            </v:group>
            <v:group style="position:absolute;left:1151;top:799;width:2;height:706" coordorigin="1151,799" coordsize="2,706">
              <v:shape style="position:absolute;left:1151;top:799;width:2;height:706" coordorigin="1151,799" coordsize="0,706" path="m1151,799l1151,1505e" filled="false" stroked="true" strokeweight="1.08pt" strokecolor="#d2d2d2">
                <v:path arrowok="t"/>
              </v:shape>
            </v:group>
            <v:group style="position:absolute;left:2075;top:799;width:2;height:706" coordorigin="2075,799" coordsize="2,706">
              <v:shape style="position:absolute;left:2075;top:799;width:2;height:706" coordorigin="2075,799" coordsize="0,706" path="m2075,799l2075,1505e" filled="false" stroked="true" strokeweight="1.08pt" strokecolor="#d2d2d2">
                <v:path arrowok="t"/>
              </v:shape>
            </v:group>
            <v:group style="position:absolute;left:1162;top:799;width:903;height:353" coordorigin="1162,799" coordsize="903,353">
              <v:shape style="position:absolute;left:1162;top:799;width:903;height:353" coordorigin="1162,799" coordsize="903,353" path="m1162,1152l2064,1152,2064,799,1162,799,1162,1152xe" filled="true" fillcolor="#d2d2d2" stroked="false">
                <v:path arrowok="t"/>
                <v:fill type="solid"/>
              </v:shape>
            </v:group>
            <v:group style="position:absolute;left:1162;top:1152;width:903;height:353" coordorigin="1162,1152" coordsize="903,353">
              <v:shape style="position:absolute;left:1162;top:1152;width:903;height:353" coordorigin="1162,1152" coordsize="903,353" path="m1162,1505l2064,1505,2064,1152,1162,1152,1162,1505xe" filled="true" fillcolor="#d2d2d2" stroked="false">
                <v:path arrowok="t"/>
                <v:fill type="solid"/>
              </v:shape>
            </v:group>
            <v:group style="position:absolute;left:1138;top:794;width:949;height:2" coordorigin="1138,794" coordsize="949,2">
              <v:shape style="position:absolute;left:1138;top:794;width:949;height:2" coordorigin="1138,794" coordsize="949,0" path="m1138,794l2086,794e" filled="false" stroked="true" strokeweight=".48pt" strokecolor="#000000">
                <v:path arrowok="t"/>
              </v:shape>
            </v:group>
            <v:group style="position:absolute;left:2096;top:794;width:948;height:2" coordorigin="2096,794" coordsize="948,2">
              <v:shape style="position:absolute;left:2096;top:794;width:948;height:2" coordorigin="2096,794" coordsize="948,0" path="m2096,794l3044,794e" filled="false" stroked="true" strokeweight=".48pt" strokecolor="#000000">
                <v:path arrowok="t"/>
              </v:shape>
            </v:group>
            <v:group style="position:absolute;left:3053;top:794;width:947;height:2" coordorigin="3053,794" coordsize="947,2">
              <v:shape style="position:absolute;left:3053;top:794;width:947;height:2" coordorigin="3053,794" coordsize="947,0" path="m3053,794l3999,794e" filled="false" stroked="true" strokeweight=".48pt" strokecolor="#000000">
                <v:path arrowok="t"/>
              </v:shape>
            </v:group>
            <v:group style="position:absolute;left:4009;top:794;width:948;height:2" coordorigin="4009,794" coordsize="948,2">
              <v:shape style="position:absolute;left:4009;top:794;width:948;height:2" coordorigin="4009,794" coordsize="948,0" path="m4009,794l4957,794e" filled="false" stroked="true" strokeweight=".48pt" strokecolor="#000000">
                <v:path arrowok="t"/>
              </v:shape>
            </v:group>
            <v:group style="position:absolute;left:4967;top:794;width:948;height:2" coordorigin="4967,794" coordsize="948,2">
              <v:shape style="position:absolute;left:4967;top:794;width:948;height:2" coordorigin="4967,794" coordsize="948,0" path="m4967,794l5915,794e" filled="false" stroked="true" strokeweight=".48pt" strokecolor="#000000">
                <v:path arrowok="t"/>
              </v:shape>
            </v:group>
            <v:group style="position:absolute;left:5924;top:794;width:949;height:2" coordorigin="5924,794" coordsize="949,2">
              <v:shape style="position:absolute;left:5924;top:794;width:949;height:2" coordorigin="5924,794" coordsize="949,0" path="m5924,794l6873,794e" filled="false" stroked="true" strokeweight=".48pt" strokecolor="#000000">
                <v:path arrowok="t"/>
              </v:shape>
            </v:group>
            <v:group style="position:absolute;left:6882;top:794;width:946;height:2" coordorigin="6882,794" coordsize="946,2">
              <v:shape style="position:absolute;left:6882;top:794;width:946;height:2" coordorigin="6882,794" coordsize="946,0" path="m6882,794l7828,794e" filled="false" stroked="true" strokeweight=".48pt" strokecolor="#000000">
                <v:path arrowok="t"/>
              </v:shape>
            </v:group>
            <v:group style="position:absolute;left:7837;top:794;width:949;height:2" coordorigin="7837,794" coordsize="949,2">
              <v:shape style="position:absolute;left:7837;top:794;width:949;height:2" coordorigin="7837,794" coordsize="949,0" path="m7837,794l8786,794e" filled="false" stroked="true" strokeweight=".48pt" strokecolor="#000000">
                <v:path arrowok="t"/>
              </v:shape>
            </v:group>
            <v:group style="position:absolute;left:8796;top:794;width:948;height:2" coordorigin="8796,794" coordsize="948,2">
              <v:shape style="position:absolute;left:8796;top:794;width:948;height:2" coordorigin="8796,794" coordsize="948,0" path="m8796,794l9744,794e" filled="false" stroked="true" strokeweight=".48pt" strokecolor="#000000">
                <v:path arrowok="t"/>
              </v:shape>
            </v:group>
            <v:group style="position:absolute;left:9753;top:794;width:948;height:2" coordorigin="9753,794" coordsize="948,2">
              <v:shape style="position:absolute;left:9753;top:794;width:948;height:2" coordorigin="9753,794" coordsize="948,0" path="m9753,794l10701,794e" filled="false" stroked="true" strokeweight=".48pt" strokecolor="#000000">
                <v:path arrowok="t"/>
              </v:shape>
            </v:group>
            <v:group style="position:absolute;left:1151;top:1514;width:2;height:704" coordorigin="1151,1514" coordsize="2,704">
              <v:shape style="position:absolute;left:1151;top:1514;width:2;height:704" coordorigin="1151,1514" coordsize="0,704" path="m1151,1514l1151,2217e" filled="false" stroked="true" strokeweight="1.08pt" strokecolor="#d2d2d2">
                <v:path arrowok="t"/>
              </v:shape>
            </v:group>
            <v:group style="position:absolute;left:2075;top:1514;width:2;height:704" coordorigin="2075,1514" coordsize="2,704">
              <v:shape style="position:absolute;left:2075;top:1514;width:2;height:704" coordorigin="2075,1514" coordsize="0,704" path="m2075,1514l2075,2217e" filled="false" stroked="true" strokeweight="1.08pt" strokecolor="#d2d2d2">
                <v:path arrowok="t"/>
              </v:shape>
            </v:group>
            <v:group style="position:absolute;left:1162;top:1514;width:903;height:353" coordorigin="1162,1514" coordsize="903,353">
              <v:shape style="position:absolute;left:1162;top:1514;width:903;height:353" coordorigin="1162,1514" coordsize="903,353" path="m1162,1867l2064,1867,2064,1514,1162,1514,1162,1867xe" filled="true" fillcolor="#d2d2d2" stroked="false">
                <v:path arrowok="t"/>
                <v:fill type="solid"/>
              </v:shape>
            </v:group>
            <v:group style="position:absolute;left:1162;top:1867;width:903;height:351" coordorigin="1162,1867" coordsize="903,351">
              <v:shape style="position:absolute;left:1162;top:1867;width:903;height:351" coordorigin="1162,1867" coordsize="903,351" path="m1162,2217l2064,2217,2064,1867,1162,1867,1162,2217xe" filled="true" fillcolor="#d2d2d2" stroked="false">
                <v:path arrowok="t"/>
                <v:fill type="solid"/>
              </v:shape>
            </v:group>
            <v:group style="position:absolute;left:1138;top:1509;width:949;height:2" coordorigin="1138,1509" coordsize="949,2">
              <v:shape style="position:absolute;left:1138;top:1509;width:949;height:2" coordorigin="1138,1509" coordsize="949,0" path="m1138,1509l2086,1509e" filled="false" stroked="true" strokeweight=".48001pt" strokecolor="#000000">
                <v:path arrowok="t"/>
              </v:shape>
            </v:group>
            <v:group style="position:absolute;left:2096;top:1509;width:948;height:2" coordorigin="2096,1509" coordsize="948,2">
              <v:shape style="position:absolute;left:2096;top:1509;width:948;height:2" coordorigin="2096,1509" coordsize="948,0" path="m2096,1509l3044,1509e" filled="false" stroked="true" strokeweight=".48001pt" strokecolor="#000000">
                <v:path arrowok="t"/>
              </v:shape>
            </v:group>
            <v:group style="position:absolute;left:3053;top:1509;width:947;height:2" coordorigin="3053,1509" coordsize="947,2">
              <v:shape style="position:absolute;left:3053;top:1509;width:947;height:2" coordorigin="3053,1509" coordsize="947,0" path="m3053,1509l3999,1509e" filled="false" stroked="true" strokeweight=".48001pt" strokecolor="#000000">
                <v:path arrowok="t"/>
              </v:shape>
            </v:group>
            <v:group style="position:absolute;left:4009;top:1509;width:948;height:2" coordorigin="4009,1509" coordsize="948,2">
              <v:shape style="position:absolute;left:4009;top:1509;width:948;height:2" coordorigin="4009,1509" coordsize="948,0" path="m4009,1509l4957,1509e" filled="false" stroked="true" strokeweight=".48001pt" strokecolor="#000000">
                <v:path arrowok="t"/>
              </v:shape>
            </v:group>
            <v:group style="position:absolute;left:4967;top:1509;width:948;height:2" coordorigin="4967,1509" coordsize="948,2">
              <v:shape style="position:absolute;left:4967;top:1509;width:948;height:2" coordorigin="4967,1509" coordsize="948,0" path="m4967,1509l5915,1509e" filled="false" stroked="true" strokeweight=".48001pt" strokecolor="#000000">
                <v:path arrowok="t"/>
              </v:shape>
            </v:group>
            <v:group style="position:absolute;left:5924;top:1509;width:949;height:2" coordorigin="5924,1509" coordsize="949,2">
              <v:shape style="position:absolute;left:5924;top:1509;width:949;height:2" coordorigin="5924,1509" coordsize="949,0" path="m5924,1509l6873,1509e" filled="false" stroked="true" strokeweight=".48001pt" strokecolor="#000000">
                <v:path arrowok="t"/>
              </v:shape>
            </v:group>
            <v:group style="position:absolute;left:6882;top:1509;width:946;height:2" coordorigin="6882,1509" coordsize="946,2">
              <v:shape style="position:absolute;left:6882;top:1509;width:946;height:2" coordorigin="6882,1509" coordsize="946,0" path="m6882,1509l7828,1509e" filled="false" stroked="true" strokeweight=".48001pt" strokecolor="#000000">
                <v:path arrowok="t"/>
              </v:shape>
            </v:group>
            <v:group style="position:absolute;left:7837;top:1509;width:949;height:2" coordorigin="7837,1509" coordsize="949,2">
              <v:shape style="position:absolute;left:7837;top:1509;width:949;height:2" coordorigin="7837,1509" coordsize="949,0" path="m7837,1509l8786,1509e" filled="false" stroked="true" strokeweight=".48001pt" strokecolor="#000000">
                <v:path arrowok="t"/>
              </v:shape>
            </v:group>
            <v:group style="position:absolute;left:8796;top:1509;width:948;height:2" coordorigin="8796,1509" coordsize="948,2">
              <v:shape style="position:absolute;left:8796;top:1509;width:948;height:2" coordorigin="8796,1509" coordsize="948,0" path="m8796,1509l9744,1509e" filled="false" stroked="true" strokeweight=".48001pt" strokecolor="#000000">
                <v:path arrowok="t"/>
              </v:shape>
            </v:group>
            <v:group style="position:absolute;left:9753;top:1509;width:948;height:2" coordorigin="9753,1509" coordsize="948,2">
              <v:shape style="position:absolute;left:9753;top:1509;width:948;height:2" coordorigin="9753,1509" coordsize="948,0" path="m9753,1509l10701,1509e" filled="false" stroked="true" strokeweight=".48001pt" strokecolor="#000000">
                <v:path arrowok="t"/>
              </v:shape>
            </v:group>
            <v:group style="position:absolute;left:1151;top:2227;width:2;height:706" coordorigin="1151,2227" coordsize="2,706">
              <v:shape style="position:absolute;left:1151;top:2227;width:2;height:706" coordorigin="1151,2227" coordsize="0,706" path="m1151,2227l1151,2933e" filled="false" stroked="true" strokeweight="1.08pt" strokecolor="#d2d2d2">
                <v:path arrowok="t"/>
              </v:shape>
            </v:group>
            <v:group style="position:absolute;left:2075;top:2227;width:2;height:706" coordorigin="2075,2227" coordsize="2,706">
              <v:shape style="position:absolute;left:2075;top:2227;width:2;height:706" coordorigin="2075,2227" coordsize="0,706" path="m2075,2227l2075,2933e" filled="false" stroked="true" strokeweight="1.08pt" strokecolor="#d2d2d2">
                <v:path arrowok="t"/>
              </v:shape>
            </v:group>
            <v:group style="position:absolute;left:1162;top:2227;width:903;height:353" coordorigin="1162,2227" coordsize="903,353">
              <v:shape style="position:absolute;left:1162;top:2227;width:903;height:353" coordorigin="1162,2227" coordsize="903,353" path="m1162,2580l2064,2580,2064,2227,1162,2227,1162,2580xe" filled="true" fillcolor="#d2d2d2" stroked="false">
                <v:path arrowok="t"/>
                <v:fill type="solid"/>
              </v:shape>
            </v:group>
            <v:group style="position:absolute;left:1162;top:2580;width:903;height:353" coordorigin="1162,2580" coordsize="903,353">
              <v:shape style="position:absolute;left:1162;top:2580;width:903;height:353" coordorigin="1162,2580" coordsize="903,353" path="m1162,2933l2064,2933,2064,2580,1162,2580,1162,2933xe" filled="true" fillcolor="#d2d2d2" stroked="false">
                <v:path arrowok="t"/>
                <v:fill type="solid"/>
              </v:shape>
            </v:group>
            <v:group style="position:absolute;left:1138;top:2222;width:949;height:2" coordorigin="1138,2222" coordsize="949,2">
              <v:shape style="position:absolute;left:1138;top:2222;width:949;height:2" coordorigin="1138,2222" coordsize="949,0" path="m1138,2222l2086,2222e" filled="false" stroked="true" strokeweight=".48001pt" strokecolor="#000000">
                <v:path arrowok="t"/>
              </v:shape>
            </v:group>
            <v:group style="position:absolute;left:2096;top:2222;width:948;height:2" coordorigin="2096,2222" coordsize="948,2">
              <v:shape style="position:absolute;left:2096;top:2222;width:948;height:2" coordorigin="2096,2222" coordsize="948,0" path="m2096,2222l3044,2222e" filled="false" stroked="true" strokeweight=".48001pt" strokecolor="#000000">
                <v:path arrowok="t"/>
              </v:shape>
            </v:group>
            <v:group style="position:absolute;left:3053;top:2222;width:947;height:2" coordorigin="3053,2222" coordsize="947,2">
              <v:shape style="position:absolute;left:3053;top:2222;width:947;height:2" coordorigin="3053,2222" coordsize="947,0" path="m3053,2222l3999,2222e" filled="false" stroked="true" strokeweight=".48001pt" strokecolor="#000000">
                <v:path arrowok="t"/>
              </v:shape>
            </v:group>
            <v:group style="position:absolute;left:4009;top:2222;width:948;height:2" coordorigin="4009,2222" coordsize="948,2">
              <v:shape style="position:absolute;left:4009;top:2222;width:948;height:2" coordorigin="4009,2222" coordsize="948,0" path="m4009,2222l4957,2222e" filled="false" stroked="true" strokeweight=".48001pt" strokecolor="#000000">
                <v:path arrowok="t"/>
              </v:shape>
            </v:group>
            <v:group style="position:absolute;left:4967;top:2222;width:948;height:2" coordorigin="4967,2222" coordsize="948,2">
              <v:shape style="position:absolute;left:4967;top:2222;width:948;height:2" coordorigin="4967,2222" coordsize="948,0" path="m4967,2222l5915,2222e" filled="false" stroked="true" strokeweight=".48001pt" strokecolor="#000000">
                <v:path arrowok="t"/>
              </v:shape>
            </v:group>
            <v:group style="position:absolute;left:5924;top:2222;width:949;height:2" coordorigin="5924,2222" coordsize="949,2">
              <v:shape style="position:absolute;left:5924;top:2222;width:949;height:2" coordorigin="5924,2222" coordsize="949,0" path="m5924,2222l6873,2222e" filled="false" stroked="true" strokeweight=".48001pt" strokecolor="#000000">
                <v:path arrowok="t"/>
              </v:shape>
            </v:group>
            <v:group style="position:absolute;left:6882;top:2222;width:946;height:2" coordorigin="6882,2222" coordsize="946,2">
              <v:shape style="position:absolute;left:6882;top:2222;width:946;height:2" coordorigin="6882,2222" coordsize="946,0" path="m6882,2222l7828,2222e" filled="false" stroked="true" strokeweight=".48001pt" strokecolor="#000000">
                <v:path arrowok="t"/>
              </v:shape>
            </v:group>
            <v:group style="position:absolute;left:7837;top:2222;width:949;height:2" coordorigin="7837,2222" coordsize="949,2">
              <v:shape style="position:absolute;left:7837;top:2222;width:949;height:2" coordorigin="7837,2222" coordsize="949,0" path="m7837,2222l8786,2222e" filled="false" stroked="true" strokeweight=".48001pt" strokecolor="#000000">
                <v:path arrowok="t"/>
              </v:shape>
            </v:group>
            <v:group style="position:absolute;left:8796;top:2222;width:948;height:2" coordorigin="8796,2222" coordsize="948,2">
              <v:shape style="position:absolute;left:8796;top:2222;width:948;height:2" coordorigin="8796,2222" coordsize="948,0" path="m8796,2222l9744,2222e" filled="false" stroked="true" strokeweight=".48001pt" strokecolor="#000000">
                <v:path arrowok="t"/>
              </v:shape>
            </v:group>
            <v:group style="position:absolute;left:9753;top:2222;width:948;height:2" coordorigin="9753,2222" coordsize="948,2">
              <v:shape style="position:absolute;left:9753;top:2222;width:948;height:2" coordorigin="9753,2222" coordsize="948,0" path="m9753,2222l10701,2222e" filled="false" stroked="true" strokeweight=".48001pt" strokecolor="#000000">
                <v:path arrowok="t"/>
              </v:shape>
            </v:group>
            <v:group style="position:absolute;left:2091;top:389;width:2;height:2544" coordorigin="2091,389" coordsize="2,2544">
              <v:shape style="position:absolute;left:2091;top:389;width:2;height:2544" coordorigin="2091,389" coordsize="0,2544" path="m2091,389l2091,2933e" filled="false" stroked="true" strokeweight=".48pt" strokecolor="#000000">
                <v:path arrowok="t"/>
              </v:shape>
            </v:group>
            <v:group style="position:absolute;left:1151;top:2943;width:2;height:704" coordorigin="1151,2943" coordsize="2,704">
              <v:shape style="position:absolute;left:1151;top:2943;width:2;height:704" coordorigin="1151,2943" coordsize="0,704" path="m1151,2943l1151,3646e" filled="false" stroked="true" strokeweight="1.08pt" strokecolor="#d2d2d2">
                <v:path arrowok="t"/>
              </v:shape>
            </v:group>
            <v:group style="position:absolute;left:2075;top:2943;width:2;height:704" coordorigin="2075,2943" coordsize="2,704">
              <v:shape style="position:absolute;left:2075;top:2943;width:2;height:704" coordorigin="2075,2943" coordsize="0,704" path="m2075,2943l2075,3646e" filled="false" stroked="true" strokeweight="1.08pt" strokecolor="#d2d2d2">
                <v:path arrowok="t"/>
              </v:shape>
            </v:group>
            <v:group style="position:absolute;left:1162;top:2943;width:903;height:353" coordorigin="1162,2943" coordsize="903,353">
              <v:shape style="position:absolute;left:1162;top:2943;width:903;height:353" coordorigin="1162,2943" coordsize="903,353" path="m1162,3296l2064,3296,2064,2943,1162,2943,1162,3296xe" filled="true" fillcolor="#d2d2d2" stroked="false">
                <v:path arrowok="t"/>
                <v:fill type="solid"/>
              </v:shape>
            </v:group>
            <v:group style="position:absolute;left:1162;top:3296;width:903;height:351" coordorigin="1162,3296" coordsize="903,351">
              <v:shape style="position:absolute;left:1162;top:3296;width:903;height:351" coordorigin="1162,3296" coordsize="903,351" path="m1162,3646l2064,3646,2064,3296,1162,3296,1162,3646xe" filled="true" fillcolor="#d2d2d2" stroked="false">
                <v:path arrowok="t"/>
                <v:fill type="solid"/>
              </v:shape>
            </v:group>
            <v:group style="position:absolute;left:2096;top:2943;width:948;height:156" coordorigin="2096,2943" coordsize="948,156">
              <v:shape style="position:absolute;left:2096;top:2943;width:948;height:156" coordorigin="2096,2943" coordsize="948,156" path="m2096,3099l3044,3099,3044,2943,2096,2943,2096,3099xe" filled="true" fillcolor="#ffffff" stroked="false">
                <v:path arrowok="t"/>
                <v:fill type="solid"/>
              </v:shape>
            </v:group>
            <v:group style="position:absolute;left:2108;top:3099;width:2;height:392" coordorigin="2108,3099" coordsize="2,392">
              <v:shape style="position:absolute;left:2108;top:3099;width:2;height:392" coordorigin="2108,3099" coordsize="0,392" path="m2108,3099l2108,3490e" filled="false" stroked="true" strokeweight="1.2pt" strokecolor="#ffffff">
                <v:path arrowok="t"/>
              </v:shape>
            </v:group>
            <v:group style="position:absolute;left:2120;top:3099;width:900;height:392" coordorigin="2120,3099" coordsize="900,392">
              <v:shape style="position:absolute;left:2120;top:3099;width:900;height:392" coordorigin="2120,3099" coordsize="900,392" path="m2120,3490l3020,3490,3020,3099,2120,3099,2120,3490xe" filled="true" fillcolor="#ffffff" stroked="false">
                <v:path arrowok="t"/>
                <v:fill type="solid"/>
              </v:shape>
            </v:group>
            <v:group style="position:absolute;left:1138;top:2938;width:949;height:2" coordorigin="1138,2938" coordsize="949,2">
              <v:shape style="position:absolute;left:1138;top:2938;width:949;height:2" coordorigin="1138,2938" coordsize="949,0" path="m1138,2938l2086,2938e" filled="false" stroked="true" strokeweight=".504pt" strokecolor="#000000">
                <v:path arrowok="t"/>
              </v:shape>
            </v:group>
            <v:group style="position:absolute;left:2096;top:2938;width:948;height:2" coordorigin="2096,2938" coordsize="948,2">
              <v:shape style="position:absolute;left:2096;top:2938;width:948;height:2" coordorigin="2096,2938" coordsize="948,0" path="m2096,2938l3044,2938e" filled="false" stroked="true" strokeweight=".504pt" strokecolor="#000000">
                <v:path arrowok="t"/>
              </v:shape>
            </v:group>
            <v:group style="position:absolute;left:3053;top:2938;width:947;height:2" coordorigin="3053,2938" coordsize="947,2">
              <v:shape style="position:absolute;left:3053;top:2938;width:947;height:2" coordorigin="3053,2938" coordsize="947,0" path="m3053,2938l3999,2938e" filled="false" stroked="true" strokeweight=".504pt" strokecolor="#000000">
                <v:path arrowok="t"/>
              </v:shape>
            </v:group>
            <v:group style="position:absolute;left:4009;top:2938;width:948;height:2" coordorigin="4009,2938" coordsize="948,2">
              <v:shape style="position:absolute;left:4009;top:2938;width:948;height:2" coordorigin="4009,2938" coordsize="948,0" path="m4009,2938l4957,2938e" filled="false" stroked="true" strokeweight=".504pt" strokecolor="#000000">
                <v:path arrowok="t"/>
              </v:shape>
            </v:group>
            <v:group style="position:absolute;left:4967;top:2938;width:948;height:2" coordorigin="4967,2938" coordsize="948,2">
              <v:shape style="position:absolute;left:4967;top:2938;width:948;height:2" coordorigin="4967,2938" coordsize="948,0" path="m4967,2938l5915,2938e" filled="false" stroked="true" strokeweight=".504pt" strokecolor="#000000">
                <v:path arrowok="t"/>
              </v:shape>
            </v:group>
            <v:group style="position:absolute;left:5924;top:2938;width:949;height:2" coordorigin="5924,2938" coordsize="949,2">
              <v:shape style="position:absolute;left:5924;top:2938;width:949;height:2" coordorigin="5924,2938" coordsize="949,0" path="m5924,2938l6873,2938e" filled="false" stroked="true" strokeweight=".504pt" strokecolor="#000000">
                <v:path arrowok="t"/>
              </v:shape>
            </v:group>
            <v:group style="position:absolute;left:6882;top:2938;width:946;height:2" coordorigin="6882,2938" coordsize="946,2">
              <v:shape style="position:absolute;left:6882;top:2938;width:946;height:2" coordorigin="6882,2938" coordsize="946,0" path="m6882,2938l7828,2938e" filled="false" stroked="true" strokeweight=".504pt" strokecolor="#000000">
                <v:path arrowok="t"/>
              </v:shape>
            </v:group>
            <v:group style="position:absolute;left:7837;top:2938;width:949;height:2" coordorigin="7837,2938" coordsize="949,2">
              <v:shape style="position:absolute;left:7837;top:2938;width:949;height:2" coordorigin="7837,2938" coordsize="949,0" path="m7837,2938l8786,2938e" filled="false" stroked="true" strokeweight=".504pt" strokecolor="#000000">
                <v:path arrowok="t"/>
              </v:shape>
            </v:group>
            <v:group style="position:absolute;left:8796;top:2938;width:948;height:2" coordorigin="8796,2938" coordsize="948,2">
              <v:shape style="position:absolute;left:8796;top:2938;width:948;height:2" coordorigin="8796,2938" coordsize="948,0" path="m8796,2938l9744,2938e" filled="false" stroked="true" strokeweight=".504pt" strokecolor="#000000">
                <v:path arrowok="t"/>
              </v:shape>
            </v:group>
            <v:group style="position:absolute;left:9753;top:2938;width:948;height:2" coordorigin="9753,2938" coordsize="948,2">
              <v:shape style="position:absolute;left:9753;top:2938;width:948;height:2" coordorigin="9753,2938" coordsize="948,0" path="m9753,2938l10701,2938e" filled="false" stroked="true" strokeweight=".504pt" strokecolor="#000000">
                <v:path arrowok="t"/>
              </v:shape>
            </v:group>
            <v:group style="position:absolute;left:1151;top:3656;width:2;height:706" coordorigin="1151,3656" coordsize="2,706">
              <v:shape style="position:absolute;left:1151;top:3656;width:2;height:706" coordorigin="1151,3656" coordsize="0,706" path="m1151,3656l1151,4361e" filled="false" stroked="true" strokeweight="1.08pt" strokecolor="#d2d2d2">
                <v:path arrowok="t"/>
              </v:shape>
            </v:group>
            <v:group style="position:absolute;left:2075;top:3656;width:2;height:706" coordorigin="2075,3656" coordsize="2,706">
              <v:shape style="position:absolute;left:2075;top:3656;width:2;height:706" coordorigin="2075,3656" coordsize="0,706" path="m2075,3656l2075,4361e" filled="false" stroked="true" strokeweight="1.08pt" strokecolor="#d2d2d2">
                <v:path arrowok="t"/>
              </v:shape>
            </v:group>
            <v:group style="position:absolute;left:1162;top:3656;width:903;height:353" coordorigin="1162,3656" coordsize="903,353">
              <v:shape style="position:absolute;left:1162;top:3656;width:903;height:353" coordorigin="1162,3656" coordsize="903,353" path="m1162,4008l2064,4008,2064,3656,1162,3656,1162,4008xe" filled="true" fillcolor="#d2d2d2" stroked="false">
                <v:path arrowok="t"/>
                <v:fill type="solid"/>
              </v:shape>
            </v:group>
            <v:group style="position:absolute;left:1162;top:4008;width:903;height:353" coordorigin="1162,4008" coordsize="903,353">
              <v:shape style="position:absolute;left:1162;top:4008;width:903;height:353" coordorigin="1162,4008" coordsize="903,353" path="m1162,4361l2064,4361,2064,4008,1162,4008,1162,4361xe" filled="true" fillcolor="#d2d2d2" stroked="false">
                <v:path arrowok="t"/>
                <v:fill type="solid"/>
              </v:shape>
            </v:group>
            <v:group style="position:absolute;left:2096;top:3656;width:948;height:156" coordorigin="2096,3656" coordsize="948,156">
              <v:shape style="position:absolute;left:2096;top:3656;width:948;height:156" coordorigin="2096,3656" coordsize="948,156" path="m2096,3812l3044,3812,3044,3656,2096,3656,2096,3812xe" filled="true" fillcolor="#ffffff" stroked="false">
                <v:path arrowok="t"/>
                <v:fill type="solid"/>
              </v:shape>
            </v:group>
            <v:group style="position:absolute;left:2108;top:3812;width:2;height:394" coordorigin="2108,3812" coordsize="2,394">
              <v:shape style="position:absolute;left:2108;top:3812;width:2;height:394" coordorigin="2108,3812" coordsize="0,394" path="m2108,3812l2108,4205e" filled="false" stroked="true" strokeweight="1.2pt" strokecolor="#ffffff">
                <v:path arrowok="t"/>
              </v:shape>
            </v:group>
            <v:group style="position:absolute;left:2120;top:3812;width:900;height:394" coordorigin="2120,3812" coordsize="900,394">
              <v:shape style="position:absolute;left:2120;top:3812;width:900;height:394" coordorigin="2120,3812" coordsize="900,394" path="m2120,4205l3020,4205,3020,3812,2120,3812,2120,4205xe" filled="true" fillcolor="#ffffff" stroked="false">
                <v:path arrowok="t"/>
                <v:fill type="solid"/>
              </v:shape>
            </v:group>
            <v:group style="position:absolute;left:1138;top:3651;width:949;height:2" coordorigin="1138,3651" coordsize="949,2">
              <v:shape style="position:absolute;left:1138;top:3651;width:949;height:2" coordorigin="1138,3651" coordsize="949,0" path="m1138,3651l2086,3651e" filled="false" stroked="true" strokeweight=".48001pt" strokecolor="#000000">
                <v:path arrowok="t"/>
              </v:shape>
            </v:group>
            <v:group style="position:absolute;left:2096;top:3651;width:948;height:2" coordorigin="2096,3651" coordsize="948,2">
              <v:shape style="position:absolute;left:2096;top:3651;width:948;height:2" coordorigin="2096,3651" coordsize="948,0" path="m2096,3651l3044,3651e" filled="false" stroked="true" strokeweight=".48001pt" strokecolor="#000000">
                <v:path arrowok="t"/>
              </v:shape>
            </v:group>
            <v:group style="position:absolute;left:3053;top:3651;width:947;height:2" coordorigin="3053,3651" coordsize="947,2">
              <v:shape style="position:absolute;left:3053;top:3651;width:947;height:2" coordorigin="3053,3651" coordsize="947,0" path="m3053,3651l3999,3651e" filled="false" stroked="true" strokeweight=".48001pt" strokecolor="#000000">
                <v:path arrowok="t"/>
              </v:shape>
            </v:group>
            <v:group style="position:absolute;left:4009;top:3651;width:948;height:2" coordorigin="4009,3651" coordsize="948,2">
              <v:shape style="position:absolute;left:4009;top:3651;width:948;height:2" coordorigin="4009,3651" coordsize="948,0" path="m4009,3651l4957,3651e" filled="false" stroked="true" strokeweight=".48001pt" strokecolor="#000000">
                <v:path arrowok="t"/>
              </v:shape>
            </v:group>
            <v:group style="position:absolute;left:4967;top:3651;width:948;height:2" coordorigin="4967,3651" coordsize="948,2">
              <v:shape style="position:absolute;left:4967;top:3651;width:948;height:2" coordorigin="4967,3651" coordsize="948,0" path="m4967,3651l5915,3651e" filled="false" stroked="true" strokeweight=".48001pt" strokecolor="#000000">
                <v:path arrowok="t"/>
              </v:shape>
            </v:group>
            <v:group style="position:absolute;left:5924;top:3651;width:949;height:2" coordorigin="5924,3651" coordsize="949,2">
              <v:shape style="position:absolute;left:5924;top:3651;width:949;height:2" coordorigin="5924,3651" coordsize="949,0" path="m5924,3651l6873,3651e" filled="false" stroked="true" strokeweight=".48001pt" strokecolor="#000000">
                <v:path arrowok="t"/>
              </v:shape>
            </v:group>
            <v:group style="position:absolute;left:6882;top:3651;width:946;height:2" coordorigin="6882,3651" coordsize="946,2">
              <v:shape style="position:absolute;left:6882;top:3651;width:946;height:2" coordorigin="6882,3651" coordsize="946,0" path="m6882,3651l7828,3651e" filled="false" stroked="true" strokeweight=".48001pt" strokecolor="#000000">
                <v:path arrowok="t"/>
              </v:shape>
            </v:group>
            <v:group style="position:absolute;left:7837;top:3651;width:949;height:2" coordorigin="7837,3651" coordsize="949,2">
              <v:shape style="position:absolute;left:7837;top:3651;width:949;height:2" coordorigin="7837,3651" coordsize="949,0" path="m7837,3651l8786,3651e" filled="false" stroked="true" strokeweight=".48001pt" strokecolor="#000000">
                <v:path arrowok="t"/>
              </v:shape>
            </v:group>
            <v:group style="position:absolute;left:8796;top:3651;width:948;height:2" coordorigin="8796,3651" coordsize="948,2">
              <v:shape style="position:absolute;left:8796;top:3651;width:948;height:2" coordorigin="8796,3651" coordsize="948,0" path="m8796,3651l9744,3651e" filled="false" stroked="true" strokeweight=".48001pt" strokecolor="#000000">
                <v:path arrowok="t"/>
              </v:shape>
            </v:group>
            <v:group style="position:absolute;left:9753;top:3651;width:948;height:2" coordorigin="9753,3651" coordsize="948,2">
              <v:shape style="position:absolute;left:9753;top:3651;width:948;height:2" coordorigin="9753,3651" coordsize="948,0" path="m9753,3651l10701,3651e" filled="false" stroked="true" strokeweight=".48001pt" strokecolor="#000000">
                <v:path arrowok="t"/>
              </v:shape>
            </v:group>
            <v:group style="position:absolute;left:1151;top:4371;width:2;height:1016" coordorigin="1151,4371" coordsize="2,1016">
              <v:shape style="position:absolute;left:1151;top:4371;width:2;height:1016" coordorigin="1151,4371" coordsize="0,1016" path="m1151,4371l1151,5386e" filled="false" stroked="true" strokeweight="1.08pt" strokecolor="#d2d2d2">
                <v:path arrowok="t"/>
              </v:shape>
            </v:group>
            <v:group style="position:absolute;left:2075;top:4371;width:2;height:1016" coordorigin="2075,4371" coordsize="2,1016">
              <v:shape style="position:absolute;left:2075;top:4371;width:2;height:1016" coordorigin="2075,4371" coordsize="0,1016" path="m2075,4371l2075,5386e" filled="false" stroked="true" strokeweight="1.08pt" strokecolor="#d2d2d2">
                <v:path arrowok="t"/>
              </v:shape>
            </v:group>
            <v:group style="position:absolute;left:1162;top:4371;width:903;height:353" coordorigin="1162,4371" coordsize="903,353">
              <v:shape style="position:absolute;left:1162;top:4371;width:903;height:353" coordorigin="1162,4371" coordsize="903,353" path="m1162,4724l2064,4724,2064,4371,1162,4371,1162,4724xe" filled="true" fillcolor="#d2d2d2" stroked="false">
                <v:path arrowok="t"/>
                <v:fill type="solid"/>
              </v:shape>
            </v:group>
            <v:group style="position:absolute;left:1162;top:4724;width:903;height:312" coordorigin="1162,4724" coordsize="903,312">
              <v:shape style="position:absolute;left:1162;top:4724;width:903;height:312" coordorigin="1162,4724" coordsize="903,312" path="m1162,5036l2064,5036,2064,4724,1162,4724,1162,5036xe" filled="true" fillcolor="#d2d2d2" stroked="false">
                <v:path arrowok="t"/>
                <v:fill type="solid"/>
              </v:shape>
            </v:group>
            <v:group style="position:absolute;left:1162;top:5036;width:903;height:351" coordorigin="1162,5036" coordsize="903,351">
              <v:shape style="position:absolute;left:1162;top:5036;width:903;height:351" coordorigin="1162,5036" coordsize="903,351" path="m1162,5386l2064,5386,2064,5036,1162,5036,1162,5386xe" filled="true" fillcolor="#d2d2d2" stroked="false">
                <v:path arrowok="t"/>
                <v:fill type="solid"/>
              </v:shape>
            </v:group>
            <v:group style="position:absolute;left:2096;top:4371;width:948;height:312" coordorigin="2096,4371" coordsize="948,312">
              <v:shape style="position:absolute;left:2096;top:4371;width:948;height:312" coordorigin="2096,4371" coordsize="948,312" path="m2096,4683l3044,4683,3044,4371,2096,4371,2096,4683xe" filled="true" fillcolor="#ffffff" stroked="false">
                <v:path arrowok="t"/>
                <v:fill type="solid"/>
              </v:shape>
            </v:group>
            <v:group style="position:absolute;left:1138;top:4366;width:949;height:2" coordorigin="1138,4366" coordsize="949,2">
              <v:shape style="position:absolute;left:1138;top:4366;width:949;height:2" coordorigin="1138,4366" coordsize="949,0" path="m1138,4366l2086,4366e" filled="false" stroked="true" strokeweight=".48001pt" strokecolor="#000000">
                <v:path arrowok="t"/>
              </v:shape>
            </v:group>
            <v:group style="position:absolute;left:2096;top:4366;width:948;height:2" coordorigin="2096,4366" coordsize="948,2">
              <v:shape style="position:absolute;left:2096;top:4366;width:948;height:2" coordorigin="2096,4366" coordsize="948,0" path="m2096,4366l3044,4366e" filled="false" stroked="true" strokeweight=".48001pt" strokecolor="#000000">
                <v:path arrowok="t"/>
              </v:shape>
            </v:group>
            <v:group style="position:absolute;left:3053;top:4366;width:947;height:2" coordorigin="3053,4366" coordsize="947,2">
              <v:shape style="position:absolute;left:3053;top:4366;width:947;height:2" coordorigin="3053,4366" coordsize="947,0" path="m3053,4366l3999,4366e" filled="false" stroked="true" strokeweight=".48001pt" strokecolor="#000000">
                <v:path arrowok="t"/>
              </v:shape>
            </v:group>
            <v:group style="position:absolute;left:4009;top:4366;width:948;height:2" coordorigin="4009,4366" coordsize="948,2">
              <v:shape style="position:absolute;left:4009;top:4366;width:948;height:2" coordorigin="4009,4366" coordsize="948,0" path="m4009,4366l4957,4366e" filled="false" stroked="true" strokeweight=".48001pt" strokecolor="#000000">
                <v:path arrowok="t"/>
              </v:shape>
            </v:group>
            <v:group style="position:absolute;left:4967;top:4366;width:948;height:2" coordorigin="4967,4366" coordsize="948,2">
              <v:shape style="position:absolute;left:4967;top:4366;width:948;height:2" coordorigin="4967,4366" coordsize="948,0" path="m4967,4366l5915,4366e" filled="false" stroked="true" strokeweight=".48001pt" strokecolor="#000000">
                <v:path arrowok="t"/>
              </v:shape>
            </v:group>
            <v:group style="position:absolute;left:5924;top:4366;width:949;height:2" coordorigin="5924,4366" coordsize="949,2">
              <v:shape style="position:absolute;left:5924;top:4366;width:949;height:2" coordorigin="5924,4366" coordsize="949,0" path="m5924,4366l6873,4366e" filled="false" stroked="true" strokeweight=".48001pt" strokecolor="#000000">
                <v:path arrowok="t"/>
              </v:shape>
            </v:group>
            <v:group style="position:absolute;left:6882;top:4366;width:946;height:2" coordorigin="6882,4366" coordsize="946,2">
              <v:shape style="position:absolute;left:6882;top:4366;width:946;height:2" coordorigin="6882,4366" coordsize="946,0" path="m6882,4366l7828,4366e" filled="false" stroked="true" strokeweight=".48001pt" strokecolor="#000000">
                <v:path arrowok="t"/>
              </v:shape>
            </v:group>
            <v:group style="position:absolute;left:7837;top:4366;width:949;height:2" coordorigin="7837,4366" coordsize="949,2">
              <v:shape style="position:absolute;left:7837;top:4366;width:949;height:2" coordorigin="7837,4366" coordsize="949,0" path="m7837,4366l8786,4366e" filled="false" stroked="true" strokeweight=".48001pt" strokecolor="#000000">
                <v:path arrowok="t"/>
              </v:shape>
            </v:group>
            <v:group style="position:absolute;left:8796;top:4366;width:948;height:2" coordorigin="8796,4366" coordsize="948,2">
              <v:shape style="position:absolute;left:8796;top:4366;width:948;height:2" coordorigin="8796,4366" coordsize="948,0" path="m8796,4366l9744,4366e" filled="false" stroked="true" strokeweight=".48001pt" strokecolor="#000000">
                <v:path arrowok="t"/>
              </v:shape>
            </v:group>
            <v:group style="position:absolute;left:9753;top:4366;width:948;height:2" coordorigin="9753,4366" coordsize="948,2">
              <v:shape style="position:absolute;left:9753;top:4366;width:948;height:2" coordorigin="9753,4366" coordsize="948,0" path="m9753,4366l10701,4366e" filled="false" stroked="true" strokeweight=".48001pt" strokecolor="#000000">
                <v:path arrowok="t"/>
              </v:shape>
            </v:group>
            <v:group style="position:absolute;left:1151;top:5396;width:2;height:394" coordorigin="1151,5396" coordsize="2,394">
              <v:shape style="position:absolute;left:1151;top:5396;width:2;height:394" coordorigin="1151,5396" coordsize="0,394" path="m1151,5396l1151,5789e" filled="false" stroked="true" strokeweight="1.08pt" strokecolor="#d2d2d2">
                <v:path arrowok="t"/>
              </v:shape>
            </v:group>
            <v:group style="position:absolute;left:2075;top:5396;width:2;height:394" coordorigin="2075,5396" coordsize="2,394">
              <v:shape style="position:absolute;left:2075;top:5396;width:2;height:394" coordorigin="2075,5396" coordsize="0,394" path="m2075,5396l2075,5789e" filled="false" stroked="true" strokeweight="1.08pt" strokecolor="#d2d2d2">
                <v:path arrowok="t"/>
              </v:shape>
            </v:group>
            <v:group style="position:absolute;left:1162;top:5396;width:903;height:394" coordorigin="1162,5396" coordsize="903,394">
              <v:shape style="position:absolute;left:1162;top:5396;width:903;height:394" coordorigin="1162,5396" coordsize="903,394" path="m1162,5789l2064,5789,2064,5396,1162,5396,1162,5789xe" filled="true" fillcolor="#d2d2d2" stroked="false">
                <v:path arrowok="t"/>
                <v:fill type="solid"/>
              </v:shape>
            </v:group>
            <v:group style="position:absolute;left:1138;top:5391;width:949;height:2" coordorigin="1138,5391" coordsize="949,2">
              <v:shape style="position:absolute;left:1138;top:5391;width:949;height:2" coordorigin="1138,5391" coordsize="949,0" path="m1138,5391l2086,5391e" filled="false" stroked="true" strokeweight=".48001pt" strokecolor="#000000">
                <v:path arrowok="t"/>
              </v:shape>
            </v:group>
            <v:group style="position:absolute;left:2096;top:5391;width:948;height:2" coordorigin="2096,5391" coordsize="948,2">
              <v:shape style="position:absolute;left:2096;top:5391;width:948;height:2" coordorigin="2096,5391" coordsize="948,0" path="m2096,5391l3044,5391e" filled="false" stroked="true" strokeweight=".48001pt" strokecolor="#000000">
                <v:path arrowok="t"/>
              </v:shape>
            </v:group>
            <v:group style="position:absolute;left:3053;top:5391;width:947;height:2" coordorigin="3053,5391" coordsize="947,2">
              <v:shape style="position:absolute;left:3053;top:5391;width:947;height:2" coordorigin="3053,5391" coordsize="947,0" path="m3053,5391l3999,5391e" filled="false" stroked="true" strokeweight=".48001pt" strokecolor="#000000">
                <v:path arrowok="t"/>
              </v:shape>
            </v:group>
            <v:group style="position:absolute;left:4009;top:5391;width:948;height:2" coordorigin="4009,5391" coordsize="948,2">
              <v:shape style="position:absolute;left:4009;top:5391;width:948;height:2" coordorigin="4009,5391" coordsize="948,0" path="m4009,5391l4957,5391e" filled="false" stroked="true" strokeweight=".48001pt" strokecolor="#000000">
                <v:path arrowok="t"/>
              </v:shape>
            </v:group>
            <v:group style="position:absolute;left:4967;top:5391;width:948;height:2" coordorigin="4967,5391" coordsize="948,2">
              <v:shape style="position:absolute;left:4967;top:5391;width:948;height:2" coordorigin="4967,5391" coordsize="948,0" path="m4967,5391l5915,5391e" filled="false" stroked="true" strokeweight=".48001pt" strokecolor="#000000">
                <v:path arrowok="t"/>
              </v:shape>
            </v:group>
            <v:group style="position:absolute;left:5924;top:5391;width:949;height:2" coordorigin="5924,5391" coordsize="949,2">
              <v:shape style="position:absolute;left:5924;top:5391;width:949;height:2" coordorigin="5924,5391" coordsize="949,0" path="m5924,5391l6873,5391e" filled="false" stroked="true" strokeweight=".48001pt" strokecolor="#000000">
                <v:path arrowok="t"/>
              </v:shape>
            </v:group>
            <v:group style="position:absolute;left:6882;top:5391;width:946;height:2" coordorigin="6882,5391" coordsize="946,2">
              <v:shape style="position:absolute;left:6882;top:5391;width:946;height:2" coordorigin="6882,5391" coordsize="946,0" path="m6882,5391l7828,5391e" filled="false" stroked="true" strokeweight=".48001pt" strokecolor="#000000">
                <v:path arrowok="t"/>
              </v:shape>
            </v:group>
            <v:group style="position:absolute;left:7837;top:5391;width:949;height:2" coordorigin="7837,5391" coordsize="949,2">
              <v:shape style="position:absolute;left:7837;top:5391;width:949;height:2" coordorigin="7837,5391" coordsize="949,0" path="m7837,5391l8786,5391e" filled="false" stroked="true" strokeweight=".48001pt" strokecolor="#000000">
                <v:path arrowok="t"/>
              </v:shape>
            </v:group>
            <v:group style="position:absolute;left:8796;top:5391;width:948;height:2" coordorigin="8796,5391" coordsize="948,2">
              <v:shape style="position:absolute;left:8796;top:5391;width:948;height:2" coordorigin="8796,5391" coordsize="948,0" path="m8796,5391l9744,5391e" filled="false" stroked="true" strokeweight=".48001pt" strokecolor="#000000">
                <v:path arrowok="t"/>
              </v:shape>
            </v:group>
            <v:group style="position:absolute;left:9753;top:5391;width:948;height:2" coordorigin="9753,5391" coordsize="948,2">
              <v:shape style="position:absolute;left:9753;top:5391;width:948;height:2" coordorigin="9753,5391" coordsize="948,0" path="m9753,5391l10701,5391e" filled="false" stroked="true" strokeweight=".48001pt" strokecolor="#000000">
                <v:path arrowok="t"/>
              </v:shape>
            </v:group>
            <v:group style="position:absolute;left:1151;top:5799;width:2;height:704" coordorigin="1151,5799" coordsize="2,704">
              <v:shape style="position:absolute;left:1151;top:5799;width:2;height:704" coordorigin="1151,5799" coordsize="0,704" path="m1151,5799l1151,6502e" filled="false" stroked="true" strokeweight="1.08pt" strokecolor="#d2d2d2">
                <v:path arrowok="t"/>
              </v:shape>
            </v:group>
            <v:group style="position:absolute;left:2075;top:5799;width:2;height:704" coordorigin="2075,5799" coordsize="2,704">
              <v:shape style="position:absolute;left:2075;top:5799;width:2;height:704" coordorigin="2075,5799" coordsize="0,704" path="m2075,5799l2075,6502e" filled="false" stroked="true" strokeweight="1.08pt" strokecolor="#d2d2d2">
                <v:path arrowok="t"/>
              </v:shape>
            </v:group>
            <v:group style="position:absolute;left:1162;top:5799;width:903;height:353" coordorigin="1162,5799" coordsize="903,353">
              <v:shape style="position:absolute;left:1162;top:5799;width:903;height:353" coordorigin="1162,5799" coordsize="903,353" path="m1162,6152l2064,6152,2064,5799,1162,5799,1162,6152xe" filled="true" fillcolor="#d2d2d2" stroked="false">
                <v:path arrowok="t"/>
                <v:fill type="solid"/>
              </v:shape>
            </v:group>
            <v:group style="position:absolute;left:1162;top:6152;width:903;height:351" coordorigin="1162,6152" coordsize="903,351">
              <v:shape style="position:absolute;left:1162;top:6152;width:903;height:351" coordorigin="1162,6152" coordsize="903,351" path="m1162,6502l2064,6502,2064,6152,1162,6152,1162,6502xe" filled="true" fillcolor="#d2d2d2" stroked="false">
                <v:path arrowok="t"/>
                <v:fill type="solid"/>
              </v:shape>
            </v:group>
            <v:group style="position:absolute;left:1138;top:5794;width:949;height:2" coordorigin="1138,5794" coordsize="949,2">
              <v:shape style="position:absolute;left:1138;top:5794;width:949;height:2" coordorigin="1138,5794" coordsize="949,0" path="m1138,5794l2086,5794e" filled="false" stroked="true" strokeweight=".48001pt" strokecolor="#000000">
                <v:path arrowok="t"/>
              </v:shape>
            </v:group>
            <v:group style="position:absolute;left:2096;top:5794;width:948;height:2" coordorigin="2096,5794" coordsize="948,2">
              <v:shape style="position:absolute;left:2096;top:5794;width:948;height:2" coordorigin="2096,5794" coordsize="948,0" path="m2096,5794l3044,5794e" filled="false" stroked="true" strokeweight=".48001pt" strokecolor="#000000">
                <v:path arrowok="t"/>
              </v:shape>
            </v:group>
            <v:group style="position:absolute;left:3053;top:5794;width:947;height:2" coordorigin="3053,5794" coordsize="947,2">
              <v:shape style="position:absolute;left:3053;top:5794;width:947;height:2" coordorigin="3053,5794" coordsize="947,0" path="m3053,5794l3999,5794e" filled="false" stroked="true" strokeweight=".48001pt" strokecolor="#000000">
                <v:path arrowok="t"/>
              </v:shape>
            </v:group>
            <v:group style="position:absolute;left:4009;top:5794;width:948;height:2" coordorigin="4009,5794" coordsize="948,2">
              <v:shape style="position:absolute;left:4009;top:5794;width:948;height:2" coordorigin="4009,5794" coordsize="948,0" path="m4009,5794l4957,5794e" filled="false" stroked="true" strokeweight=".48001pt" strokecolor="#000000">
                <v:path arrowok="t"/>
              </v:shape>
            </v:group>
            <v:group style="position:absolute;left:4967;top:5794;width:948;height:2" coordorigin="4967,5794" coordsize="948,2">
              <v:shape style="position:absolute;left:4967;top:5794;width:948;height:2" coordorigin="4967,5794" coordsize="948,0" path="m4967,5794l5915,5794e" filled="false" stroked="true" strokeweight=".48001pt" strokecolor="#000000">
                <v:path arrowok="t"/>
              </v:shape>
            </v:group>
            <v:group style="position:absolute;left:5924;top:5794;width:949;height:2" coordorigin="5924,5794" coordsize="949,2">
              <v:shape style="position:absolute;left:5924;top:5794;width:949;height:2" coordorigin="5924,5794" coordsize="949,0" path="m5924,5794l6873,5794e" filled="false" stroked="true" strokeweight=".48001pt" strokecolor="#000000">
                <v:path arrowok="t"/>
              </v:shape>
            </v:group>
            <v:group style="position:absolute;left:6882;top:5794;width:946;height:2" coordorigin="6882,5794" coordsize="946,2">
              <v:shape style="position:absolute;left:6882;top:5794;width:946;height:2" coordorigin="6882,5794" coordsize="946,0" path="m6882,5794l7828,5794e" filled="false" stroked="true" strokeweight=".48001pt" strokecolor="#000000">
                <v:path arrowok="t"/>
              </v:shape>
            </v:group>
            <v:group style="position:absolute;left:7837;top:5794;width:949;height:2" coordorigin="7837,5794" coordsize="949,2">
              <v:shape style="position:absolute;left:7837;top:5794;width:949;height:2" coordorigin="7837,5794" coordsize="949,0" path="m7837,5794l8786,5794e" filled="false" stroked="true" strokeweight=".48001pt" strokecolor="#000000">
                <v:path arrowok="t"/>
              </v:shape>
            </v:group>
            <v:group style="position:absolute;left:8796;top:5794;width:948;height:2" coordorigin="8796,5794" coordsize="948,2">
              <v:shape style="position:absolute;left:8796;top:5794;width:948;height:2" coordorigin="8796,5794" coordsize="948,0" path="m8796,5794l9744,5794e" filled="false" stroked="true" strokeweight=".48001pt" strokecolor="#000000">
                <v:path arrowok="t"/>
              </v:shape>
            </v:group>
            <v:group style="position:absolute;left:9753;top:5794;width:948;height:2" coordorigin="9753,5794" coordsize="948,2">
              <v:shape style="position:absolute;left:9753;top:5794;width:948;height:2" coordorigin="9753,5794" coordsize="948,0" path="m9753,5794l10701,5794e" filled="false" stroked="true" strokeweight=".48001pt" strokecolor="#000000">
                <v:path arrowok="t"/>
              </v:shape>
            </v:group>
            <v:group style="position:absolute;left:2091;top:2933;width:2;height:3570" coordorigin="2091,2933" coordsize="2,3570">
              <v:shape style="position:absolute;left:2091;top:2933;width:2;height:3570" coordorigin="2091,2933" coordsize="0,3570" path="m2091,2933l2091,6502e" filled="false" stroked="true" strokeweight=".48pt" strokecolor="#000000">
                <v:path arrowok="t"/>
              </v:shape>
            </v:group>
            <v:group style="position:absolute;left:1151;top:6512;width:2;height:707" coordorigin="1151,6512" coordsize="2,707">
              <v:shape style="position:absolute;left:1151;top:6512;width:2;height:707" coordorigin="1151,6512" coordsize="0,707" path="m1151,6512l1151,7218e" filled="false" stroked="true" strokeweight="1.08pt" strokecolor="#d2d2d2">
                <v:path arrowok="t"/>
              </v:shape>
            </v:group>
            <v:group style="position:absolute;left:2075;top:6512;width:2;height:707" coordorigin="2075,6512" coordsize="2,707">
              <v:shape style="position:absolute;left:2075;top:6512;width:2;height:707" coordorigin="2075,6512" coordsize="0,707" path="m2075,6512l2075,7218e" filled="false" stroked="true" strokeweight="1.08pt" strokecolor="#d2d2d2">
                <v:path arrowok="t"/>
              </v:shape>
            </v:group>
            <v:group style="position:absolute;left:1162;top:6512;width:903;height:354" coordorigin="1162,6512" coordsize="903,354">
              <v:shape style="position:absolute;left:1162;top:6512;width:903;height:354" coordorigin="1162,6512" coordsize="903,354" path="m1162,6865l2064,6865,2064,6512,1162,6512,1162,6865xe" filled="true" fillcolor="#d2d2d2" stroked="false">
                <v:path arrowok="t"/>
                <v:fill type="solid"/>
              </v:shape>
            </v:group>
            <v:group style="position:absolute;left:1162;top:6865;width:903;height:353" coordorigin="1162,6865" coordsize="903,353">
              <v:shape style="position:absolute;left:1162;top:6865;width:903;height:353" coordorigin="1162,6865" coordsize="903,353" path="m1162,7218l2064,7218,2064,6865,1162,6865,1162,7218xe" filled="true" fillcolor="#d2d2d2" stroked="false">
                <v:path arrowok="t"/>
                <v:fill type="solid"/>
              </v:shape>
            </v:group>
            <v:group style="position:absolute;left:2096;top:6512;width:948;height:157" coordorigin="2096,6512" coordsize="948,157">
              <v:shape style="position:absolute;left:2096;top:6512;width:948;height:157" coordorigin="2096,6512" coordsize="948,157" path="m2096,6668l3044,6668,3044,6512,2096,6512,2096,6668xe" filled="true" fillcolor="#ffffff" stroked="false">
                <v:path arrowok="t"/>
                <v:fill type="solid"/>
              </v:shape>
            </v:group>
            <v:group style="position:absolute;left:2108;top:6668;width:2;height:394" coordorigin="2108,6668" coordsize="2,394">
              <v:shape style="position:absolute;left:2108;top:6668;width:2;height:394" coordorigin="2108,6668" coordsize="0,394" path="m2108,6668l2108,7062e" filled="false" stroked="true" strokeweight="1.2pt" strokecolor="#ffffff">
                <v:path arrowok="t"/>
              </v:shape>
            </v:group>
            <v:group style="position:absolute;left:2120;top:6668;width:900;height:394" coordorigin="2120,6668" coordsize="900,394">
              <v:shape style="position:absolute;left:2120;top:6668;width:900;height:394" coordorigin="2120,6668" coordsize="900,394" path="m2120,7062l3020,7062,3020,6668,2120,6668,2120,7062xe" filled="true" fillcolor="#ffffff" stroked="false">
                <v:path arrowok="t"/>
                <v:fill type="solid"/>
              </v:shape>
            </v:group>
            <v:group style="position:absolute;left:1138;top:6507;width:949;height:2" coordorigin="1138,6507" coordsize="949,2">
              <v:shape style="position:absolute;left:1138;top:6507;width:949;height:2" coordorigin="1138,6507" coordsize="949,0" path="m1138,6507l2086,6507e" filled="false" stroked="true" strokeweight=".47998pt" strokecolor="#000000">
                <v:path arrowok="t"/>
              </v:shape>
            </v:group>
            <v:group style="position:absolute;left:2096;top:6507;width:948;height:2" coordorigin="2096,6507" coordsize="948,2">
              <v:shape style="position:absolute;left:2096;top:6507;width:948;height:2" coordorigin="2096,6507" coordsize="948,0" path="m2096,6507l3044,6507e" filled="false" stroked="true" strokeweight=".47998pt" strokecolor="#000000">
                <v:path arrowok="t"/>
              </v:shape>
            </v:group>
            <v:group style="position:absolute;left:3053;top:6507;width:947;height:2" coordorigin="3053,6507" coordsize="947,2">
              <v:shape style="position:absolute;left:3053;top:6507;width:947;height:2" coordorigin="3053,6507" coordsize="947,0" path="m3053,6507l3999,6507e" filled="false" stroked="true" strokeweight=".47998pt" strokecolor="#000000">
                <v:path arrowok="t"/>
              </v:shape>
            </v:group>
            <v:group style="position:absolute;left:4009;top:6507;width:948;height:2" coordorigin="4009,6507" coordsize="948,2">
              <v:shape style="position:absolute;left:4009;top:6507;width:948;height:2" coordorigin="4009,6507" coordsize="948,0" path="m4009,6507l4957,6507e" filled="false" stroked="true" strokeweight=".47998pt" strokecolor="#000000">
                <v:path arrowok="t"/>
              </v:shape>
            </v:group>
            <v:group style="position:absolute;left:4967;top:6507;width:948;height:2" coordorigin="4967,6507" coordsize="948,2">
              <v:shape style="position:absolute;left:4967;top:6507;width:948;height:2" coordorigin="4967,6507" coordsize="948,0" path="m4967,6507l5915,6507e" filled="false" stroked="true" strokeweight=".47998pt" strokecolor="#000000">
                <v:path arrowok="t"/>
              </v:shape>
            </v:group>
            <v:group style="position:absolute;left:5924;top:6507;width:949;height:2" coordorigin="5924,6507" coordsize="949,2">
              <v:shape style="position:absolute;left:5924;top:6507;width:949;height:2" coordorigin="5924,6507" coordsize="949,0" path="m5924,6507l6873,6507e" filled="false" stroked="true" strokeweight=".47998pt" strokecolor="#000000">
                <v:path arrowok="t"/>
              </v:shape>
            </v:group>
            <v:group style="position:absolute;left:6882;top:6507;width:946;height:2" coordorigin="6882,6507" coordsize="946,2">
              <v:shape style="position:absolute;left:6882;top:6507;width:946;height:2" coordorigin="6882,6507" coordsize="946,0" path="m6882,6507l7828,6507e" filled="false" stroked="true" strokeweight=".47998pt" strokecolor="#000000">
                <v:path arrowok="t"/>
              </v:shape>
            </v:group>
            <v:group style="position:absolute;left:7837;top:6507;width:949;height:2" coordorigin="7837,6507" coordsize="949,2">
              <v:shape style="position:absolute;left:7837;top:6507;width:949;height:2" coordorigin="7837,6507" coordsize="949,0" path="m7837,6507l8786,6507e" filled="false" stroked="true" strokeweight=".47998pt" strokecolor="#000000">
                <v:path arrowok="t"/>
              </v:shape>
            </v:group>
            <v:group style="position:absolute;left:8796;top:6507;width:948;height:2" coordorigin="8796,6507" coordsize="948,2">
              <v:shape style="position:absolute;left:8796;top:6507;width:948;height:2" coordorigin="8796,6507" coordsize="948,0" path="m8796,6507l9744,6507e" filled="false" stroked="true" strokeweight=".47998pt" strokecolor="#000000">
                <v:path arrowok="t"/>
              </v:shape>
            </v:group>
            <v:group style="position:absolute;left:9753;top:6507;width:948;height:2" coordorigin="9753,6507" coordsize="948,2">
              <v:shape style="position:absolute;left:9753;top:6507;width:948;height:2" coordorigin="9753,6507" coordsize="948,0" path="m9753,6507l10701,6507e" filled="false" stroked="true" strokeweight=".47998pt" strokecolor="#000000">
                <v:path arrowok="t"/>
              </v:shape>
            </v:group>
            <v:group style="position:absolute;left:1151;top:7227;width:2;height:392" coordorigin="1151,7227" coordsize="2,392">
              <v:shape style="position:absolute;left:1151;top:7227;width:2;height:392" coordorigin="1151,7227" coordsize="0,392" path="m1151,7227l1151,7618e" filled="false" stroked="true" strokeweight="1.08pt" strokecolor="#d2d2d2">
                <v:path arrowok="t"/>
              </v:shape>
            </v:group>
            <v:group style="position:absolute;left:2075;top:7227;width:2;height:392" coordorigin="2075,7227" coordsize="2,392">
              <v:shape style="position:absolute;left:2075;top:7227;width:2;height:392" coordorigin="2075,7227" coordsize="0,392" path="m2075,7227l2075,7618e" filled="false" stroked="true" strokeweight="1.08pt" strokecolor="#d2d2d2">
                <v:path arrowok="t"/>
              </v:shape>
            </v:group>
            <v:group style="position:absolute;left:1162;top:7227;width:903;height:392" coordorigin="1162,7227" coordsize="903,392">
              <v:shape style="position:absolute;left:1162;top:7227;width:903;height:392" coordorigin="1162,7227" coordsize="903,392" path="m1162,7618l2064,7618,2064,7227,1162,7227,1162,7618xe" filled="true" fillcolor="#d2d2d2" stroked="false">
                <v:path arrowok="t"/>
                <v:fill type="solid"/>
              </v:shape>
            </v:group>
            <v:group style="position:absolute;left:1138;top:7222;width:949;height:2" coordorigin="1138,7222" coordsize="949,2">
              <v:shape style="position:absolute;left:1138;top:7222;width:949;height:2" coordorigin="1138,7222" coordsize="949,0" path="m1138,7222l2086,7222e" filled="false" stroked="true" strokeweight=".48001pt" strokecolor="#000000">
                <v:path arrowok="t"/>
              </v:shape>
            </v:group>
            <v:group style="position:absolute;left:2096;top:7222;width:948;height:2" coordorigin="2096,7222" coordsize="948,2">
              <v:shape style="position:absolute;left:2096;top:7222;width:948;height:2" coordorigin="2096,7222" coordsize="948,0" path="m2096,7222l3044,7222e" filled="false" stroked="true" strokeweight=".48001pt" strokecolor="#000000">
                <v:path arrowok="t"/>
              </v:shape>
            </v:group>
            <v:group style="position:absolute;left:3053;top:7222;width:947;height:2" coordorigin="3053,7222" coordsize="947,2">
              <v:shape style="position:absolute;left:3053;top:7222;width:947;height:2" coordorigin="3053,7222" coordsize="947,0" path="m3053,7222l3999,7222e" filled="false" stroked="true" strokeweight=".48001pt" strokecolor="#000000">
                <v:path arrowok="t"/>
              </v:shape>
            </v:group>
            <v:group style="position:absolute;left:4009;top:7222;width:948;height:2" coordorigin="4009,7222" coordsize="948,2">
              <v:shape style="position:absolute;left:4009;top:7222;width:948;height:2" coordorigin="4009,7222" coordsize="948,0" path="m4009,7222l4957,7222e" filled="false" stroked="true" strokeweight=".48001pt" strokecolor="#000000">
                <v:path arrowok="t"/>
              </v:shape>
            </v:group>
            <v:group style="position:absolute;left:4967;top:7222;width:948;height:2" coordorigin="4967,7222" coordsize="948,2">
              <v:shape style="position:absolute;left:4967;top:7222;width:948;height:2" coordorigin="4967,7222" coordsize="948,0" path="m4967,7222l5915,7222e" filled="false" stroked="true" strokeweight=".48001pt" strokecolor="#000000">
                <v:path arrowok="t"/>
              </v:shape>
            </v:group>
            <v:group style="position:absolute;left:5924;top:7222;width:949;height:2" coordorigin="5924,7222" coordsize="949,2">
              <v:shape style="position:absolute;left:5924;top:7222;width:949;height:2" coordorigin="5924,7222" coordsize="949,0" path="m5924,7222l6873,7222e" filled="false" stroked="true" strokeweight=".48001pt" strokecolor="#000000">
                <v:path arrowok="t"/>
              </v:shape>
            </v:group>
            <v:group style="position:absolute;left:6882;top:7222;width:946;height:2" coordorigin="6882,7222" coordsize="946,2">
              <v:shape style="position:absolute;left:6882;top:7222;width:946;height:2" coordorigin="6882,7222" coordsize="946,0" path="m6882,7222l7828,7222e" filled="false" stroked="true" strokeweight=".48001pt" strokecolor="#000000">
                <v:path arrowok="t"/>
              </v:shape>
            </v:group>
            <v:group style="position:absolute;left:7837;top:7222;width:949;height:2" coordorigin="7837,7222" coordsize="949,2">
              <v:shape style="position:absolute;left:7837;top:7222;width:949;height:2" coordorigin="7837,7222" coordsize="949,0" path="m7837,7222l8786,7222e" filled="false" stroked="true" strokeweight=".48001pt" strokecolor="#000000">
                <v:path arrowok="t"/>
              </v:shape>
            </v:group>
            <v:group style="position:absolute;left:8796;top:7222;width:948;height:2" coordorigin="8796,7222" coordsize="948,2">
              <v:shape style="position:absolute;left:8796;top:7222;width:948;height:2" coordorigin="8796,7222" coordsize="948,0" path="m8796,7222l9744,7222e" filled="false" stroked="true" strokeweight=".48001pt" strokecolor="#000000">
                <v:path arrowok="t"/>
              </v:shape>
            </v:group>
            <v:group style="position:absolute;left:9753;top:7222;width:948;height:2" coordorigin="9753,7222" coordsize="948,2">
              <v:shape style="position:absolute;left:9753;top:7222;width:948;height:2" coordorigin="9753,7222" coordsize="948,0" path="m9753,7222l10701,7222e" filled="false" stroked="true" strokeweight=".48001pt" strokecolor="#000000">
                <v:path arrowok="t"/>
              </v:shape>
            </v:group>
            <v:group style="position:absolute;left:1151;top:7628;width:2;height:706" coordorigin="1151,7628" coordsize="2,706">
              <v:shape style="position:absolute;left:1151;top:7628;width:2;height:706" coordorigin="1151,7628" coordsize="0,706" path="m1151,7628l1151,8334e" filled="false" stroked="true" strokeweight="1.08pt" strokecolor="#d2d2d2">
                <v:path arrowok="t"/>
              </v:shape>
            </v:group>
            <v:group style="position:absolute;left:2075;top:7628;width:2;height:706" coordorigin="2075,7628" coordsize="2,706">
              <v:shape style="position:absolute;left:2075;top:7628;width:2;height:706" coordorigin="2075,7628" coordsize="0,706" path="m2075,7628l2075,8334e" filled="false" stroked="true" strokeweight="1.08pt" strokecolor="#d2d2d2">
                <v:path arrowok="t"/>
              </v:shape>
            </v:group>
            <v:group style="position:absolute;left:1162;top:7628;width:903;height:353" coordorigin="1162,7628" coordsize="903,353">
              <v:shape style="position:absolute;left:1162;top:7628;width:903;height:353" coordorigin="1162,7628" coordsize="903,353" path="m1162,7981l2064,7981,2064,7628,1162,7628,1162,7981xe" filled="true" fillcolor="#d2d2d2" stroked="false">
                <v:path arrowok="t"/>
                <v:fill type="solid"/>
              </v:shape>
            </v:group>
            <v:group style="position:absolute;left:1162;top:7981;width:903;height:353" coordorigin="1162,7981" coordsize="903,353">
              <v:shape style="position:absolute;left:1162;top:7981;width:903;height:353" coordorigin="1162,7981" coordsize="903,353" path="m1162,8334l2064,8334,2064,7981,1162,7981,1162,8334xe" filled="true" fillcolor="#d2d2d2" stroked="false">
                <v:path arrowok="t"/>
                <v:fill type="solid"/>
              </v:shape>
            </v:group>
            <v:group style="position:absolute;left:1138;top:7623;width:949;height:2" coordorigin="1138,7623" coordsize="949,2">
              <v:shape style="position:absolute;left:1138;top:7623;width:949;height:2" coordorigin="1138,7623" coordsize="949,0" path="m1138,7623l2086,7623e" filled="false" stroked="true" strokeweight=".48004pt" strokecolor="#000000">
                <v:path arrowok="t"/>
              </v:shape>
            </v:group>
            <v:group style="position:absolute;left:2096;top:7623;width:948;height:2" coordorigin="2096,7623" coordsize="948,2">
              <v:shape style="position:absolute;left:2096;top:7623;width:948;height:2" coordorigin="2096,7623" coordsize="948,0" path="m2096,7623l3044,7623e" filled="false" stroked="true" strokeweight=".48004pt" strokecolor="#000000">
                <v:path arrowok="t"/>
              </v:shape>
            </v:group>
            <v:group style="position:absolute;left:3053;top:7623;width:947;height:2" coordorigin="3053,7623" coordsize="947,2">
              <v:shape style="position:absolute;left:3053;top:7623;width:947;height:2" coordorigin="3053,7623" coordsize="947,0" path="m3053,7623l3999,7623e" filled="false" stroked="true" strokeweight=".48004pt" strokecolor="#000000">
                <v:path arrowok="t"/>
              </v:shape>
            </v:group>
            <v:group style="position:absolute;left:4009;top:7623;width:948;height:2" coordorigin="4009,7623" coordsize="948,2">
              <v:shape style="position:absolute;left:4009;top:7623;width:948;height:2" coordorigin="4009,7623" coordsize="948,0" path="m4009,7623l4957,7623e" filled="false" stroked="true" strokeweight=".48004pt" strokecolor="#000000">
                <v:path arrowok="t"/>
              </v:shape>
            </v:group>
            <v:group style="position:absolute;left:4967;top:7623;width:948;height:2" coordorigin="4967,7623" coordsize="948,2">
              <v:shape style="position:absolute;left:4967;top:7623;width:948;height:2" coordorigin="4967,7623" coordsize="948,0" path="m4967,7623l5915,7623e" filled="false" stroked="true" strokeweight=".48004pt" strokecolor="#000000">
                <v:path arrowok="t"/>
              </v:shape>
            </v:group>
            <v:group style="position:absolute;left:5924;top:7623;width:949;height:2" coordorigin="5924,7623" coordsize="949,2">
              <v:shape style="position:absolute;left:5924;top:7623;width:949;height:2" coordorigin="5924,7623" coordsize="949,0" path="m5924,7623l6873,7623e" filled="false" stroked="true" strokeweight=".48004pt" strokecolor="#000000">
                <v:path arrowok="t"/>
              </v:shape>
            </v:group>
            <v:group style="position:absolute;left:6882;top:7623;width:946;height:2" coordorigin="6882,7623" coordsize="946,2">
              <v:shape style="position:absolute;left:6882;top:7623;width:946;height:2" coordorigin="6882,7623" coordsize="946,0" path="m6882,7623l7828,7623e" filled="false" stroked="true" strokeweight=".48004pt" strokecolor="#000000">
                <v:path arrowok="t"/>
              </v:shape>
            </v:group>
            <v:group style="position:absolute;left:7837;top:7623;width:949;height:2" coordorigin="7837,7623" coordsize="949,2">
              <v:shape style="position:absolute;left:7837;top:7623;width:949;height:2" coordorigin="7837,7623" coordsize="949,0" path="m7837,7623l8786,7623e" filled="false" stroked="true" strokeweight=".48004pt" strokecolor="#000000">
                <v:path arrowok="t"/>
              </v:shape>
            </v:group>
            <v:group style="position:absolute;left:8796;top:7623;width:948;height:2" coordorigin="8796,7623" coordsize="948,2">
              <v:shape style="position:absolute;left:8796;top:7623;width:948;height:2" coordorigin="8796,7623" coordsize="948,0" path="m8796,7623l9744,7623e" filled="false" stroked="true" strokeweight=".48004pt" strokecolor="#000000">
                <v:path arrowok="t"/>
              </v:shape>
            </v:group>
            <v:group style="position:absolute;left:9753;top:7623;width:948;height:2" coordorigin="9753,7623" coordsize="948,2">
              <v:shape style="position:absolute;left:9753;top:7623;width:948;height:2" coordorigin="9753,7623" coordsize="948,0" path="m9753,7623l10701,7623e" filled="false" stroked="true" strokeweight=".48004pt" strokecolor="#000000">
                <v:path arrowok="t"/>
              </v:shape>
            </v:group>
            <v:group style="position:absolute;left:2091;top:6502;width:2;height:1832" coordorigin="2091,6502" coordsize="2,1832">
              <v:shape style="position:absolute;left:2091;top:6502;width:2;height:1832" coordorigin="2091,6502" coordsize="0,1832" path="m2091,6502l2091,8334e" filled="false" stroked="true" strokeweight=".48pt" strokecolor="#000000">
                <v:path arrowok="t"/>
              </v:shape>
            </v:group>
            <v:group style="position:absolute;left:1151;top:8343;width:2;height:704" coordorigin="1151,8343" coordsize="2,704">
              <v:shape style="position:absolute;left:1151;top:8343;width:2;height:704" coordorigin="1151,8343" coordsize="0,704" path="m1151,8343l1151,9046e" filled="false" stroked="true" strokeweight="1.08pt" strokecolor="#d2d2d2">
                <v:path arrowok="t"/>
              </v:shape>
            </v:group>
            <v:group style="position:absolute;left:2075;top:8343;width:2;height:704" coordorigin="2075,8343" coordsize="2,704">
              <v:shape style="position:absolute;left:2075;top:8343;width:2;height:704" coordorigin="2075,8343" coordsize="0,704" path="m2075,8343l2075,9046e" filled="false" stroked="true" strokeweight="1.08pt" strokecolor="#d2d2d2">
                <v:path arrowok="t"/>
              </v:shape>
            </v:group>
            <v:group style="position:absolute;left:1162;top:8343;width:903;height:353" coordorigin="1162,8343" coordsize="903,353">
              <v:shape style="position:absolute;left:1162;top:8343;width:903;height:353" coordorigin="1162,8343" coordsize="903,353" path="m1162,8696l2064,8696,2064,8343,1162,8343,1162,8696xe" filled="true" fillcolor="#d2d2d2" stroked="false">
                <v:path arrowok="t"/>
                <v:fill type="solid"/>
              </v:shape>
            </v:group>
            <v:group style="position:absolute;left:1162;top:8696;width:903;height:351" coordorigin="1162,8696" coordsize="903,351">
              <v:shape style="position:absolute;left:1162;top:8696;width:903;height:351" coordorigin="1162,8696" coordsize="903,351" path="m1162,9046l2064,9046,2064,8696,1162,8696,1162,9046xe" filled="true" fillcolor="#d2d2d2" stroked="false">
                <v:path arrowok="t"/>
                <v:fill type="solid"/>
              </v:shape>
            </v:group>
            <v:group style="position:absolute;left:1138;top:8338;width:949;height:2" coordorigin="1138,8338" coordsize="949,2">
              <v:shape style="position:absolute;left:1138;top:8338;width:949;height:2" coordorigin="1138,8338" coordsize="949,0" path="m1138,8338l2086,8338e" filled="false" stroked="true" strokeweight=".47998pt" strokecolor="#000000">
                <v:path arrowok="t"/>
              </v:shape>
            </v:group>
            <v:group style="position:absolute;left:2096;top:8338;width:948;height:2" coordorigin="2096,8338" coordsize="948,2">
              <v:shape style="position:absolute;left:2096;top:8338;width:948;height:2" coordorigin="2096,8338" coordsize="948,0" path="m2096,8338l3044,8338e" filled="false" stroked="true" strokeweight=".47998pt" strokecolor="#000000">
                <v:path arrowok="t"/>
              </v:shape>
            </v:group>
            <v:group style="position:absolute;left:3053;top:8338;width:947;height:2" coordorigin="3053,8338" coordsize="947,2">
              <v:shape style="position:absolute;left:3053;top:8338;width:947;height:2" coordorigin="3053,8338" coordsize="947,0" path="m3053,8338l3999,8338e" filled="false" stroked="true" strokeweight=".47998pt" strokecolor="#000000">
                <v:path arrowok="t"/>
              </v:shape>
            </v:group>
            <v:group style="position:absolute;left:4009;top:8338;width:948;height:2" coordorigin="4009,8338" coordsize="948,2">
              <v:shape style="position:absolute;left:4009;top:8338;width:948;height:2" coordorigin="4009,8338" coordsize="948,0" path="m4009,8338l4957,8338e" filled="false" stroked="true" strokeweight=".47998pt" strokecolor="#000000">
                <v:path arrowok="t"/>
              </v:shape>
            </v:group>
            <v:group style="position:absolute;left:4967;top:8338;width:948;height:2" coordorigin="4967,8338" coordsize="948,2">
              <v:shape style="position:absolute;left:4967;top:8338;width:948;height:2" coordorigin="4967,8338" coordsize="948,0" path="m4967,8338l5915,8338e" filled="false" stroked="true" strokeweight=".47998pt" strokecolor="#000000">
                <v:path arrowok="t"/>
              </v:shape>
            </v:group>
            <v:group style="position:absolute;left:5924;top:8338;width:949;height:2" coordorigin="5924,8338" coordsize="949,2">
              <v:shape style="position:absolute;left:5924;top:8338;width:949;height:2" coordorigin="5924,8338" coordsize="949,0" path="m5924,8338l6873,8338e" filled="false" stroked="true" strokeweight=".47998pt" strokecolor="#000000">
                <v:path arrowok="t"/>
              </v:shape>
            </v:group>
            <v:group style="position:absolute;left:6882;top:8338;width:946;height:2" coordorigin="6882,8338" coordsize="946,2">
              <v:shape style="position:absolute;left:6882;top:8338;width:946;height:2" coordorigin="6882,8338" coordsize="946,0" path="m6882,8338l7828,8338e" filled="false" stroked="true" strokeweight=".47998pt" strokecolor="#000000">
                <v:path arrowok="t"/>
              </v:shape>
            </v:group>
            <v:group style="position:absolute;left:7837;top:8338;width:949;height:2" coordorigin="7837,8338" coordsize="949,2">
              <v:shape style="position:absolute;left:7837;top:8338;width:949;height:2" coordorigin="7837,8338" coordsize="949,0" path="m7837,8338l8786,8338e" filled="false" stroked="true" strokeweight=".47998pt" strokecolor="#000000">
                <v:path arrowok="t"/>
              </v:shape>
            </v:group>
            <v:group style="position:absolute;left:8796;top:8338;width:948;height:2" coordorigin="8796,8338" coordsize="948,2">
              <v:shape style="position:absolute;left:8796;top:8338;width:948;height:2" coordorigin="8796,8338" coordsize="948,0" path="m8796,8338l9744,8338e" filled="false" stroked="true" strokeweight=".47998pt" strokecolor="#000000">
                <v:path arrowok="t"/>
              </v:shape>
            </v:group>
            <v:group style="position:absolute;left:9753;top:8338;width:948;height:2" coordorigin="9753,8338" coordsize="948,2">
              <v:shape style="position:absolute;left:9753;top:8338;width:948;height:2" coordorigin="9753,8338" coordsize="948,0" path="m9753,8338l10701,8338e" filled="false" stroked="true" strokeweight=".47998pt" strokecolor="#000000">
                <v:path arrowok="t"/>
              </v:shape>
            </v:group>
            <v:group style="position:absolute;left:2091;top:8334;width:2;height:713" coordorigin="2091,8334" coordsize="2,713">
              <v:shape style="position:absolute;left:2091;top:8334;width:2;height:713" coordorigin="2091,8334" coordsize="0,713" path="m2091,8334l2091,9046e" filled="false" stroked="true" strokeweight=".48pt" strokecolor="#000000">
                <v:path arrowok="t"/>
              </v:shape>
            </v:group>
            <v:group style="position:absolute;left:1151;top:9056;width:2;height:706" coordorigin="1151,9056" coordsize="2,706">
              <v:shape style="position:absolute;left:1151;top:9056;width:2;height:706" coordorigin="1151,9056" coordsize="0,706" path="m1151,9056l1151,9762e" filled="false" stroked="true" strokeweight="1.08pt" strokecolor="#d2d2d2">
                <v:path arrowok="t"/>
              </v:shape>
            </v:group>
            <v:group style="position:absolute;left:2075;top:9056;width:2;height:706" coordorigin="2075,9056" coordsize="2,706">
              <v:shape style="position:absolute;left:2075;top:9056;width:2;height:706" coordorigin="2075,9056" coordsize="0,706" path="m2075,9056l2075,9762e" filled="false" stroked="true" strokeweight="1.08pt" strokecolor="#d2d2d2">
                <v:path arrowok="t"/>
              </v:shape>
            </v:group>
            <v:group style="position:absolute;left:1162;top:9056;width:903;height:353" coordorigin="1162,9056" coordsize="903,353">
              <v:shape style="position:absolute;left:1162;top:9056;width:903;height:353" coordorigin="1162,9056" coordsize="903,353" path="m1162,9409l2064,9409,2064,9056,1162,9056,1162,9409xe" filled="true" fillcolor="#d2d2d2" stroked="false">
                <v:path arrowok="t"/>
                <v:fill type="solid"/>
              </v:shape>
            </v:group>
            <v:group style="position:absolute;left:1162;top:9409;width:903;height:353" coordorigin="1162,9409" coordsize="903,353">
              <v:shape style="position:absolute;left:1162;top:9409;width:903;height:353" coordorigin="1162,9409" coordsize="903,353" path="m1162,9762l2064,9762,2064,9409,1162,9409,1162,9762xe" filled="true" fillcolor="#d2d2d2" stroked="false">
                <v:path arrowok="t"/>
                <v:fill type="solid"/>
              </v:shape>
            </v:group>
            <v:group style="position:absolute;left:1138;top:9051;width:949;height:2" coordorigin="1138,9051" coordsize="949,2">
              <v:shape style="position:absolute;left:1138;top:9051;width:949;height:2" coordorigin="1138,9051" coordsize="949,0" path="m1138,9051l2086,9051e" filled="false" stroked="true" strokeweight=".47998pt" strokecolor="#000000">
                <v:path arrowok="t"/>
              </v:shape>
            </v:group>
            <v:group style="position:absolute;left:2096;top:9051;width:948;height:2" coordorigin="2096,9051" coordsize="948,2">
              <v:shape style="position:absolute;left:2096;top:9051;width:948;height:2" coordorigin="2096,9051" coordsize="948,0" path="m2096,9051l3044,9051e" filled="false" stroked="true" strokeweight=".47998pt" strokecolor="#000000">
                <v:path arrowok="t"/>
              </v:shape>
            </v:group>
            <v:group style="position:absolute;left:3053;top:9051;width:947;height:2" coordorigin="3053,9051" coordsize="947,2">
              <v:shape style="position:absolute;left:3053;top:9051;width:947;height:2" coordorigin="3053,9051" coordsize="947,0" path="m3053,9051l3999,9051e" filled="false" stroked="true" strokeweight=".47998pt" strokecolor="#000000">
                <v:path arrowok="t"/>
              </v:shape>
            </v:group>
            <v:group style="position:absolute;left:4009;top:9051;width:948;height:2" coordorigin="4009,9051" coordsize="948,2">
              <v:shape style="position:absolute;left:4009;top:9051;width:948;height:2" coordorigin="4009,9051" coordsize="948,0" path="m4009,9051l4957,9051e" filled="false" stroked="true" strokeweight=".47998pt" strokecolor="#000000">
                <v:path arrowok="t"/>
              </v:shape>
            </v:group>
            <v:group style="position:absolute;left:4967;top:9051;width:948;height:2" coordorigin="4967,9051" coordsize="948,2">
              <v:shape style="position:absolute;left:4967;top:9051;width:948;height:2" coordorigin="4967,9051" coordsize="948,0" path="m4967,9051l5915,9051e" filled="false" stroked="true" strokeweight=".47998pt" strokecolor="#000000">
                <v:path arrowok="t"/>
              </v:shape>
            </v:group>
            <v:group style="position:absolute;left:5924;top:9051;width:949;height:2" coordorigin="5924,9051" coordsize="949,2">
              <v:shape style="position:absolute;left:5924;top:9051;width:949;height:2" coordorigin="5924,9051" coordsize="949,0" path="m5924,9051l6873,9051e" filled="false" stroked="true" strokeweight=".47998pt" strokecolor="#000000">
                <v:path arrowok="t"/>
              </v:shape>
            </v:group>
            <v:group style="position:absolute;left:6882;top:9051;width:946;height:2" coordorigin="6882,9051" coordsize="946,2">
              <v:shape style="position:absolute;left:6882;top:9051;width:946;height:2" coordorigin="6882,9051" coordsize="946,0" path="m6882,9051l7828,9051e" filled="false" stroked="true" strokeweight=".47998pt" strokecolor="#000000">
                <v:path arrowok="t"/>
              </v:shape>
            </v:group>
            <v:group style="position:absolute;left:7837;top:9051;width:949;height:2" coordorigin="7837,9051" coordsize="949,2">
              <v:shape style="position:absolute;left:7837;top:9051;width:949;height:2" coordorigin="7837,9051" coordsize="949,0" path="m7837,9051l8786,9051e" filled="false" stroked="true" strokeweight=".47998pt" strokecolor="#000000">
                <v:path arrowok="t"/>
              </v:shape>
            </v:group>
            <v:group style="position:absolute;left:8796;top:9051;width:948;height:2" coordorigin="8796,9051" coordsize="948,2">
              <v:shape style="position:absolute;left:8796;top:9051;width:948;height:2" coordorigin="8796,9051" coordsize="948,0" path="m8796,9051l9744,9051e" filled="false" stroked="true" strokeweight=".47998pt" strokecolor="#000000">
                <v:path arrowok="t"/>
              </v:shape>
            </v:group>
            <v:group style="position:absolute;left:9753;top:9051;width:948;height:2" coordorigin="9753,9051" coordsize="948,2">
              <v:shape style="position:absolute;left:9753;top:9051;width:948;height:2" coordorigin="9753,9051" coordsize="948,0" path="m9753,9051l10701,9051e" filled="false" stroked="true" strokeweight=".47998pt" strokecolor="#000000">
                <v:path arrowok="t"/>
              </v:shape>
            </v:group>
            <v:group style="position:absolute;left:1133;top:389;width:2;height:9383" coordorigin="1133,389" coordsize="2,9383">
              <v:shape style="position:absolute;left:1133;top:389;width:2;height:9383" coordorigin="1133,389" coordsize="0,9383" path="m1133,389l1133,9771e" filled="false" stroked="true" strokeweight=".48pt" strokecolor="#000000">
                <v:path arrowok="t"/>
              </v:shape>
            </v:group>
            <v:group style="position:absolute;left:2091;top:9046;width:2;height:716" coordorigin="2091,9046" coordsize="2,716">
              <v:shape style="position:absolute;left:2091;top:9046;width:2;height:716" coordorigin="2091,9046" coordsize="0,716" path="m2091,9046l2091,9762e" filled="false" stroked="true" strokeweight=".48pt" strokecolor="#000000">
                <v:path arrowok="t"/>
              </v:shape>
            </v:group>
            <v:group style="position:absolute;left:1151;top:9771;width:2;height:704" coordorigin="1151,9771" coordsize="2,704">
              <v:shape style="position:absolute;left:1151;top:9771;width:2;height:704" coordorigin="1151,9771" coordsize="0,704" path="m1151,9771l1151,10475e" filled="false" stroked="true" strokeweight="1.08pt" strokecolor="#d2d2d2">
                <v:path arrowok="t"/>
              </v:shape>
            </v:group>
            <v:group style="position:absolute;left:2075;top:9771;width:2;height:704" coordorigin="2075,9771" coordsize="2,704">
              <v:shape style="position:absolute;left:2075;top:9771;width:2;height:704" coordorigin="2075,9771" coordsize="0,704" path="m2075,9771l2075,10475e" filled="false" stroked="true" strokeweight="1.08pt" strokecolor="#d2d2d2">
                <v:path arrowok="t"/>
              </v:shape>
            </v:group>
            <v:group style="position:absolute;left:1162;top:9771;width:903;height:353" coordorigin="1162,9771" coordsize="903,353">
              <v:shape style="position:absolute;left:1162;top:9771;width:903;height:353" coordorigin="1162,9771" coordsize="903,353" path="m1162,10124l2064,10124,2064,9771,1162,9771,1162,10124xe" filled="true" fillcolor="#d2d2d2" stroked="false">
                <v:path arrowok="t"/>
                <v:fill type="solid"/>
              </v:shape>
            </v:group>
            <v:group style="position:absolute;left:1162;top:10124;width:903;height:351" coordorigin="1162,10124" coordsize="903,351">
              <v:shape style="position:absolute;left:1162;top:10124;width:903;height:351" coordorigin="1162,10124" coordsize="903,351" path="m1162,10475l2064,10475,2064,10124,1162,10124,1162,10475xe" filled="true" fillcolor="#d2d2d2" stroked="false">
                <v:path arrowok="t"/>
                <v:fill type="solid"/>
              </v:shape>
            </v:group>
            <v:group style="position:absolute;left:1138;top:9766;width:949;height:2" coordorigin="1138,9766" coordsize="949,2">
              <v:shape style="position:absolute;left:1138;top:9766;width:949;height:2" coordorigin="1138,9766" coordsize="949,0" path="m1138,9766l2086,9766e" filled="false" stroked="true" strokeweight=".47998pt" strokecolor="#000000">
                <v:path arrowok="t"/>
              </v:shape>
            </v:group>
            <v:group style="position:absolute;left:2086;top:9766;width:10;height:2" coordorigin="2086,9766" coordsize="10,2">
              <v:shape style="position:absolute;left:2086;top:9766;width:10;height:2" coordorigin="2086,9766" coordsize="10,0" path="m2086,9766l2096,9766e" filled="false" stroked="true" strokeweight=".47998pt" strokecolor="#000000">
                <v:path arrowok="t"/>
              </v:shape>
            </v:group>
            <v:group style="position:absolute;left:2096;top:9766;width:948;height:2" coordorigin="2096,9766" coordsize="948,2">
              <v:shape style="position:absolute;left:2096;top:9766;width:948;height:2" coordorigin="2096,9766" coordsize="948,0" path="m2096,9766l3044,9766e" filled="false" stroked="true" strokeweight=".47998pt" strokecolor="#000000">
                <v:path arrowok="t"/>
              </v:shape>
            </v:group>
            <v:group style="position:absolute;left:3053;top:9766;width:947;height:2" coordorigin="3053,9766" coordsize="947,2">
              <v:shape style="position:absolute;left:3053;top:9766;width:947;height:2" coordorigin="3053,9766" coordsize="947,0" path="m3053,9766l3999,9766e" filled="false" stroked="true" strokeweight=".47998pt" strokecolor="#000000">
                <v:path arrowok="t"/>
              </v:shape>
            </v:group>
            <v:group style="position:absolute;left:4009;top:9766;width:948;height:2" coordorigin="4009,9766" coordsize="948,2">
              <v:shape style="position:absolute;left:4009;top:9766;width:948;height:2" coordorigin="4009,9766" coordsize="948,0" path="m4009,9766l4957,9766e" filled="false" stroked="true" strokeweight=".47998pt" strokecolor="#000000">
                <v:path arrowok="t"/>
              </v:shape>
            </v:group>
            <v:group style="position:absolute;left:4967;top:9766;width:948;height:2" coordorigin="4967,9766" coordsize="948,2">
              <v:shape style="position:absolute;left:4967;top:9766;width:948;height:2" coordorigin="4967,9766" coordsize="948,0" path="m4967,9766l5915,9766e" filled="false" stroked="true" strokeweight=".47998pt" strokecolor="#000000">
                <v:path arrowok="t"/>
              </v:shape>
            </v:group>
            <v:group style="position:absolute;left:5924;top:9766;width:949;height:2" coordorigin="5924,9766" coordsize="949,2">
              <v:shape style="position:absolute;left:5924;top:9766;width:949;height:2" coordorigin="5924,9766" coordsize="949,0" path="m5924,9766l6873,9766e" filled="false" stroked="true" strokeweight=".47998pt" strokecolor="#000000">
                <v:path arrowok="t"/>
              </v:shape>
            </v:group>
            <v:group style="position:absolute;left:6882;top:9766;width:946;height:2" coordorigin="6882,9766" coordsize="946,2">
              <v:shape style="position:absolute;left:6882;top:9766;width:946;height:2" coordorigin="6882,9766" coordsize="946,0" path="m6882,9766l7828,9766e" filled="false" stroked="true" strokeweight=".47998pt" strokecolor="#000000">
                <v:path arrowok="t"/>
              </v:shape>
            </v:group>
            <v:group style="position:absolute;left:7837;top:9766;width:949;height:2" coordorigin="7837,9766" coordsize="949,2">
              <v:shape style="position:absolute;left:7837;top:9766;width:949;height:2" coordorigin="7837,9766" coordsize="949,0" path="m7837,9766l8786,9766e" filled="false" stroked="true" strokeweight=".47998pt" strokecolor="#000000">
                <v:path arrowok="t"/>
              </v:shape>
            </v:group>
            <v:group style="position:absolute;left:8796;top:9766;width:948;height:2" coordorigin="8796,9766" coordsize="948,2">
              <v:shape style="position:absolute;left:8796;top:9766;width:948;height:2" coordorigin="8796,9766" coordsize="948,0" path="m8796,9766l9744,9766e" filled="false" stroked="true" strokeweight=".47998pt" strokecolor="#000000">
                <v:path arrowok="t"/>
              </v:shape>
            </v:group>
            <v:group style="position:absolute;left:9753;top:9766;width:948;height:2" coordorigin="9753,9766" coordsize="948,2">
              <v:shape style="position:absolute;left:9753;top:9766;width:948;height:2" coordorigin="9753,9766" coordsize="948,0" path="m9753,9766l10701,9766e" filled="false" stroked="true" strokeweight=".47998pt" strokecolor="#000000">
                <v:path arrowok="t"/>
              </v:shape>
            </v:group>
            <v:group style="position:absolute;left:1133;top:9771;width:2;height:704" coordorigin="1133,9771" coordsize="2,704">
              <v:shape style="position:absolute;left:1133;top:9771;width:2;height:704" coordorigin="1133,9771" coordsize="0,704" path="m1133,9771l1133,10475e" filled="false" stroked="true" strokeweight=".48pt" strokecolor="#000000">
                <v:path arrowok="t"/>
              </v:shape>
            </v:group>
            <v:group style="position:absolute;left:2091;top:9771;width:2;height:704" coordorigin="2091,9771" coordsize="2,704">
              <v:shape style="position:absolute;left:2091;top:9771;width:2;height:704" coordorigin="2091,9771" coordsize="0,704" path="m2091,9771l2091,10475e" filled="false" stroked="true" strokeweight=".48pt" strokecolor="#000000">
                <v:path arrowok="t"/>
              </v:shape>
            </v:group>
            <v:group style="position:absolute;left:1151;top:10485;width:2;height:706" coordorigin="1151,10485" coordsize="2,706">
              <v:shape style="position:absolute;left:1151;top:10485;width:2;height:706" coordorigin="1151,10485" coordsize="0,706" path="m1151,10485l1151,11190e" filled="false" stroked="true" strokeweight="1.08pt" strokecolor="#d2d2d2">
                <v:path arrowok="t"/>
              </v:shape>
            </v:group>
            <v:group style="position:absolute;left:2075;top:10485;width:2;height:706" coordorigin="2075,10485" coordsize="2,706">
              <v:shape style="position:absolute;left:2075;top:10485;width:2;height:706" coordorigin="2075,10485" coordsize="0,706" path="m2075,10485l2075,11190e" filled="false" stroked="true" strokeweight="1.08pt" strokecolor="#d2d2d2">
                <v:path arrowok="t"/>
              </v:shape>
            </v:group>
            <v:group style="position:absolute;left:1162;top:10485;width:903;height:353" coordorigin="1162,10485" coordsize="903,353">
              <v:shape style="position:absolute;left:1162;top:10485;width:903;height:353" coordorigin="1162,10485" coordsize="903,353" path="m1162,10837l2064,10837,2064,10485,1162,10485,1162,10837xe" filled="true" fillcolor="#d2d2d2" stroked="false">
                <v:path arrowok="t"/>
                <v:fill type="solid"/>
              </v:shape>
            </v:group>
            <v:group style="position:absolute;left:1162;top:10837;width:903;height:353" coordorigin="1162,10837" coordsize="903,353">
              <v:shape style="position:absolute;left:1162;top:10837;width:903;height:353" coordorigin="1162,10837" coordsize="903,353" path="m1162,11190l2064,11190,2064,10837,1162,10837,1162,11190xe" filled="true" fillcolor="#d2d2d2" stroked="false">
                <v:path arrowok="t"/>
                <v:fill type="solid"/>
              </v:shape>
            </v:group>
            <v:group style="position:absolute;left:2096;top:10485;width:948;height:156" coordorigin="2096,10485" coordsize="948,156">
              <v:shape style="position:absolute;left:2096;top:10485;width:948;height:156" coordorigin="2096,10485" coordsize="948,156" path="m2096,10641l3044,10641,3044,10485,2096,10485,2096,10641xe" filled="true" fillcolor="#ffffff" stroked="false">
                <v:path arrowok="t"/>
                <v:fill type="solid"/>
              </v:shape>
            </v:group>
            <v:group style="position:absolute;left:2108;top:10641;width:2;height:394" coordorigin="2108,10641" coordsize="2,394">
              <v:shape style="position:absolute;left:2108;top:10641;width:2;height:394" coordorigin="2108,10641" coordsize="0,394" path="m2108,10641l2108,11034e" filled="false" stroked="true" strokeweight="1.2pt" strokecolor="#ffffff">
                <v:path arrowok="t"/>
              </v:shape>
            </v:group>
            <v:group style="position:absolute;left:2120;top:10641;width:900;height:394" coordorigin="2120,10641" coordsize="900,394">
              <v:shape style="position:absolute;left:2120;top:10641;width:900;height:394" coordorigin="2120,10641" coordsize="900,394" path="m2120,11034l3020,11034,3020,10641,2120,10641,2120,11034xe" filled="true" fillcolor="#ffffff" stroked="false">
                <v:path arrowok="t"/>
                <v:fill type="solid"/>
              </v:shape>
            </v:group>
            <v:group style="position:absolute;left:1138;top:10480;width:949;height:2" coordorigin="1138,10480" coordsize="949,2">
              <v:shape style="position:absolute;left:1138;top:10480;width:949;height:2" coordorigin="1138,10480" coordsize="949,0" path="m1138,10480l2086,10480e" filled="false" stroked="true" strokeweight=".47998pt" strokecolor="#000000">
                <v:path arrowok="t"/>
              </v:shape>
            </v:group>
            <v:group style="position:absolute;left:2096;top:10480;width:948;height:2" coordorigin="2096,10480" coordsize="948,2">
              <v:shape style="position:absolute;left:2096;top:10480;width:948;height:2" coordorigin="2096,10480" coordsize="948,0" path="m2096,10480l3044,10480e" filled="false" stroked="true" strokeweight=".47998pt" strokecolor="#000000">
                <v:path arrowok="t"/>
              </v:shape>
            </v:group>
            <v:group style="position:absolute;left:3053;top:10480;width:947;height:2" coordorigin="3053,10480" coordsize="947,2">
              <v:shape style="position:absolute;left:3053;top:10480;width:947;height:2" coordorigin="3053,10480" coordsize="947,0" path="m3053,10480l3999,10480e" filled="false" stroked="true" strokeweight=".47998pt" strokecolor="#000000">
                <v:path arrowok="t"/>
              </v:shape>
            </v:group>
            <v:group style="position:absolute;left:4009;top:10480;width:948;height:2" coordorigin="4009,10480" coordsize="948,2">
              <v:shape style="position:absolute;left:4009;top:10480;width:948;height:2" coordorigin="4009,10480" coordsize="948,0" path="m4009,10480l4957,10480e" filled="false" stroked="true" strokeweight=".47998pt" strokecolor="#000000">
                <v:path arrowok="t"/>
              </v:shape>
            </v:group>
            <v:group style="position:absolute;left:4967;top:10480;width:948;height:2" coordorigin="4967,10480" coordsize="948,2">
              <v:shape style="position:absolute;left:4967;top:10480;width:948;height:2" coordorigin="4967,10480" coordsize="948,0" path="m4967,10480l5915,10480e" filled="false" stroked="true" strokeweight=".47998pt" strokecolor="#000000">
                <v:path arrowok="t"/>
              </v:shape>
            </v:group>
            <v:group style="position:absolute;left:5924;top:10480;width:949;height:2" coordorigin="5924,10480" coordsize="949,2">
              <v:shape style="position:absolute;left:5924;top:10480;width:949;height:2" coordorigin="5924,10480" coordsize="949,0" path="m5924,10480l6873,10480e" filled="false" stroked="true" strokeweight=".47998pt" strokecolor="#000000">
                <v:path arrowok="t"/>
              </v:shape>
            </v:group>
            <v:group style="position:absolute;left:6882;top:10480;width:946;height:2" coordorigin="6882,10480" coordsize="946,2">
              <v:shape style="position:absolute;left:6882;top:10480;width:946;height:2" coordorigin="6882,10480" coordsize="946,0" path="m6882,10480l7828,10480e" filled="false" stroked="true" strokeweight=".47998pt" strokecolor="#000000">
                <v:path arrowok="t"/>
              </v:shape>
            </v:group>
            <v:group style="position:absolute;left:7837;top:10480;width:949;height:2" coordorigin="7837,10480" coordsize="949,2">
              <v:shape style="position:absolute;left:7837;top:10480;width:949;height:2" coordorigin="7837,10480" coordsize="949,0" path="m7837,10480l8786,10480e" filled="false" stroked="true" strokeweight=".47998pt" strokecolor="#000000">
                <v:path arrowok="t"/>
              </v:shape>
            </v:group>
            <v:group style="position:absolute;left:8796;top:10480;width:948;height:2" coordorigin="8796,10480" coordsize="948,2">
              <v:shape style="position:absolute;left:8796;top:10480;width:948;height:2" coordorigin="8796,10480" coordsize="948,0" path="m8796,10480l9744,10480e" filled="false" stroked="true" strokeweight=".47998pt" strokecolor="#000000">
                <v:path arrowok="t"/>
              </v:shape>
            </v:group>
            <v:group style="position:absolute;left:9753;top:10480;width:948;height:2" coordorigin="9753,10480" coordsize="948,2">
              <v:shape style="position:absolute;left:9753;top:10480;width:948;height:2" coordorigin="9753,10480" coordsize="948,0" path="m9753,10480l10701,10480e" filled="false" stroked="true" strokeweight=".47998pt" strokecolor="#000000">
                <v:path arrowok="t"/>
              </v:shape>
            </v:group>
            <v:group style="position:absolute;left:1133;top:10475;width:2;height:716" coordorigin="1133,10475" coordsize="2,716">
              <v:shape style="position:absolute;left:1133;top:10475;width:2;height:716" coordorigin="1133,10475" coordsize="0,716" path="m1133,10475l1133,11190e" filled="false" stroked="true" strokeweight=".48pt" strokecolor="#000000">
                <v:path arrowok="t"/>
              </v:shape>
            </v:group>
            <v:group style="position:absolute;left:2091;top:10475;width:2;height:716" coordorigin="2091,10475" coordsize="2,716">
              <v:shape style="position:absolute;left:2091;top:10475;width:2;height:716" coordorigin="2091,10475" coordsize="0,716" path="m2091,10475l2091,11190e" filled="false" stroked="true" strokeweight=".48pt" strokecolor="#000000">
                <v:path arrowok="t"/>
              </v:shape>
            </v:group>
            <v:group style="position:absolute;left:1151;top:11200;width:2;height:392" coordorigin="1151,11200" coordsize="2,392">
              <v:shape style="position:absolute;left:1151;top:11200;width:2;height:392" coordorigin="1151,11200" coordsize="0,392" path="m1151,11200l1151,11591e" filled="false" stroked="true" strokeweight="1.08pt" strokecolor="#d2d2d2">
                <v:path arrowok="t"/>
              </v:shape>
            </v:group>
            <v:group style="position:absolute;left:2075;top:11200;width:2;height:392" coordorigin="2075,11200" coordsize="2,392">
              <v:shape style="position:absolute;left:2075;top:11200;width:2;height:392" coordorigin="2075,11200" coordsize="0,392" path="m2075,11200l2075,11591e" filled="false" stroked="true" strokeweight="1.08pt" strokecolor="#d2d2d2">
                <v:path arrowok="t"/>
              </v:shape>
            </v:group>
            <v:group style="position:absolute;left:1162;top:11200;width:903;height:392" coordorigin="1162,11200" coordsize="903,392">
              <v:shape style="position:absolute;left:1162;top:11200;width:903;height:392" coordorigin="1162,11200" coordsize="903,392" path="m1162,11591l2064,11591,2064,11200,1162,11200,1162,11591xe" filled="true" fillcolor="#d2d2d2" stroked="false">
                <v:path arrowok="t"/>
                <v:fill type="solid"/>
              </v:shape>
            </v:group>
            <v:group style="position:absolute;left:1138;top:11195;width:949;height:2" coordorigin="1138,11195" coordsize="949,2">
              <v:shape style="position:absolute;left:1138;top:11195;width:949;height:2" coordorigin="1138,11195" coordsize="949,0" path="m1138,11195l2086,11195e" filled="false" stroked="true" strokeweight=".47998pt" strokecolor="#000000">
                <v:path arrowok="t"/>
              </v:shape>
            </v:group>
            <v:group style="position:absolute;left:2096;top:11195;width:948;height:2" coordorigin="2096,11195" coordsize="948,2">
              <v:shape style="position:absolute;left:2096;top:11195;width:948;height:2" coordorigin="2096,11195" coordsize="948,0" path="m2096,11195l3044,11195e" filled="false" stroked="true" strokeweight=".47998pt" strokecolor="#000000">
                <v:path arrowok="t"/>
              </v:shape>
            </v:group>
            <v:group style="position:absolute;left:3053;top:11195;width:947;height:2" coordorigin="3053,11195" coordsize="947,2">
              <v:shape style="position:absolute;left:3053;top:11195;width:947;height:2" coordorigin="3053,11195" coordsize="947,0" path="m3053,11195l3999,11195e" filled="false" stroked="true" strokeweight=".47998pt" strokecolor="#000000">
                <v:path arrowok="t"/>
              </v:shape>
            </v:group>
            <v:group style="position:absolute;left:4009;top:11195;width:948;height:2" coordorigin="4009,11195" coordsize="948,2">
              <v:shape style="position:absolute;left:4009;top:11195;width:948;height:2" coordorigin="4009,11195" coordsize="948,0" path="m4009,11195l4957,11195e" filled="false" stroked="true" strokeweight=".47998pt" strokecolor="#000000">
                <v:path arrowok="t"/>
              </v:shape>
            </v:group>
            <v:group style="position:absolute;left:4967;top:11195;width:948;height:2" coordorigin="4967,11195" coordsize="948,2">
              <v:shape style="position:absolute;left:4967;top:11195;width:948;height:2" coordorigin="4967,11195" coordsize="948,0" path="m4967,11195l5915,11195e" filled="false" stroked="true" strokeweight=".47998pt" strokecolor="#000000">
                <v:path arrowok="t"/>
              </v:shape>
            </v:group>
            <v:group style="position:absolute;left:5924;top:11195;width:949;height:2" coordorigin="5924,11195" coordsize="949,2">
              <v:shape style="position:absolute;left:5924;top:11195;width:949;height:2" coordorigin="5924,11195" coordsize="949,0" path="m5924,11195l6873,11195e" filled="false" stroked="true" strokeweight=".47998pt" strokecolor="#000000">
                <v:path arrowok="t"/>
              </v:shape>
            </v:group>
            <v:group style="position:absolute;left:6882;top:11195;width:946;height:2" coordorigin="6882,11195" coordsize="946,2">
              <v:shape style="position:absolute;left:6882;top:11195;width:946;height:2" coordorigin="6882,11195" coordsize="946,0" path="m6882,11195l7828,11195e" filled="false" stroked="true" strokeweight=".47998pt" strokecolor="#000000">
                <v:path arrowok="t"/>
              </v:shape>
            </v:group>
            <v:group style="position:absolute;left:7837;top:11195;width:949;height:2" coordorigin="7837,11195" coordsize="949,2">
              <v:shape style="position:absolute;left:7837;top:11195;width:949;height:2" coordorigin="7837,11195" coordsize="949,0" path="m7837,11195l8786,11195e" filled="false" stroked="true" strokeweight=".47998pt" strokecolor="#000000">
                <v:path arrowok="t"/>
              </v:shape>
            </v:group>
            <v:group style="position:absolute;left:8796;top:11195;width:948;height:2" coordorigin="8796,11195" coordsize="948,2">
              <v:shape style="position:absolute;left:8796;top:11195;width:948;height:2" coordorigin="8796,11195" coordsize="948,0" path="m8796,11195l9744,11195e" filled="false" stroked="true" strokeweight=".47998pt" strokecolor="#000000">
                <v:path arrowok="t"/>
              </v:shape>
            </v:group>
            <v:group style="position:absolute;left:9753;top:11195;width:948;height:2" coordorigin="9753,11195" coordsize="948,2">
              <v:shape style="position:absolute;left:9753;top:11195;width:948;height:2" coordorigin="9753,11195" coordsize="948,0" path="m9753,11195l10701,11195e" filled="false" stroked="true" strokeweight=".47998pt" strokecolor="#000000">
                <v:path arrowok="t"/>
              </v:shape>
            </v:group>
            <v:group style="position:absolute;left:1133;top:11190;width:2;height:401" coordorigin="1133,11190" coordsize="2,401">
              <v:shape style="position:absolute;left:1133;top:11190;width:2;height:401" coordorigin="1133,11190" coordsize="0,401" path="m1133,11190l1133,11591e" filled="false" stroked="true" strokeweight=".48pt" strokecolor="#000000">
                <v:path arrowok="t"/>
              </v:shape>
            </v:group>
            <v:group style="position:absolute;left:2091;top:11190;width:2;height:401" coordorigin="2091,11190" coordsize="2,401">
              <v:shape style="position:absolute;left:2091;top:11190;width:2;height:401" coordorigin="2091,11190" coordsize="0,401" path="m2091,11190l2091,11591e" filled="false" stroked="true" strokeweight=".48pt" strokecolor="#000000">
                <v:path arrowok="t"/>
              </v:shape>
            </v:group>
            <v:group style="position:absolute;left:1151;top:11601;width:2;height:706" coordorigin="1151,11601" coordsize="2,706">
              <v:shape style="position:absolute;left:1151;top:11601;width:2;height:706" coordorigin="1151,11601" coordsize="0,706" path="m1151,11601l1151,12306e" filled="false" stroked="true" strokeweight="1.08pt" strokecolor="#d2d2d2">
                <v:path arrowok="t"/>
              </v:shape>
            </v:group>
            <v:group style="position:absolute;left:2075;top:11601;width:2;height:706" coordorigin="2075,11601" coordsize="2,706">
              <v:shape style="position:absolute;left:2075;top:11601;width:2;height:706" coordorigin="2075,11601" coordsize="0,706" path="m2075,11601l2075,12306e" filled="false" stroked="true" strokeweight="1.08pt" strokecolor="#d2d2d2">
                <v:path arrowok="t"/>
              </v:shape>
            </v:group>
            <v:group style="position:absolute;left:1162;top:11601;width:903;height:353" coordorigin="1162,11601" coordsize="903,353">
              <v:shape style="position:absolute;left:1162;top:11601;width:903;height:353" coordorigin="1162,11601" coordsize="903,353" path="m1162,11953l2064,11953,2064,11601,1162,11601,1162,11953xe" filled="true" fillcolor="#d2d2d2" stroked="false">
                <v:path arrowok="t"/>
                <v:fill type="solid"/>
              </v:shape>
            </v:group>
            <v:group style="position:absolute;left:1162;top:11953;width:903;height:353" coordorigin="1162,11953" coordsize="903,353">
              <v:shape style="position:absolute;left:1162;top:11953;width:903;height:353" coordorigin="1162,11953" coordsize="903,353" path="m1162,12306l2064,12306,2064,11953,1162,11953,1162,12306xe" filled="true" fillcolor="#d2d2d2" stroked="false">
                <v:path arrowok="t"/>
                <v:fill type="solid"/>
              </v:shape>
            </v:group>
            <v:group style="position:absolute;left:1138;top:11596;width:949;height:2" coordorigin="1138,11596" coordsize="949,2">
              <v:shape style="position:absolute;left:1138;top:11596;width:949;height:2" coordorigin="1138,11596" coordsize="949,0" path="m1138,11596l2086,11596e" filled="false" stroked="true" strokeweight=".47998pt" strokecolor="#000000">
                <v:path arrowok="t"/>
              </v:shape>
            </v:group>
            <v:group style="position:absolute;left:2096;top:11596;width:948;height:2" coordorigin="2096,11596" coordsize="948,2">
              <v:shape style="position:absolute;left:2096;top:11596;width:948;height:2" coordorigin="2096,11596" coordsize="948,0" path="m2096,11596l3044,11596e" filled="false" stroked="true" strokeweight=".47998pt" strokecolor="#000000">
                <v:path arrowok="t"/>
              </v:shape>
            </v:group>
            <v:group style="position:absolute;left:3053;top:11596;width:947;height:2" coordorigin="3053,11596" coordsize="947,2">
              <v:shape style="position:absolute;left:3053;top:11596;width:947;height:2" coordorigin="3053,11596" coordsize="947,0" path="m3053,11596l3999,11596e" filled="false" stroked="true" strokeweight=".47998pt" strokecolor="#000000">
                <v:path arrowok="t"/>
              </v:shape>
            </v:group>
            <v:group style="position:absolute;left:4009;top:11596;width:948;height:2" coordorigin="4009,11596" coordsize="948,2">
              <v:shape style="position:absolute;left:4009;top:11596;width:948;height:2" coordorigin="4009,11596" coordsize="948,0" path="m4009,11596l4957,11596e" filled="false" stroked="true" strokeweight=".47998pt" strokecolor="#000000">
                <v:path arrowok="t"/>
              </v:shape>
            </v:group>
            <v:group style="position:absolute;left:4967;top:11596;width:948;height:2" coordorigin="4967,11596" coordsize="948,2">
              <v:shape style="position:absolute;left:4967;top:11596;width:948;height:2" coordorigin="4967,11596" coordsize="948,0" path="m4967,11596l5915,11596e" filled="false" stroked="true" strokeweight=".47998pt" strokecolor="#000000">
                <v:path arrowok="t"/>
              </v:shape>
            </v:group>
            <v:group style="position:absolute;left:5924;top:11596;width:949;height:2" coordorigin="5924,11596" coordsize="949,2">
              <v:shape style="position:absolute;left:5924;top:11596;width:949;height:2" coordorigin="5924,11596" coordsize="949,0" path="m5924,11596l6873,11596e" filled="false" stroked="true" strokeweight=".47998pt" strokecolor="#000000">
                <v:path arrowok="t"/>
              </v:shape>
            </v:group>
            <v:group style="position:absolute;left:6882;top:11596;width:946;height:2" coordorigin="6882,11596" coordsize="946,2">
              <v:shape style="position:absolute;left:6882;top:11596;width:946;height:2" coordorigin="6882,11596" coordsize="946,0" path="m6882,11596l7828,11596e" filled="false" stroked="true" strokeweight=".47998pt" strokecolor="#000000">
                <v:path arrowok="t"/>
              </v:shape>
            </v:group>
            <v:group style="position:absolute;left:7837;top:11596;width:949;height:2" coordorigin="7837,11596" coordsize="949,2">
              <v:shape style="position:absolute;left:7837;top:11596;width:949;height:2" coordorigin="7837,11596" coordsize="949,0" path="m7837,11596l8786,11596e" filled="false" stroked="true" strokeweight=".47998pt" strokecolor="#000000">
                <v:path arrowok="t"/>
              </v:shape>
            </v:group>
            <v:group style="position:absolute;left:8796;top:11596;width:948;height:2" coordorigin="8796,11596" coordsize="948,2">
              <v:shape style="position:absolute;left:8796;top:11596;width:948;height:2" coordorigin="8796,11596" coordsize="948,0" path="m8796,11596l9744,11596e" filled="false" stroked="true" strokeweight=".47998pt" strokecolor="#000000">
                <v:path arrowok="t"/>
              </v:shape>
            </v:group>
            <v:group style="position:absolute;left:9753;top:11596;width:948;height:2" coordorigin="9753,11596" coordsize="948,2">
              <v:shape style="position:absolute;left:9753;top:11596;width:948;height:2" coordorigin="9753,11596" coordsize="948,0" path="m9753,11596l10701,11596e" filled="false" stroked="true" strokeweight=".47998pt" strokecolor="#000000">
                <v:path arrowok="t"/>
              </v:shape>
            </v:group>
            <v:group style="position:absolute;left:1133;top:11591;width:2;height:716" coordorigin="1133,11591" coordsize="2,716">
              <v:shape style="position:absolute;left:1133;top:11591;width:2;height:716" coordorigin="1133,11591" coordsize="0,716" path="m1133,11591l1133,12306e" filled="false" stroked="true" strokeweight=".48pt" strokecolor="#000000">
                <v:path arrowok="t"/>
              </v:shape>
            </v:group>
            <v:group style="position:absolute;left:1128;top:12311;width:10;height:2" coordorigin="1128,12311" coordsize="10,2">
              <v:shape style="position:absolute;left:1128;top:12311;width:10;height:2" coordorigin="1128,12311" coordsize="10,0" path="m1128,12311l1138,12311e" filled="false" stroked="true" strokeweight=".47998pt" strokecolor="#000000">
                <v:path arrowok="t"/>
              </v:shape>
            </v:group>
            <v:group style="position:absolute;left:1128;top:12311;width:10;height:2" coordorigin="1128,12311" coordsize="10,2">
              <v:shape style="position:absolute;left:1128;top:12311;width:10;height:2" coordorigin="1128,12311" coordsize="10,0" path="m1128,12311l1138,12311e" filled="false" stroked="true" strokeweight=".47998pt" strokecolor="#000000">
                <v:path arrowok="t"/>
              </v:shape>
            </v:group>
            <v:group style="position:absolute;left:1138;top:12311;width:949;height:2" coordorigin="1138,12311" coordsize="949,2">
              <v:shape style="position:absolute;left:1138;top:12311;width:949;height:2" coordorigin="1138,12311" coordsize="949,0" path="m1138,12311l2086,12311e" filled="false" stroked="true" strokeweight=".47998pt" strokecolor="#000000">
                <v:path arrowok="t"/>
              </v:shape>
            </v:group>
            <v:group style="position:absolute;left:2091;top:11591;width:2;height:716" coordorigin="2091,11591" coordsize="2,716">
              <v:shape style="position:absolute;left:2091;top:11591;width:2;height:716" coordorigin="2091,11591" coordsize="0,716" path="m2091,11591l2091,12306e" filled="false" stroked="true" strokeweight=".48pt" strokecolor="#000000">
                <v:path arrowok="t"/>
              </v:shape>
            </v:group>
            <v:group style="position:absolute;left:2086;top:12311;width:10;height:2" coordorigin="2086,12311" coordsize="10,2">
              <v:shape style="position:absolute;left:2086;top:12311;width:10;height:2" coordorigin="2086,12311" coordsize="10,0" path="m2086,12311l2096,12311e" filled="false" stroked="true" strokeweight=".47998pt" strokecolor="#000000">
                <v:path arrowok="t"/>
              </v:shape>
            </v:group>
            <v:group style="position:absolute;left:2096;top:12311;width:948;height:2" coordorigin="2096,12311" coordsize="948,2">
              <v:shape style="position:absolute;left:2096;top:12311;width:948;height:2" coordorigin="2096,12311" coordsize="948,0" path="m2096,12311l3044,12311e" filled="false" stroked="true" strokeweight=".47998pt" strokecolor="#000000">
                <v:path arrowok="t"/>
              </v:shape>
            </v:group>
            <v:group style="position:absolute;left:3048;top:389;width:2;height:11928" coordorigin="3048,389" coordsize="2,11928">
              <v:shape style="position:absolute;left:3048;top:389;width:2;height:11928" coordorigin="3048,389" coordsize="0,11928" path="m3048,389l3048,12316e" filled="false" stroked="true" strokeweight=".48pt" strokecolor="#000000">
                <v:path arrowok="t"/>
              </v:shape>
            </v:group>
            <v:group style="position:absolute;left:3053;top:12311;width:947;height:2" coordorigin="3053,12311" coordsize="947,2">
              <v:shape style="position:absolute;left:3053;top:12311;width:947;height:2" coordorigin="3053,12311" coordsize="947,0" path="m3053,12311l3999,12311e" filled="false" stroked="true" strokeweight=".47998pt" strokecolor="#000000">
                <v:path arrowok="t"/>
              </v:shape>
            </v:group>
            <v:group style="position:absolute;left:4004;top:389;width:2;height:11928" coordorigin="4004,389" coordsize="2,11928">
              <v:shape style="position:absolute;left:4004;top:389;width:2;height:11928" coordorigin="4004,389" coordsize="0,11928" path="m4004,389l4004,12316e" filled="false" stroked="true" strokeweight=".48pt" strokecolor="#000000">
                <v:path arrowok="t"/>
              </v:shape>
            </v:group>
            <v:group style="position:absolute;left:4009;top:12311;width:948;height:2" coordorigin="4009,12311" coordsize="948,2">
              <v:shape style="position:absolute;left:4009;top:12311;width:948;height:2" coordorigin="4009,12311" coordsize="948,0" path="m4009,12311l4957,12311e" filled="false" stroked="true" strokeweight=".47998pt" strokecolor="#000000">
                <v:path arrowok="t"/>
              </v:shape>
            </v:group>
            <v:group style="position:absolute;left:4962;top:389;width:2;height:11928" coordorigin="4962,389" coordsize="2,11928">
              <v:shape style="position:absolute;left:4962;top:389;width:2;height:11928" coordorigin="4962,389" coordsize="0,11928" path="m4962,389l4962,12316e" filled="false" stroked="true" strokeweight=".48pt" strokecolor="#000000">
                <v:path arrowok="t"/>
              </v:shape>
            </v:group>
            <v:group style="position:absolute;left:4967;top:12311;width:948;height:2" coordorigin="4967,12311" coordsize="948,2">
              <v:shape style="position:absolute;left:4967;top:12311;width:948;height:2" coordorigin="4967,12311" coordsize="948,0" path="m4967,12311l5915,12311e" filled="false" stroked="true" strokeweight=".47998pt" strokecolor="#000000">
                <v:path arrowok="t"/>
              </v:shape>
            </v:group>
            <v:group style="position:absolute;left:5919;top:389;width:2;height:11928" coordorigin="5919,389" coordsize="2,11928">
              <v:shape style="position:absolute;left:5919;top:389;width:2;height:11928" coordorigin="5919,389" coordsize="0,11928" path="m5919,389l5919,12316e" filled="false" stroked="true" strokeweight=".48001pt" strokecolor="#000000">
                <v:path arrowok="t"/>
              </v:shape>
            </v:group>
            <v:group style="position:absolute;left:5924;top:12311;width:949;height:2" coordorigin="5924,12311" coordsize="949,2">
              <v:shape style="position:absolute;left:5924;top:12311;width:949;height:2" coordorigin="5924,12311" coordsize="949,0" path="m5924,12311l6873,12311e" filled="false" stroked="true" strokeweight=".47998pt" strokecolor="#000000">
                <v:path arrowok="t"/>
              </v:shape>
            </v:group>
            <v:group style="position:absolute;left:6877;top:389;width:2;height:11928" coordorigin="6877,389" coordsize="2,11928">
              <v:shape style="position:absolute;left:6877;top:389;width:2;height:11928" coordorigin="6877,389" coordsize="0,11928" path="m6877,389l6877,12316e" filled="false" stroked="true" strokeweight=".48001pt" strokecolor="#000000">
                <v:path arrowok="t"/>
              </v:shape>
            </v:group>
            <v:group style="position:absolute;left:6882;top:12311;width:946;height:2" coordorigin="6882,12311" coordsize="946,2">
              <v:shape style="position:absolute;left:6882;top:12311;width:946;height:2" coordorigin="6882,12311" coordsize="946,0" path="m6882,12311l7828,12311e" filled="false" stroked="true" strokeweight=".47998pt" strokecolor="#000000">
                <v:path arrowok="t"/>
              </v:shape>
            </v:group>
            <v:group style="position:absolute;left:7833;top:389;width:2;height:11928" coordorigin="7833,389" coordsize="2,11928">
              <v:shape style="position:absolute;left:7833;top:389;width:2;height:11928" coordorigin="7833,389" coordsize="0,11928" path="m7833,389l7833,12316e" filled="false" stroked="true" strokeweight=".48001pt" strokecolor="#000000">
                <v:path arrowok="t"/>
              </v:shape>
            </v:group>
            <v:group style="position:absolute;left:7837;top:12311;width:949;height:2" coordorigin="7837,12311" coordsize="949,2">
              <v:shape style="position:absolute;left:7837;top:12311;width:949;height:2" coordorigin="7837,12311" coordsize="949,0" path="m7837,12311l8786,12311e" filled="false" stroked="true" strokeweight=".47998pt" strokecolor="#000000">
                <v:path arrowok="t"/>
              </v:shape>
            </v:group>
            <v:group style="position:absolute;left:8791;top:389;width:2;height:11928" coordorigin="8791,389" coordsize="2,11928">
              <v:shape style="position:absolute;left:8791;top:389;width:2;height:11928" coordorigin="8791,389" coordsize="0,11928" path="m8791,389l8791,12316e" filled="false" stroked="true" strokeweight=".48001pt" strokecolor="#000000">
                <v:path arrowok="t"/>
              </v:shape>
            </v:group>
            <v:group style="position:absolute;left:8796;top:12311;width:948;height:2" coordorigin="8796,12311" coordsize="948,2">
              <v:shape style="position:absolute;left:8796;top:12311;width:948;height:2" coordorigin="8796,12311" coordsize="948,0" path="m8796,12311l9744,12311e" filled="false" stroked="true" strokeweight=".47998pt" strokecolor="#000000">
                <v:path arrowok="t"/>
              </v:shape>
            </v:group>
            <v:group style="position:absolute;left:9748;top:389;width:2;height:11928" coordorigin="9748,389" coordsize="2,11928">
              <v:shape style="position:absolute;left:9748;top:389;width:2;height:11928" coordorigin="9748,389" coordsize="0,11928" path="m9748,389l9748,12316e" filled="false" stroked="true" strokeweight=".48001pt" strokecolor="#000000">
                <v:path arrowok="t"/>
              </v:shape>
            </v:group>
            <v:group style="position:absolute;left:9753;top:12311;width:948;height:2" coordorigin="9753,12311" coordsize="948,2">
              <v:shape style="position:absolute;left:9753;top:12311;width:948;height:2" coordorigin="9753,12311" coordsize="948,0" path="m9753,12311l10701,12311e" filled="false" stroked="true" strokeweight=".47998pt" strokecolor="#000000">
                <v:path arrowok="t"/>
              </v:shape>
            </v:group>
            <v:group style="position:absolute;left:10706;top:389;width:2;height:11928" coordorigin="10706,389" coordsize="2,11928">
              <v:shape style="position:absolute;left:10706;top:389;width:2;height:11928" coordorigin="10706,389" coordsize="0,11928" path="m10706,389l10706,12316e" filled="false" stroked="true" strokeweight=".47998pt" strokecolor="#000000">
                <v:path arrowok="t"/>
              </v:shape>
            </v:group>
            <w10:wrap type="none"/>
          </v:group>
        </w:pict>
      </w:r>
      <w:r>
        <w:rPr/>
        <w:pict>
          <v:shape style="position:absolute;margin-left:57.240002pt;margin-top:19.671692pt;width:478.1pt;height:275.5pt;mso-position-horizontal-relative:page;mso-position-vertical-relative:paragraph;z-index:25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08"/>
                    <w:gridCol w:w="895"/>
                    <w:gridCol w:w="956"/>
                    <w:gridCol w:w="958"/>
                    <w:gridCol w:w="958"/>
                    <w:gridCol w:w="1913"/>
                    <w:gridCol w:w="958"/>
                    <w:gridCol w:w="1915"/>
                  </w:tblGrid>
                  <w:tr>
                    <w:trPr>
                      <w:trHeight w:val="1476" w:hRule="exact"/>
                    </w:trPr>
                    <w:tc>
                      <w:tcPr>
                        <w:tcW w:w="1008"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53"/>
                          <w:ind w:left="286" w:right="0"/>
                          <w:jc w:val="left"/>
                          <w:rPr>
                            <w:rFonts w:ascii="宋体" w:hAnsi="宋体" w:cs="宋体" w:eastAsia="宋体" w:hint="default"/>
                            <w:sz w:val="18"/>
                            <w:szCs w:val="18"/>
                          </w:rPr>
                        </w:pPr>
                        <w:r>
                          <w:rPr>
                            <w:rFonts w:ascii="宋体" w:hAnsi="宋体" w:cs="宋体" w:eastAsia="宋体" w:hint="default"/>
                            <w:sz w:val="18"/>
                            <w:szCs w:val="18"/>
                          </w:rPr>
                          <w:t>项目</w:t>
                        </w:r>
                      </w:p>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16" w:right="89"/>
                          <w:jc w:val="left"/>
                          <w:rPr>
                            <w:rFonts w:ascii="宋体" w:hAnsi="宋体" w:cs="宋体" w:eastAsia="宋体" w:hint="default"/>
                            <w:sz w:val="18"/>
                            <w:szCs w:val="18"/>
                          </w:rPr>
                        </w:pPr>
                        <w:r>
                          <w:rPr>
                            <w:rFonts w:ascii="宋体" w:hAnsi="宋体" w:cs="宋体" w:eastAsia="宋体" w:hint="default"/>
                            <w:sz w:val="18"/>
                            <w:szCs w:val="18"/>
                          </w:rPr>
                          <w:t>一、账面原 值</w:t>
                        </w:r>
                      </w:p>
                      <w:p>
                        <w:pPr>
                          <w:pStyle w:val="TableParagraph"/>
                          <w:spacing w:line="240" w:lineRule="auto" w:before="110"/>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w:t>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08"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74" w:right="0" w:firstLine="43"/>
                          <w:jc w:val="left"/>
                          <w:rPr>
                            <w:rFonts w:ascii="宋体" w:hAnsi="宋体" w:cs="宋体" w:eastAsia="宋体" w:hint="default"/>
                            <w:sz w:val="18"/>
                            <w:szCs w:val="18"/>
                          </w:rPr>
                        </w:pPr>
                        <w:r>
                          <w:rPr>
                            <w:rFonts w:ascii="宋体" w:hAnsi="宋体" w:cs="宋体" w:eastAsia="宋体" w:hint="default"/>
                            <w:sz w:val="18"/>
                            <w:szCs w:val="18"/>
                          </w:rPr>
                          <w:t>系统软件</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3,519,607.8</w:t>
                        </w:r>
                      </w:p>
                    </w:tc>
                    <w:tc>
                      <w:tcPr>
                        <w:tcW w:w="1913" w:type="dxa"/>
                        <w:tcBorders>
                          <w:top w:val="nil" w:sz="6" w:space="0" w:color="auto"/>
                          <w:left w:val="nil" w:sz="6" w:space="0" w:color="auto"/>
                          <w:bottom w:val="nil" w:sz="6" w:space="0" w:color="auto"/>
                          <w:right w:val="nil" w:sz="6" w:space="0" w:color="auto"/>
                        </w:tcBorders>
                      </w:tcPr>
                      <w:p>
                        <w:pPr>
                          <w:pStyle w:val="TableParagraph"/>
                          <w:tabs>
                            <w:tab w:pos="1075" w:val="left" w:leader="none"/>
                          </w:tabs>
                          <w:spacing w:line="240" w:lineRule="auto" w:before="53"/>
                          <w:ind w:left="74" w:right="0" w:firstLine="43"/>
                          <w:jc w:val="left"/>
                          <w:rPr>
                            <w:rFonts w:ascii="宋体" w:hAnsi="宋体" w:cs="宋体" w:eastAsia="宋体" w:hint="default"/>
                            <w:sz w:val="18"/>
                            <w:szCs w:val="18"/>
                          </w:rPr>
                        </w:pPr>
                        <w:r>
                          <w:rPr>
                            <w:rFonts w:ascii="宋体" w:hAnsi="宋体" w:cs="宋体" w:eastAsia="宋体" w:hint="default"/>
                            <w:sz w:val="18"/>
                            <w:szCs w:val="18"/>
                          </w:rPr>
                          <w:t>开发工具</w:t>
                          <w:tab/>
                          <w:t>游戏产品</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36,329,605.</w:t>
                        </w:r>
                        <w:r>
                          <w:rPr>
                            <w:rFonts w:ascii="Times New Roman"/>
                            <w:spacing w:val="6"/>
                            <w:sz w:val="18"/>
                          </w:rPr>
                          <w:t> </w:t>
                        </w:r>
                        <w:r>
                          <w:rPr>
                            <w:rFonts w:ascii="Times New Roman"/>
                            <w:sz w:val="18"/>
                          </w:rPr>
                          <w:t>339,393,730</w:t>
                        </w: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74" w:right="0" w:firstLine="43"/>
                          <w:jc w:val="left"/>
                          <w:rPr>
                            <w:rFonts w:ascii="宋体" w:hAnsi="宋体" w:cs="宋体" w:eastAsia="宋体" w:hint="default"/>
                            <w:sz w:val="18"/>
                            <w:szCs w:val="18"/>
                          </w:rPr>
                        </w:pPr>
                        <w:r>
                          <w:rPr>
                            <w:rFonts w:ascii="宋体" w:hAnsi="宋体" w:cs="宋体" w:eastAsia="宋体" w:hint="default"/>
                            <w:sz w:val="18"/>
                            <w:szCs w:val="18"/>
                          </w:rPr>
                          <w:t>运营工具</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27,201,928.</w:t>
                        </w:r>
                      </w:p>
                    </w:tc>
                    <w:tc>
                      <w:tcPr>
                        <w:tcW w:w="1915" w:type="dxa"/>
                        <w:tcBorders>
                          <w:top w:val="nil" w:sz="6" w:space="0" w:color="auto"/>
                          <w:left w:val="nil" w:sz="6" w:space="0" w:color="auto"/>
                          <w:bottom w:val="nil" w:sz="6" w:space="0" w:color="auto"/>
                          <w:right w:val="nil" w:sz="6" w:space="0" w:color="auto"/>
                        </w:tcBorders>
                      </w:tcPr>
                      <w:p>
                        <w:pPr>
                          <w:pStyle w:val="TableParagraph"/>
                          <w:tabs>
                            <w:tab w:pos="1255" w:val="left" w:leader="none"/>
                          </w:tabs>
                          <w:spacing w:line="240" w:lineRule="auto" w:before="53"/>
                          <w:ind w:left="117" w:right="0"/>
                          <w:jc w:val="left"/>
                          <w:rPr>
                            <w:rFonts w:ascii="宋体" w:hAnsi="宋体" w:cs="宋体" w:eastAsia="宋体" w:hint="default"/>
                            <w:sz w:val="18"/>
                            <w:szCs w:val="18"/>
                          </w:rPr>
                        </w:pPr>
                        <w:r>
                          <w:rPr>
                            <w:rFonts w:ascii="宋体" w:hAnsi="宋体" w:cs="宋体" w:eastAsia="宋体" w:hint="default"/>
                            <w:sz w:val="18"/>
                            <w:szCs w:val="18"/>
                          </w:rPr>
                          <w:t>办公软件</w:t>
                          <w:tab/>
                          <w:t>合计</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2,336,186.8</w:t>
                        </w:r>
                        <w:r>
                          <w:rPr>
                            <w:rFonts w:ascii="Times New Roman"/>
                            <w:spacing w:val="6"/>
                            <w:sz w:val="18"/>
                          </w:rPr>
                          <w:t> </w:t>
                        </w:r>
                        <w:r>
                          <w:rPr>
                            <w:rFonts w:ascii="Times New Roman"/>
                            <w:sz w:val="18"/>
                          </w:rPr>
                          <w:t>408,781,059</w:t>
                        </w:r>
                      </w:p>
                    </w:tc>
                  </w:tr>
                  <w:tr>
                    <w:trPr>
                      <w:trHeight w:val="353" w:hRule="exact"/>
                    </w:trPr>
                    <w:tc>
                      <w:tcPr>
                        <w:tcW w:w="1008"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5"/>
                          <w:ind w:left="16"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895" w:type="dxa"/>
                        <w:tcBorders>
                          <w:top w:val="nil" w:sz="6" w:space="0" w:color="auto"/>
                          <w:left w:val="nil" w:sz="6" w:space="0" w:color="auto"/>
                          <w:bottom w:val="nil" w:sz="6" w:space="0" w:color="auto"/>
                          <w:right w:val="nil" w:sz="6" w:space="0" w:color="auto"/>
                        </w:tcBorders>
                      </w:tcPr>
                      <w:p>
                        <w:pPr/>
                      </w:p>
                    </w:tc>
                    <w:tc>
                      <w:tcPr>
                        <w:tcW w:w="956"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8"/>
                          <w:jc w:val="right"/>
                          <w:rPr>
                            <w:rFonts w:ascii="Times New Roman" w:hAnsi="Times New Roman" w:cs="Times New Roman" w:eastAsia="Times New Roman" w:hint="default"/>
                            <w:sz w:val="18"/>
                            <w:szCs w:val="18"/>
                          </w:rPr>
                        </w:pPr>
                        <w:r>
                          <w:rPr>
                            <w:rFonts w:ascii="Times New Roman"/>
                            <w:sz w:val="18"/>
                          </w:rPr>
                          <w:t>2</w:t>
                        </w:r>
                      </w:p>
                    </w:tc>
                    <w:tc>
                      <w:tcPr>
                        <w:tcW w:w="1913" w:type="dxa"/>
                        <w:tcBorders>
                          <w:top w:val="nil" w:sz="6" w:space="0" w:color="auto"/>
                          <w:left w:val="nil" w:sz="6" w:space="0" w:color="auto"/>
                          <w:bottom w:val="nil" w:sz="6" w:space="0" w:color="auto"/>
                          <w:right w:val="nil" w:sz="6" w:space="0" w:color="auto"/>
                        </w:tcBorders>
                      </w:tcPr>
                      <w:p>
                        <w:pPr>
                          <w:pStyle w:val="TableParagraph"/>
                          <w:tabs>
                            <w:tab w:pos="1661" w:val="left" w:leader="none"/>
                          </w:tabs>
                          <w:spacing w:line="240" w:lineRule="auto" w:before="47"/>
                          <w:ind w:left="749" w:right="0"/>
                          <w:jc w:val="left"/>
                          <w:rPr>
                            <w:rFonts w:ascii="Times New Roman" w:hAnsi="Times New Roman" w:cs="Times New Roman" w:eastAsia="Times New Roman" w:hint="default"/>
                            <w:sz w:val="18"/>
                            <w:szCs w:val="18"/>
                          </w:rPr>
                        </w:pPr>
                        <w:r>
                          <w:rPr>
                            <w:rFonts w:ascii="Times New Roman"/>
                            <w:sz w:val="18"/>
                          </w:rPr>
                          <w:t>32</w:t>
                          <w:tab/>
                          <w:t>.86</w:t>
                        </w: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5"/>
                          <w:jc w:val="right"/>
                          <w:rPr>
                            <w:rFonts w:ascii="Times New Roman" w:hAnsi="Times New Roman" w:cs="Times New Roman" w:eastAsia="Times New Roman" w:hint="default"/>
                            <w:sz w:val="18"/>
                            <w:szCs w:val="18"/>
                          </w:rPr>
                        </w:pPr>
                        <w:r>
                          <w:rPr>
                            <w:rFonts w:ascii="Times New Roman"/>
                            <w:sz w:val="18"/>
                          </w:rPr>
                          <w:t>94</w:t>
                        </w:r>
                      </w:p>
                    </w:tc>
                    <w:tc>
                      <w:tcPr>
                        <w:tcW w:w="1915" w:type="dxa"/>
                        <w:tcBorders>
                          <w:top w:val="nil" w:sz="6" w:space="0" w:color="auto"/>
                          <w:left w:val="nil" w:sz="6" w:space="0" w:color="auto"/>
                          <w:bottom w:val="nil" w:sz="6" w:space="0" w:color="auto"/>
                          <w:right w:val="nil" w:sz="6" w:space="0" w:color="auto"/>
                        </w:tcBorders>
                      </w:tcPr>
                      <w:p>
                        <w:pPr>
                          <w:pStyle w:val="TableParagraph"/>
                          <w:tabs>
                            <w:tab w:pos="823" w:val="left" w:leader="none"/>
                          </w:tabs>
                          <w:spacing w:line="240" w:lineRule="auto" w:before="47"/>
                          <w:ind w:right="25"/>
                          <w:jc w:val="right"/>
                          <w:rPr>
                            <w:rFonts w:ascii="Times New Roman" w:hAnsi="Times New Roman" w:cs="Times New Roman" w:eastAsia="Times New Roman" w:hint="default"/>
                            <w:sz w:val="18"/>
                            <w:szCs w:val="18"/>
                          </w:rPr>
                        </w:pPr>
                        <w:r>
                          <w:rPr>
                            <w:rFonts w:ascii="Times New Roman"/>
                            <w:sz w:val="18"/>
                          </w:rPr>
                          <w:t>9</w:t>
                          <w:tab/>
                          <w:t>.83</w:t>
                        </w:r>
                      </w:p>
                    </w:tc>
                  </w:tr>
                  <w:tr>
                    <w:trPr>
                      <w:trHeight w:val="360" w:hRule="exact"/>
                    </w:trPr>
                    <w:tc>
                      <w:tcPr>
                        <w:tcW w:w="1008"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53"/>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w:t>
                        </w:r>
                      </w:p>
                    </w:tc>
                    <w:tc>
                      <w:tcPr>
                        <w:tcW w:w="895" w:type="dxa"/>
                        <w:tcBorders>
                          <w:top w:val="nil" w:sz="6" w:space="0" w:color="auto"/>
                          <w:left w:val="nil" w:sz="6" w:space="0" w:color="auto"/>
                          <w:bottom w:val="nil" w:sz="6" w:space="0" w:color="auto"/>
                          <w:right w:val="nil" w:sz="6" w:space="0" w:color="auto"/>
                        </w:tcBorders>
                      </w:tcPr>
                      <w:p>
                        <w:pPr/>
                      </w:p>
                    </w:tc>
                    <w:tc>
                      <w:tcPr>
                        <w:tcW w:w="956"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6,480,665.7</w:t>
                        </w:r>
                      </w:p>
                    </w:tc>
                    <w:tc>
                      <w:tcPr>
                        <w:tcW w:w="1913"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nil" w:sz="6" w:space="0" w:color="auto"/>
                          <w:right w:val="nil" w:sz="6" w:space="0" w:color="auto"/>
                        </w:tcBorders>
                      </w:tcPr>
                      <w:p>
                        <w:pP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6,480,665.7</w:t>
                        </w:r>
                      </w:p>
                    </w:tc>
                  </w:tr>
                  <w:tr>
                    <w:trPr>
                      <w:trHeight w:val="355" w:hRule="exact"/>
                    </w:trPr>
                    <w:tc>
                      <w:tcPr>
                        <w:tcW w:w="1008"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5"/>
                          <w:ind w:left="16" w:right="0"/>
                          <w:jc w:val="left"/>
                          <w:rPr>
                            <w:rFonts w:ascii="宋体" w:hAnsi="宋体" w:cs="宋体" w:eastAsia="宋体" w:hint="default"/>
                            <w:sz w:val="18"/>
                            <w:szCs w:val="18"/>
                          </w:rPr>
                        </w:pPr>
                        <w:r>
                          <w:rPr>
                            <w:rFonts w:ascii="宋体" w:hAnsi="宋体" w:cs="宋体" w:eastAsia="宋体" w:hint="default"/>
                            <w:sz w:val="18"/>
                            <w:szCs w:val="18"/>
                          </w:rPr>
                          <w:t>增加金额</w:t>
                        </w:r>
                      </w:p>
                    </w:tc>
                    <w:tc>
                      <w:tcPr>
                        <w:tcW w:w="895" w:type="dxa"/>
                        <w:tcBorders>
                          <w:top w:val="nil" w:sz="6" w:space="0" w:color="auto"/>
                          <w:left w:val="nil" w:sz="6" w:space="0" w:color="auto"/>
                          <w:bottom w:val="nil" w:sz="6" w:space="0" w:color="auto"/>
                          <w:right w:val="nil" w:sz="6" w:space="0" w:color="auto"/>
                        </w:tcBorders>
                      </w:tcPr>
                      <w:p>
                        <w:pPr/>
                      </w:p>
                    </w:tc>
                    <w:tc>
                      <w:tcPr>
                        <w:tcW w:w="956"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8"/>
                          <w:jc w:val="right"/>
                          <w:rPr>
                            <w:rFonts w:ascii="Times New Roman" w:hAnsi="Times New Roman" w:cs="Times New Roman" w:eastAsia="Times New Roman" w:hint="default"/>
                            <w:sz w:val="18"/>
                            <w:szCs w:val="18"/>
                          </w:rPr>
                        </w:pPr>
                        <w:r>
                          <w:rPr>
                            <w:rFonts w:ascii="Times New Roman"/>
                            <w:sz w:val="18"/>
                          </w:rPr>
                          <w:t>7</w:t>
                        </w:r>
                      </w:p>
                    </w:tc>
                    <w:tc>
                      <w:tcPr>
                        <w:tcW w:w="1913"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nil" w:sz="6" w:space="0" w:color="auto"/>
                          <w:right w:val="nil" w:sz="6" w:space="0" w:color="auto"/>
                        </w:tcBorders>
                      </w:tcPr>
                      <w:p>
                        <w:pP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9"/>
                          <w:jc w:val="right"/>
                          <w:rPr>
                            <w:rFonts w:ascii="Times New Roman" w:hAnsi="Times New Roman" w:cs="Times New Roman" w:eastAsia="Times New Roman" w:hint="default"/>
                            <w:sz w:val="18"/>
                            <w:szCs w:val="18"/>
                          </w:rPr>
                        </w:pPr>
                        <w:r>
                          <w:rPr>
                            <w:rFonts w:ascii="Times New Roman"/>
                            <w:sz w:val="18"/>
                          </w:rPr>
                          <w:t>7</w:t>
                        </w:r>
                      </w:p>
                    </w:tc>
                  </w:tr>
                  <w:tr>
                    <w:trPr>
                      <w:trHeight w:val="360" w:hRule="exact"/>
                    </w:trPr>
                    <w:tc>
                      <w:tcPr>
                        <w:tcW w:w="1008"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54"/>
                          <w:ind w:left="55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895" w:type="dxa"/>
                        <w:tcBorders>
                          <w:top w:val="nil" w:sz="6" w:space="0" w:color="auto"/>
                          <w:left w:val="nil" w:sz="6" w:space="0" w:color="auto"/>
                          <w:bottom w:val="nil" w:sz="6" w:space="0" w:color="auto"/>
                          <w:right w:val="nil" w:sz="6" w:space="0" w:color="auto"/>
                        </w:tcBorders>
                      </w:tcPr>
                      <w:p>
                        <w:pPr/>
                      </w:p>
                    </w:tc>
                    <w:tc>
                      <w:tcPr>
                        <w:tcW w:w="956"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6,480,665.7</w:t>
                        </w:r>
                      </w:p>
                    </w:tc>
                    <w:tc>
                      <w:tcPr>
                        <w:tcW w:w="1913"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nil" w:sz="6" w:space="0" w:color="auto"/>
                          <w:right w:val="nil" w:sz="6" w:space="0" w:color="auto"/>
                        </w:tcBorders>
                      </w:tcPr>
                      <w:p>
                        <w:pP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6,480,665.7</w:t>
                        </w:r>
                      </w:p>
                    </w:tc>
                  </w:tr>
                  <w:tr>
                    <w:trPr>
                      <w:trHeight w:val="251" w:hRule="exact"/>
                    </w:trPr>
                    <w:tc>
                      <w:tcPr>
                        <w:tcW w:w="1008"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5"/>
                          <w:ind w:left="16"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895" w:type="dxa"/>
                        <w:tcBorders>
                          <w:top w:val="nil" w:sz="6" w:space="0" w:color="auto"/>
                          <w:left w:val="nil" w:sz="6" w:space="0" w:color="auto"/>
                          <w:bottom w:val="nil" w:sz="6" w:space="0" w:color="auto"/>
                          <w:right w:val="nil" w:sz="6" w:space="0" w:color="auto"/>
                        </w:tcBorders>
                      </w:tcPr>
                      <w:p>
                        <w:pPr/>
                      </w:p>
                    </w:tc>
                    <w:tc>
                      <w:tcPr>
                        <w:tcW w:w="956"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8"/>
                          <w:jc w:val="right"/>
                          <w:rPr>
                            <w:rFonts w:ascii="Times New Roman" w:hAnsi="Times New Roman" w:cs="Times New Roman" w:eastAsia="Times New Roman" w:hint="default"/>
                            <w:sz w:val="18"/>
                            <w:szCs w:val="18"/>
                          </w:rPr>
                        </w:pPr>
                        <w:r>
                          <w:rPr>
                            <w:rFonts w:ascii="Times New Roman"/>
                            <w:sz w:val="18"/>
                          </w:rPr>
                          <w:t>7</w:t>
                        </w:r>
                      </w:p>
                    </w:tc>
                    <w:tc>
                      <w:tcPr>
                        <w:tcW w:w="1913"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nil" w:sz="6" w:space="0" w:color="auto"/>
                          <w:right w:val="nil" w:sz="6" w:space="0" w:color="auto"/>
                        </w:tcBorders>
                      </w:tcPr>
                      <w:p>
                        <w:pP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9"/>
                          <w:jc w:val="right"/>
                          <w:rPr>
                            <w:rFonts w:ascii="Times New Roman" w:hAnsi="Times New Roman" w:cs="Times New Roman" w:eastAsia="Times New Roman" w:hint="default"/>
                            <w:sz w:val="18"/>
                            <w:szCs w:val="18"/>
                          </w:rPr>
                        </w:pPr>
                        <w:r>
                          <w:rPr>
                            <w:rFonts w:ascii="Times New Roman"/>
                            <w:sz w:val="18"/>
                          </w:rPr>
                          <w:t>7</w:t>
                        </w:r>
                      </w:p>
                    </w:tc>
                  </w:tr>
                  <w:tr>
                    <w:trPr>
                      <w:trHeight w:val="2354" w:hRule="exact"/>
                    </w:trPr>
                    <w:tc>
                      <w:tcPr>
                        <w:tcW w:w="1008" w:type="dxa"/>
                        <w:tcBorders>
                          <w:top w:val="nil" w:sz="6" w:space="0" w:color="auto"/>
                          <w:left w:val="nil" w:sz="6" w:space="0" w:color="auto"/>
                          <w:bottom w:val="nil" w:sz="6" w:space="0" w:color="auto"/>
                          <w:right w:val="nil" w:sz="6" w:space="0" w:color="auto"/>
                        </w:tcBorders>
                        <w:shd w:val="clear" w:color="auto" w:fill="D2D2D2"/>
                      </w:tcPr>
                      <w:p>
                        <w:pPr>
                          <w:pStyle w:val="TableParagraph"/>
                          <w:spacing w:line="300" w:lineRule="auto" w:before="155"/>
                          <w:ind w:left="16" w:right="0"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 内部研发</w:t>
                        </w:r>
                      </w:p>
                      <w:p>
                        <w:pPr>
                          <w:pStyle w:val="TableParagraph"/>
                          <w:spacing w:line="309" w:lineRule="auto" w:before="122"/>
                          <w:ind w:left="16" w:right="89"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 </w:t>
                        </w:r>
                        <w:r>
                          <w:rPr>
                            <w:rFonts w:ascii="宋体" w:hAnsi="宋体" w:cs="宋体" w:eastAsia="宋体" w:hint="default"/>
                            <w:sz w:val="18"/>
                            <w:szCs w:val="18"/>
                          </w:rPr>
                          <w:t>企业合并增 加</w:t>
                        </w:r>
                      </w:p>
                    </w:tc>
                    <w:tc>
                      <w:tcPr>
                        <w:tcW w:w="895" w:type="dxa"/>
                        <w:tcBorders>
                          <w:top w:val="nil" w:sz="6" w:space="0" w:color="auto"/>
                          <w:left w:val="nil" w:sz="6" w:space="0" w:color="auto"/>
                          <w:bottom w:val="nil" w:sz="6" w:space="0" w:color="auto"/>
                          <w:right w:val="nil" w:sz="6" w:space="0" w:color="auto"/>
                        </w:tcBorders>
                      </w:tcPr>
                      <w:p>
                        <w:pPr/>
                      </w:p>
                    </w:tc>
                    <w:tc>
                      <w:tcPr>
                        <w:tcW w:w="956"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nil" w:sz="6" w:space="0" w:color="auto"/>
                          <w:right w:val="nil" w:sz="6" w:space="0" w:color="auto"/>
                        </w:tcBorders>
                      </w:tcPr>
                      <w:p>
                        <w:pPr/>
                      </w:p>
                    </w:tc>
                    <w:tc>
                      <w:tcPr>
                        <w:tcW w:w="1915"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tbl>
      <w:tblPr>
        <w:tblW w:w="0" w:type="auto"/>
        <w:jc w:val="left"/>
        <w:tblInd w:w="164" w:type="dxa"/>
        <w:tblLayout w:type="fixed"/>
        <w:tblCellMar>
          <w:top w:w="0" w:type="dxa"/>
          <w:left w:w="0" w:type="dxa"/>
          <w:bottom w:w="0" w:type="dxa"/>
          <w:right w:w="0" w:type="dxa"/>
        </w:tblCellMar>
        <w:tblLook w:val="01E0"/>
      </w:tblPr>
      <w:tblGrid>
        <w:gridCol w:w="2450"/>
        <w:gridCol w:w="2349"/>
        <w:gridCol w:w="935"/>
        <w:gridCol w:w="978"/>
        <w:gridCol w:w="957"/>
        <w:gridCol w:w="934"/>
        <w:gridCol w:w="958"/>
      </w:tblGrid>
      <w:tr>
        <w:trPr>
          <w:trHeight w:val="351" w:hRule="exact"/>
        </w:trPr>
        <w:tc>
          <w:tcPr>
            <w:tcW w:w="245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w:t>
            </w:r>
          </w:p>
        </w:tc>
        <w:tc>
          <w:tcPr>
            <w:tcW w:w="6154"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86"/>
              <w:ind w:left="3357" w:right="0"/>
              <w:jc w:val="left"/>
              <w:rPr>
                <w:rFonts w:ascii="Times New Roman" w:hAnsi="Times New Roman" w:cs="Times New Roman" w:eastAsia="Times New Roman" w:hint="default"/>
                <w:sz w:val="18"/>
                <w:szCs w:val="18"/>
              </w:rPr>
            </w:pPr>
            <w:r>
              <w:rPr>
                <w:rFonts w:ascii="Times New Roman"/>
                <w:sz w:val="18"/>
              </w:rPr>
              <w:t>2,143,320.5</w:t>
            </w: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6"/>
              <w:jc w:val="right"/>
              <w:rPr>
                <w:rFonts w:ascii="Times New Roman" w:hAnsi="Times New Roman" w:cs="Times New Roman" w:eastAsia="Times New Roman" w:hint="default"/>
                <w:sz w:val="18"/>
                <w:szCs w:val="18"/>
              </w:rPr>
            </w:pPr>
            <w:r>
              <w:rPr>
                <w:rFonts w:ascii="Times New Roman"/>
                <w:spacing w:val="-1"/>
                <w:sz w:val="18"/>
              </w:rPr>
              <w:t>2,143,320.5</w:t>
            </w:r>
          </w:p>
        </w:tc>
      </w:tr>
      <w:tr>
        <w:trPr>
          <w:trHeight w:val="353" w:hRule="exact"/>
        </w:trPr>
        <w:tc>
          <w:tcPr>
            <w:tcW w:w="2450" w:type="dxa"/>
            <w:tcBorders>
              <w:top w:val="nil" w:sz="6" w:space="0" w:color="auto"/>
              <w:left w:val="nil" w:sz="6" w:space="0" w:color="auto"/>
              <w:bottom w:val="nil" w:sz="6" w:space="0" w:color="auto"/>
              <w:right w:val="nil" w:sz="6" w:space="0" w:color="auto"/>
            </w:tcBorders>
          </w:tcPr>
          <w:p>
            <w:pPr>
              <w:pStyle w:val="TableParagraph"/>
              <w:spacing w:line="240" w:lineRule="auto" w:before="5"/>
              <w:ind w:left="16" w:right="0"/>
              <w:jc w:val="left"/>
              <w:rPr>
                <w:rFonts w:ascii="宋体" w:hAnsi="宋体" w:cs="宋体" w:eastAsia="宋体" w:hint="default"/>
                <w:sz w:val="18"/>
                <w:szCs w:val="18"/>
              </w:rPr>
            </w:pPr>
            <w:r>
              <w:rPr>
                <w:rFonts w:ascii="宋体" w:hAnsi="宋体" w:cs="宋体" w:eastAsia="宋体" w:hint="default"/>
                <w:sz w:val="18"/>
                <w:szCs w:val="18"/>
              </w:rPr>
              <w:t>少金额</w:t>
            </w:r>
          </w:p>
        </w:tc>
        <w:tc>
          <w:tcPr>
            <w:tcW w:w="6154"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47"/>
              <w:ind w:right="1941"/>
              <w:jc w:val="right"/>
              <w:rPr>
                <w:rFonts w:ascii="Times New Roman" w:hAnsi="Times New Roman" w:cs="Times New Roman" w:eastAsia="Times New Roman" w:hint="default"/>
                <w:sz w:val="18"/>
                <w:szCs w:val="18"/>
              </w:rPr>
            </w:pPr>
            <w:r>
              <w:rPr>
                <w:rFonts w:ascii="Times New Roman"/>
                <w:sz w:val="18"/>
              </w:rPr>
              <w:t>3</w:t>
            </w: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9"/>
              <w:jc w:val="right"/>
              <w:rPr>
                <w:rFonts w:ascii="Times New Roman" w:hAnsi="Times New Roman" w:cs="Times New Roman" w:eastAsia="Times New Roman" w:hint="default"/>
                <w:sz w:val="18"/>
                <w:szCs w:val="18"/>
              </w:rPr>
            </w:pPr>
            <w:r>
              <w:rPr>
                <w:rFonts w:ascii="Times New Roman"/>
                <w:sz w:val="18"/>
              </w:rPr>
              <w:t>3</w:t>
            </w:r>
          </w:p>
        </w:tc>
      </w:tr>
      <w:tr>
        <w:trPr>
          <w:trHeight w:val="361" w:hRule="exact"/>
        </w:trPr>
        <w:tc>
          <w:tcPr>
            <w:tcW w:w="245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5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6154"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96"/>
              <w:ind w:left="3357" w:right="0"/>
              <w:jc w:val="left"/>
              <w:rPr>
                <w:rFonts w:ascii="Times New Roman" w:hAnsi="Times New Roman" w:cs="Times New Roman" w:eastAsia="Times New Roman" w:hint="default"/>
                <w:sz w:val="18"/>
                <w:szCs w:val="18"/>
              </w:rPr>
            </w:pPr>
            <w:r>
              <w:rPr>
                <w:rFonts w:ascii="Times New Roman"/>
                <w:sz w:val="18"/>
              </w:rPr>
              <w:t>2,143,320.5</w:t>
            </w: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2,143,320.5</w:t>
            </w:r>
          </w:p>
        </w:tc>
      </w:tr>
      <w:tr>
        <w:trPr>
          <w:trHeight w:val="355" w:hRule="exact"/>
        </w:trPr>
        <w:tc>
          <w:tcPr>
            <w:tcW w:w="2450" w:type="dxa"/>
            <w:tcBorders>
              <w:top w:val="nil" w:sz="6" w:space="0" w:color="auto"/>
              <w:left w:val="nil" w:sz="6" w:space="0" w:color="auto"/>
              <w:bottom w:val="nil" w:sz="6" w:space="0" w:color="auto"/>
              <w:right w:val="nil" w:sz="6" w:space="0" w:color="auto"/>
            </w:tcBorders>
          </w:tcPr>
          <w:p>
            <w:pPr>
              <w:pStyle w:val="TableParagraph"/>
              <w:spacing w:line="240" w:lineRule="auto" w:before="5"/>
              <w:ind w:left="16"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6154"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47"/>
              <w:ind w:right="1941"/>
              <w:jc w:val="right"/>
              <w:rPr>
                <w:rFonts w:ascii="Times New Roman" w:hAnsi="Times New Roman" w:cs="Times New Roman" w:eastAsia="Times New Roman" w:hint="default"/>
                <w:sz w:val="18"/>
                <w:szCs w:val="18"/>
              </w:rPr>
            </w:pPr>
            <w:r>
              <w:rPr>
                <w:rFonts w:ascii="Times New Roman"/>
                <w:sz w:val="18"/>
              </w:rPr>
              <w:t>3</w:t>
            </w: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9"/>
              <w:jc w:val="righ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2450" w:type="dxa"/>
            <w:tcBorders>
              <w:top w:val="nil" w:sz="6" w:space="0" w:color="auto"/>
              <w:left w:val="nil" w:sz="6" w:space="0" w:color="auto"/>
              <w:bottom w:val="nil" w:sz="6" w:space="0" w:color="auto"/>
              <w:right w:val="nil" w:sz="6" w:space="0" w:color="auto"/>
            </w:tcBorders>
          </w:tcPr>
          <w:p>
            <w:pPr/>
          </w:p>
        </w:tc>
        <w:tc>
          <w:tcPr>
            <w:tcW w:w="6154" w:type="dxa"/>
            <w:gridSpan w:val="5"/>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nil" w:sz="6" w:space="0" w:color="auto"/>
              <w:right w:val="nil" w:sz="6" w:space="0" w:color="auto"/>
            </w:tcBorders>
          </w:tcPr>
          <w:p>
            <w:pPr/>
          </w:p>
        </w:tc>
      </w:tr>
      <w:tr>
        <w:trPr>
          <w:trHeight w:val="360" w:hRule="exact"/>
        </w:trPr>
        <w:tc>
          <w:tcPr>
            <w:tcW w:w="245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w:t>
            </w:r>
          </w:p>
        </w:tc>
        <w:tc>
          <w:tcPr>
            <w:tcW w:w="2349"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50"/>
              <w:jc w:val="right"/>
              <w:rPr>
                <w:rFonts w:ascii="Times New Roman" w:hAnsi="Times New Roman" w:cs="Times New Roman" w:eastAsia="Times New Roman" w:hint="default"/>
                <w:sz w:val="18"/>
                <w:szCs w:val="18"/>
              </w:rPr>
            </w:pPr>
            <w:r>
              <w:rPr>
                <w:rFonts w:ascii="Times New Roman"/>
                <w:spacing w:val="-1"/>
                <w:sz w:val="18"/>
              </w:rPr>
              <w:t>10,000,273.</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7"/>
              <w:jc w:val="right"/>
              <w:rPr>
                <w:rFonts w:ascii="Times New Roman" w:hAnsi="Times New Roman" w:cs="Times New Roman" w:eastAsia="Times New Roman" w:hint="default"/>
                <w:sz w:val="18"/>
                <w:szCs w:val="18"/>
              </w:rPr>
            </w:pPr>
            <w:r>
              <w:rPr>
                <w:rFonts w:ascii="Times New Roman"/>
                <w:spacing w:val="-1"/>
                <w:sz w:val="18"/>
              </w:rPr>
              <w:t>36,329,605.</w:t>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48"/>
              <w:jc w:val="right"/>
              <w:rPr>
                <w:rFonts w:ascii="Times New Roman" w:hAnsi="Times New Roman" w:cs="Times New Roman" w:eastAsia="Times New Roman" w:hint="default"/>
                <w:sz w:val="18"/>
                <w:szCs w:val="18"/>
              </w:rPr>
            </w:pPr>
            <w:r>
              <w:rPr>
                <w:rFonts w:ascii="Times New Roman"/>
                <w:spacing w:val="-1"/>
                <w:sz w:val="18"/>
              </w:rPr>
              <w:t>337,250,410</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50"/>
              <w:jc w:val="right"/>
              <w:rPr>
                <w:rFonts w:ascii="Times New Roman" w:hAnsi="Times New Roman" w:cs="Times New Roman" w:eastAsia="Times New Roman" w:hint="default"/>
                <w:sz w:val="18"/>
                <w:szCs w:val="18"/>
              </w:rPr>
            </w:pPr>
            <w:r>
              <w:rPr>
                <w:rFonts w:ascii="Times New Roman"/>
                <w:spacing w:val="-1"/>
                <w:sz w:val="18"/>
              </w:rPr>
              <w:t>27,201,928.</w:t>
            </w:r>
          </w:p>
        </w:tc>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2,336,186.8</w:t>
            </w: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413,118,405</w:t>
            </w:r>
          </w:p>
        </w:tc>
      </w:tr>
      <w:tr>
        <w:trPr>
          <w:trHeight w:val="355" w:hRule="exact"/>
        </w:trPr>
        <w:tc>
          <w:tcPr>
            <w:tcW w:w="2450" w:type="dxa"/>
            <w:tcBorders>
              <w:top w:val="nil" w:sz="6" w:space="0" w:color="auto"/>
              <w:left w:val="nil" w:sz="6" w:space="0" w:color="auto"/>
              <w:bottom w:val="nil" w:sz="6" w:space="0" w:color="auto"/>
              <w:right w:val="nil" w:sz="6" w:space="0" w:color="auto"/>
            </w:tcBorders>
          </w:tcPr>
          <w:p>
            <w:pPr>
              <w:pStyle w:val="TableParagraph"/>
              <w:spacing w:line="240" w:lineRule="auto" w:before="5"/>
              <w:ind w:left="16"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234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48"/>
              <w:jc w:val="right"/>
              <w:rPr>
                <w:rFonts w:ascii="Times New Roman" w:hAnsi="Times New Roman" w:cs="Times New Roman" w:eastAsia="Times New Roman" w:hint="default"/>
                <w:sz w:val="18"/>
                <w:szCs w:val="18"/>
              </w:rPr>
            </w:pPr>
            <w:r>
              <w:rPr>
                <w:rFonts w:ascii="Times New Roman"/>
                <w:sz w:val="18"/>
              </w:rPr>
              <w:t>59</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5"/>
              <w:jc w:val="right"/>
              <w:rPr>
                <w:rFonts w:ascii="Times New Roman" w:hAnsi="Times New Roman" w:cs="Times New Roman" w:eastAsia="Times New Roman" w:hint="default"/>
                <w:sz w:val="18"/>
                <w:szCs w:val="18"/>
              </w:rPr>
            </w:pPr>
            <w:r>
              <w:rPr>
                <w:rFonts w:ascii="Times New Roman"/>
                <w:sz w:val="18"/>
              </w:rPr>
              <w:t>32</w:t>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47"/>
              <w:jc w:val="right"/>
              <w:rPr>
                <w:rFonts w:ascii="Times New Roman" w:hAnsi="Times New Roman" w:cs="Times New Roman" w:eastAsia="Times New Roman" w:hint="default"/>
                <w:sz w:val="18"/>
                <w:szCs w:val="18"/>
              </w:rPr>
            </w:pPr>
            <w:r>
              <w:rPr>
                <w:rFonts w:ascii="Times New Roman"/>
                <w:sz w:val="18"/>
              </w:rPr>
              <w:t>.33</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48"/>
              <w:jc w:val="right"/>
              <w:rPr>
                <w:rFonts w:ascii="Times New Roman" w:hAnsi="Times New Roman" w:cs="Times New Roman" w:eastAsia="Times New Roman" w:hint="default"/>
                <w:sz w:val="18"/>
                <w:szCs w:val="18"/>
              </w:rPr>
            </w:pPr>
            <w:r>
              <w:rPr>
                <w:rFonts w:ascii="Times New Roman"/>
                <w:sz w:val="18"/>
              </w:rPr>
              <w:t>94</w:t>
            </w:r>
          </w:p>
        </w:tc>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8"/>
              <w:jc w:val="right"/>
              <w:rPr>
                <w:rFonts w:ascii="Times New Roman" w:hAnsi="Times New Roman" w:cs="Times New Roman" w:eastAsia="Times New Roman" w:hint="default"/>
                <w:sz w:val="18"/>
                <w:szCs w:val="18"/>
              </w:rPr>
            </w:pPr>
            <w:r>
              <w:rPr>
                <w:rFonts w:ascii="Times New Roman"/>
                <w:sz w:val="18"/>
              </w:rPr>
              <w:t>9</w:t>
            </w: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5"/>
              <w:jc w:val="right"/>
              <w:rPr>
                <w:rFonts w:ascii="Times New Roman" w:hAnsi="Times New Roman" w:cs="Times New Roman" w:eastAsia="Times New Roman" w:hint="default"/>
                <w:sz w:val="18"/>
                <w:szCs w:val="18"/>
              </w:rPr>
            </w:pPr>
            <w:r>
              <w:rPr>
                <w:rFonts w:ascii="Times New Roman"/>
                <w:sz w:val="18"/>
              </w:rPr>
              <w:t>.07</w:t>
            </w:r>
          </w:p>
        </w:tc>
      </w:tr>
      <w:tr>
        <w:trPr>
          <w:trHeight w:val="355" w:hRule="exact"/>
        </w:trPr>
        <w:tc>
          <w:tcPr>
            <w:tcW w:w="245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6" w:right="0"/>
              <w:jc w:val="left"/>
              <w:rPr>
                <w:rFonts w:ascii="宋体" w:hAnsi="宋体" w:cs="宋体" w:eastAsia="宋体" w:hint="default"/>
                <w:sz w:val="18"/>
                <w:szCs w:val="18"/>
              </w:rPr>
            </w:pPr>
            <w:r>
              <w:rPr>
                <w:rFonts w:ascii="宋体" w:hAnsi="宋体" w:cs="宋体" w:eastAsia="宋体" w:hint="default"/>
                <w:sz w:val="18"/>
                <w:szCs w:val="18"/>
              </w:rPr>
              <w:t>二、累计摊</w:t>
            </w:r>
          </w:p>
        </w:tc>
        <w:tc>
          <w:tcPr>
            <w:tcW w:w="2349" w:type="dxa"/>
            <w:tcBorders>
              <w:top w:val="nil" w:sz="6" w:space="0" w:color="auto"/>
              <w:left w:val="nil" w:sz="6" w:space="0" w:color="auto"/>
              <w:bottom w:val="nil" w:sz="6" w:space="0" w:color="auto"/>
              <w:right w:val="nil" w:sz="6" w:space="0" w:color="auto"/>
            </w:tcBorders>
          </w:tcPr>
          <w:p>
            <w:pPr/>
          </w:p>
        </w:tc>
        <w:tc>
          <w:tcPr>
            <w:tcW w:w="935" w:type="dxa"/>
            <w:tcBorders>
              <w:top w:val="nil" w:sz="6" w:space="0" w:color="auto"/>
              <w:left w:val="nil" w:sz="6" w:space="0" w:color="auto"/>
              <w:bottom w:val="nil" w:sz="6" w:space="0" w:color="auto"/>
              <w:right w:val="nil" w:sz="6" w:space="0" w:color="auto"/>
            </w:tcBorders>
          </w:tcPr>
          <w:p>
            <w:pPr/>
          </w:p>
        </w:tc>
        <w:tc>
          <w:tcPr>
            <w:tcW w:w="978" w:type="dxa"/>
            <w:tcBorders>
              <w:top w:val="nil" w:sz="6" w:space="0" w:color="auto"/>
              <w:left w:val="nil" w:sz="6" w:space="0" w:color="auto"/>
              <w:bottom w:val="nil" w:sz="6" w:space="0" w:color="auto"/>
              <w:right w:val="nil" w:sz="6" w:space="0" w:color="auto"/>
            </w:tcBorders>
          </w:tcPr>
          <w:p>
            <w:pPr/>
          </w:p>
        </w:tc>
        <w:tc>
          <w:tcPr>
            <w:tcW w:w="957" w:type="dxa"/>
            <w:tcBorders>
              <w:top w:val="nil" w:sz="6" w:space="0" w:color="auto"/>
              <w:left w:val="nil" w:sz="6" w:space="0" w:color="auto"/>
              <w:bottom w:val="nil" w:sz="6" w:space="0" w:color="auto"/>
              <w:right w:val="nil" w:sz="6" w:space="0" w:color="auto"/>
            </w:tcBorders>
          </w:tcPr>
          <w:p>
            <w:pPr/>
          </w:p>
        </w:tc>
        <w:tc>
          <w:tcPr>
            <w:tcW w:w="934"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nil" w:sz="6" w:space="0" w:color="auto"/>
              <w:right w:val="nil" w:sz="6" w:space="0" w:color="auto"/>
            </w:tcBorders>
          </w:tcPr>
          <w:p>
            <w:pPr/>
          </w:p>
        </w:tc>
      </w:tr>
      <w:tr>
        <w:trPr>
          <w:trHeight w:val="357" w:hRule="exact"/>
        </w:trPr>
        <w:tc>
          <w:tcPr>
            <w:tcW w:w="245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6" w:right="0"/>
              <w:jc w:val="left"/>
              <w:rPr>
                <w:rFonts w:ascii="宋体" w:hAnsi="宋体" w:cs="宋体" w:eastAsia="宋体" w:hint="default"/>
                <w:sz w:val="18"/>
                <w:szCs w:val="18"/>
              </w:rPr>
            </w:pPr>
            <w:r>
              <w:rPr>
                <w:rFonts w:ascii="宋体" w:hAnsi="宋体" w:cs="宋体" w:eastAsia="宋体" w:hint="default"/>
                <w:sz w:val="18"/>
                <w:szCs w:val="18"/>
              </w:rPr>
              <w:t>销</w:t>
            </w:r>
          </w:p>
        </w:tc>
        <w:tc>
          <w:tcPr>
            <w:tcW w:w="2349" w:type="dxa"/>
            <w:tcBorders>
              <w:top w:val="nil" w:sz="6" w:space="0" w:color="auto"/>
              <w:left w:val="nil" w:sz="6" w:space="0" w:color="auto"/>
              <w:bottom w:val="nil" w:sz="6" w:space="0" w:color="auto"/>
              <w:right w:val="nil" w:sz="6" w:space="0" w:color="auto"/>
            </w:tcBorders>
          </w:tcPr>
          <w:p>
            <w:pPr/>
          </w:p>
        </w:tc>
        <w:tc>
          <w:tcPr>
            <w:tcW w:w="935" w:type="dxa"/>
            <w:tcBorders>
              <w:top w:val="nil" w:sz="6" w:space="0" w:color="auto"/>
              <w:left w:val="nil" w:sz="6" w:space="0" w:color="auto"/>
              <w:bottom w:val="nil" w:sz="6" w:space="0" w:color="auto"/>
              <w:right w:val="nil" w:sz="6" w:space="0" w:color="auto"/>
            </w:tcBorders>
          </w:tcPr>
          <w:p>
            <w:pPr/>
          </w:p>
        </w:tc>
        <w:tc>
          <w:tcPr>
            <w:tcW w:w="978" w:type="dxa"/>
            <w:tcBorders>
              <w:top w:val="nil" w:sz="6" w:space="0" w:color="auto"/>
              <w:left w:val="nil" w:sz="6" w:space="0" w:color="auto"/>
              <w:bottom w:val="nil" w:sz="6" w:space="0" w:color="auto"/>
              <w:right w:val="nil" w:sz="6" w:space="0" w:color="auto"/>
            </w:tcBorders>
          </w:tcPr>
          <w:p>
            <w:pPr/>
          </w:p>
        </w:tc>
        <w:tc>
          <w:tcPr>
            <w:tcW w:w="957" w:type="dxa"/>
            <w:tcBorders>
              <w:top w:val="nil" w:sz="6" w:space="0" w:color="auto"/>
              <w:left w:val="nil" w:sz="6" w:space="0" w:color="auto"/>
              <w:bottom w:val="nil" w:sz="6" w:space="0" w:color="auto"/>
              <w:right w:val="nil" w:sz="6" w:space="0" w:color="auto"/>
            </w:tcBorders>
          </w:tcPr>
          <w:p>
            <w:pPr/>
          </w:p>
        </w:tc>
        <w:tc>
          <w:tcPr>
            <w:tcW w:w="934"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nil" w:sz="6" w:space="0" w:color="auto"/>
              <w:right w:val="nil" w:sz="6" w:space="0" w:color="auto"/>
            </w:tcBorders>
          </w:tcPr>
          <w:p>
            <w:pPr/>
          </w:p>
        </w:tc>
      </w:tr>
      <w:tr>
        <w:trPr>
          <w:trHeight w:val="360" w:hRule="exact"/>
        </w:trPr>
        <w:tc>
          <w:tcPr>
            <w:tcW w:w="245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w:t>
            </w:r>
          </w:p>
        </w:tc>
        <w:tc>
          <w:tcPr>
            <w:tcW w:w="2349"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50"/>
              <w:jc w:val="right"/>
              <w:rPr>
                <w:rFonts w:ascii="Times New Roman" w:hAnsi="Times New Roman" w:cs="Times New Roman" w:eastAsia="Times New Roman" w:hint="default"/>
                <w:sz w:val="18"/>
                <w:szCs w:val="18"/>
              </w:rPr>
            </w:pPr>
            <w:r>
              <w:rPr>
                <w:rFonts w:ascii="Times New Roman"/>
                <w:spacing w:val="-1"/>
                <w:sz w:val="18"/>
              </w:rPr>
              <w:t>3,383,863.1</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7"/>
              <w:jc w:val="right"/>
              <w:rPr>
                <w:rFonts w:ascii="Times New Roman" w:hAnsi="Times New Roman" w:cs="Times New Roman" w:eastAsia="Times New Roman" w:hint="default"/>
                <w:sz w:val="18"/>
                <w:szCs w:val="18"/>
              </w:rPr>
            </w:pPr>
            <w:r>
              <w:rPr>
                <w:rFonts w:ascii="Times New Roman"/>
                <w:spacing w:val="-1"/>
                <w:sz w:val="18"/>
              </w:rPr>
              <w:t>32,529,605.</w:t>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48"/>
              <w:jc w:val="right"/>
              <w:rPr>
                <w:rFonts w:ascii="Times New Roman" w:hAnsi="Times New Roman" w:cs="Times New Roman" w:eastAsia="Times New Roman" w:hint="default"/>
                <w:sz w:val="18"/>
                <w:szCs w:val="18"/>
              </w:rPr>
            </w:pPr>
            <w:r>
              <w:rPr>
                <w:rFonts w:ascii="Times New Roman"/>
                <w:spacing w:val="-1"/>
                <w:sz w:val="18"/>
              </w:rPr>
              <w:t>224,272,077</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50"/>
              <w:jc w:val="right"/>
              <w:rPr>
                <w:rFonts w:ascii="Times New Roman" w:hAnsi="Times New Roman" w:cs="Times New Roman" w:eastAsia="Times New Roman" w:hint="default"/>
                <w:sz w:val="18"/>
                <w:szCs w:val="18"/>
              </w:rPr>
            </w:pPr>
            <w:r>
              <w:rPr>
                <w:rFonts w:ascii="Times New Roman"/>
                <w:spacing w:val="-1"/>
                <w:sz w:val="18"/>
              </w:rPr>
              <w:t>24,588,105.</w:t>
            </w:r>
          </w:p>
        </w:tc>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2,334,954.7</w:t>
            </w: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287,108,606</w:t>
            </w:r>
          </w:p>
        </w:tc>
      </w:tr>
      <w:tr>
        <w:trPr>
          <w:trHeight w:val="251" w:hRule="exact"/>
        </w:trPr>
        <w:tc>
          <w:tcPr>
            <w:tcW w:w="2450" w:type="dxa"/>
            <w:tcBorders>
              <w:top w:val="nil" w:sz="6" w:space="0" w:color="auto"/>
              <w:left w:val="nil" w:sz="6" w:space="0" w:color="auto"/>
              <w:bottom w:val="nil" w:sz="6" w:space="0" w:color="auto"/>
              <w:right w:val="nil" w:sz="6" w:space="0" w:color="auto"/>
            </w:tcBorders>
          </w:tcPr>
          <w:p>
            <w:pPr>
              <w:pStyle w:val="TableParagraph"/>
              <w:spacing w:line="240" w:lineRule="auto" w:before="5"/>
              <w:ind w:left="16"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234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53"/>
              <w:jc w:val="right"/>
              <w:rPr>
                <w:rFonts w:ascii="Times New Roman" w:hAnsi="Times New Roman" w:cs="Times New Roman" w:eastAsia="Times New Roman" w:hint="default"/>
                <w:sz w:val="18"/>
                <w:szCs w:val="18"/>
              </w:rPr>
            </w:pPr>
            <w:r>
              <w:rPr>
                <w:rFonts w:ascii="Times New Roman"/>
                <w:sz w:val="18"/>
              </w:rPr>
              <w:t>9</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5"/>
              <w:jc w:val="right"/>
              <w:rPr>
                <w:rFonts w:ascii="Times New Roman" w:hAnsi="Times New Roman" w:cs="Times New Roman" w:eastAsia="Times New Roman" w:hint="default"/>
                <w:sz w:val="18"/>
                <w:szCs w:val="18"/>
              </w:rPr>
            </w:pPr>
            <w:r>
              <w:rPr>
                <w:rFonts w:ascii="Times New Roman"/>
                <w:sz w:val="18"/>
              </w:rPr>
              <w:t>32</w:t>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47"/>
              <w:jc w:val="right"/>
              <w:rPr>
                <w:rFonts w:ascii="Times New Roman" w:hAnsi="Times New Roman" w:cs="Times New Roman" w:eastAsia="Times New Roman" w:hint="default"/>
                <w:sz w:val="18"/>
                <w:szCs w:val="18"/>
              </w:rPr>
            </w:pPr>
            <w:r>
              <w:rPr>
                <w:rFonts w:ascii="Times New Roman"/>
                <w:sz w:val="18"/>
              </w:rPr>
              <w:t>.68</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48"/>
              <w:jc w:val="right"/>
              <w:rPr>
                <w:rFonts w:ascii="Times New Roman" w:hAnsi="Times New Roman" w:cs="Times New Roman" w:eastAsia="Times New Roman" w:hint="default"/>
                <w:sz w:val="18"/>
                <w:szCs w:val="18"/>
              </w:rPr>
            </w:pPr>
            <w:r>
              <w:rPr>
                <w:rFonts w:ascii="Times New Roman"/>
                <w:sz w:val="18"/>
              </w:rPr>
              <w:t>97</w:t>
            </w:r>
          </w:p>
        </w:tc>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8"/>
              <w:jc w:val="right"/>
              <w:rPr>
                <w:rFonts w:ascii="Times New Roman" w:hAnsi="Times New Roman" w:cs="Times New Roman" w:eastAsia="Times New Roman" w:hint="default"/>
                <w:sz w:val="18"/>
                <w:szCs w:val="18"/>
              </w:rPr>
            </w:pPr>
            <w:r>
              <w:rPr>
                <w:rFonts w:ascii="Times New Roman"/>
                <w:sz w:val="18"/>
              </w:rPr>
              <w:t>1</w:t>
            </w: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5"/>
              <w:jc w:val="right"/>
              <w:rPr>
                <w:rFonts w:ascii="Times New Roman" w:hAnsi="Times New Roman" w:cs="Times New Roman" w:eastAsia="Times New Roman" w:hint="default"/>
                <w:sz w:val="18"/>
                <w:szCs w:val="18"/>
              </w:rPr>
            </w:pPr>
            <w:r>
              <w:rPr>
                <w:rFonts w:ascii="Times New Roman"/>
                <w:sz w:val="18"/>
              </w:rPr>
              <w:t>.87</w:t>
            </w:r>
          </w:p>
        </w:tc>
      </w:tr>
      <w:tr>
        <w:trPr>
          <w:trHeight w:val="2649" w:hRule="exact"/>
        </w:trPr>
        <w:tc>
          <w:tcPr>
            <w:tcW w:w="2450" w:type="dxa"/>
            <w:tcBorders>
              <w:top w:val="nil" w:sz="6" w:space="0" w:color="auto"/>
              <w:left w:val="nil" w:sz="6" w:space="0" w:color="auto"/>
              <w:bottom w:val="nil" w:sz="6" w:space="0" w:color="auto"/>
              <w:right w:val="nil" w:sz="6" w:space="0" w:color="auto"/>
            </w:tcBorders>
          </w:tcPr>
          <w:p>
            <w:pPr>
              <w:pStyle w:val="TableParagraph"/>
              <w:spacing w:line="300" w:lineRule="auto" w:before="158"/>
              <w:ind w:left="16" w:right="15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p>
            <w:pPr>
              <w:pStyle w:val="TableParagraph"/>
              <w:spacing w:line="240" w:lineRule="auto" w:before="121"/>
              <w:ind w:left="55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300" w:lineRule="auto"/>
              <w:ind w:left="16" w:right="15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234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1484" w:right="0"/>
              <w:jc w:val="left"/>
              <w:rPr>
                <w:rFonts w:ascii="Times New Roman" w:hAnsi="Times New Roman" w:cs="Times New Roman" w:eastAsia="Times New Roman" w:hint="default"/>
                <w:sz w:val="18"/>
                <w:szCs w:val="18"/>
              </w:rPr>
            </w:pPr>
            <w:r>
              <w:rPr>
                <w:rFonts w:ascii="Times New Roman"/>
                <w:sz w:val="18"/>
              </w:rPr>
              <w:t>391,245.92</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484" w:right="0"/>
              <w:jc w:val="left"/>
              <w:rPr>
                <w:rFonts w:ascii="Times New Roman" w:hAnsi="Times New Roman" w:cs="Times New Roman" w:eastAsia="Times New Roman" w:hint="default"/>
                <w:sz w:val="18"/>
                <w:szCs w:val="18"/>
              </w:rPr>
            </w:pPr>
            <w:r>
              <w:rPr>
                <w:rFonts w:ascii="Times New Roman"/>
                <w:sz w:val="18"/>
              </w:rPr>
              <w:t>391,245.92</w:t>
            </w:r>
          </w:p>
        </w:tc>
        <w:tc>
          <w:tcPr>
            <w:tcW w:w="935" w:type="dxa"/>
            <w:tcBorders>
              <w:top w:val="nil" w:sz="6" w:space="0" w:color="auto"/>
              <w:left w:val="nil" w:sz="6" w:space="0" w:color="auto"/>
              <w:bottom w:val="nil" w:sz="6" w:space="0" w:color="auto"/>
              <w:right w:val="nil" w:sz="6" w:space="0" w:color="auto"/>
            </w:tcBorders>
          </w:tcPr>
          <w:p>
            <w:pP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spacing w:val="-1"/>
                <w:sz w:val="18"/>
              </w:rPr>
              <w:t>6,945,496.9</w:t>
            </w:r>
          </w:p>
          <w:p>
            <w:pPr>
              <w:pStyle w:val="TableParagraph"/>
              <w:spacing w:line="240" w:lineRule="auto" w:before="105"/>
              <w:ind w:right="50"/>
              <w:jc w:val="righ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spacing w:val="-1"/>
                <w:sz w:val="18"/>
              </w:rPr>
              <w:t>6,945,496.9</w:t>
            </w:r>
          </w:p>
          <w:p>
            <w:pPr>
              <w:pStyle w:val="TableParagraph"/>
              <w:spacing w:line="240" w:lineRule="auto" w:before="105"/>
              <w:ind w:right="50"/>
              <w:jc w:val="righ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48"/>
              <w:jc w:val="right"/>
              <w:rPr>
                <w:rFonts w:ascii="Times New Roman" w:hAnsi="Times New Roman" w:cs="Times New Roman" w:eastAsia="Times New Roman" w:hint="default"/>
                <w:sz w:val="18"/>
                <w:szCs w:val="18"/>
              </w:rPr>
            </w:pPr>
            <w:r>
              <w:rPr>
                <w:rFonts w:ascii="Times New Roman"/>
                <w:spacing w:val="-1"/>
                <w:sz w:val="18"/>
              </w:rPr>
              <w:t>2,143,320.5</w:t>
            </w:r>
          </w:p>
          <w:p>
            <w:pPr>
              <w:pStyle w:val="TableParagraph"/>
              <w:spacing w:line="240" w:lineRule="auto" w:before="105"/>
              <w:ind w:right="50"/>
              <w:jc w:val="right"/>
              <w:rPr>
                <w:rFonts w:ascii="Times New Roman" w:hAnsi="Times New Roman" w:cs="Times New Roman" w:eastAsia="Times New Roman" w:hint="default"/>
                <w:sz w:val="18"/>
                <w:szCs w:val="18"/>
              </w:rPr>
            </w:pPr>
            <w:r>
              <w:rPr>
                <w:rFonts w:ascii="Times New Roman"/>
                <w:sz w:val="18"/>
              </w:rPr>
              <w:t>3</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pacing w:val="-1"/>
                <w:sz w:val="18"/>
              </w:rPr>
              <w:t>2,605,489.4</w:t>
            </w:r>
          </w:p>
          <w:p>
            <w:pPr>
              <w:pStyle w:val="TableParagraph"/>
              <w:spacing w:line="240" w:lineRule="auto" w:before="105"/>
              <w:ind w:right="52"/>
              <w:jc w:val="righ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pacing w:val="-1"/>
                <w:sz w:val="18"/>
              </w:rPr>
              <w:t>2,605,489.4</w:t>
            </w:r>
          </w:p>
          <w:p>
            <w:pPr>
              <w:pStyle w:val="TableParagraph"/>
              <w:spacing w:line="240" w:lineRule="auto" w:before="105"/>
              <w:ind w:right="52"/>
              <w:jc w:val="right"/>
              <w:rPr>
                <w:rFonts w:ascii="Times New Roman" w:hAnsi="Times New Roman" w:cs="Times New Roman" w:eastAsia="Times New Roman" w:hint="default"/>
                <w:sz w:val="18"/>
                <w:szCs w:val="18"/>
              </w:rPr>
            </w:pPr>
            <w:r>
              <w:rPr>
                <w:rFonts w:ascii="Times New Roman"/>
                <w:sz w:val="18"/>
              </w:rPr>
              <w:t>2</w:t>
            </w:r>
          </w:p>
        </w:tc>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73" w:right="0"/>
              <w:jc w:val="left"/>
              <w:rPr>
                <w:rFonts w:ascii="Times New Roman" w:hAnsi="Times New Roman" w:cs="Times New Roman" w:eastAsia="Times New Roman" w:hint="default"/>
                <w:sz w:val="18"/>
                <w:szCs w:val="18"/>
              </w:rPr>
            </w:pPr>
            <w:r>
              <w:rPr>
                <w:rFonts w:ascii="Times New Roman"/>
                <w:sz w:val="18"/>
              </w:rPr>
              <w:t>1,232.18</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1,232.18</w:t>
            </w: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9,943,464.4</w:t>
            </w:r>
          </w:p>
          <w:p>
            <w:pPr>
              <w:pStyle w:val="TableParagraph"/>
              <w:spacing w:line="240" w:lineRule="auto" w:before="105"/>
              <w:ind w:right="29"/>
              <w:jc w:val="righ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9,943,464.4</w:t>
            </w:r>
          </w:p>
          <w:p>
            <w:pPr>
              <w:pStyle w:val="TableParagraph"/>
              <w:spacing w:line="240" w:lineRule="auto" w:before="105"/>
              <w:ind w:right="29"/>
              <w:jc w:val="righ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6"/>
              <w:jc w:val="right"/>
              <w:rPr>
                <w:rFonts w:ascii="Times New Roman" w:hAnsi="Times New Roman" w:cs="Times New Roman" w:eastAsia="Times New Roman" w:hint="default"/>
                <w:sz w:val="18"/>
                <w:szCs w:val="18"/>
              </w:rPr>
            </w:pPr>
            <w:r>
              <w:rPr>
                <w:rFonts w:ascii="Times New Roman"/>
                <w:spacing w:val="-1"/>
                <w:sz w:val="18"/>
              </w:rPr>
              <w:t>2,143,320.5</w:t>
            </w:r>
          </w:p>
          <w:p>
            <w:pPr>
              <w:pStyle w:val="TableParagraph"/>
              <w:spacing w:line="240" w:lineRule="auto" w:before="105"/>
              <w:ind w:right="29"/>
              <w:jc w:val="right"/>
              <w:rPr>
                <w:rFonts w:ascii="Times New Roman" w:hAnsi="Times New Roman" w:cs="Times New Roman" w:eastAsia="Times New Roman" w:hint="default"/>
                <w:sz w:val="18"/>
                <w:szCs w:val="18"/>
              </w:rPr>
            </w:pPr>
            <w:r>
              <w:rPr>
                <w:rFonts w:ascii="Times New Roman"/>
                <w:sz w:val="18"/>
              </w:rPr>
              <w:t>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r>
        <w:rPr/>
        <w:pict>
          <v:group style="position:absolute;margin-left:104.779999pt;margin-top:72.47998pt;width:47.4pt;height:28pt;mso-position-horizontal-relative:page;mso-position-vertical-relative:page;z-index:-1243672" coordorigin="2096,1450" coordsize="948,560">
            <v:group style="position:absolute;left:2096;top:1450;width:948;height:156" coordorigin="2096,1450" coordsize="948,156">
              <v:shape style="position:absolute;left:2096;top:1450;width:948;height:156" coordorigin="2096,1450" coordsize="948,156" path="m2096,1606l3044,1606,3044,1450,2096,1450,2096,1606xe" filled="true" fillcolor="#ffffff" stroked="false">
                <v:path arrowok="t"/>
                <v:fill type="solid"/>
              </v:shape>
            </v:group>
            <v:group style="position:absolute;left:2108;top:1606;width:2;height:392" coordorigin="2108,1606" coordsize="2,392">
              <v:shape style="position:absolute;left:2108;top:1606;width:2;height:392" coordorigin="2108,1606" coordsize="0,392" path="m2108,1606l2108,1997e" filled="false" stroked="true" strokeweight="1.2pt" strokecolor="#ffffff">
                <v:path arrowok="t"/>
              </v:shape>
            </v:group>
            <v:group style="position:absolute;left:2120;top:1606;width:900;height:392" coordorigin="2120,1606" coordsize="900,392">
              <v:shape style="position:absolute;left:2120;top:1606;width:900;height:392" coordorigin="2120,1606" coordsize="900,392" path="m2120,1997l3020,1997,3020,1606,2120,1606,2120,1997xe" filled="true" fillcolor="#ffffff" stroked="false">
                <v:path arrowok="t"/>
                <v:fill type="solid"/>
              </v:shape>
            </v:group>
            <w10:wrap type="none"/>
          </v:group>
        </w:pict>
      </w:r>
      <w:r>
        <w:rPr/>
        <w:pict>
          <v:group style="position:absolute;margin-left:104.779999pt;margin-top:271.105988pt;width:47.4pt;height:28pt;mso-position-horizontal-relative:page;mso-position-vertical-relative:page;z-index:-1243648" coordorigin="2096,5422" coordsize="948,560">
            <v:group style="position:absolute;left:2096;top:5422;width:948;height:157" coordorigin="2096,5422" coordsize="948,157">
              <v:shape style="position:absolute;left:2096;top:5422;width:948;height:157" coordorigin="2096,5422" coordsize="948,157" path="m2096,5579l3044,5579,3044,5422,2096,5422,2096,5579xe" filled="true" fillcolor="#ffffff" stroked="false">
                <v:path arrowok="t"/>
                <v:fill type="solid"/>
              </v:shape>
            </v:group>
            <v:group style="position:absolute;left:2108;top:5579;width:2;height:392" coordorigin="2108,5579" coordsize="2,392">
              <v:shape style="position:absolute;left:2108;top:5579;width:2;height:392" coordorigin="2108,5579" coordsize="0,392" path="m2108,5579l2108,5970e" filled="false" stroked="true" strokeweight="1.2pt" strokecolor="#ffffff">
                <v:path arrowok="t"/>
              </v:shape>
            </v:group>
            <v:group style="position:absolute;left:2120;top:5579;width:900;height:392" coordorigin="2120,5579" coordsize="900,392">
              <v:shape style="position:absolute;left:2120;top:5579;width:900;height:392" coordorigin="2120,5579" coordsize="900,392" path="m2120,5970l3020,5970,3020,5579,2120,5579,2120,5970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957"/>
        <w:gridCol w:w="958"/>
        <w:gridCol w:w="956"/>
        <w:gridCol w:w="958"/>
        <w:gridCol w:w="958"/>
        <w:gridCol w:w="958"/>
        <w:gridCol w:w="955"/>
        <w:gridCol w:w="958"/>
        <w:gridCol w:w="958"/>
        <w:gridCol w:w="958"/>
      </w:tblGrid>
      <w:tr>
        <w:trPr>
          <w:trHeight w:val="713"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2,143,320.5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2,143,320.5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3,775,109.1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32,529,605.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229,074,254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27,193,595.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2,336,186.8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294,908,750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.78</w:t>
            </w:r>
          </w:p>
        </w:tc>
      </w:tr>
      <w:tr>
        <w:trPr>
          <w:trHeight w:val="715"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三、减值准 备</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106,167,555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.36</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106,167,555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.36</w:t>
            </w:r>
          </w:p>
        </w:tc>
      </w:tr>
      <w:tr>
        <w:trPr>
          <w:trHeight w:val="715"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6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6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7" w:right="0"/>
              <w:jc w:val="left"/>
              <w:rPr>
                <w:rFonts w:ascii="宋体" w:hAnsi="宋体" w:cs="宋体" w:eastAsia="宋体" w:hint="default"/>
                <w:sz w:val="18"/>
                <w:szCs w:val="18"/>
              </w:rPr>
            </w:pPr>
            <w:r>
              <w:rPr>
                <w:rFonts w:ascii="宋体" w:hAnsi="宋体" w:cs="宋体" w:eastAsia="宋体" w:hint="default"/>
                <w:spacing w:val="-23"/>
                <w:sz w:val="18"/>
                <w:szCs w:val="18"/>
              </w:rPr>
              <w:t>（</w:t>
            </w:r>
            <w:r>
              <w:rPr>
                <w:rFonts w:ascii="Times New Roman" w:hAnsi="Times New Roman" w:cs="Times New Roman" w:eastAsia="Times New Roman" w:hint="default"/>
                <w:spacing w:val="-23"/>
                <w:sz w:val="18"/>
                <w:szCs w:val="18"/>
              </w:rPr>
              <w:t>1</w:t>
            </w:r>
            <w:r>
              <w:rPr>
                <w:rFonts w:ascii="宋体" w:hAnsi="宋体" w:cs="宋体" w:eastAsia="宋体" w:hint="default"/>
                <w:spacing w:val="-23"/>
                <w:sz w:val="18"/>
                <w:szCs w:val="18"/>
              </w:rPr>
              <w:t>）处</w:t>
            </w:r>
            <w:r>
              <w:rPr>
                <w:rFonts w:ascii="宋体" w:hAnsi="宋体" w:cs="宋体" w:eastAsia="宋体" w:hint="default"/>
                <w:sz w:val="18"/>
                <w:szCs w:val="18"/>
              </w:rPr>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106,167,555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.36</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106,167,555</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.36</w:t>
            </w:r>
          </w:p>
        </w:tc>
      </w:tr>
      <w:tr>
        <w:trPr>
          <w:trHeight w:val="713"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z w:val="18"/>
                <w:szCs w:val="18"/>
              </w:rPr>
              <w:t>四、账面价 值</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6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 账面价值</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6,225,164.4</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3,800,000.0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2,008,600.9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8,333.55</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12,042,098.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93</w:t>
            </w:r>
          </w:p>
        </w:tc>
      </w:tr>
      <w:tr>
        <w:trPr>
          <w:trHeight w:val="715"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6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 账面价值</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135,744.63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8,954,097.8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2,613,822.9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1,232.18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15,504,897.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60</w:t>
            </w:r>
          </w:p>
        </w:tc>
      </w:tr>
    </w:tbl>
    <w:p>
      <w:pPr>
        <w:spacing w:before="49"/>
        <w:ind w:left="152" w:right="996" w:firstLine="0"/>
        <w:jc w:val="left"/>
        <w:rPr>
          <w:rFonts w:ascii="宋体" w:hAnsi="宋体" w:cs="宋体" w:eastAsia="宋体" w:hint="default"/>
          <w:sz w:val="18"/>
          <w:szCs w:val="18"/>
        </w:rPr>
      </w:pPr>
      <w:r>
        <w:rPr>
          <w:rFonts w:ascii="宋体" w:hAnsi="宋体" w:cs="宋体" w:eastAsia="宋体" w:hint="default"/>
          <w:sz w:val="18"/>
          <w:szCs w:val="18"/>
        </w:rPr>
        <w:t>本年末无公司内部研发形成的无形资产。</w:t>
      </w:r>
    </w:p>
    <w:p>
      <w:pPr>
        <w:spacing w:line="340" w:lineRule="auto" w:before="115"/>
        <w:ind w:left="152" w:right="2114"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公司需遵守《深圳证券交易所创业板行业信息披露指引第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 前五名游戏情况</w:t>
      </w:r>
    </w:p>
    <w:p>
      <w:pPr>
        <w:pStyle w:val="BodyText"/>
        <w:spacing w:line="240" w:lineRule="auto" w:before="91"/>
        <w:ind w:left="592" w:right="996"/>
        <w:jc w:val="left"/>
      </w:pPr>
      <w:r>
        <w:rPr/>
        <w:t>（</w:t>
      </w:r>
      <w:r>
        <w:rPr>
          <w:rFonts w:ascii="Times New Roman" w:hAnsi="Times New Roman" w:cs="Times New Roman" w:eastAsia="Times New Roman" w:hint="default"/>
        </w:rPr>
        <w:t>2</w:t>
      </w:r>
      <w:r>
        <w:rPr/>
        <w:t>）年末无形资产前五名游戏情况：</w:t>
      </w:r>
    </w:p>
    <w:p>
      <w:pPr>
        <w:spacing w:line="240" w:lineRule="auto" w:before="5"/>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419"/>
        <w:gridCol w:w="1844"/>
        <w:gridCol w:w="1983"/>
        <w:gridCol w:w="1560"/>
        <w:gridCol w:w="1561"/>
        <w:gridCol w:w="1274"/>
      </w:tblGrid>
      <w:tr>
        <w:trPr>
          <w:trHeight w:val="34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02" w:right="0"/>
              <w:jc w:val="left"/>
              <w:rPr>
                <w:rFonts w:ascii="宋体" w:hAnsi="宋体" w:cs="宋体" w:eastAsia="宋体" w:hint="default"/>
                <w:sz w:val="20"/>
                <w:szCs w:val="20"/>
              </w:rPr>
            </w:pPr>
            <w:r>
              <w:rPr>
                <w:rFonts w:ascii="宋体" w:hAnsi="宋体" w:cs="宋体" w:eastAsia="宋体" w:hint="default"/>
                <w:b/>
                <w:bCs/>
                <w:sz w:val="20"/>
                <w:szCs w:val="20"/>
              </w:rPr>
              <w:t>游戏名称</w:t>
            </w:r>
            <w:r>
              <w:rPr>
                <w:rFonts w:ascii="宋体" w:hAnsi="宋体" w:cs="宋体" w:eastAsia="宋体" w:hint="default"/>
                <w:sz w:val="20"/>
                <w:szCs w:val="20"/>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13"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2019</w:t>
            </w:r>
            <w:r>
              <w:rPr>
                <w:rFonts w:ascii="宋体" w:hAnsi="宋体" w:cs="宋体" w:eastAsia="宋体" w:hint="default"/>
                <w:b/>
                <w:bCs/>
                <w:sz w:val="20"/>
                <w:szCs w:val="20"/>
              </w:rPr>
              <w:t>年账面余额</w:t>
            </w:r>
            <w:r>
              <w:rPr>
                <w:rFonts w:ascii="宋体" w:hAnsi="宋体" w:cs="宋体" w:eastAsia="宋体" w:hint="default"/>
                <w:sz w:val="20"/>
                <w:szCs w:val="20"/>
              </w:rPr>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9"/>
              <w:jc w:val="right"/>
              <w:rPr>
                <w:rFonts w:ascii="宋体" w:hAnsi="宋体" w:cs="宋体" w:eastAsia="宋体" w:hint="default"/>
                <w:sz w:val="20"/>
                <w:szCs w:val="20"/>
              </w:rPr>
            </w:pPr>
            <w:r>
              <w:rPr>
                <w:rFonts w:ascii="宋体" w:hAnsi="宋体" w:cs="宋体" w:eastAsia="宋体" w:hint="default"/>
                <w:b/>
                <w:bCs/>
                <w:w w:val="95"/>
                <w:sz w:val="20"/>
                <w:szCs w:val="20"/>
              </w:rPr>
              <w:t>占游戏产品比重（</w:t>
            </w:r>
            <w:r>
              <w:rPr>
                <w:rFonts w:ascii="Times New Roman" w:hAnsi="Times New Roman" w:cs="Times New Roman" w:eastAsia="Times New Roman" w:hint="default"/>
                <w:b/>
                <w:bCs/>
                <w:w w:val="95"/>
                <w:sz w:val="20"/>
                <w:szCs w:val="20"/>
              </w:rPr>
              <w:t>%</w:t>
            </w:r>
            <w:r>
              <w:rPr>
                <w:rFonts w:ascii="宋体" w:hAnsi="宋体" w:cs="宋体" w:eastAsia="宋体" w:hint="default"/>
                <w:b/>
                <w:bCs/>
                <w:w w:val="95"/>
                <w:sz w:val="20"/>
                <w:szCs w:val="20"/>
              </w:rPr>
              <w:t>）</w:t>
            </w:r>
            <w:r>
              <w:rPr>
                <w:rFonts w:ascii="宋体" w:hAnsi="宋体" w:cs="宋体" w:eastAsia="宋体" w:hint="default"/>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74" w:right="0"/>
              <w:jc w:val="left"/>
              <w:rPr>
                <w:rFonts w:ascii="宋体" w:hAnsi="宋体" w:cs="宋体" w:eastAsia="宋体" w:hint="default"/>
                <w:sz w:val="20"/>
                <w:szCs w:val="20"/>
              </w:rPr>
            </w:pPr>
            <w:r>
              <w:rPr>
                <w:rFonts w:ascii="宋体" w:hAnsi="宋体" w:cs="宋体" w:eastAsia="宋体" w:hint="default"/>
                <w:b/>
                <w:bCs/>
                <w:sz w:val="20"/>
                <w:szCs w:val="20"/>
              </w:rPr>
              <w:t>累计摊销</w:t>
            </w:r>
            <w:r>
              <w:rPr>
                <w:rFonts w:ascii="宋体" w:hAnsi="宋体" w:cs="宋体" w:eastAsia="宋体" w:hint="default"/>
                <w:sz w:val="20"/>
                <w:szCs w:val="20"/>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74" w:right="0"/>
              <w:jc w:val="left"/>
              <w:rPr>
                <w:rFonts w:ascii="宋体" w:hAnsi="宋体" w:cs="宋体" w:eastAsia="宋体" w:hint="default"/>
                <w:sz w:val="20"/>
                <w:szCs w:val="20"/>
              </w:rPr>
            </w:pPr>
            <w:r>
              <w:rPr>
                <w:rFonts w:ascii="宋体" w:hAnsi="宋体" w:cs="宋体" w:eastAsia="宋体" w:hint="default"/>
                <w:b/>
                <w:bCs/>
                <w:sz w:val="20"/>
                <w:szCs w:val="20"/>
              </w:rPr>
              <w:t>减值准备</w:t>
            </w:r>
            <w:r>
              <w:rPr>
                <w:rFonts w:ascii="宋体" w:hAnsi="宋体" w:cs="宋体" w:eastAsia="宋体" w:hint="default"/>
                <w:sz w:val="20"/>
                <w:szCs w:val="20"/>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32"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r>
      <w:tr>
        <w:trPr>
          <w:trHeight w:val="34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战争世界</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
              <w:jc w:val="right"/>
              <w:rPr>
                <w:rFonts w:ascii="Times New Roman" w:hAnsi="Times New Roman" w:cs="Times New Roman" w:eastAsia="Times New Roman" w:hint="default"/>
                <w:sz w:val="20"/>
                <w:szCs w:val="20"/>
              </w:rPr>
            </w:pPr>
            <w:r>
              <w:rPr>
                <w:rFonts w:ascii="Times New Roman"/>
                <w:w w:val="95"/>
                <w:sz w:val="20"/>
              </w:rPr>
              <w:t>39,615,912.46</w:t>
            </w:r>
            <w:r>
              <w:rPr>
                <w:rFonts w:ascii="Times New Roman"/>
                <w:sz w:val="20"/>
              </w:rPr>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sz w:val="20"/>
              </w:rPr>
              <w:t>11.75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21,435,888.06</w:t>
            </w:r>
            <w:r>
              <w:rPr>
                <w:rFonts w:ascii="Times New Roman"/>
                <w:sz w:val="20"/>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18,180,024.40</w:t>
            </w:r>
            <w:r>
              <w:rPr>
                <w:rFonts w:ascii="Times New Roman"/>
                <w:sz w:val="20"/>
              </w:rPr>
            </w: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兵王</w:t>
            </w:r>
            <w:r>
              <w:rPr>
                <w:rFonts w:ascii="Times New Roman" w:hAnsi="Times New Roman" w:cs="Times New Roman" w:eastAsia="Times New Roman" w:hint="default"/>
                <w:sz w:val="20"/>
                <w:szCs w:val="20"/>
              </w:rPr>
              <w:t>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
              <w:jc w:val="right"/>
              <w:rPr>
                <w:rFonts w:ascii="Times New Roman" w:hAnsi="Times New Roman" w:cs="Times New Roman" w:eastAsia="Times New Roman" w:hint="default"/>
                <w:sz w:val="20"/>
                <w:szCs w:val="20"/>
              </w:rPr>
            </w:pPr>
            <w:r>
              <w:rPr>
                <w:rFonts w:ascii="Times New Roman"/>
                <w:w w:val="95"/>
                <w:sz w:val="20"/>
              </w:rPr>
              <w:t>22,001,410.25</w:t>
            </w:r>
            <w:r>
              <w:rPr>
                <w:rFonts w:ascii="Times New Roman"/>
                <w:sz w:val="20"/>
              </w:rPr>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sz w:val="20"/>
              </w:rPr>
              <w:t>6.52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19,302,862.65</w:t>
            </w:r>
            <w:r>
              <w:rPr>
                <w:rFonts w:ascii="Times New Roman"/>
                <w:sz w:val="20"/>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1,798,286.73</w:t>
            </w:r>
            <w:r>
              <w:rPr>
                <w:rFonts w:ascii="Times New Roman"/>
                <w:sz w:val="20"/>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900,260.87</w:t>
            </w:r>
            <w:r>
              <w:rPr>
                <w:rFonts w:ascii="Times New Roman"/>
                <w:sz w:val="20"/>
              </w:rPr>
            </w:r>
          </w:p>
        </w:tc>
      </w:tr>
      <w:tr>
        <w:trPr>
          <w:trHeight w:val="34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剑魂</w:t>
            </w:r>
            <w:r>
              <w:rPr>
                <w:rFonts w:ascii="Times New Roman" w:hAnsi="Times New Roman" w:cs="Times New Roman" w:eastAsia="Times New Roman" w:hint="default"/>
                <w:sz w:val="20"/>
                <w:szCs w:val="20"/>
              </w:rPr>
              <w:t>/</w:t>
            </w:r>
            <w:r>
              <w:rPr>
                <w:rFonts w:ascii="宋体" w:hAnsi="宋体" w:cs="宋体" w:eastAsia="宋体" w:hint="default"/>
                <w:sz w:val="20"/>
                <w:szCs w:val="20"/>
              </w:rPr>
              <w:t>裂天之刃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
              <w:jc w:val="right"/>
              <w:rPr>
                <w:rFonts w:ascii="Times New Roman" w:hAnsi="Times New Roman" w:cs="Times New Roman" w:eastAsia="Times New Roman" w:hint="default"/>
                <w:sz w:val="20"/>
                <w:szCs w:val="20"/>
              </w:rPr>
            </w:pPr>
            <w:r>
              <w:rPr>
                <w:rFonts w:ascii="Times New Roman"/>
                <w:w w:val="95"/>
                <w:sz w:val="20"/>
              </w:rPr>
              <w:t>19,507,941.26</w:t>
            </w:r>
            <w:r>
              <w:rPr>
                <w:rFonts w:ascii="Times New Roman"/>
                <w:sz w:val="20"/>
              </w:rPr>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sz w:val="20"/>
              </w:rPr>
              <w:t>5.78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5,824,267.63</w:t>
            </w:r>
            <w:r>
              <w:rPr>
                <w:rFonts w:ascii="Times New Roman"/>
                <w:sz w:val="20"/>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13,683,673.63</w:t>
            </w:r>
            <w:r>
              <w:rPr>
                <w:rFonts w:ascii="Times New Roman"/>
                <w:sz w:val="20"/>
              </w:rPr>
            </w: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二战</w:t>
            </w:r>
            <w:r>
              <w:rPr>
                <w:rFonts w:ascii="Times New Roman" w:hAnsi="Times New Roman" w:cs="Times New Roman" w:eastAsia="Times New Roman" w:hint="default"/>
                <w:sz w:val="20"/>
                <w:szCs w:val="20"/>
              </w:rPr>
              <w:t>OL</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
              <w:jc w:val="right"/>
              <w:rPr>
                <w:rFonts w:ascii="Times New Roman" w:hAnsi="Times New Roman" w:cs="Times New Roman" w:eastAsia="Times New Roman" w:hint="default"/>
                <w:sz w:val="20"/>
                <w:szCs w:val="20"/>
              </w:rPr>
            </w:pPr>
            <w:r>
              <w:rPr>
                <w:rFonts w:ascii="Times New Roman"/>
                <w:w w:val="95"/>
                <w:sz w:val="20"/>
              </w:rPr>
              <w:t>15,237,047.69</w:t>
            </w:r>
            <w:r>
              <w:rPr>
                <w:rFonts w:ascii="Times New Roman"/>
                <w:sz w:val="20"/>
              </w:rPr>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sz w:val="20"/>
              </w:rPr>
              <w:t>4.52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7,680,812.55</w:t>
            </w:r>
            <w:r>
              <w:rPr>
                <w:rFonts w:ascii="Times New Roman"/>
                <w:sz w:val="20"/>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7,556,235.14</w:t>
            </w:r>
            <w:r>
              <w:rPr>
                <w:rFonts w:ascii="Times New Roman"/>
                <w:sz w:val="20"/>
              </w:rPr>
            </w: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热血世界</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
              <w:jc w:val="right"/>
              <w:rPr>
                <w:rFonts w:ascii="Times New Roman" w:hAnsi="Times New Roman" w:cs="Times New Roman" w:eastAsia="Times New Roman" w:hint="default"/>
                <w:sz w:val="20"/>
                <w:szCs w:val="20"/>
              </w:rPr>
            </w:pPr>
            <w:r>
              <w:rPr>
                <w:rFonts w:ascii="Times New Roman"/>
                <w:w w:val="95"/>
                <w:sz w:val="20"/>
              </w:rPr>
              <w:t>15,000,000.00</w:t>
            </w:r>
            <w:r>
              <w:rPr>
                <w:rFonts w:ascii="Times New Roman"/>
                <w:sz w:val="20"/>
              </w:rPr>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sz w:val="20"/>
              </w:rPr>
              <w:t>4.45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11,261,326.72</w:t>
            </w:r>
            <w:r>
              <w:rPr>
                <w:rFonts w:ascii="Times New Roman"/>
                <w:sz w:val="20"/>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3,738,673.28</w:t>
            </w:r>
            <w:r>
              <w:rPr>
                <w:rFonts w:ascii="Times New Roman"/>
                <w:sz w:val="20"/>
              </w:rPr>
            </w: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b/>
                <w:w w:val="95"/>
                <w:sz w:val="20"/>
              </w:rPr>
              <w:t>111,362,311.66</w:t>
            </w:r>
            <w:r>
              <w:rPr>
                <w:rFonts w:ascii="Times New Roman"/>
                <w:sz w:val="20"/>
              </w:rPr>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sz w:val="20"/>
              </w:rPr>
              <w:t>33.02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b/>
                <w:w w:val="95"/>
                <w:sz w:val="20"/>
              </w:rPr>
              <w:t>65,505,157.61</w:t>
            </w:r>
            <w:r>
              <w:rPr>
                <w:rFonts w:ascii="Times New Roman"/>
                <w:sz w:val="20"/>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b/>
                <w:w w:val="95"/>
                <w:sz w:val="20"/>
              </w:rPr>
              <w:t>44,956,893.18</w:t>
            </w:r>
            <w:r>
              <w:rPr>
                <w:rFonts w:ascii="Times New Roman"/>
                <w:sz w:val="20"/>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b/>
                <w:w w:val="95"/>
                <w:sz w:val="20"/>
              </w:rPr>
              <w:t>900,260.87</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、商誉</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）商誉账面原值</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317" w:hRule="exact"/>
        </w:trPr>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6"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0" w:hRule="exact"/>
        </w:trPr>
        <w:tc>
          <w:tcPr>
            <w:tcW w:w="1344"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1" w:hRule="exact"/>
        </w:trPr>
        <w:tc>
          <w:tcPr>
            <w:tcW w:w="1344"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47"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深圳苏摩</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77,605,352.01</w:t>
            </w:r>
          </w:p>
        </w:tc>
        <w:tc>
          <w:tcPr>
            <w:tcW w:w="1368" w:type="dxa"/>
            <w:tcBorders>
              <w:top w:val="single" w:sz="48" w:space="0" w:color="D2D2D2"/>
              <w:left w:val="single" w:sz="4" w:space="0" w:color="000000"/>
              <w:bottom w:val="single" w:sz="4" w:space="0" w:color="000000"/>
              <w:right w:val="single" w:sz="4" w:space="0" w:color="000000"/>
            </w:tcBorders>
          </w:tcPr>
          <w:p>
            <w:pPr/>
          </w:p>
        </w:tc>
        <w:tc>
          <w:tcPr>
            <w:tcW w:w="1366" w:type="dxa"/>
            <w:tcBorders>
              <w:top w:val="single" w:sz="48" w:space="0" w:color="D2D2D2"/>
              <w:left w:val="single" w:sz="4" w:space="0" w:color="000000"/>
              <w:bottom w:val="single" w:sz="4" w:space="0" w:color="000000"/>
              <w:right w:val="single" w:sz="4" w:space="0" w:color="000000"/>
            </w:tcBorders>
          </w:tcPr>
          <w:p>
            <w:pPr/>
          </w:p>
        </w:tc>
        <w:tc>
          <w:tcPr>
            <w:tcW w:w="1368" w:type="dxa"/>
            <w:tcBorders>
              <w:top w:val="single" w:sz="48" w:space="0" w:color="D2D2D2"/>
              <w:left w:val="single" w:sz="4" w:space="0" w:color="000000"/>
              <w:bottom w:val="single" w:sz="4" w:space="0" w:color="000000"/>
              <w:right w:val="single" w:sz="4" w:space="0" w:color="000000"/>
            </w:tcBorders>
          </w:tcPr>
          <w:p>
            <w:pPr/>
          </w:p>
        </w:tc>
        <w:tc>
          <w:tcPr>
            <w:tcW w:w="1369" w:type="dxa"/>
            <w:tcBorders>
              <w:top w:val="single" w:sz="48" w:space="0" w:color="D2D2D2"/>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77,605,352.01</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深圳娱游</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11,236.84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11,236.84</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77,605,352.01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11,236.84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77,616,588.85</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）商誉减值准备</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317" w:hRule="exact"/>
        </w:trPr>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6"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2" w:hRule="exact"/>
        </w:trPr>
        <w:tc>
          <w:tcPr>
            <w:tcW w:w="1344"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2" w:hRule="exact"/>
        </w:trPr>
        <w:tc>
          <w:tcPr>
            <w:tcW w:w="1344"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深圳苏摩</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51,876,972.69</w:t>
            </w:r>
          </w:p>
        </w:tc>
        <w:tc>
          <w:tcPr>
            <w:tcW w:w="1368" w:type="dxa"/>
            <w:tcBorders>
              <w:top w:val="single" w:sz="45" w:space="0" w:color="D2D2D2"/>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1,244,196.08</w:t>
            </w:r>
          </w:p>
        </w:tc>
        <w:tc>
          <w:tcPr>
            <w:tcW w:w="1366" w:type="dxa"/>
            <w:tcBorders>
              <w:top w:val="single" w:sz="45" w:space="0" w:color="D2D2D2"/>
              <w:left w:val="single" w:sz="4" w:space="0" w:color="000000"/>
              <w:bottom w:val="single" w:sz="4" w:space="0" w:color="000000"/>
              <w:right w:val="single" w:sz="4" w:space="0" w:color="000000"/>
            </w:tcBorders>
          </w:tcPr>
          <w:p>
            <w:pPr/>
          </w:p>
        </w:tc>
        <w:tc>
          <w:tcPr>
            <w:tcW w:w="1368" w:type="dxa"/>
            <w:tcBorders>
              <w:top w:val="single" w:sz="45" w:space="0" w:color="D2D2D2"/>
              <w:left w:val="single" w:sz="4" w:space="0" w:color="000000"/>
              <w:bottom w:val="single" w:sz="4" w:space="0" w:color="000000"/>
              <w:right w:val="single" w:sz="4" w:space="0" w:color="000000"/>
            </w:tcBorders>
          </w:tcPr>
          <w:p>
            <w:pPr/>
          </w:p>
        </w:tc>
        <w:tc>
          <w:tcPr>
            <w:tcW w:w="1369" w:type="dxa"/>
            <w:tcBorders>
              <w:top w:val="single" w:sz="45" w:space="0" w:color="D2D2D2"/>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53,121,168.77</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深圳娱游</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51,876,972.69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1,244,196.08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53,121,168.77</w:t>
            </w:r>
          </w:p>
        </w:tc>
      </w:tr>
    </w:tbl>
    <w:p>
      <w:pPr>
        <w:spacing w:before="49"/>
        <w:ind w:left="152" w:right="996" w:firstLine="0"/>
        <w:jc w:val="left"/>
        <w:rPr>
          <w:rFonts w:ascii="宋体" w:hAnsi="宋体" w:cs="宋体" w:eastAsia="宋体" w:hint="default"/>
          <w:sz w:val="18"/>
          <w:szCs w:val="18"/>
        </w:rPr>
      </w:pPr>
      <w:r>
        <w:rPr>
          <w:rFonts w:ascii="宋体" w:hAnsi="宋体" w:cs="宋体" w:eastAsia="宋体" w:hint="default"/>
          <w:sz w:val="18"/>
          <w:szCs w:val="18"/>
        </w:rPr>
        <w:t>商誉所在资产组或资产组组合的相关信息</w:t>
      </w:r>
    </w:p>
    <w:p>
      <w:pPr>
        <w:pStyle w:val="BodyText"/>
        <w:spacing w:line="430" w:lineRule="atLeast" w:before="147"/>
        <w:ind w:left="592" w:right="996"/>
        <w:jc w:val="left"/>
      </w:pPr>
      <w:r>
        <w:rPr/>
        <w:t>商誉减值说明：</w:t>
      </w:r>
      <w:r>
        <w:rPr>
          <w:spacing w:val="-108"/>
        </w:rPr>
        <w:t> </w:t>
      </w:r>
      <w:r>
        <w:rPr>
          <w:spacing w:val="-108"/>
        </w:rPr>
      </w:r>
      <w:r>
        <w:rPr>
          <w:spacing w:val="-2"/>
        </w:rPr>
        <w:t>公司期末对与商誉相关的各资产组进行了减值测试，首先将该商誉及归属于少数股东权益的商誉</w:t>
      </w:r>
    </w:p>
    <w:p>
      <w:pPr>
        <w:pStyle w:val="BodyText"/>
        <w:spacing w:line="259" w:lineRule="auto" w:before="24"/>
        <w:ind w:right="996"/>
        <w:jc w:val="left"/>
      </w:pPr>
      <w:r>
        <w:rPr>
          <w:spacing w:val="-1"/>
        </w:rPr>
        <w:t>包括在内，调整各资产组的账面价值，然后将调整后的各资产组账面价值与其可收回金额进行比较，</w:t>
      </w:r>
      <w:r>
        <w:rPr>
          <w:spacing w:val="-73"/>
        </w:rPr>
        <w:t> </w:t>
      </w:r>
      <w:r>
        <w:rPr>
          <w:spacing w:val="-73"/>
        </w:rPr>
      </w:r>
      <w:r>
        <w:rPr/>
        <w:t>以确定各资产组（包括商誉）是否发生了减值。</w:t>
      </w:r>
    </w:p>
    <w:p>
      <w:pPr>
        <w:spacing w:line="240" w:lineRule="auto" w:before="11"/>
        <w:rPr>
          <w:rFonts w:ascii="宋体" w:hAnsi="宋体" w:cs="宋体" w:eastAsia="宋体" w:hint="default"/>
          <w:sz w:val="18"/>
          <w:szCs w:val="18"/>
        </w:rPr>
      </w:pPr>
    </w:p>
    <w:p>
      <w:pPr>
        <w:pStyle w:val="BodyText"/>
        <w:spacing w:line="340" w:lineRule="auto"/>
        <w:ind w:left="592" w:right="8124"/>
        <w:jc w:val="left"/>
      </w:pPr>
      <w:r>
        <w:rPr>
          <w:rFonts w:ascii="Times New Roman" w:hAnsi="Times New Roman" w:cs="Times New Roman" w:eastAsia="Times New Roman" w:hint="default"/>
        </w:rPr>
        <w:t>1</w:t>
      </w:r>
      <w:r>
        <w:rPr/>
        <w:t>）深圳苏摩商誉减值</w:t>
      </w:r>
      <w:r>
        <w:rPr>
          <w:w w:val="100"/>
        </w:rPr>
        <w:t> </w:t>
      </w:r>
      <w:r>
        <w:rPr>
          <w:spacing w:val="-1"/>
        </w:rPr>
        <w:t>商誉减值测试情况表：</w:t>
      </w:r>
    </w:p>
    <w:p>
      <w:pPr>
        <w:spacing w:line="240" w:lineRule="auto" w:before="8"/>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5425"/>
        <w:gridCol w:w="3301"/>
      </w:tblGrid>
      <w:tr>
        <w:trPr>
          <w:trHeight w:val="341" w:hRule="exact"/>
        </w:trPr>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 w:right="0"/>
              <w:jc w:val="center"/>
              <w:rPr>
                <w:rFonts w:ascii="宋体" w:hAnsi="宋体" w:cs="宋体" w:eastAsia="宋体" w:hint="default"/>
                <w:sz w:val="20"/>
                <w:szCs w:val="20"/>
              </w:rPr>
            </w:pPr>
            <w:r>
              <w:rPr>
                <w:rFonts w:ascii="宋体" w:hAnsi="宋体" w:cs="宋体" w:eastAsia="宋体" w:hint="default"/>
                <w:b/>
                <w:bCs/>
                <w:sz w:val="20"/>
                <w:szCs w:val="20"/>
              </w:rPr>
              <w:t>深圳苏摩</w:t>
            </w:r>
            <w:r>
              <w:rPr>
                <w:rFonts w:ascii="宋体" w:hAnsi="宋体" w:cs="宋体" w:eastAsia="宋体" w:hint="default"/>
                <w:sz w:val="20"/>
                <w:szCs w:val="20"/>
              </w:rPr>
            </w:r>
          </w:p>
        </w:tc>
      </w:tr>
      <w:tr>
        <w:trPr>
          <w:trHeight w:val="343" w:hRule="exact"/>
        </w:trPr>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宋体" w:hAnsi="宋体" w:cs="宋体" w:eastAsia="宋体" w:hint="default"/>
                <w:sz w:val="20"/>
                <w:szCs w:val="20"/>
              </w:rPr>
              <w:t>商誉账面余额（</w:t>
            </w:r>
            <w:r>
              <w:rPr>
                <w:rFonts w:ascii="Times New Roman" w:hAnsi="Times New Roman" w:cs="Times New Roman" w:eastAsia="Times New Roman" w:hint="default"/>
                <w:sz w:val="20"/>
                <w:szCs w:val="20"/>
              </w:rPr>
              <w:t>1</w:t>
            </w:r>
            <w:r>
              <w:rPr>
                <w:rFonts w:ascii="宋体" w:hAnsi="宋体" w:cs="宋体" w:eastAsia="宋体" w:hint="default"/>
                <w:sz w:val="20"/>
                <w:szCs w:val="20"/>
              </w:rPr>
              <w:t>）</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77,605,352.01</w:t>
            </w:r>
            <w:r>
              <w:rPr>
                <w:rFonts w:ascii="Times New Roman"/>
                <w:sz w:val="20"/>
              </w:rPr>
            </w:r>
          </w:p>
        </w:tc>
      </w:tr>
      <w:tr>
        <w:trPr>
          <w:trHeight w:val="341" w:hRule="exact"/>
        </w:trPr>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商誉减值准备余额（</w:t>
            </w:r>
            <w:r>
              <w:rPr>
                <w:rFonts w:ascii="Times New Roman" w:hAnsi="Times New Roman" w:cs="Times New Roman" w:eastAsia="Times New Roman" w:hint="default"/>
                <w:sz w:val="20"/>
                <w:szCs w:val="20"/>
              </w:rPr>
              <w:t>2</w:t>
            </w:r>
            <w:r>
              <w:rPr>
                <w:rFonts w:ascii="宋体" w:hAnsi="宋体" w:cs="宋体" w:eastAsia="宋体" w:hint="default"/>
                <w:sz w:val="20"/>
                <w:szCs w:val="20"/>
              </w:rPr>
              <w:t>）</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51,876,972.69</w:t>
            </w:r>
            <w:r>
              <w:rPr>
                <w:rFonts w:ascii="Times New Roman"/>
                <w:sz w:val="20"/>
              </w:rPr>
            </w:r>
          </w:p>
        </w:tc>
      </w:tr>
      <w:tr>
        <w:trPr>
          <w:trHeight w:val="344" w:hRule="exact"/>
        </w:trPr>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宋体" w:hAnsi="宋体" w:cs="宋体" w:eastAsia="宋体" w:hint="default"/>
                <w:sz w:val="20"/>
                <w:szCs w:val="20"/>
              </w:rPr>
              <w:t>商誉的账面价值（</w:t>
            </w:r>
            <w:r>
              <w:rPr>
                <w:rFonts w:ascii="Times New Roman" w:hAnsi="Times New Roman" w:cs="Times New Roman" w:eastAsia="Times New Roman" w:hint="default"/>
                <w:sz w:val="20"/>
                <w:szCs w:val="20"/>
              </w:rPr>
              <w:t>3</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1</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2</w:t>
            </w:r>
            <w:r>
              <w:rPr>
                <w:rFonts w:ascii="宋体" w:hAnsi="宋体" w:cs="宋体" w:eastAsia="宋体" w:hint="default"/>
                <w:sz w:val="20"/>
                <w:szCs w:val="20"/>
              </w:rPr>
              <w:t>）</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25,728,379.32</w:t>
            </w:r>
            <w:r>
              <w:rPr>
                <w:rFonts w:ascii="Times New Roman"/>
                <w:sz w:val="20"/>
              </w:rPr>
            </w:r>
          </w:p>
        </w:tc>
      </w:tr>
      <w:tr>
        <w:trPr>
          <w:trHeight w:val="341" w:hRule="exact"/>
        </w:trPr>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未确认归属于少数股东权益的商誉价值（</w:t>
            </w:r>
            <w:r>
              <w:rPr>
                <w:rFonts w:ascii="Times New Roman" w:hAnsi="Times New Roman" w:cs="Times New Roman" w:eastAsia="Times New Roman" w:hint="default"/>
                <w:sz w:val="20"/>
                <w:szCs w:val="20"/>
              </w:rPr>
              <w:t>4</w:t>
            </w:r>
            <w:r>
              <w:rPr>
                <w:rFonts w:ascii="宋体" w:hAnsi="宋体" w:cs="宋体" w:eastAsia="宋体" w:hint="default"/>
                <w:sz w:val="20"/>
                <w:szCs w:val="20"/>
              </w:rPr>
              <w:t>）</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24,719,423.27</w:t>
            </w:r>
            <w:r>
              <w:rPr>
                <w:rFonts w:ascii="Times New Roman"/>
                <w:sz w:val="20"/>
              </w:rPr>
            </w:r>
          </w:p>
        </w:tc>
      </w:tr>
      <w:tr>
        <w:trPr>
          <w:trHeight w:val="343" w:hRule="exact"/>
        </w:trPr>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宋体" w:hAnsi="宋体" w:cs="宋体" w:eastAsia="宋体" w:hint="default"/>
                <w:sz w:val="20"/>
                <w:szCs w:val="20"/>
              </w:rPr>
              <w:t>包含未确认少数股东权益的商誉价值（</w:t>
            </w:r>
            <w:r>
              <w:rPr>
                <w:rFonts w:ascii="Times New Roman" w:hAnsi="Times New Roman" w:cs="Times New Roman" w:eastAsia="Times New Roman" w:hint="default"/>
                <w:sz w:val="20"/>
                <w:szCs w:val="20"/>
              </w:rPr>
              <w:t>5</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3</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4</w:t>
            </w:r>
            <w:r>
              <w:rPr>
                <w:rFonts w:ascii="宋体" w:hAnsi="宋体" w:cs="宋体" w:eastAsia="宋体" w:hint="default"/>
                <w:sz w:val="20"/>
                <w:szCs w:val="20"/>
              </w:rPr>
              <w:t>）</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50,447,802.59</w:t>
            </w:r>
            <w:r>
              <w:rPr>
                <w:rFonts w:ascii="Times New Roman"/>
                <w:sz w:val="20"/>
              </w:rPr>
            </w:r>
          </w:p>
        </w:tc>
      </w:tr>
      <w:tr>
        <w:trPr>
          <w:trHeight w:val="341" w:hRule="exact"/>
        </w:trPr>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资产组的账面价值（</w:t>
            </w:r>
            <w:r>
              <w:rPr>
                <w:rFonts w:ascii="Times New Roman" w:hAnsi="Times New Roman" w:cs="Times New Roman" w:eastAsia="Times New Roman" w:hint="default"/>
                <w:sz w:val="20"/>
                <w:szCs w:val="20"/>
              </w:rPr>
              <w:t>6</w:t>
            </w:r>
            <w:r>
              <w:rPr>
                <w:rFonts w:ascii="宋体" w:hAnsi="宋体" w:cs="宋体" w:eastAsia="宋体" w:hint="default"/>
                <w:sz w:val="20"/>
                <w:szCs w:val="20"/>
              </w:rPr>
              <w:t>）</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2,287,297.57</w:t>
            </w:r>
            <w:r>
              <w:rPr>
                <w:rFonts w:ascii="Times New Roman"/>
                <w:sz w:val="20"/>
              </w:rPr>
            </w:r>
          </w:p>
        </w:tc>
      </w:tr>
      <w:tr>
        <w:trPr>
          <w:trHeight w:val="343" w:hRule="exact"/>
        </w:trPr>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宋体" w:hAnsi="宋体" w:cs="宋体" w:eastAsia="宋体" w:hint="default"/>
                <w:sz w:val="20"/>
                <w:szCs w:val="20"/>
              </w:rPr>
              <w:t>包含整体商誉的资产组的公允价值（</w:t>
            </w:r>
            <w:r>
              <w:rPr>
                <w:rFonts w:ascii="Times New Roman" w:hAnsi="Times New Roman" w:cs="Times New Roman" w:eastAsia="Times New Roman" w:hint="default"/>
                <w:sz w:val="20"/>
                <w:szCs w:val="20"/>
              </w:rPr>
              <w:t>7</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5</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6</w:t>
            </w:r>
            <w:r>
              <w:rPr>
                <w:rFonts w:ascii="宋体" w:hAnsi="宋体" w:cs="宋体" w:eastAsia="宋体" w:hint="default"/>
                <w:sz w:val="20"/>
                <w:szCs w:val="20"/>
              </w:rPr>
              <w:t>）</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52,735,100.16</w:t>
            </w:r>
            <w:r>
              <w:rPr>
                <w:rFonts w:ascii="Times New Roman"/>
                <w:sz w:val="20"/>
              </w:rPr>
            </w:r>
          </w:p>
        </w:tc>
      </w:tr>
      <w:tr>
        <w:trPr>
          <w:trHeight w:val="341" w:hRule="exact"/>
        </w:trPr>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资产组预计未来现金流量的现值（可收回金额）（</w:t>
            </w:r>
            <w:r>
              <w:rPr>
                <w:rFonts w:ascii="Times New Roman" w:hAnsi="Times New Roman" w:cs="Times New Roman" w:eastAsia="Times New Roman" w:hint="default"/>
                <w:sz w:val="20"/>
                <w:szCs w:val="20"/>
              </w:rPr>
              <w:t>8</w:t>
            </w:r>
            <w:r>
              <w:rPr>
                <w:rFonts w:ascii="宋体" w:hAnsi="宋体" w:cs="宋体" w:eastAsia="宋体" w:hint="default"/>
                <w:sz w:val="20"/>
                <w:szCs w:val="20"/>
              </w:rPr>
              <w:t>）</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50,295,500.00</w:t>
            </w:r>
            <w:r>
              <w:rPr>
                <w:rFonts w:ascii="Times New Roman"/>
                <w:sz w:val="20"/>
              </w:rPr>
            </w:r>
          </w:p>
        </w:tc>
      </w:tr>
      <w:tr>
        <w:trPr>
          <w:trHeight w:val="343" w:hRule="exact"/>
        </w:trPr>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宋体" w:hAnsi="宋体" w:cs="宋体" w:eastAsia="宋体" w:hint="default"/>
                <w:sz w:val="20"/>
                <w:szCs w:val="20"/>
              </w:rPr>
              <w:t>整体商誉减值损失（大于</w:t>
            </w:r>
            <w:r>
              <w:rPr>
                <w:rFonts w:ascii="Times New Roman" w:hAnsi="Times New Roman" w:cs="Times New Roman" w:eastAsia="Times New Roman" w:hint="default"/>
                <w:sz w:val="20"/>
                <w:szCs w:val="20"/>
              </w:rPr>
              <w:t>0</w:t>
            </w:r>
            <w:r>
              <w:rPr>
                <w:rFonts w:ascii="宋体" w:hAnsi="宋体" w:cs="宋体" w:eastAsia="宋体" w:hint="default"/>
                <w:sz w:val="20"/>
                <w:szCs w:val="20"/>
              </w:rPr>
              <w:t>时）（</w:t>
            </w:r>
            <w:r>
              <w:rPr>
                <w:rFonts w:ascii="Times New Roman" w:hAnsi="Times New Roman" w:cs="Times New Roman" w:eastAsia="Times New Roman" w:hint="default"/>
                <w:sz w:val="20"/>
                <w:szCs w:val="20"/>
              </w:rPr>
              <w:t>9</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7</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8</w:t>
            </w:r>
            <w:r>
              <w:rPr>
                <w:rFonts w:ascii="宋体" w:hAnsi="宋体" w:cs="宋体" w:eastAsia="宋体" w:hint="default"/>
                <w:sz w:val="20"/>
                <w:szCs w:val="20"/>
              </w:rPr>
              <w:t>）</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2,439,600.16</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5425"/>
        <w:gridCol w:w="3301"/>
      </w:tblGrid>
      <w:tr>
        <w:trPr>
          <w:trHeight w:val="343" w:hRule="exact"/>
        </w:trPr>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按比例计算应确认的当期商誉减值损失（</w:t>
            </w:r>
            <w:r>
              <w:rPr>
                <w:rFonts w:ascii="Times New Roman" w:hAnsi="Times New Roman" w:cs="Times New Roman" w:eastAsia="Times New Roman" w:hint="default"/>
                <w:sz w:val="20"/>
                <w:szCs w:val="20"/>
              </w:rPr>
              <w:t>10</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9</w:t>
            </w:r>
            <w:r>
              <w:rPr>
                <w:rFonts w:ascii="宋体" w:hAnsi="宋体" w:cs="宋体" w:eastAsia="宋体" w:hint="default"/>
                <w:sz w:val="20"/>
                <w:szCs w:val="20"/>
              </w:rPr>
              <w:t>）</w:t>
            </w:r>
            <w:r>
              <w:rPr>
                <w:rFonts w:ascii="Times New Roman" w:hAnsi="Times New Roman" w:cs="Times New Roman" w:eastAsia="Times New Roman" w:hint="default"/>
                <w:sz w:val="20"/>
                <w:szCs w:val="20"/>
              </w:rPr>
              <w:t>*51%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1,244,196.08</w:t>
            </w:r>
            <w:r>
              <w:rPr>
                <w:rFonts w:ascii="Times New Roman"/>
                <w:sz w:val="20"/>
              </w:rPr>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）商誉所在资产组或资产组组合的相关信息</w:t>
      </w:r>
      <w:r>
        <w:rPr>
          <w:rFonts w:ascii="宋体" w:hAnsi="宋体" w:cs="宋体" w:eastAsia="宋体" w:hint="default"/>
          <w:sz w:val="21"/>
          <w:szCs w:val="21"/>
        </w:rPr>
      </w:r>
    </w:p>
    <w:p>
      <w:pPr>
        <w:spacing w:line="240" w:lineRule="auto" w:before="11"/>
        <w:rPr>
          <w:rFonts w:ascii="宋体" w:hAnsi="宋体" w:cs="宋体" w:eastAsia="宋体" w:hint="default"/>
          <w:b/>
          <w:bCs/>
          <w:sz w:val="23"/>
          <w:szCs w:val="23"/>
        </w:rPr>
      </w:pPr>
    </w:p>
    <w:p>
      <w:pPr>
        <w:pStyle w:val="BodyText"/>
        <w:spacing w:line="259" w:lineRule="auto"/>
        <w:ind w:right="1130" w:firstLine="439"/>
        <w:jc w:val="both"/>
      </w:pPr>
      <w:r>
        <w:rPr>
          <w:spacing w:val="-2"/>
        </w:rPr>
        <w:t>深圳苏摩于评估基准日的评估范围，是形成商誉的深圳苏摩整体资产，该资产组与购买日及以前</w:t>
      </w:r>
      <w:r>
        <w:rPr>
          <w:w w:val="100"/>
        </w:rPr>
        <w:t> </w:t>
      </w:r>
      <w:r>
        <w:rPr/>
        <w:t>年度商誉减值测试时所确定的资产组一致。</w:t>
      </w:r>
    </w:p>
    <w:p>
      <w:pPr>
        <w:pStyle w:val="BodyText"/>
        <w:spacing w:line="252" w:lineRule="auto" w:before="126"/>
        <w:ind w:right="1129" w:firstLine="439"/>
        <w:jc w:val="both"/>
      </w:pPr>
      <w:r>
        <w:rPr>
          <w:spacing w:val="-2"/>
        </w:rPr>
        <w:t>上述资产组预计未来现金流量的现值（可收回金额）利用了北京北方亚事资产评估事务所（特殊</w:t>
      </w:r>
      <w:r>
        <w:rPr>
          <w:w w:val="100"/>
        </w:rPr>
        <w:t> </w:t>
      </w:r>
      <w:r>
        <w:rPr>
          <w:spacing w:val="-2"/>
        </w:rPr>
        <w:t>普通合伙）于</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12</w:t>
      </w:r>
      <w:r>
        <w:rPr>
          <w:spacing w:val="-2"/>
        </w:rPr>
        <w:t>日出具的北方亚事评报字</w:t>
      </w:r>
      <w:r>
        <w:rPr>
          <w:rFonts w:ascii="Times New Roman" w:hAnsi="Times New Roman" w:cs="Times New Roman" w:eastAsia="Times New Roman" w:hint="default"/>
          <w:spacing w:val="-2"/>
        </w:rPr>
        <w:t>[2020]</w:t>
      </w:r>
      <w:r>
        <w:rPr>
          <w:spacing w:val="-2"/>
        </w:rPr>
        <w:t>第</w:t>
      </w:r>
      <w:r>
        <w:rPr>
          <w:rFonts w:ascii="Times New Roman" w:hAnsi="Times New Roman" w:cs="Times New Roman" w:eastAsia="Times New Roman" w:hint="default"/>
          <w:spacing w:val="-2"/>
        </w:rPr>
        <w:t>01-074</w:t>
      </w:r>
      <w:r>
        <w:rPr>
          <w:spacing w:val="-2"/>
        </w:rPr>
        <w:t>号《深圳市苏摩科技有限公司形成</w:t>
      </w:r>
      <w:r>
        <w:rPr>
          <w:spacing w:val="-49"/>
        </w:rPr>
        <w:t> </w:t>
      </w:r>
      <w:r>
        <w:rPr>
          <w:spacing w:val="-49"/>
        </w:rPr>
      </w:r>
      <w:r>
        <w:rPr/>
        <w:t>的商誉进行减值测试涉及的资产组可回收价值项目资产评估报告》的评估结果。</w:t>
      </w:r>
    </w:p>
    <w:p>
      <w:pPr>
        <w:spacing w:line="316" w:lineRule="auto" w:before="163"/>
        <w:ind w:left="152" w:right="996" w:firstLine="0"/>
        <w:jc w:val="left"/>
        <w:rPr>
          <w:rFonts w:ascii="宋体" w:hAnsi="宋体" w:cs="宋体" w:eastAsia="宋体" w:hint="default"/>
          <w:sz w:val="18"/>
          <w:szCs w:val="18"/>
        </w:rPr>
      </w:pPr>
      <w:r>
        <w:rPr>
          <w:rFonts w:ascii="宋体" w:hAnsi="宋体" w:cs="宋体" w:eastAsia="宋体" w:hint="default"/>
          <w:spacing w:val="-2"/>
          <w:sz w:val="18"/>
          <w:szCs w:val="18"/>
        </w:rPr>
        <w:t>说明商誉减值测试过程、关键参数（如预计未来现金流量现值时的预测期增长率、稳定期增长率、利润率、折现率、预测期</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等）及商誉减值损失的确认方法：</w:t>
      </w:r>
    </w:p>
    <w:p>
      <w:pPr>
        <w:spacing w:line="240" w:lineRule="auto" w:before="11"/>
        <w:rPr>
          <w:rFonts w:ascii="宋体" w:hAnsi="宋体" w:cs="宋体" w:eastAsia="宋体" w:hint="default"/>
          <w:sz w:val="22"/>
          <w:szCs w:val="22"/>
        </w:rPr>
      </w:pPr>
    </w:p>
    <w:p>
      <w:pPr>
        <w:spacing w:before="0"/>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）商誉减值测试过程、参数及商誉减值损失的确认方法</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p>
    <w:p>
      <w:pPr>
        <w:pStyle w:val="BodyText"/>
        <w:spacing w:line="340" w:lineRule="auto"/>
        <w:ind w:left="592" w:right="2834"/>
        <w:jc w:val="left"/>
      </w:pPr>
      <w:r>
        <w:rPr>
          <w:rFonts w:ascii="Times New Roman" w:hAnsi="Times New Roman" w:cs="Times New Roman" w:eastAsia="Times New Roman" w:hint="default"/>
        </w:rPr>
        <w:t>1</w:t>
      </w:r>
      <w:r>
        <w:rPr/>
        <w:t>）特殊假设及方法</w:t>
      </w:r>
      <w:r>
        <w:rPr>
          <w:w w:val="100"/>
        </w:rPr>
        <w:t> </w:t>
      </w:r>
      <w:r>
        <w:rPr>
          <w:spacing w:val="-1"/>
        </w:rPr>
        <w:t>假设国家宏观经济形势及现行的有关法律、法规、政策，无重大变化；</w:t>
      </w:r>
    </w:p>
    <w:p>
      <w:pPr>
        <w:pStyle w:val="BodyText"/>
        <w:spacing w:line="360" w:lineRule="auto" w:before="51"/>
        <w:ind w:left="592" w:right="996"/>
        <w:jc w:val="left"/>
      </w:pPr>
      <w:r>
        <w:rPr/>
        <w:t>假设被评估单位所在的行业保持稳定发展态势，行业政策、管理制度及相关规定无重大变化</w:t>
      </w:r>
      <w:r>
        <w:rPr>
          <w:w w:val="100"/>
        </w:rPr>
        <w:t> </w:t>
      </w:r>
      <w:r>
        <w:rPr/>
        <w:t>假设国家有关赋税基准及税率、政策性征收费用等不发生重大变化；</w:t>
      </w:r>
      <w:r>
        <w:rPr>
          <w:w w:val="100"/>
        </w:rPr>
        <w:t> </w:t>
      </w:r>
      <w:r>
        <w:rPr/>
        <w:t>假设无其他人力不可抗拒因素及不可预见因素，造成对资产组运营重大不利影响；</w:t>
      </w:r>
    </w:p>
    <w:p>
      <w:pPr>
        <w:pStyle w:val="BodyText"/>
        <w:spacing w:line="259" w:lineRule="auto" w:before="34"/>
        <w:ind w:right="1133" w:firstLine="439"/>
        <w:jc w:val="both"/>
      </w:pPr>
      <w:r>
        <w:rPr>
          <w:spacing w:val="-2"/>
        </w:rPr>
        <w:t>假设本次评估测算的各项参数取值是按照现时价格体系确定的，未考虑基准日后通货膨胀因素的</w:t>
      </w:r>
      <w:r>
        <w:rPr>
          <w:w w:val="100"/>
        </w:rPr>
        <w:t> </w:t>
      </w:r>
      <w:r>
        <w:rPr/>
        <w:t>影响；</w:t>
      </w:r>
    </w:p>
    <w:p>
      <w:pPr>
        <w:pStyle w:val="BodyText"/>
        <w:spacing w:line="261" w:lineRule="auto" w:before="126"/>
        <w:ind w:right="996" w:firstLine="439"/>
        <w:jc w:val="left"/>
      </w:pPr>
      <w:r>
        <w:rPr>
          <w:spacing w:val="-1"/>
        </w:rPr>
        <w:t>假设被评估单位提供的历年财务资料所采用的会计政策和进行收益预测时所采用的会计政策不</w:t>
      </w:r>
      <w:r>
        <w:rPr>
          <w:w w:val="100"/>
        </w:rPr>
        <w:t> </w:t>
      </w:r>
      <w:r>
        <w:rPr/>
        <w:t>存在重大差异；</w:t>
      </w:r>
    </w:p>
    <w:p>
      <w:pPr>
        <w:pStyle w:val="BodyText"/>
        <w:spacing w:line="432" w:lineRule="exact" w:before="35"/>
        <w:ind w:left="592" w:right="996"/>
        <w:jc w:val="left"/>
      </w:pPr>
      <w:r>
        <w:rPr/>
        <w:t>假设企业未来的经营策略以及成本控制与</w:t>
      </w:r>
      <w:r>
        <w:rPr>
          <w:rFonts w:ascii="Times New Roman" w:hAnsi="Times New Roman" w:cs="Times New Roman" w:eastAsia="Times New Roman" w:hint="default"/>
        </w:rPr>
        <w:t>2019</w:t>
      </w:r>
      <w:r>
        <w:rPr/>
        <w:t>年经营情况不发生较大变化；</w:t>
      </w:r>
      <w:r>
        <w:rPr>
          <w:w w:val="100"/>
        </w:rPr>
        <w:t> </w:t>
      </w:r>
      <w:r>
        <w:rPr/>
        <w:t>假设评估基准日后被评估单位的现金流入为均匀流入，现金流出为均匀流出；</w:t>
      </w:r>
      <w:r>
        <w:rPr>
          <w:w w:val="100"/>
        </w:rPr>
        <w:t> </w:t>
      </w:r>
      <w:r>
        <w:rPr>
          <w:spacing w:val="-1"/>
        </w:rPr>
        <w:t>假设评估报告日后被评估单位与游戏代理商顺利签订合同，新非仙勿扰Ⅱ可以在</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5</w:t>
      </w:r>
      <w:r>
        <w:rPr>
          <w:spacing w:val="-1"/>
        </w:rPr>
        <w:t>月正式</w:t>
      </w:r>
    </w:p>
    <w:p>
      <w:pPr>
        <w:pStyle w:val="BodyText"/>
        <w:spacing w:line="257" w:lineRule="exact"/>
        <w:ind w:right="996"/>
        <w:jc w:val="left"/>
      </w:pPr>
      <w:r>
        <w:rPr/>
        <w:t>上线，并开始产生预计的收入流水；</w:t>
      </w:r>
    </w:p>
    <w:p>
      <w:pPr>
        <w:pStyle w:val="BodyText"/>
        <w:spacing w:line="360" w:lineRule="auto" w:before="144"/>
        <w:ind w:left="592" w:right="5929"/>
        <w:jc w:val="both"/>
      </w:pPr>
      <w:r>
        <w:rPr>
          <w:spacing w:val="-1"/>
        </w:rPr>
        <w:t>假设预测期能继续免租使用中青宝的办公楼；</w:t>
      </w:r>
      <w:r>
        <w:rPr>
          <w:spacing w:val="-92"/>
        </w:rPr>
        <w:t> </w:t>
      </w:r>
      <w:r>
        <w:rPr>
          <w:spacing w:val="-92"/>
        </w:rPr>
      </w:r>
      <w:r>
        <w:rPr>
          <w:spacing w:val="-1"/>
        </w:rPr>
        <w:t>假设管理层、研发人员较为稳定、尽职尽责。</w:t>
      </w:r>
      <w:r>
        <w:rPr>
          <w:spacing w:val="-92"/>
        </w:rPr>
        <w:t> </w:t>
      </w:r>
      <w:r>
        <w:rPr>
          <w:spacing w:val="-92"/>
        </w:rPr>
      </w:r>
      <w:r>
        <w:rPr>
          <w:rFonts w:ascii="Times New Roman" w:hAnsi="Times New Roman" w:cs="Times New Roman" w:eastAsia="Times New Roman" w:hint="default"/>
        </w:rPr>
        <w:t>2</w:t>
      </w:r>
      <w:r>
        <w:rPr/>
        <w:t>）关键参数</w:t>
      </w:r>
    </w:p>
    <w:p>
      <w:pPr>
        <w:spacing w:line="240" w:lineRule="auto" w:before="1"/>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1868"/>
        <w:gridCol w:w="1342"/>
        <w:gridCol w:w="1421"/>
        <w:gridCol w:w="1421"/>
        <w:gridCol w:w="1450"/>
        <w:gridCol w:w="1225"/>
      </w:tblGrid>
      <w:tr>
        <w:trPr>
          <w:trHeight w:val="341" w:hRule="exact"/>
        </w:trPr>
        <w:tc>
          <w:tcPr>
            <w:tcW w:w="1868" w:type="dxa"/>
            <w:vMerge w:val="restart"/>
            <w:tcBorders>
              <w:top w:val="single" w:sz="4" w:space="0" w:color="000000"/>
              <w:left w:val="single" w:sz="4" w:space="0" w:color="000000"/>
              <w:right w:val="single" w:sz="4" w:space="0" w:color="000000"/>
            </w:tcBorders>
          </w:tcPr>
          <w:p>
            <w:pPr>
              <w:pStyle w:val="TableParagraph"/>
              <w:spacing w:line="240" w:lineRule="auto" w:before="1"/>
              <w:ind w:left="5" w:right="0"/>
              <w:jc w:val="center"/>
              <w:rPr>
                <w:rFonts w:ascii="宋体" w:hAnsi="宋体" w:cs="宋体" w:eastAsia="宋体" w:hint="default"/>
                <w:sz w:val="20"/>
                <w:szCs w:val="20"/>
              </w:rPr>
            </w:pPr>
            <w:r>
              <w:rPr>
                <w:rFonts w:ascii="宋体" w:hAnsi="宋体" w:cs="宋体" w:eastAsia="宋体" w:hint="default"/>
                <w:b/>
                <w:bCs/>
                <w:sz w:val="20"/>
                <w:szCs w:val="20"/>
              </w:rPr>
              <w:t>单位</w:t>
            </w:r>
            <w:r>
              <w:rPr>
                <w:rFonts w:ascii="宋体" w:hAnsi="宋体" w:cs="宋体" w:eastAsia="宋体" w:hint="default"/>
                <w:sz w:val="20"/>
                <w:szCs w:val="20"/>
              </w:rPr>
            </w:r>
          </w:p>
        </w:tc>
        <w:tc>
          <w:tcPr>
            <w:tcW w:w="685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 w:right="0"/>
              <w:jc w:val="center"/>
              <w:rPr>
                <w:rFonts w:ascii="宋体" w:hAnsi="宋体" w:cs="宋体" w:eastAsia="宋体" w:hint="default"/>
                <w:sz w:val="20"/>
                <w:szCs w:val="20"/>
              </w:rPr>
            </w:pPr>
            <w:r>
              <w:rPr>
                <w:rFonts w:ascii="宋体" w:hAnsi="宋体" w:cs="宋体" w:eastAsia="宋体" w:hint="default"/>
                <w:b/>
                <w:bCs/>
                <w:sz w:val="20"/>
                <w:szCs w:val="20"/>
              </w:rPr>
              <w:t>关键参数</w:t>
            </w:r>
            <w:r>
              <w:rPr>
                <w:rFonts w:ascii="宋体" w:hAnsi="宋体" w:cs="宋体" w:eastAsia="宋体" w:hint="default"/>
                <w:sz w:val="20"/>
                <w:szCs w:val="20"/>
              </w:rPr>
            </w:r>
          </w:p>
        </w:tc>
      </w:tr>
      <w:tr>
        <w:trPr>
          <w:trHeight w:val="968" w:hRule="exact"/>
        </w:trPr>
        <w:tc>
          <w:tcPr>
            <w:tcW w:w="1868" w:type="dxa"/>
            <w:vMerge/>
            <w:tcBorders>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67" w:right="0"/>
              <w:jc w:val="left"/>
              <w:rPr>
                <w:rFonts w:ascii="宋体" w:hAnsi="宋体" w:cs="宋体" w:eastAsia="宋体" w:hint="default"/>
                <w:sz w:val="20"/>
                <w:szCs w:val="20"/>
              </w:rPr>
            </w:pPr>
            <w:r>
              <w:rPr>
                <w:rFonts w:ascii="宋体" w:hAnsi="宋体" w:cs="宋体" w:eastAsia="宋体" w:hint="default"/>
                <w:b/>
                <w:bCs/>
                <w:spacing w:val="2"/>
                <w:sz w:val="20"/>
                <w:szCs w:val="20"/>
              </w:rPr>
              <w:t>预测期</w:t>
            </w:r>
            <w:r>
              <w:rPr>
                <w:rFonts w:ascii="宋体" w:hAnsi="宋体" w:cs="宋体" w:eastAsia="宋体" w:hint="default"/>
                <w:sz w:val="20"/>
                <w:szCs w:val="20"/>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5" w:right="0"/>
              <w:jc w:val="left"/>
              <w:rPr>
                <w:rFonts w:ascii="宋体" w:hAnsi="宋体" w:cs="宋体" w:eastAsia="宋体" w:hint="default"/>
                <w:sz w:val="20"/>
                <w:szCs w:val="20"/>
              </w:rPr>
            </w:pPr>
            <w:r>
              <w:rPr>
                <w:rFonts w:ascii="宋体" w:hAnsi="宋体" w:cs="宋体" w:eastAsia="宋体" w:hint="default"/>
                <w:b/>
                <w:bCs/>
                <w:sz w:val="20"/>
                <w:szCs w:val="20"/>
              </w:rPr>
              <w:t>预测期增长率</w:t>
            </w:r>
            <w:r>
              <w:rPr>
                <w:rFonts w:ascii="宋体" w:hAnsi="宋体" w:cs="宋体" w:eastAsia="宋体" w:hint="default"/>
                <w:sz w:val="20"/>
                <w:szCs w:val="20"/>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5" w:right="0"/>
              <w:jc w:val="left"/>
              <w:rPr>
                <w:rFonts w:ascii="宋体" w:hAnsi="宋体" w:cs="宋体" w:eastAsia="宋体" w:hint="default"/>
                <w:sz w:val="20"/>
                <w:szCs w:val="20"/>
              </w:rPr>
            </w:pPr>
            <w:r>
              <w:rPr>
                <w:rFonts w:ascii="宋体" w:hAnsi="宋体" w:cs="宋体" w:eastAsia="宋体" w:hint="default"/>
                <w:b/>
                <w:bCs/>
                <w:sz w:val="20"/>
                <w:szCs w:val="20"/>
              </w:rPr>
              <w:t>稳定期增长率</w:t>
            </w:r>
            <w:r>
              <w:rPr>
                <w:rFonts w:ascii="宋体" w:hAnsi="宋体" w:cs="宋体" w:eastAsia="宋体" w:hint="default"/>
                <w:sz w:val="20"/>
                <w:szCs w:val="20"/>
              </w:rPr>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19" w:right="0"/>
              <w:jc w:val="left"/>
              <w:rPr>
                <w:rFonts w:ascii="宋体" w:hAnsi="宋体" w:cs="宋体" w:eastAsia="宋体" w:hint="default"/>
                <w:sz w:val="20"/>
                <w:szCs w:val="20"/>
              </w:rPr>
            </w:pPr>
            <w:r>
              <w:rPr>
                <w:rFonts w:ascii="宋体" w:hAnsi="宋体" w:cs="宋体" w:eastAsia="宋体" w:hint="default"/>
                <w:b/>
                <w:bCs/>
                <w:spacing w:val="2"/>
                <w:sz w:val="20"/>
                <w:szCs w:val="20"/>
              </w:rPr>
              <w:t>利润率</w:t>
            </w:r>
            <w:r>
              <w:rPr>
                <w:rFonts w:ascii="宋体" w:hAnsi="宋体" w:cs="宋体" w:eastAsia="宋体" w:hint="default"/>
                <w:sz w:val="20"/>
                <w:szCs w:val="20"/>
              </w:rPr>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91" w:right="4" w:hanging="85"/>
              <w:jc w:val="left"/>
              <w:rPr>
                <w:rFonts w:ascii="宋体" w:hAnsi="宋体" w:cs="宋体" w:eastAsia="宋体" w:hint="default"/>
                <w:sz w:val="20"/>
                <w:szCs w:val="20"/>
              </w:rPr>
            </w:pPr>
            <w:r>
              <w:rPr>
                <w:rFonts w:ascii="宋体" w:hAnsi="宋体" w:cs="宋体" w:eastAsia="宋体" w:hint="default"/>
                <w:b/>
                <w:bCs/>
                <w:sz w:val="20"/>
                <w:szCs w:val="20"/>
              </w:rPr>
              <w:t>折现率（加权</w:t>
            </w:r>
            <w:r>
              <w:rPr>
                <w:rFonts w:ascii="宋体" w:hAnsi="宋体" w:cs="宋体" w:eastAsia="宋体" w:hint="default"/>
                <w:b/>
                <w:bCs/>
                <w:w w:val="99"/>
                <w:sz w:val="20"/>
                <w:szCs w:val="20"/>
              </w:rPr>
              <w:t> </w:t>
            </w:r>
            <w:r>
              <w:rPr>
                <w:rFonts w:ascii="宋体" w:hAnsi="宋体" w:cs="宋体" w:eastAsia="宋体" w:hint="default"/>
                <w:b/>
                <w:bCs/>
                <w:sz w:val="20"/>
                <w:szCs w:val="20"/>
              </w:rPr>
              <w:t>平均资本成</w:t>
            </w:r>
            <w:r>
              <w:rPr>
                <w:rFonts w:ascii="宋体" w:hAnsi="宋体" w:cs="宋体" w:eastAsia="宋体" w:hint="default"/>
                <w:b/>
                <w:bCs/>
                <w:w w:val="99"/>
                <w:sz w:val="20"/>
                <w:szCs w:val="20"/>
              </w:rPr>
              <w:t> </w:t>
            </w:r>
            <w:r>
              <w:rPr>
                <w:rFonts w:ascii="宋体" w:hAnsi="宋体" w:cs="宋体" w:eastAsia="宋体" w:hint="default"/>
                <w:b/>
                <w:bCs/>
                <w:sz w:val="20"/>
                <w:szCs w:val="20"/>
              </w:rPr>
              <w:t>本</w:t>
            </w:r>
            <w:r>
              <w:rPr>
                <w:rFonts w:ascii="Times New Roman" w:hAnsi="Times New Roman" w:cs="Times New Roman" w:eastAsia="Times New Roman" w:hint="default"/>
                <w:b/>
                <w:bCs/>
                <w:sz w:val="20"/>
                <w:szCs w:val="20"/>
              </w:rPr>
              <w:t>WACC</w:t>
            </w:r>
            <w:r>
              <w:rPr>
                <w:rFonts w:ascii="宋体" w:hAnsi="宋体" w:cs="宋体" w:eastAsia="宋体" w:hint="default"/>
                <w:b/>
                <w:bCs/>
                <w:sz w:val="20"/>
                <w:szCs w:val="20"/>
              </w:rPr>
              <w:t>）</w:t>
            </w:r>
            <w:r>
              <w:rPr>
                <w:rFonts w:ascii="宋体" w:hAnsi="宋体" w:cs="宋体" w:eastAsia="宋体" w:hint="default"/>
                <w:sz w:val="20"/>
                <w:szCs w:val="20"/>
              </w:rPr>
            </w:r>
          </w:p>
        </w:tc>
      </w:tr>
      <w:tr>
        <w:trPr>
          <w:trHeight w:val="965"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深圳苏摩</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2020</w:t>
            </w:r>
            <w:r>
              <w:rPr>
                <w:rFonts w:ascii="宋体" w:hAnsi="宋体" w:cs="宋体" w:eastAsia="宋体" w:hint="default"/>
                <w:sz w:val="20"/>
                <w:szCs w:val="20"/>
              </w:rPr>
              <w:t>年</w:t>
            </w:r>
            <w:r>
              <w:rPr>
                <w:rFonts w:ascii="Times New Roman" w:hAnsi="Times New Roman" w:cs="Times New Roman" w:eastAsia="Times New Roman" w:hint="default"/>
                <w:sz w:val="20"/>
                <w:szCs w:val="20"/>
              </w:rPr>
              <w:t>-2024</w:t>
            </w:r>
            <w:r>
              <w:rPr>
                <w:rFonts w:ascii="宋体" w:hAnsi="宋体" w:cs="宋体" w:eastAsia="宋体" w:hint="default"/>
                <w:sz w:val="20"/>
                <w:szCs w:val="20"/>
              </w:rPr>
              <w:t>年</w:t>
            </w:r>
          </w:p>
          <w:p>
            <w:pPr>
              <w:pStyle w:val="TableParagraph"/>
              <w:spacing w:line="285" w:lineRule="auto" w:before="35"/>
              <w:ind w:left="7" w:right="126"/>
              <w:jc w:val="left"/>
              <w:rPr>
                <w:rFonts w:ascii="宋体" w:hAnsi="宋体" w:cs="宋体" w:eastAsia="宋体" w:hint="default"/>
                <w:sz w:val="20"/>
                <w:szCs w:val="20"/>
              </w:rPr>
            </w:pPr>
            <w:r>
              <w:rPr>
                <w:rFonts w:ascii="宋体" w:hAnsi="宋体" w:cs="宋体" w:eastAsia="宋体" w:hint="default"/>
                <w:sz w:val="20"/>
                <w:szCs w:val="20"/>
              </w:rPr>
              <w:t>（后续为稳定</w:t>
            </w:r>
            <w:r>
              <w:rPr>
                <w:rFonts w:ascii="宋体" w:hAnsi="宋体" w:cs="宋体" w:eastAsia="宋体" w:hint="default"/>
                <w:w w:val="99"/>
                <w:sz w:val="20"/>
                <w:szCs w:val="20"/>
              </w:rPr>
              <w:t> </w:t>
            </w:r>
            <w:r>
              <w:rPr>
                <w:rFonts w:ascii="宋体" w:hAnsi="宋体" w:cs="宋体" w:eastAsia="宋体" w:hint="default"/>
                <w:sz w:val="20"/>
                <w:szCs w:val="20"/>
              </w:rPr>
              <w:t>期）</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注</w:t>
            </w:r>
            <w:r>
              <w:rPr>
                <w:rFonts w:ascii="Times New Roman" w:hAnsi="Times New Roman" w:cs="Times New Roman" w:eastAsia="Times New Roman" w:hint="default"/>
                <w:sz w:val="20"/>
                <w:szCs w:val="20"/>
              </w:rPr>
              <w:t>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持平</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
              <w:ind w:left="7" w:right="34"/>
              <w:jc w:val="left"/>
              <w:rPr>
                <w:rFonts w:ascii="宋体" w:hAnsi="宋体" w:cs="宋体" w:eastAsia="宋体" w:hint="default"/>
                <w:sz w:val="20"/>
                <w:szCs w:val="20"/>
              </w:rPr>
            </w:pPr>
            <w:r>
              <w:rPr>
                <w:rFonts w:ascii="宋体" w:hAnsi="宋体" w:cs="宋体" w:eastAsia="宋体" w:hint="default"/>
                <w:sz w:val="20"/>
                <w:szCs w:val="20"/>
              </w:rPr>
              <w:t>根据预测的收</w:t>
            </w:r>
            <w:r>
              <w:rPr>
                <w:rFonts w:ascii="宋体" w:hAnsi="宋体" w:cs="宋体" w:eastAsia="宋体" w:hint="default"/>
                <w:w w:val="99"/>
                <w:sz w:val="20"/>
                <w:szCs w:val="20"/>
              </w:rPr>
              <w:t> </w:t>
            </w:r>
            <w:r>
              <w:rPr>
                <w:rFonts w:ascii="宋体" w:hAnsi="宋体" w:cs="宋体" w:eastAsia="宋体" w:hint="default"/>
                <w:sz w:val="20"/>
                <w:szCs w:val="20"/>
              </w:rPr>
              <w:t>入、成本、费用</w:t>
            </w:r>
            <w:r>
              <w:rPr>
                <w:rFonts w:ascii="宋体" w:hAnsi="宋体" w:cs="宋体" w:eastAsia="宋体" w:hint="default"/>
                <w:w w:val="99"/>
                <w:sz w:val="20"/>
                <w:szCs w:val="20"/>
              </w:rPr>
              <w:t> </w:t>
            </w:r>
            <w:r>
              <w:rPr>
                <w:rFonts w:ascii="宋体" w:hAnsi="宋体" w:cs="宋体" w:eastAsia="宋体" w:hint="default"/>
                <w:sz w:val="20"/>
                <w:szCs w:val="20"/>
              </w:rPr>
              <w:t>等计算</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93" w:right="0"/>
              <w:jc w:val="left"/>
              <w:rPr>
                <w:rFonts w:ascii="Times New Roman" w:hAnsi="Times New Roman" w:cs="Times New Roman" w:eastAsia="Times New Roman" w:hint="default"/>
                <w:sz w:val="20"/>
                <w:szCs w:val="20"/>
              </w:rPr>
            </w:pPr>
            <w:r>
              <w:rPr>
                <w:rFonts w:ascii="Times New Roman"/>
                <w:sz w:val="20"/>
              </w:rPr>
              <w:t>12.10%</w:t>
            </w:r>
          </w:p>
        </w:tc>
      </w:tr>
    </w:tbl>
    <w:p>
      <w:pPr>
        <w:spacing w:line="240" w:lineRule="auto" w:before="0"/>
        <w:rPr>
          <w:rFonts w:ascii="宋体" w:hAnsi="宋体" w:cs="宋体" w:eastAsia="宋体" w:hint="default"/>
          <w:sz w:val="5"/>
          <w:szCs w:val="5"/>
        </w:rPr>
      </w:pPr>
    </w:p>
    <w:p>
      <w:pPr>
        <w:pStyle w:val="BodyText"/>
        <w:spacing w:line="240" w:lineRule="auto" w:before="32"/>
        <w:ind w:left="592" w:right="996"/>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1]</w:t>
      </w:r>
      <w:r>
        <w:rPr/>
        <w:t>本次预测是在分析深圳苏摩历史数据的基础上确定基期数据，然后遵循我国现行的有关法</w:t>
      </w:r>
    </w:p>
    <w:p>
      <w:pPr>
        <w:spacing w:after="0" w:line="240" w:lineRule="auto"/>
        <w:jc w:val="left"/>
        <w:sectPr>
          <w:pgSz w:w="11910" w:h="16840"/>
          <w:pgMar w:header="877" w:footer="980" w:top="1060" w:bottom="1160" w:left="980" w:right="0"/>
        </w:sectPr>
      </w:pPr>
    </w:p>
    <w:p>
      <w:pPr>
        <w:spacing w:line="240" w:lineRule="auto" w:before="4"/>
        <w:rPr>
          <w:rFonts w:ascii="宋体" w:hAnsi="宋体" w:cs="宋体" w:eastAsia="宋体" w:hint="default"/>
          <w:sz w:val="24"/>
          <w:szCs w:val="24"/>
        </w:rPr>
      </w:pPr>
    </w:p>
    <w:p>
      <w:pPr>
        <w:pStyle w:val="BodyText"/>
        <w:spacing w:line="254" w:lineRule="auto" w:before="32"/>
        <w:ind w:right="1020"/>
        <w:jc w:val="left"/>
      </w:pPr>
      <w:r>
        <w:rPr/>
        <w:t>律、法规，根据国家宏观政策及地区的宏观经济状况，结合深圳苏摩的发展规划、经营计划及所面临</w:t>
      </w:r>
      <w:r>
        <w:rPr>
          <w:w w:val="100"/>
        </w:rPr>
        <w:t> </w:t>
      </w:r>
      <w:r>
        <w:rPr/>
        <w:t>的市场环境和未来的发展前景等因素的综合分析对评估基准日未来五年的主营业务收入及其相关的</w:t>
      </w:r>
      <w:r>
        <w:rPr>
          <w:w w:val="100"/>
        </w:rPr>
        <w:t> </w:t>
      </w:r>
      <w:r>
        <w:rPr/>
        <w:t>成本、费用、利润忽略经营的波动性进行预测。正在运营的几款游戏包括</w:t>
      </w:r>
      <w:r>
        <w:rPr>
          <w:rFonts w:ascii="Times New Roman" w:hAnsi="Times New Roman" w:cs="Times New Roman" w:eastAsia="Times New Roman" w:hint="default"/>
        </w:rPr>
        <w:t>WAP</w:t>
      </w:r>
      <w:r>
        <w:rPr/>
        <w:t>非仙、非仙</w:t>
      </w:r>
      <w:r>
        <w:rPr>
          <w:rFonts w:ascii="Times New Roman" w:hAnsi="Times New Roman" w:cs="Times New Roman" w:eastAsia="Times New Roman" w:hint="default"/>
        </w:rPr>
        <w:t>H5</w:t>
      </w:r>
      <w:r>
        <w:rPr/>
        <w:t>、成语</w:t>
      </w:r>
      <w:r>
        <w:rPr>
          <w:w w:val="100"/>
        </w:rPr>
        <w:t> </w:t>
      </w:r>
      <w:r>
        <w:rPr/>
        <w:t>接龙、萌妖出没、连环消星星、手机三国志等。其中</w:t>
      </w:r>
      <w:r>
        <w:rPr>
          <w:rFonts w:ascii="Times New Roman" w:hAnsi="Times New Roman" w:cs="Times New Roman" w:eastAsia="Times New Roman" w:hint="default"/>
        </w:rPr>
        <w:t>WAP</w:t>
      </w:r>
      <w:r>
        <w:rPr/>
        <w:t>非仙、非仙</w:t>
      </w:r>
      <w:r>
        <w:rPr>
          <w:rFonts w:ascii="Times New Roman" w:hAnsi="Times New Roman" w:cs="Times New Roman" w:eastAsia="Times New Roman" w:hint="default"/>
        </w:rPr>
        <w:t>H5</w:t>
      </w:r>
      <w:r>
        <w:rPr/>
        <w:t>游戏上线时间超过</w:t>
      </w:r>
      <w:r>
        <w:rPr>
          <w:rFonts w:ascii="Times New Roman" w:hAnsi="Times New Roman" w:cs="Times New Roman" w:eastAsia="Times New Roman" w:hint="default"/>
        </w:rPr>
        <w:t>5</w:t>
      </w:r>
      <w:r>
        <w:rPr/>
        <w:t>年，三年</w:t>
      </w:r>
      <w:r>
        <w:rPr>
          <w:w w:val="100"/>
        </w:rPr>
        <w:t> </w:t>
      </w:r>
      <w:r>
        <w:rPr/>
        <w:t>来，每年均产生超过百万的流水，这两款游戏目前的主要人群是以往积累下来的老用户，随着时间的</w:t>
      </w:r>
      <w:r>
        <w:rPr>
          <w:w w:val="100"/>
        </w:rPr>
        <w:t> </w:t>
      </w:r>
      <w:r>
        <w:rPr/>
        <w:t>推移这两款游戏的用户的年龄也逐渐变大，相较以前年度该部分用户的付费能力也会进一步的加大。</w:t>
      </w:r>
      <w:r>
        <w:rPr>
          <w:w w:val="100"/>
        </w:rPr>
        <w:t> </w:t>
      </w:r>
      <w:r>
        <w:rPr/>
        <w:t>成语接龙、连环消星星这</w:t>
      </w:r>
      <w:r>
        <w:rPr>
          <w:rFonts w:ascii="Times New Roman" w:hAnsi="Times New Roman" w:cs="Times New Roman" w:eastAsia="Times New Roman" w:hint="default"/>
        </w:rPr>
        <w:t>2</w:t>
      </w:r>
      <w:r>
        <w:rPr/>
        <w:t>款游戏为</w:t>
      </w:r>
      <w:r>
        <w:rPr>
          <w:rFonts w:ascii="Times New Roman" w:hAnsi="Times New Roman" w:cs="Times New Roman" w:eastAsia="Times New Roman" w:hint="default"/>
        </w:rPr>
        <w:t>2019</w:t>
      </w:r>
      <w:r>
        <w:rPr/>
        <w:t>年新增的联营游戏，上线后市场反应较好。萌妖出没为</w:t>
      </w:r>
      <w:r>
        <w:rPr>
          <w:rFonts w:ascii="Times New Roman" w:hAnsi="Times New Roman" w:cs="Times New Roman" w:eastAsia="Times New Roman" w:hint="default"/>
        </w:rPr>
        <w:t>2019</w:t>
      </w:r>
      <w:r>
        <w:rPr>
          <w:rFonts w:ascii="Times New Roman" w:hAnsi="Times New Roman" w:cs="Times New Roman" w:eastAsia="Times New Roman" w:hint="default"/>
          <w:w w:val="100"/>
        </w:rPr>
        <w:t> </w:t>
      </w:r>
      <w:r>
        <w:rPr/>
        <w:t>年新增的联营游戏，其题材主要是围绕皮卡丘为主题的游戏，受众的群体广，预计未来还会产生一定</w:t>
      </w:r>
      <w:r>
        <w:rPr>
          <w:w w:val="100"/>
        </w:rPr>
        <w:t> </w:t>
      </w:r>
      <w:r>
        <w:rPr>
          <w:spacing w:val="-4"/>
        </w:rPr>
        <w:t>量的流水收入。因此，深圳苏摩</w:t>
      </w:r>
      <w:r>
        <w:rPr>
          <w:rFonts w:ascii="Times New Roman" w:hAnsi="Times New Roman" w:cs="Times New Roman" w:eastAsia="Times New Roman" w:hint="default"/>
          <w:spacing w:val="-4"/>
        </w:rPr>
        <w:t>2020</w:t>
      </w:r>
      <w:r>
        <w:rPr>
          <w:spacing w:val="-4"/>
        </w:rPr>
        <w:t>年至</w:t>
      </w:r>
      <w:r>
        <w:rPr>
          <w:rFonts w:ascii="Times New Roman" w:hAnsi="Times New Roman" w:cs="Times New Roman" w:eastAsia="Times New Roman" w:hint="default"/>
          <w:spacing w:val="-4"/>
        </w:rPr>
        <w:t>2024</w:t>
      </w:r>
      <w:r>
        <w:rPr>
          <w:spacing w:val="-4"/>
        </w:rPr>
        <w:t>年预计销售收入增长率分别为：</w:t>
      </w:r>
      <w:r>
        <w:rPr>
          <w:rFonts w:ascii="Times New Roman" w:hAnsi="Times New Roman" w:cs="Times New Roman" w:eastAsia="Times New Roman" w:hint="default"/>
          <w:spacing w:val="-4"/>
        </w:rPr>
        <w:t>2.00%</w:t>
      </w:r>
      <w:r>
        <w:rPr>
          <w:spacing w:val="-4"/>
        </w:rPr>
        <w:t>、</w:t>
      </w:r>
      <w:r>
        <w:rPr>
          <w:rFonts w:ascii="Times New Roman" w:hAnsi="Times New Roman" w:cs="Times New Roman" w:eastAsia="Times New Roman" w:hint="default"/>
          <w:spacing w:val="-4"/>
        </w:rPr>
        <w:t>7.17%</w:t>
      </w:r>
      <w:r>
        <w:rPr>
          <w:spacing w:val="-4"/>
        </w:rPr>
        <w:t>、</w:t>
      </w:r>
      <w:r>
        <w:rPr>
          <w:rFonts w:ascii="Times New Roman" w:hAnsi="Times New Roman" w:cs="Times New Roman" w:eastAsia="Times New Roman" w:hint="default"/>
          <w:spacing w:val="-4"/>
        </w:rPr>
        <w:t>-1.70%</w:t>
      </w:r>
      <w:r>
        <w:rPr>
          <w:spacing w:val="-4"/>
        </w:rPr>
        <w:t>、</w:t>
      </w:r>
    </w:p>
    <w:p>
      <w:pPr>
        <w:pStyle w:val="BodyText"/>
        <w:spacing w:line="297" w:lineRule="exact"/>
        <w:ind w:right="996"/>
        <w:jc w:val="left"/>
      </w:pPr>
      <w:r>
        <w:rPr>
          <w:rFonts w:ascii="Times New Roman" w:hAnsi="Times New Roman" w:cs="Times New Roman" w:eastAsia="Times New Roman" w:hint="default"/>
        </w:rPr>
        <w:t>-2.22%</w:t>
      </w:r>
      <w:r>
        <w:rPr/>
        <w:t>、</w:t>
      </w:r>
      <w:r>
        <w:rPr>
          <w:rFonts w:ascii="Times New Roman" w:hAnsi="Times New Roman" w:cs="Times New Roman" w:eastAsia="Times New Roman" w:hint="default"/>
        </w:rPr>
        <w:t>-2.25%</w:t>
      </w:r>
      <w:r>
        <w:rPr/>
        <w:t>。</w:t>
      </w:r>
    </w:p>
    <w:p>
      <w:pPr>
        <w:spacing w:before="157"/>
        <w:ind w:left="152" w:right="996" w:firstLine="0"/>
        <w:jc w:val="left"/>
        <w:rPr>
          <w:rFonts w:ascii="宋体" w:hAnsi="宋体" w:cs="宋体" w:eastAsia="宋体" w:hint="default"/>
          <w:sz w:val="18"/>
          <w:szCs w:val="18"/>
        </w:rPr>
      </w:pPr>
      <w:r>
        <w:rPr>
          <w:rFonts w:ascii="宋体" w:hAnsi="宋体" w:cs="宋体" w:eastAsia="宋体" w:hint="default"/>
          <w:sz w:val="18"/>
          <w:szCs w:val="18"/>
        </w:rPr>
        <w:t>商誉减值测试的影响</w:t>
      </w:r>
    </w:p>
    <w:p>
      <w:pPr>
        <w:spacing w:line="240" w:lineRule="auto" w:before="12"/>
        <w:rPr>
          <w:rFonts w:ascii="宋体" w:hAnsi="宋体" w:cs="宋体" w:eastAsia="宋体" w:hint="default"/>
          <w:sz w:val="12"/>
          <w:szCs w:val="12"/>
        </w:rPr>
      </w:pPr>
    </w:p>
    <w:p>
      <w:pPr>
        <w:pStyle w:val="BodyText"/>
        <w:spacing w:line="244" w:lineRule="auto"/>
        <w:ind w:right="996" w:firstLine="439"/>
        <w:jc w:val="left"/>
      </w:pPr>
      <w:r>
        <w:rPr>
          <w:spacing w:val="-1"/>
        </w:rPr>
        <w:t>本公司于</w:t>
      </w:r>
      <w:r>
        <w:rPr>
          <w:rFonts w:ascii="Times New Roman" w:hAnsi="Times New Roman" w:cs="Times New Roman" w:eastAsia="Times New Roman" w:hint="default"/>
          <w:spacing w:val="-1"/>
        </w:rPr>
        <w:t>2013</w:t>
      </w:r>
      <w:r>
        <w:rPr>
          <w:spacing w:val="-1"/>
        </w:rPr>
        <w:t>年收购深圳苏摩</w:t>
      </w:r>
      <w:r>
        <w:rPr>
          <w:rFonts w:ascii="Times New Roman" w:hAnsi="Times New Roman" w:cs="Times New Roman" w:eastAsia="Times New Roman" w:hint="default"/>
          <w:spacing w:val="-1"/>
        </w:rPr>
        <w:t>51%</w:t>
      </w:r>
      <w:r>
        <w:rPr>
          <w:spacing w:val="-1"/>
        </w:rPr>
        <w:t>股权时所约定的业绩承诺期已结束。截止</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日已计</w:t>
      </w:r>
      <w:r>
        <w:rPr>
          <w:w w:val="100"/>
        </w:rPr>
        <w:t> </w:t>
      </w:r>
      <w:r>
        <w:rPr/>
        <w:t>提商誉减值准备</w:t>
      </w:r>
      <w:r>
        <w:rPr>
          <w:rFonts w:ascii="Times New Roman" w:hAnsi="Times New Roman" w:cs="Times New Roman" w:eastAsia="Times New Roman" w:hint="default"/>
        </w:rPr>
        <w:t>51,876,972.69</w:t>
      </w:r>
      <w:r>
        <w:rPr/>
        <w:t>元。</w:t>
      </w:r>
    </w:p>
    <w:p>
      <w:pPr>
        <w:pStyle w:val="BodyText"/>
        <w:spacing w:line="244" w:lineRule="auto" w:before="122"/>
        <w:ind w:right="1020" w:firstLine="439"/>
        <w:jc w:val="left"/>
      </w:pPr>
      <w:r>
        <w:rPr/>
        <w:t>根据北京北方亚事资产评估事务所（特殊普通合伙）于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r>
        <w:rPr/>
        <w:t>日出具的北方亚事评报字</w:t>
      </w:r>
      <w:r>
        <w:rPr>
          <w:w w:val="100"/>
        </w:rPr>
        <w:t> </w:t>
      </w:r>
      <w:r>
        <w:rPr>
          <w:rFonts w:ascii="Times New Roman" w:hAnsi="Times New Roman" w:cs="Times New Roman" w:eastAsia="Times New Roman" w:hint="default"/>
        </w:rPr>
        <w:t>[2020]</w:t>
      </w:r>
      <w:r>
        <w:rPr/>
        <w:t>第</w:t>
      </w:r>
      <w:r>
        <w:rPr>
          <w:rFonts w:ascii="Times New Roman" w:hAnsi="Times New Roman" w:cs="Times New Roman" w:eastAsia="Times New Roman" w:hint="default"/>
        </w:rPr>
        <w:t>01-074</w:t>
      </w:r>
      <w:r>
        <w:rPr/>
        <w:t>号《深圳市苏摩科技有限公司形成的商誉进行减值测试涉及的资产组可回收价值项目</w:t>
      </w:r>
      <w:r>
        <w:rPr>
          <w:w w:val="100"/>
        </w:rPr>
        <w:t> </w:t>
      </w:r>
      <w:r>
        <w:rPr/>
        <w:t>资产评估报告》的评估结果，截至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日，深圳苏摩与商誉相关的资产组的账面价值为</w:t>
      </w:r>
      <w:r>
        <w:rPr>
          <w:w w:val="100"/>
        </w:rPr>
        <w:t> </w:t>
      </w:r>
      <w:r>
        <w:rPr>
          <w:rFonts w:ascii="Times New Roman" w:hAnsi="Times New Roman" w:cs="Times New Roman" w:eastAsia="Times New Roman" w:hint="default"/>
          <w:spacing w:val="-3"/>
        </w:rPr>
        <w:t>2,287,297.57</w:t>
      </w:r>
      <w:r>
        <w:rPr>
          <w:spacing w:val="-3"/>
        </w:rPr>
        <w:t>元，包含未确认归属于少数股东权益的商誉价值为</w:t>
      </w:r>
      <w:r>
        <w:rPr>
          <w:rFonts w:ascii="Times New Roman" w:hAnsi="Times New Roman" w:cs="Times New Roman" w:eastAsia="Times New Roman" w:hint="default"/>
          <w:spacing w:val="-3"/>
        </w:rPr>
        <w:t>50,447,802.59</w:t>
      </w:r>
      <w:r>
        <w:rPr>
          <w:spacing w:val="-3"/>
        </w:rPr>
        <w:t>元，合计</w:t>
      </w:r>
      <w:r>
        <w:rPr>
          <w:rFonts w:ascii="Times New Roman" w:hAnsi="Times New Roman" w:cs="Times New Roman" w:eastAsia="Times New Roman" w:hint="default"/>
          <w:spacing w:val="-3"/>
        </w:rPr>
        <w:t>52,735,100.16</w:t>
      </w:r>
      <w:r>
        <w:rPr>
          <w:spacing w:val="-3"/>
        </w:rPr>
        <w:t>元，</w:t>
      </w:r>
      <w:r>
        <w:rPr>
          <w:spacing w:val="-17"/>
        </w:rPr>
        <w:t> </w:t>
      </w:r>
      <w:r>
        <w:rPr/>
        <w:t>商誉资产组可收回金额为</w:t>
      </w:r>
      <w:r>
        <w:rPr>
          <w:rFonts w:ascii="Times New Roman" w:hAnsi="Times New Roman" w:cs="Times New Roman" w:eastAsia="Times New Roman" w:hint="default"/>
        </w:rPr>
        <w:t>50,295,500.00</w:t>
      </w:r>
      <w:r>
        <w:rPr/>
        <w:t>元。</w:t>
      </w:r>
    </w:p>
    <w:p>
      <w:pPr>
        <w:pStyle w:val="BodyText"/>
        <w:spacing w:line="240" w:lineRule="auto" w:before="122"/>
        <w:ind w:left="592" w:right="996"/>
        <w:jc w:val="left"/>
      </w:pPr>
      <w:r>
        <w:rPr/>
        <w:t>经测试，公司收购深圳苏摩形成的商誉本年应计提减值</w:t>
      </w:r>
      <w:r>
        <w:rPr>
          <w:rFonts w:ascii="Times New Roman" w:hAnsi="Times New Roman" w:cs="Times New Roman" w:eastAsia="Times New Roman" w:hint="default"/>
        </w:rPr>
        <w:t>1,244,196.08</w:t>
      </w:r>
      <w:r>
        <w:rPr/>
        <w:t>元。</w:t>
      </w:r>
    </w:p>
    <w:p>
      <w:pPr>
        <w:spacing w:line="240" w:lineRule="auto" w:before="3"/>
        <w:rPr>
          <w:rFonts w:ascii="宋体" w:hAnsi="宋体" w:cs="宋体" w:eastAsia="宋体" w:hint="default"/>
          <w:sz w:val="24"/>
          <w:szCs w:val="24"/>
        </w:rPr>
      </w:pPr>
    </w:p>
    <w:p>
      <w:pPr>
        <w:spacing w:before="0"/>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9,187,295.29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4,501,648.20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2,868,729.86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10,820,213.63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版权金代理费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550,314.34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16,547,823.72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7,420,577.42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9,677,560.64</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182,852.08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1,424,186.03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405,963.03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1,201,075.08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服务费用</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1,112,781.13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140,561.48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972,219.65</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9,920,461.71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23,586,439.08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10,835,831.79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22,671,069.00</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）未经抵销的递延所得税资产</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1"/>
        <w:gridCol w:w="1928"/>
        <w:gridCol w:w="1916"/>
        <w:gridCol w:w="1913"/>
        <w:gridCol w:w="1915"/>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3"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4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24,493,655.77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3,692,905.26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12,161,382.14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1,924,205.56</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329,467.73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49,420.16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768,758.13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115,313.72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65,795,043.19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9,869,256.48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58,652,037.80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8,797,805.67</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无形资产摊销额大于税 法摊销未转回</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67,730,786.71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10,159,618.01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77,639,260.05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11,645,889.01</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广告费用超支部分未转 回</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12,504,484.79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2,607,843.61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9,670,794.42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1,450,619.16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11,767,258.53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1,765,088.78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4,666,479.38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699,971.91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185,190,711.99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28,529,634.59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160,988,696.65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24,248,302.74</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）未经抵销的递延所得税负债</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1339"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因长期股权投资转为可 供出售金融资产按公允 价值重新计量确认的递 延所得税负债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179,982,226.70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26,997,334.01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179,982,226.70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26,997,334.01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179,982,226.70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26,997,334.01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179,982,226.70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26,997,334.01</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）未确认递延所得税资产明细</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35,228,073.69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23,436,830.26</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66,062,433.12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87,832,074.77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101,290,506.81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111,268,905.03</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）未确认递延所得税资产的可抵扣亏损将于以下年度到期</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年到期（</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2,689,441.70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年到期（</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1,292,032.71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4,751,052.87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年到期（</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30,692,190.46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34,159,261.13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年到期（</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2,897,552.65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4,162,371.03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年到期（</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10,830,396.74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42,069,948.05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 </w:t>
            </w:r>
            <w:r>
              <w:rPr>
                <w:rFonts w:ascii="宋体" w:hAnsi="宋体" w:cs="宋体" w:eastAsia="宋体" w:hint="default"/>
                <w:sz w:val="18"/>
                <w:szCs w:val="18"/>
              </w:rPr>
              <w:t>年到期（</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20,350,260.56</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390"/>
        <w:gridCol w:w="2396"/>
        <w:gridCol w:w="2405"/>
        <w:gridCol w:w="2369"/>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2" w:right="0"/>
              <w:jc w:val="left"/>
              <w:rPr>
                <w:rFonts w:ascii="Times New Roman" w:hAnsi="Times New Roman" w:cs="Times New Roman" w:eastAsia="Times New Roman" w:hint="default"/>
                <w:sz w:val="18"/>
                <w:szCs w:val="18"/>
              </w:rPr>
            </w:pPr>
            <w:r>
              <w:rPr>
                <w:rFonts w:ascii="Times New Roman"/>
                <w:sz w:val="18"/>
              </w:rPr>
              <w:t>66,062,433.12</w:t>
            </w:r>
          </w:p>
        </w:tc>
        <w:tc>
          <w:tcPr>
            <w:tcW w:w="240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1325" w:right="0"/>
              <w:jc w:val="left"/>
              <w:rPr>
                <w:rFonts w:ascii="Times New Roman" w:hAnsi="Times New Roman" w:cs="Times New Roman" w:eastAsia="Times New Roman" w:hint="default"/>
                <w:sz w:val="18"/>
                <w:szCs w:val="18"/>
              </w:rPr>
            </w:pPr>
            <w:r>
              <w:rPr>
                <w:rFonts w:ascii="Times New Roman"/>
                <w:sz w:val="18"/>
              </w:rPr>
              <w:t>87,832,074.78</w:t>
            </w:r>
          </w:p>
        </w:tc>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、其他非流动资产</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060" w:bottom="1160" w:left="980" w:right="0"/>
        </w:sectPr>
      </w:pPr>
    </w:p>
    <w:p>
      <w:pPr>
        <w:spacing w:before="44"/>
        <w:ind w:left="152" w:right="-19"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2"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4" w:space="6875"/>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预付游戏定制费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预付装修费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2,797,967.73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4,572,297.05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预付版权金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4,891,386.13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13,342,592.75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预付工程设备款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121,379.31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38,689,353.86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18,036,269.11</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、短期借款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95,126,270.83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120,761,034.48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60,119,599.99</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215,887,305.31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60,119,599.99</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、应付账款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）应付账款列示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50,321,415.65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15,507,027.04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应付软件费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44,173,320.00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应付分成款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23,953,667.20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18,981,063.64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应付带宽</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16,308,941.78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应付广告费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5,224,833.80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5,470,174.43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应付信息费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4,553,532.46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应付设计费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3,966,583.02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4,579,942.16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文旅服务成本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3,443,334.04</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1,812,807.94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2,578,619.92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1,597,323.82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4,856,611.95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应付服务器托管费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495,519.08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427,663.03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应付版权金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349.13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349.13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应付维保费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971,583.19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155,851,627.92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53,373,071.49</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年的重要应付账款</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49"/>
        <w:ind w:left="152" w:right="99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85"/>
        <w:ind w:right="996"/>
        <w:jc w:val="left"/>
      </w:pPr>
      <w:r>
        <w:rPr/>
        <w:t>本年无账龄超过</w:t>
      </w:r>
      <w:r>
        <w:rPr>
          <w:rFonts w:ascii="Times New Roman" w:hAnsi="Times New Roman" w:cs="Times New Roman" w:eastAsia="Times New Roman" w:hint="default"/>
        </w:rPr>
        <w:t>1</w:t>
      </w:r>
      <w:r>
        <w:rPr/>
        <w:t>年的重要应付账款。</w:t>
      </w:r>
    </w:p>
    <w:p>
      <w:pPr>
        <w:spacing w:line="240" w:lineRule="auto" w:before="3"/>
        <w:rPr>
          <w:rFonts w:ascii="宋体" w:hAnsi="宋体" w:cs="宋体" w:eastAsia="宋体" w:hint="default"/>
          <w:sz w:val="24"/>
          <w:szCs w:val="24"/>
        </w:rPr>
      </w:pPr>
    </w:p>
    <w:p>
      <w:pPr>
        <w:spacing w:before="0"/>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、预收款项</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996"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2" w:right="9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5"/>
          <w:szCs w:val="25"/>
        </w:rPr>
      </w:pPr>
    </w:p>
    <w:p>
      <w:pPr>
        <w:spacing w:before="0"/>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）预收款项列示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5,825,983.27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2,057,014.16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492,204.26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359,877.76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336,905.94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452,780.49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539,932.85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109,688.22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7,195,026.32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2,979,360.63</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）应付职工薪酬列示</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58"/>
              <w:jc w:val="right"/>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85"/>
              <w:jc w:val="righ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38" w:right="0"/>
              <w:jc w:val="left"/>
              <w:rPr>
                <w:rFonts w:ascii="Times New Roman" w:hAnsi="Times New Roman" w:cs="Times New Roman" w:eastAsia="Times New Roman" w:hint="default"/>
                <w:sz w:val="18"/>
                <w:szCs w:val="18"/>
              </w:rPr>
            </w:pPr>
            <w:r>
              <w:rPr>
                <w:rFonts w:ascii="Times New Roman"/>
                <w:sz w:val="18"/>
              </w:rPr>
              <w:t>5,423,305.90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58,233,009.59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59,629,490.13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4,026,825.36</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3,024,267.65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3,022,738.65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1,529.00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85"/>
              <w:jc w:val="righ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17,640.00</w:t>
            </w: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8" w:right="0"/>
              <w:jc w:val="left"/>
              <w:rPr>
                <w:rFonts w:ascii="Times New Roman" w:hAnsi="Times New Roman" w:cs="Times New Roman" w:eastAsia="Times New Roman" w:hint="default"/>
                <w:sz w:val="18"/>
                <w:szCs w:val="18"/>
              </w:rPr>
            </w:pPr>
            <w:r>
              <w:rPr>
                <w:rFonts w:ascii="Times New Roman"/>
                <w:sz w:val="18"/>
              </w:rPr>
              <w:t>5,423,305.90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61,274,917.24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62,669,868.78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4,028,354.36</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）短期薪酬列示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5,423,305.90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52,822,773.49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54,220,851.91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4,025,227.48</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2,623,738.11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2,623,738.11</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1,641,218.61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1,640,170.73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1,047.88</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1,508,064.29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1,507,081.31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982.98</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25,829.33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25,779.83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49.50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107,324.99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107,309.59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1,074,895.10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1,074,345.10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550.00</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70,384.28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70,384.28</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5,423,305.90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58,233,009.59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59,629,490.13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4,026,825.36</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）设定提存计划列示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2,963,825.55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2,962,373.55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1,452.00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60,442.10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60,365.10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77.00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3,024,267.65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3,022,738.65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1,529.00</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11,918,880.82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8,373,172.95</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20,863,849.16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10,760,576.83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5,841,844.67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2,675,944.46</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422,800.67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386,352.12</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301,992.90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275,958.24</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1,161.80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195,286.76</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39,350,530.02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22,667,291.36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129,011,651.03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279,597,515.07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129,047,631.03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279,597,515.07</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）应付股利</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35,980.00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2" w:right="996"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年未支付的应付股利，应披露未支付原因：</w:t>
      </w:r>
    </w:p>
    <w:p>
      <w:pPr>
        <w:pStyle w:val="BodyText"/>
        <w:spacing w:line="240" w:lineRule="auto" w:before="153"/>
        <w:ind w:left="592" w:right="996"/>
        <w:jc w:val="left"/>
      </w:pPr>
      <w:r>
        <w:rPr/>
        <w:t>年末不存在重要的超过</w:t>
      </w:r>
      <w:r>
        <w:rPr>
          <w:rFonts w:ascii="Times New Roman" w:hAnsi="Times New Roman" w:cs="Times New Roman" w:eastAsia="Times New Roman" w:hint="default"/>
        </w:rPr>
        <w:t>1</w:t>
      </w:r>
      <w:r>
        <w:rPr/>
        <w:t>年未支付的应付股利。</w:t>
      </w:r>
    </w:p>
    <w:p>
      <w:pPr>
        <w:spacing w:line="240" w:lineRule="auto" w:before="0"/>
        <w:rPr>
          <w:rFonts w:ascii="宋体" w:hAnsi="宋体" w:cs="宋体" w:eastAsia="宋体" w:hint="default"/>
          <w:sz w:val="24"/>
          <w:szCs w:val="24"/>
        </w:rPr>
      </w:pPr>
    </w:p>
    <w:p>
      <w:pPr>
        <w:spacing w:before="0"/>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）按款项性质列示其他应付款</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91,159,812.49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237,151,944.33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13,785,726.00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22,754,000.00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17,943,478.72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15,467,515.19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房屋租赁费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2,007,225.29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1,969,510.91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房屋租赁押金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1,080,450.98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1,136,352.99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1,251,178.71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843,759.70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代收款项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1,653,207.40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259,939.61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20,060.10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14,492.34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诉讼赔偿款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110,511.34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129,011,651.03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279,597,515.07</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2"/>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年的重要其他应付款</w:t>
      </w:r>
      <w:r>
        <w:rPr>
          <w:rFonts w:ascii="宋体" w:hAnsi="宋体" w:cs="宋体" w:eastAsia="宋体" w:hint="default"/>
          <w:sz w:val="21"/>
          <w:szCs w:val="21"/>
        </w:rPr>
      </w:r>
    </w:p>
    <w:p>
      <w:pPr>
        <w:spacing w:line="240" w:lineRule="auto" w:before="11"/>
        <w:rPr>
          <w:rFonts w:ascii="宋体" w:hAnsi="宋体" w:cs="宋体" w:eastAsia="宋体" w:hint="default"/>
          <w:b/>
          <w:bCs/>
          <w:sz w:val="23"/>
          <w:szCs w:val="23"/>
        </w:rPr>
      </w:pPr>
    </w:p>
    <w:p>
      <w:pPr>
        <w:pStyle w:val="BodyText"/>
        <w:spacing w:line="240" w:lineRule="auto"/>
        <w:ind w:right="996"/>
        <w:jc w:val="left"/>
      </w:pPr>
      <w:r>
        <w:rPr/>
        <w:t>本年无账龄超过</w:t>
      </w:r>
      <w:r>
        <w:rPr>
          <w:rFonts w:ascii="Times New Roman" w:hAnsi="Times New Roman" w:cs="Times New Roman" w:eastAsia="Times New Roman" w:hint="default"/>
        </w:rPr>
        <w:t>1</w:t>
      </w:r>
      <w:r>
        <w:rPr/>
        <w:t>年的重要其他应付款。</w:t>
      </w:r>
    </w:p>
    <w:p>
      <w:pPr>
        <w:spacing w:after="0" w:line="240" w:lineRule="auto"/>
        <w:jc w:val="left"/>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、其他流动负债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060" w:bottom="1160" w:left="980" w:right="0"/>
        </w:sectPr>
      </w:pPr>
    </w:p>
    <w:p>
      <w:pPr>
        <w:spacing w:before="44"/>
        <w:ind w:left="152" w:right="-19"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2"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4" w:space="6875"/>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预收的游戏卡未实现收入产生的递延收 益</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7,850,591.61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2,273,333.45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10,123,925.06</w:t>
            </w:r>
          </w:p>
        </w:tc>
      </w:tr>
    </w:tbl>
    <w:p>
      <w:pPr>
        <w:spacing w:line="240" w:lineRule="auto" w:before="0"/>
        <w:rPr>
          <w:rFonts w:ascii="宋体" w:hAnsi="宋体" w:cs="宋体" w:eastAsia="宋体" w:hint="default"/>
          <w:sz w:val="5"/>
          <w:szCs w:val="5"/>
        </w:rPr>
      </w:pPr>
    </w:p>
    <w:p>
      <w:pPr>
        <w:pStyle w:val="BodyText"/>
        <w:spacing w:line="240" w:lineRule="auto" w:before="32"/>
        <w:ind w:right="996"/>
        <w:jc w:val="left"/>
      </w:pPr>
      <w:r>
        <w:rPr/>
        <w:t>政府补助明细</w:t>
      </w:r>
    </w:p>
    <w:p>
      <w:pPr>
        <w:spacing w:line="240" w:lineRule="auto" w:before="9"/>
        <w:rPr>
          <w:rFonts w:ascii="宋体" w:hAnsi="宋体" w:cs="宋体" w:eastAsia="宋体"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827"/>
        <w:gridCol w:w="1251"/>
        <w:gridCol w:w="1135"/>
        <w:gridCol w:w="1318"/>
        <w:gridCol w:w="1416"/>
        <w:gridCol w:w="1136"/>
        <w:gridCol w:w="1418"/>
      </w:tblGrid>
      <w:tr>
        <w:trPr>
          <w:trHeight w:val="653" w:hRule="exact"/>
        </w:trPr>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07" w:right="0"/>
              <w:jc w:val="left"/>
              <w:rPr>
                <w:rFonts w:ascii="宋体" w:hAnsi="宋体" w:cs="宋体" w:eastAsia="宋体" w:hint="default"/>
                <w:sz w:val="20"/>
                <w:szCs w:val="20"/>
              </w:rPr>
            </w:pPr>
            <w:r>
              <w:rPr>
                <w:rFonts w:ascii="宋体" w:hAnsi="宋体" w:cs="宋体" w:eastAsia="宋体" w:hint="default"/>
                <w:b/>
                <w:bCs/>
                <w:sz w:val="20"/>
                <w:szCs w:val="20"/>
              </w:rPr>
              <w:t>政府补助项目</w:t>
            </w:r>
            <w:r>
              <w:rPr>
                <w:rFonts w:ascii="宋体" w:hAnsi="宋体" w:cs="宋体" w:eastAsia="宋体" w:hint="default"/>
                <w:sz w:val="20"/>
                <w:szCs w:val="20"/>
              </w:rPr>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18"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
              <w:ind w:left="261" w:right="61" w:hanging="202"/>
              <w:jc w:val="left"/>
              <w:rPr>
                <w:rFonts w:ascii="宋体" w:hAnsi="宋体" w:cs="宋体" w:eastAsia="宋体" w:hint="default"/>
                <w:sz w:val="20"/>
                <w:szCs w:val="20"/>
              </w:rPr>
            </w:pPr>
            <w:r>
              <w:rPr>
                <w:rFonts w:ascii="宋体" w:hAnsi="宋体" w:cs="宋体" w:eastAsia="宋体" w:hint="default"/>
                <w:b/>
                <w:bCs/>
                <w:sz w:val="20"/>
                <w:szCs w:val="20"/>
              </w:rPr>
              <w:t>本年新增补</w:t>
            </w:r>
            <w:r>
              <w:rPr>
                <w:rFonts w:ascii="宋体" w:hAnsi="宋体" w:cs="宋体" w:eastAsia="宋体" w:hint="default"/>
                <w:b/>
                <w:bCs/>
                <w:w w:val="99"/>
                <w:sz w:val="20"/>
                <w:szCs w:val="20"/>
              </w:rPr>
              <w:t> </w:t>
            </w:r>
            <w:r>
              <w:rPr>
                <w:rFonts w:ascii="宋体" w:hAnsi="宋体" w:cs="宋体" w:eastAsia="宋体" w:hint="default"/>
                <w:b/>
                <w:bCs/>
                <w:spacing w:val="2"/>
                <w:sz w:val="20"/>
                <w:szCs w:val="20"/>
              </w:rPr>
              <w:t>助金额</w:t>
            </w:r>
            <w:r>
              <w:rPr>
                <w:rFonts w:ascii="宋体" w:hAnsi="宋体" w:cs="宋体" w:eastAsia="宋体" w:hint="default"/>
                <w:sz w:val="20"/>
                <w:szCs w:val="20"/>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
              <w:ind w:left="153" w:right="49" w:hanging="101"/>
              <w:jc w:val="left"/>
              <w:rPr>
                <w:rFonts w:ascii="宋体" w:hAnsi="宋体" w:cs="宋体" w:eastAsia="宋体" w:hint="default"/>
                <w:sz w:val="20"/>
                <w:szCs w:val="20"/>
              </w:rPr>
            </w:pPr>
            <w:r>
              <w:rPr>
                <w:rFonts w:ascii="宋体" w:hAnsi="宋体" w:cs="宋体" w:eastAsia="宋体" w:hint="default"/>
                <w:b/>
                <w:bCs/>
                <w:sz w:val="20"/>
                <w:szCs w:val="20"/>
              </w:rPr>
              <w:t>本年计入营业</w:t>
            </w:r>
            <w:r>
              <w:rPr>
                <w:rFonts w:ascii="宋体" w:hAnsi="宋体" w:cs="宋体" w:eastAsia="宋体" w:hint="default"/>
                <w:b/>
                <w:bCs/>
                <w:w w:val="99"/>
                <w:sz w:val="20"/>
                <w:szCs w:val="20"/>
              </w:rPr>
              <w:t> </w:t>
            </w:r>
            <w:r>
              <w:rPr>
                <w:rFonts w:ascii="宋体" w:hAnsi="宋体" w:cs="宋体" w:eastAsia="宋体" w:hint="default"/>
                <w:b/>
                <w:bCs/>
                <w:sz w:val="20"/>
                <w:szCs w:val="20"/>
              </w:rPr>
              <w:t>外收入金额</w:t>
            </w:r>
            <w:r>
              <w:rPr>
                <w:rFonts w:ascii="宋体" w:hAnsi="宋体" w:cs="宋体" w:eastAsia="宋体" w:hint="default"/>
                <w:sz w:val="20"/>
                <w:szCs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99" w:right="0"/>
              <w:jc w:val="left"/>
              <w:rPr>
                <w:rFonts w:ascii="宋体" w:hAnsi="宋体" w:cs="宋体" w:eastAsia="宋体" w:hint="default"/>
                <w:sz w:val="20"/>
                <w:szCs w:val="20"/>
              </w:rPr>
            </w:pPr>
            <w:r>
              <w:rPr>
                <w:rFonts w:ascii="宋体" w:hAnsi="宋体" w:cs="宋体" w:eastAsia="宋体" w:hint="default"/>
                <w:b/>
                <w:bCs/>
                <w:sz w:val="20"/>
                <w:szCs w:val="20"/>
              </w:rPr>
              <w:t>其他变动</w:t>
            </w:r>
            <w:r>
              <w:rPr>
                <w:rFonts w:ascii="宋体" w:hAnsi="宋体" w:cs="宋体" w:eastAsia="宋体" w:hint="default"/>
                <w:sz w:val="20"/>
                <w:szCs w:val="20"/>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60"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1"/>
              <w:ind w:left="300" w:right="74" w:hanging="228"/>
              <w:jc w:val="left"/>
              <w:rPr>
                <w:rFonts w:ascii="宋体" w:hAnsi="宋体" w:cs="宋体" w:eastAsia="宋体" w:hint="default"/>
                <w:sz w:val="20"/>
                <w:szCs w:val="20"/>
              </w:rPr>
            </w:pPr>
            <w:r>
              <w:rPr>
                <w:rFonts w:ascii="宋体" w:hAnsi="宋体" w:cs="宋体" w:eastAsia="宋体" w:hint="default"/>
                <w:b/>
                <w:bCs/>
                <w:sz w:val="20"/>
                <w:szCs w:val="20"/>
              </w:rPr>
              <w:t>与资产相关</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与</w:t>
            </w:r>
            <w:r>
              <w:rPr>
                <w:rFonts w:ascii="宋体" w:hAnsi="宋体" w:cs="宋体" w:eastAsia="宋体" w:hint="default"/>
                <w:b/>
                <w:bCs/>
                <w:w w:val="99"/>
                <w:sz w:val="20"/>
                <w:szCs w:val="20"/>
              </w:rPr>
              <w:t> </w:t>
            </w:r>
            <w:r>
              <w:rPr>
                <w:rFonts w:ascii="宋体" w:hAnsi="宋体" w:cs="宋体" w:eastAsia="宋体" w:hint="default"/>
                <w:b/>
                <w:bCs/>
                <w:sz w:val="20"/>
                <w:szCs w:val="20"/>
              </w:rPr>
              <w:t>收益相关</w:t>
            </w:r>
            <w:r>
              <w:rPr>
                <w:rFonts w:ascii="宋体" w:hAnsi="宋体" w:cs="宋体" w:eastAsia="宋体" w:hint="default"/>
                <w:sz w:val="20"/>
                <w:szCs w:val="20"/>
              </w:rPr>
            </w:r>
          </w:p>
        </w:tc>
      </w:tr>
      <w:tr>
        <w:trPr>
          <w:trHeight w:val="655" w:hRule="exact"/>
        </w:trPr>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4"/>
              <w:ind w:left="7" w:right="164"/>
              <w:jc w:val="left"/>
              <w:rPr>
                <w:rFonts w:ascii="宋体" w:hAnsi="宋体" w:cs="宋体" w:eastAsia="宋体" w:hint="default"/>
                <w:sz w:val="20"/>
                <w:szCs w:val="20"/>
              </w:rPr>
            </w:pPr>
            <w:r>
              <w:rPr>
                <w:rFonts w:ascii="宋体" w:hAnsi="宋体" w:cs="宋体" w:eastAsia="宋体" w:hint="default"/>
                <w:sz w:val="20"/>
                <w:szCs w:val="20"/>
              </w:rPr>
              <w:t>移动互联跨平台</w:t>
            </w:r>
            <w:r>
              <w:rPr>
                <w:rFonts w:ascii="Times New Roman" w:hAnsi="Times New Roman" w:cs="Times New Roman" w:eastAsia="Times New Roman" w:hint="default"/>
                <w:sz w:val="20"/>
                <w:szCs w:val="20"/>
              </w:rPr>
              <w:t>3D</w:t>
            </w:r>
            <w:r>
              <w:rPr>
                <w:rFonts w:ascii="Times New Roman" w:hAnsi="Times New Roman" w:cs="Times New Roman" w:eastAsia="Times New Roman" w:hint="default"/>
                <w:spacing w:val="1"/>
                <w:w w:val="99"/>
                <w:sz w:val="20"/>
                <w:szCs w:val="20"/>
              </w:rPr>
              <w:t> </w:t>
            </w:r>
            <w:r>
              <w:rPr>
                <w:rFonts w:ascii="宋体" w:hAnsi="宋体" w:cs="宋体" w:eastAsia="宋体" w:hint="default"/>
                <w:sz w:val="20"/>
                <w:szCs w:val="20"/>
              </w:rPr>
              <w:t>游戏引擎技术</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833,333.50</w:t>
            </w:r>
            <w:r>
              <w:rPr>
                <w:rFonts w:ascii="Times New Roman"/>
                <w:sz w:val="20"/>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833,333.50</w:t>
            </w:r>
            <w:r>
              <w:rPr>
                <w:rFonts w:ascii="Times New Roman"/>
                <w:sz w:val="20"/>
              </w:rPr>
            </w:r>
          </w:p>
        </w:tc>
        <w:tc>
          <w:tcPr>
            <w:tcW w:w="113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与资产相关</w:t>
            </w:r>
          </w:p>
        </w:tc>
      </w:tr>
      <w:tr>
        <w:trPr>
          <w:trHeight w:val="653" w:hRule="exact"/>
        </w:trPr>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
              <w:ind w:left="7" w:right="10"/>
              <w:jc w:val="left"/>
              <w:rPr>
                <w:rFonts w:ascii="宋体" w:hAnsi="宋体" w:cs="宋体" w:eastAsia="宋体" w:hint="default"/>
                <w:sz w:val="20"/>
                <w:szCs w:val="20"/>
              </w:rPr>
            </w:pPr>
            <w:r>
              <w:rPr>
                <w:rFonts w:ascii="宋体" w:hAnsi="宋体" w:cs="宋体" w:eastAsia="宋体" w:hint="default"/>
                <w:sz w:val="20"/>
                <w:szCs w:val="20"/>
              </w:rPr>
              <w:t>虚拟化技术工程实验</w:t>
            </w:r>
            <w:r>
              <w:rPr>
                <w:rFonts w:ascii="宋体" w:hAnsi="宋体" w:cs="宋体" w:eastAsia="宋体" w:hint="default"/>
                <w:w w:val="99"/>
                <w:sz w:val="20"/>
                <w:szCs w:val="20"/>
              </w:rPr>
              <w:t> </w:t>
            </w:r>
            <w:r>
              <w:rPr>
                <w:rFonts w:ascii="宋体" w:hAnsi="宋体" w:cs="宋体" w:eastAsia="宋体" w:hint="default"/>
                <w:sz w:val="20"/>
                <w:szCs w:val="20"/>
              </w:rPr>
              <w:t>室</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999,999.96</w:t>
            </w:r>
            <w:r>
              <w:rPr>
                <w:rFonts w:ascii="Times New Roman"/>
                <w:sz w:val="20"/>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999,999.96</w:t>
            </w:r>
            <w:r>
              <w:rPr>
                <w:rFonts w:ascii="Times New Roman"/>
                <w:sz w:val="20"/>
              </w:rPr>
            </w:r>
          </w:p>
        </w:tc>
        <w:tc>
          <w:tcPr>
            <w:tcW w:w="113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与资产相关</w:t>
            </w:r>
          </w:p>
        </w:tc>
      </w:tr>
      <w:tr>
        <w:trPr>
          <w:trHeight w:val="655" w:hRule="exact"/>
        </w:trPr>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7" w:right="10"/>
              <w:jc w:val="left"/>
              <w:rPr>
                <w:rFonts w:ascii="宋体" w:hAnsi="宋体" w:cs="宋体" w:eastAsia="宋体" w:hint="default"/>
                <w:sz w:val="20"/>
                <w:szCs w:val="20"/>
              </w:rPr>
            </w:pPr>
            <w:r>
              <w:rPr>
                <w:rFonts w:ascii="宋体" w:hAnsi="宋体" w:cs="宋体" w:eastAsia="宋体" w:hint="default"/>
                <w:sz w:val="20"/>
                <w:szCs w:val="20"/>
              </w:rPr>
              <w:t>中青宝游戏云服务开</w:t>
            </w:r>
            <w:r>
              <w:rPr>
                <w:rFonts w:ascii="宋体" w:hAnsi="宋体" w:cs="宋体" w:eastAsia="宋体" w:hint="default"/>
                <w:w w:val="99"/>
                <w:sz w:val="20"/>
                <w:szCs w:val="20"/>
              </w:rPr>
              <w:t> </w:t>
            </w:r>
            <w:r>
              <w:rPr>
                <w:rFonts w:ascii="宋体" w:hAnsi="宋体" w:cs="宋体" w:eastAsia="宋体" w:hint="default"/>
                <w:sz w:val="20"/>
                <w:szCs w:val="20"/>
              </w:rPr>
              <w:t>放平台</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199,999.99</w:t>
            </w:r>
            <w:r>
              <w:rPr>
                <w:rFonts w:ascii="Times New Roman"/>
                <w:sz w:val="20"/>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199,999.99</w:t>
            </w:r>
            <w:r>
              <w:rPr>
                <w:rFonts w:ascii="Times New Roman"/>
                <w:sz w:val="20"/>
              </w:rPr>
            </w:r>
          </w:p>
        </w:tc>
        <w:tc>
          <w:tcPr>
            <w:tcW w:w="113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与资产相关</w:t>
            </w:r>
          </w:p>
        </w:tc>
      </w:tr>
      <w:tr>
        <w:trPr>
          <w:trHeight w:val="341" w:hRule="exact"/>
        </w:trPr>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幻世英雄</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240,000.00</w:t>
            </w:r>
            <w:r>
              <w:rPr>
                <w:rFonts w:ascii="Times New Roman"/>
                <w:sz w:val="20"/>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240,000.00</w:t>
            </w:r>
            <w:r>
              <w:rPr>
                <w:rFonts w:ascii="Times New Roman"/>
                <w:sz w:val="20"/>
              </w:rPr>
            </w:r>
          </w:p>
        </w:tc>
        <w:tc>
          <w:tcPr>
            <w:tcW w:w="113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与资产相关</w:t>
            </w:r>
          </w:p>
        </w:tc>
      </w:tr>
      <w:tr>
        <w:trPr>
          <w:trHeight w:val="343" w:hRule="exact"/>
        </w:trPr>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
              <w:jc w:val="right"/>
              <w:rPr>
                <w:rFonts w:ascii="Times New Roman" w:hAnsi="Times New Roman" w:cs="Times New Roman" w:eastAsia="Times New Roman" w:hint="default"/>
                <w:sz w:val="20"/>
                <w:szCs w:val="20"/>
              </w:rPr>
            </w:pPr>
            <w:r>
              <w:rPr>
                <w:rFonts w:ascii="Times New Roman"/>
                <w:b/>
                <w:w w:val="95"/>
                <w:sz w:val="20"/>
              </w:rPr>
              <w:t>2,273,333.45</w:t>
            </w:r>
            <w:r>
              <w:rPr>
                <w:rFonts w:ascii="Times New Roman"/>
                <w:sz w:val="20"/>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
              <w:jc w:val="right"/>
              <w:rPr>
                <w:rFonts w:ascii="Times New Roman" w:hAnsi="Times New Roman" w:cs="Times New Roman" w:eastAsia="Times New Roman" w:hint="default"/>
                <w:sz w:val="20"/>
                <w:szCs w:val="20"/>
              </w:rPr>
            </w:pPr>
            <w:r>
              <w:rPr>
                <w:rFonts w:ascii="Times New Roman"/>
                <w:b/>
                <w:w w:val="95"/>
                <w:sz w:val="20"/>
              </w:rPr>
              <w:t>2,273,333.45</w:t>
            </w:r>
            <w:r>
              <w:rPr>
                <w:rFonts w:ascii="Times New Roman"/>
                <w:sz w:val="20"/>
              </w:rPr>
            </w:r>
          </w:p>
        </w:tc>
        <w:tc>
          <w:tcPr>
            <w:tcW w:w="113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5"/>
          <w:szCs w:val="5"/>
        </w:rPr>
      </w:pPr>
    </w:p>
    <w:p>
      <w:pPr>
        <w:pStyle w:val="BodyText"/>
        <w:spacing w:line="240" w:lineRule="auto" w:before="32"/>
        <w:ind w:left="592" w:right="996"/>
        <w:jc w:val="left"/>
      </w:pPr>
      <w:r>
        <w:rPr/>
        <w:t>其他变动系本年记入其他收益</w:t>
      </w:r>
    </w:p>
    <w:p>
      <w:pPr>
        <w:spacing w:line="240" w:lineRule="auto" w:before="7"/>
        <w:rPr>
          <w:rFonts w:ascii="宋体" w:hAnsi="宋体" w:cs="宋体" w:eastAsia="宋体" w:hint="default"/>
          <w:sz w:val="25"/>
          <w:szCs w:val="25"/>
        </w:rPr>
      </w:pPr>
    </w:p>
    <w:p>
      <w:pPr>
        <w:spacing w:before="0"/>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、递延收益</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383"/>
        <w:gridCol w:w="1418"/>
        <w:gridCol w:w="1277"/>
        <w:gridCol w:w="1416"/>
        <w:gridCol w:w="2480"/>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3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1,643,333.47</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1,643,333.47</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0"/>
              <w:jc w:val="center"/>
              <w:rPr>
                <w:rFonts w:ascii="宋体" w:hAnsi="宋体" w:cs="宋体" w:eastAsia="宋体" w:hint="default"/>
                <w:sz w:val="18"/>
                <w:szCs w:val="18"/>
              </w:rPr>
            </w:pPr>
            <w:r>
              <w:rPr>
                <w:rFonts w:ascii="宋体" w:hAnsi="宋体" w:cs="宋体" w:eastAsia="宋体" w:hint="default"/>
                <w:sz w:val="18"/>
                <w:szCs w:val="18"/>
              </w:rPr>
              <w:t>尚未满足确认损益的政府补助</w:t>
            </w:r>
          </w:p>
        </w:tc>
      </w:tr>
      <w:tr>
        <w:trPr>
          <w:trHeight w:val="102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未确认收入</w:t>
            </w:r>
          </w:p>
        </w:tc>
        <w:tc>
          <w:tcPr>
            <w:tcW w:w="13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16,302,940.23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16,302,940.23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4"/>
              <w:jc w:val="both"/>
              <w:rPr>
                <w:rFonts w:ascii="宋体" w:hAnsi="宋体" w:cs="宋体" w:eastAsia="宋体" w:hint="default"/>
                <w:sz w:val="18"/>
                <w:szCs w:val="18"/>
              </w:rPr>
            </w:pPr>
            <w:r>
              <w:rPr>
                <w:rFonts w:ascii="宋体" w:hAnsi="宋体" w:cs="宋体" w:eastAsia="宋体" w:hint="default"/>
                <w:sz w:val="18"/>
                <w:szCs w:val="18"/>
              </w:rPr>
              <w:t>预收的游戏卡收入和广告推广 代理充值款未实现收入产生的 递延收益</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1,643,333.47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5" w:right="0"/>
              <w:jc w:val="left"/>
              <w:rPr>
                <w:rFonts w:ascii="Times New Roman" w:hAnsi="Times New Roman" w:cs="Times New Roman" w:eastAsia="Times New Roman" w:hint="default"/>
                <w:sz w:val="18"/>
                <w:szCs w:val="18"/>
              </w:rPr>
            </w:pPr>
            <w:r>
              <w:rPr>
                <w:rFonts w:ascii="Times New Roman"/>
                <w:sz w:val="18"/>
              </w:rPr>
              <w:t>16,302,940.23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17,946,273.70</w:t>
            </w: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996"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11"/>
        <w:gridCol w:w="1010"/>
        <w:gridCol w:w="1011"/>
        <w:gridCol w:w="1008"/>
        <w:gridCol w:w="1010"/>
        <w:gridCol w:w="1249"/>
        <w:gridCol w:w="1010"/>
      </w:tblGrid>
      <w:tr>
        <w:trPr>
          <w:trHeight w:val="1027" w:hRule="exact"/>
        </w:trPr>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2"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0" w:right="50"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 w:right="48"/>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 w:right="48"/>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 w:right="4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0" w:right="24"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虚拟化技术 工程实验室</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1,583,333.47</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1,583,333.47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11"/>
        <w:gridCol w:w="1010"/>
        <w:gridCol w:w="1011"/>
        <w:gridCol w:w="1008"/>
        <w:gridCol w:w="1010"/>
        <w:gridCol w:w="1249"/>
        <w:gridCol w:w="1010"/>
      </w:tblGrid>
      <w:tr>
        <w:trPr>
          <w:trHeight w:val="401"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幻世英雄</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4"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1,643,333.47</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1,643,333.47</w:t>
            </w:r>
          </w:p>
        </w:tc>
        <w:tc>
          <w:tcPr>
            <w:tcW w:w="101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、股本</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10"/>
        <w:gridCol w:w="1184"/>
        <w:gridCol w:w="1195"/>
        <w:gridCol w:w="1198"/>
        <w:gridCol w:w="1195"/>
        <w:gridCol w:w="1185"/>
        <w:gridCol w:w="1208"/>
      </w:tblGrid>
      <w:tr>
        <w:trPr>
          <w:trHeight w:val="205"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7"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10"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27" w:right="0"/>
              <w:jc w:val="left"/>
              <w:rPr>
                <w:rFonts w:ascii="Times New Roman" w:hAnsi="Times New Roman" w:cs="Times New Roman" w:eastAsia="Times New Roman" w:hint="default"/>
                <w:sz w:val="18"/>
                <w:szCs w:val="18"/>
              </w:rPr>
            </w:pPr>
            <w:r>
              <w:rPr>
                <w:rFonts w:ascii="Times New Roman"/>
                <w:sz w:val="18"/>
              </w:rPr>
              <w:t>264,708,600.00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41" w:right="0"/>
              <w:jc w:val="left"/>
              <w:rPr>
                <w:rFonts w:ascii="Times New Roman" w:hAnsi="Times New Roman" w:cs="Times New Roman" w:eastAsia="Times New Roman" w:hint="default"/>
                <w:sz w:val="18"/>
                <w:szCs w:val="18"/>
              </w:rPr>
            </w:pPr>
            <w:r>
              <w:rPr>
                <w:rFonts w:ascii="Times New Roman"/>
                <w:sz w:val="18"/>
              </w:rPr>
              <w:t>431,700.00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8" w:right="0"/>
              <w:jc w:val="left"/>
              <w:rPr>
                <w:rFonts w:ascii="Times New Roman" w:hAnsi="Times New Roman" w:cs="Times New Roman" w:eastAsia="Times New Roman" w:hint="default"/>
                <w:sz w:val="18"/>
                <w:szCs w:val="18"/>
              </w:rPr>
            </w:pPr>
            <w:r>
              <w:rPr>
                <w:rFonts w:ascii="Times New Roman"/>
                <w:sz w:val="18"/>
              </w:rPr>
              <w:t>-1,871,000.00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8" w:right="0"/>
              <w:jc w:val="left"/>
              <w:rPr>
                <w:rFonts w:ascii="Times New Roman" w:hAnsi="Times New Roman" w:cs="Times New Roman" w:eastAsia="Times New Roman" w:hint="default"/>
                <w:sz w:val="18"/>
                <w:szCs w:val="18"/>
              </w:rPr>
            </w:pPr>
            <w:r>
              <w:rPr>
                <w:rFonts w:ascii="Times New Roman"/>
                <w:sz w:val="18"/>
              </w:rPr>
              <w:t>-1,439,300.00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9" w:right="0"/>
              <w:jc w:val="left"/>
              <w:rPr>
                <w:rFonts w:ascii="Times New Roman" w:hAnsi="Times New Roman" w:cs="Times New Roman" w:eastAsia="Times New Roman" w:hint="default"/>
                <w:sz w:val="18"/>
                <w:szCs w:val="18"/>
              </w:rPr>
            </w:pPr>
            <w:r>
              <w:rPr>
                <w:rFonts w:ascii="Times New Roman"/>
                <w:sz w:val="18"/>
              </w:rPr>
              <w:t>263,269,300.00</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、资本公积</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285,935,627.10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2,236,206.00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9,729,200.00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278,442,633.10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36,596,430.67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73,780,263.40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110,376,694.07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322,532,057.77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76,016,469.40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9,729,200.00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388,819,327.17</w:t>
            </w:r>
          </w:p>
        </w:tc>
      </w:tr>
    </w:tbl>
    <w:p>
      <w:pPr>
        <w:spacing w:before="49"/>
        <w:ind w:left="152" w:right="996"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2"/>
        <w:rPr>
          <w:rFonts w:ascii="宋体" w:hAnsi="宋体" w:cs="宋体" w:eastAsia="宋体" w:hint="default"/>
          <w:sz w:val="12"/>
          <w:szCs w:val="12"/>
        </w:rPr>
      </w:pPr>
    </w:p>
    <w:p>
      <w:pPr>
        <w:pStyle w:val="BodyText"/>
        <w:spacing w:line="244" w:lineRule="auto"/>
        <w:ind w:right="1127" w:firstLine="439"/>
        <w:jc w:val="both"/>
      </w:pPr>
      <w:r>
        <w:rPr>
          <w:spacing w:val="-1"/>
        </w:rPr>
        <w:t>股本溢价增加</w:t>
      </w:r>
      <w:r>
        <w:rPr>
          <w:rFonts w:ascii="Times New Roman" w:hAnsi="Times New Roman" w:cs="Times New Roman" w:eastAsia="Times New Roman" w:hint="default"/>
          <w:spacing w:val="-1"/>
        </w:rPr>
        <w:t>2,236,206.00</w:t>
      </w:r>
      <w:r>
        <w:rPr>
          <w:spacing w:val="-1"/>
        </w:rPr>
        <w:t>元，系本年发行限制性股票</w:t>
      </w:r>
      <w:r>
        <w:rPr>
          <w:rFonts w:ascii="Times New Roman" w:hAnsi="Times New Roman" w:cs="Times New Roman" w:eastAsia="Times New Roman" w:hint="default"/>
          <w:spacing w:val="-1"/>
        </w:rPr>
        <w:t>43.17</w:t>
      </w:r>
      <w:r>
        <w:rPr>
          <w:spacing w:val="-1"/>
        </w:rPr>
        <w:t>万股，授予价每股</w:t>
      </w:r>
      <w:r>
        <w:rPr>
          <w:rFonts w:ascii="Times New Roman" w:hAnsi="Times New Roman" w:cs="Times New Roman" w:eastAsia="Times New Roman" w:hint="default"/>
          <w:spacing w:val="-1"/>
        </w:rPr>
        <w:t>6.18</w:t>
      </w:r>
      <w:r>
        <w:rPr>
          <w:spacing w:val="-1"/>
        </w:rPr>
        <w:t>元，股票面值</w:t>
      </w:r>
      <w:r>
        <w:rPr>
          <w:rFonts w:ascii="Times New Roman" w:hAnsi="Times New Roman" w:cs="Times New Roman" w:eastAsia="Times New Roman" w:hint="default"/>
          <w:spacing w:val="-1"/>
        </w:rPr>
        <w:t>1</w:t>
      </w:r>
      <w:r>
        <w:rPr>
          <w:rFonts w:ascii="Times New Roman" w:hAnsi="Times New Roman" w:cs="Times New Roman" w:eastAsia="Times New Roman" w:hint="default"/>
          <w:w w:val="100"/>
        </w:rPr>
        <w:t> </w:t>
      </w:r>
      <w:r>
        <w:rPr>
          <w:spacing w:val="-3"/>
        </w:rPr>
        <w:t>元，每股授予价大于面值</w:t>
      </w:r>
      <w:r>
        <w:rPr>
          <w:rFonts w:ascii="Times New Roman" w:hAnsi="Times New Roman" w:cs="Times New Roman" w:eastAsia="Times New Roman" w:hint="default"/>
          <w:spacing w:val="-3"/>
        </w:rPr>
        <w:t>5.18</w:t>
      </w:r>
      <w:r>
        <w:rPr>
          <w:spacing w:val="-3"/>
        </w:rPr>
        <w:t>元，合计影响股本溢价</w:t>
      </w:r>
      <w:r>
        <w:rPr>
          <w:rFonts w:ascii="Times New Roman" w:hAnsi="Times New Roman" w:cs="Times New Roman" w:eastAsia="Times New Roman" w:hint="default"/>
          <w:spacing w:val="-3"/>
        </w:rPr>
        <w:t>2,236,206.00</w:t>
      </w:r>
      <w:r>
        <w:rPr>
          <w:spacing w:val="-3"/>
        </w:rPr>
        <w:t>元；股本溢价减少</w:t>
      </w:r>
      <w:r>
        <w:rPr>
          <w:rFonts w:ascii="Times New Roman" w:hAnsi="Times New Roman" w:cs="Times New Roman" w:eastAsia="Times New Roman" w:hint="default"/>
          <w:spacing w:val="-3"/>
        </w:rPr>
        <w:t>9,729,200.00</w:t>
      </w:r>
      <w:r>
        <w:rPr>
          <w:spacing w:val="-3"/>
        </w:rPr>
        <w:t>元，系</w:t>
      </w:r>
      <w:r>
        <w:rPr>
          <w:spacing w:val="-37"/>
        </w:rPr>
        <w:t> </w:t>
      </w:r>
      <w:r>
        <w:rPr>
          <w:spacing w:val="-37"/>
        </w:rPr>
      </w:r>
      <w:r>
        <w:rPr>
          <w:spacing w:val="-1"/>
        </w:rPr>
        <w:t>本年回购限制性股票</w:t>
      </w:r>
      <w:r>
        <w:rPr>
          <w:rFonts w:ascii="Times New Roman" w:hAnsi="Times New Roman" w:cs="Times New Roman" w:eastAsia="Times New Roman" w:hint="default"/>
          <w:spacing w:val="-1"/>
        </w:rPr>
        <w:t>187.10</w:t>
      </w:r>
      <w:r>
        <w:rPr>
          <w:spacing w:val="-1"/>
        </w:rPr>
        <w:t>万股，回购价每股</w:t>
      </w:r>
      <w:r>
        <w:rPr>
          <w:rFonts w:ascii="Times New Roman" w:hAnsi="Times New Roman" w:cs="Times New Roman" w:eastAsia="Times New Roman" w:hint="default"/>
          <w:spacing w:val="-1"/>
        </w:rPr>
        <w:t>6.20</w:t>
      </w:r>
      <w:r>
        <w:rPr>
          <w:spacing w:val="-1"/>
        </w:rPr>
        <w:t>元，股票面值</w:t>
      </w:r>
      <w:r>
        <w:rPr>
          <w:rFonts w:ascii="Times New Roman" w:hAnsi="Times New Roman" w:cs="Times New Roman" w:eastAsia="Times New Roman" w:hint="default"/>
          <w:spacing w:val="-1"/>
        </w:rPr>
        <w:t>1</w:t>
      </w:r>
      <w:r>
        <w:rPr>
          <w:spacing w:val="-1"/>
        </w:rPr>
        <w:t>元，每股回购价大于面值</w:t>
      </w:r>
      <w:r>
        <w:rPr>
          <w:rFonts w:ascii="Times New Roman" w:hAnsi="Times New Roman" w:cs="Times New Roman" w:eastAsia="Times New Roman" w:hint="default"/>
          <w:spacing w:val="-1"/>
        </w:rPr>
        <w:t>5.20</w:t>
      </w:r>
      <w:r>
        <w:rPr>
          <w:spacing w:val="-1"/>
        </w:rPr>
        <w:t>元，合</w:t>
      </w:r>
      <w:r>
        <w:rPr>
          <w:spacing w:val="-47"/>
        </w:rPr>
        <w:t> </w:t>
      </w:r>
      <w:r>
        <w:rPr>
          <w:spacing w:val="-47"/>
        </w:rPr>
      </w:r>
      <w:r>
        <w:rPr>
          <w:spacing w:val="-2"/>
        </w:rPr>
        <w:t>计影响股本溢价</w:t>
      </w:r>
      <w:r>
        <w:rPr>
          <w:rFonts w:ascii="Times New Roman" w:hAnsi="Times New Roman" w:cs="Times New Roman" w:eastAsia="Times New Roman" w:hint="default"/>
          <w:spacing w:val="-2"/>
        </w:rPr>
        <w:t>9,729,200.00</w:t>
      </w:r>
      <w:r>
        <w:rPr>
          <w:spacing w:val="-2"/>
        </w:rPr>
        <w:t>元；其他资本公积本年增加</w:t>
      </w:r>
      <w:r>
        <w:rPr>
          <w:rFonts w:ascii="Times New Roman" w:hAnsi="Times New Roman" w:cs="Times New Roman" w:eastAsia="Times New Roman" w:hint="default"/>
          <w:spacing w:val="-2"/>
        </w:rPr>
        <w:t>73,780,263.40</w:t>
      </w:r>
      <w:r>
        <w:rPr>
          <w:spacing w:val="-2"/>
        </w:rPr>
        <w:t>元，系收购宝腾互联应付宝德科</w:t>
      </w:r>
      <w:r>
        <w:rPr>
          <w:spacing w:val="-42"/>
        </w:rPr>
        <w:t> </w:t>
      </w:r>
      <w:r>
        <w:rPr>
          <w:spacing w:val="-42"/>
        </w:rPr>
      </w:r>
      <w:r>
        <w:rPr>
          <w:spacing w:val="-1"/>
        </w:rPr>
        <w:t>技集团的股权转让款</w:t>
      </w:r>
      <w:r>
        <w:rPr>
          <w:rFonts w:ascii="Times New Roman" w:hAnsi="Times New Roman" w:cs="Times New Roman" w:eastAsia="Times New Roman" w:hint="default"/>
          <w:spacing w:val="-1"/>
        </w:rPr>
        <w:t>34,213,593.35</w:t>
      </w:r>
      <w:r>
        <w:rPr>
          <w:spacing w:val="-1"/>
        </w:rPr>
        <w:t>元、子公司深圳苏摩创始股东离职导致对赌协议提前结束无需支付</w:t>
      </w:r>
      <w:r>
        <w:rPr>
          <w:spacing w:val="-45"/>
        </w:rPr>
        <w:t> </w:t>
      </w:r>
      <w:r>
        <w:rPr>
          <w:spacing w:val="-45"/>
        </w:rPr>
      </w:r>
      <w:r>
        <w:rPr>
          <w:spacing w:val="-2"/>
        </w:rPr>
        <w:t>剩余股权转让款</w:t>
      </w:r>
      <w:r>
        <w:rPr>
          <w:rFonts w:ascii="Times New Roman" w:hAnsi="Times New Roman" w:cs="Times New Roman" w:eastAsia="Times New Roman" w:hint="default"/>
          <w:spacing w:val="-2"/>
        </w:rPr>
        <w:t>34,300,000</w:t>
      </w:r>
      <w:r>
        <w:rPr>
          <w:spacing w:val="-2"/>
        </w:rPr>
        <w:t>元、收购深圳五秒少数股东股权形成资本公积</w:t>
      </w:r>
      <w:r>
        <w:rPr>
          <w:rFonts w:ascii="Times New Roman" w:hAnsi="Times New Roman" w:cs="Times New Roman" w:eastAsia="Times New Roman" w:hint="default"/>
          <w:spacing w:val="-2"/>
        </w:rPr>
        <w:t>600,190.67</w:t>
      </w:r>
      <w:r>
        <w:rPr>
          <w:spacing w:val="-2"/>
        </w:rPr>
        <w:t>元和未行权股份的</w:t>
      </w:r>
      <w:r>
        <w:rPr>
          <w:spacing w:val="-50"/>
        </w:rPr>
        <w:t> </w:t>
      </w:r>
      <w:r>
        <w:rPr>
          <w:spacing w:val="-50"/>
        </w:rPr>
      </w:r>
      <w:r>
        <w:rPr/>
        <w:t>员工期权费用</w:t>
      </w:r>
      <w:r>
        <w:rPr>
          <w:rFonts w:ascii="Times New Roman" w:hAnsi="Times New Roman" w:cs="Times New Roman" w:eastAsia="Times New Roman" w:hint="default"/>
        </w:rPr>
        <w:t>4,666,479.38</w:t>
      </w:r>
      <w:r>
        <w:rPr/>
        <w:t>元。</w:t>
      </w:r>
    </w:p>
    <w:p>
      <w:pPr>
        <w:spacing w:line="240" w:lineRule="auto" w:before="11"/>
        <w:rPr>
          <w:rFonts w:ascii="宋体" w:hAnsi="宋体" w:cs="宋体" w:eastAsia="宋体" w:hint="default"/>
          <w:sz w:val="23"/>
          <w:szCs w:val="23"/>
        </w:rPr>
      </w:pPr>
    </w:p>
    <w:p>
      <w:pPr>
        <w:spacing w:before="0"/>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、库存股</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22,754,000.00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2,667,906.00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11,636,180.00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13,785,726.00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22,754,000.00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2,667,906.00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11,636,180.00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13,785,726.00</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、其他综合收益</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55"/>
        <w:gridCol w:w="975"/>
        <w:gridCol w:w="5312"/>
        <w:gridCol w:w="727"/>
      </w:tblGrid>
      <w:tr>
        <w:trPr>
          <w:trHeight w:val="403" w:hRule="exact"/>
        </w:trPr>
        <w:tc>
          <w:tcPr>
            <w:tcW w:w="2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88" w:right="0"/>
              <w:jc w:val="left"/>
              <w:rPr>
                <w:rFonts w:ascii="宋体" w:hAnsi="宋体" w:cs="宋体" w:eastAsia="宋体" w:hint="default"/>
                <w:sz w:val="18"/>
                <w:szCs w:val="18"/>
              </w:rPr>
            </w:pPr>
            <w:r>
              <w:rPr>
                <w:rFonts w:ascii="宋体" w:hAnsi="宋体" w:cs="宋体" w:eastAsia="宋体" w:hint="default"/>
                <w:sz w:val="18"/>
                <w:szCs w:val="18"/>
              </w:rPr>
              <w:t>期末余</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534"/>
        <w:gridCol w:w="986"/>
        <w:gridCol w:w="852"/>
        <w:gridCol w:w="1052"/>
        <w:gridCol w:w="852"/>
        <w:gridCol w:w="852"/>
        <w:gridCol w:w="853"/>
        <w:gridCol w:w="852"/>
        <w:gridCol w:w="727"/>
      </w:tblGrid>
      <w:tr>
        <w:trPr>
          <w:trHeight w:val="161" w:hRule="exact"/>
        </w:trPr>
        <w:tc>
          <w:tcPr>
            <w:tcW w:w="2534" w:type="dxa"/>
            <w:vMerge w:val="restart"/>
            <w:tcBorders>
              <w:top w:val="single" w:sz="4" w:space="0" w:color="000000"/>
              <w:left w:val="single" w:sz="4" w:space="0" w:color="000000"/>
              <w:right w:val="single" w:sz="4" w:space="0" w:color="000000"/>
            </w:tcBorders>
            <w:shd w:val="clear" w:color="auto" w:fill="D2D2D2"/>
          </w:tcPr>
          <w:p>
            <w:pPr/>
          </w:p>
        </w:tc>
        <w:tc>
          <w:tcPr>
            <w:tcW w:w="986" w:type="dxa"/>
            <w:vMerge w:val="restart"/>
            <w:tcBorders>
              <w:top w:val="single" w:sz="4" w:space="0" w:color="000000"/>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62" w:right="59"/>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 留存收益</w:t>
            </w: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853" w:type="dxa"/>
            <w:vMerge w:val="restart"/>
            <w:tcBorders>
              <w:top w:val="single" w:sz="4" w:space="0" w:color="000000"/>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727" w:type="dxa"/>
            <w:vMerge w:val="restart"/>
            <w:tcBorders>
              <w:top w:val="single" w:sz="4" w:space="0" w:color="000000"/>
              <w:left w:val="single" w:sz="10" w:space="0" w:color="D2D2D2"/>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156" w:hRule="exact"/>
        </w:trPr>
        <w:tc>
          <w:tcPr>
            <w:tcW w:w="2534" w:type="dxa"/>
            <w:vMerge/>
            <w:tcBorders>
              <w:left w:val="single" w:sz="4" w:space="0" w:color="000000"/>
              <w:right w:val="single" w:sz="4" w:space="0" w:color="000000"/>
            </w:tcBorders>
            <w:shd w:val="clear" w:color="auto" w:fill="D2D2D2"/>
          </w:tcPr>
          <w:p>
            <w:pPr/>
          </w:p>
        </w:tc>
        <w:tc>
          <w:tcPr>
            <w:tcW w:w="98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5"/>
                <w:sz w:val="18"/>
                <w:szCs w:val="18"/>
              </w:rPr>
              <w:t>减：前期计入</w:t>
            </w:r>
            <w:r>
              <w:rPr>
                <w:rFonts w:ascii="宋体" w:hAnsi="宋体" w:cs="宋体" w:eastAsia="宋体" w:hint="default"/>
                <w:sz w:val="18"/>
                <w:szCs w:val="18"/>
              </w:rPr>
              <w:t> 其他综合收 益当期转入 损益</w:t>
            </w: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727" w:type="dxa"/>
            <w:vMerge/>
            <w:tcBorders>
              <w:left w:val="single" w:sz="10" w:space="0" w:color="D2D2D2"/>
              <w:right w:val="single" w:sz="4" w:space="0" w:color="000000"/>
            </w:tcBorders>
          </w:tcPr>
          <w:p>
            <w:pPr/>
          </w:p>
        </w:tc>
      </w:tr>
      <w:tr>
        <w:trPr>
          <w:trHeight w:val="156" w:hRule="exact"/>
        </w:trPr>
        <w:tc>
          <w:tcPr>
            <w:tcW w:w="2534" w:type="dxa"/>
            <w:vMerge/>
            <w:tcBorders>
              <w:left w:val="single" w:sz="4" w:space="0" w:color="000000"/>
              <w:right w:val="single" w:sz="4" w:space="0" w:color="000000"/>
            </w:tcBorders>
            <w:shd w:val="clear" w:color="auto" w:fill="D2D2D2"/>
          </w:tcPr>
          <w:p>
            <w:pPr/>
          </w:p>
        </w:tc>
        <w:tc>
          <w:tcPr>
            <w:tcW w:w="986"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2" w:right="59"/>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853" w:type="dxa"/>
            <w:vMerge/>
            <w:tcBorders>
              <w:left w:val="single" w:sz="4" w:space="0" w:color="000000"/>
              <w:bottom w:val="nil" w:sz="6" w:space="0" w:color="auto"/>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2" w:right="5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27" w:type="dxa"/>
            <w:vMerge/>
            <w:tcBorders>
              <w:left w:val="single" w:sz="10" w:space="0" w:color="D2D2D2"/>
              <w:right w:val="single" w:sz="4" w:space="0" w:color="000000"/>
            </w:tcBorders>
          </w:tcPr>
          <w:p>
            <w:pPr/>
          </w:p>
        </w:tc>
      </w:tr>
      <w:tr>
        <w:trPr>
          <w:trHeight w:val="703" w:hRule="exact"/>
        </w:trPr>
        <w:tc>
          <w:tcPr>
            <w:tcW w:w="2534" w:type="dxa"/>
            <w:vMerge/>
            <w:tcBorders>
              <w:left w:val="single" w:sz="4" w:space="0" w:color="000000"/>
              <w:right w:val="single" w:sz="4" w:space="0" w:color="000000"/>
            </w:tcBorders>
            <w:shd w:val="clear" w:color="auto" w:fill="D2D2D2"/>
          </w:tcPr>
          <w:p>
            <w:pPr/>
          </w:p>
        </w:tc>
        <w:tc>
          <w:tcPr>
            <w:tcW w:w="98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51" w:right="59" w:hanging="89"/>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8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62" w:right="58"/>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852" w:type="dxa"/>
            <w:vMerge/>
            <w:tcBorders>
              <w:left w:val="single" w:sz="4" w:space="0" w:color="000000"/>
              <w:right w:val="single" w:sz="4" w:space="0" w:color="000000"/>
            </w:tcBorders>
            <w:shd w:val="clear" w:color="auto" w:fill="D2D2D2"/>
          </w:tcPr>
          <w:p>
            <w:pPr/>
          </w:p>
        </w:tc>
        <w:tc>
          <w:tcPr>
            <w:tcW w:w="727" w:type="dxa"/>
            <w:vMerge/>
            <w:tcBorders>
              <w:left w:val="single" w:sz="10" w:space="0" w:color="D2D2D2"/>
              <w:right w:val="single" w:sz="4" w:space="0" w:color="000000"/>
            </w:tcBorders>
          </w:tcPr>
          <w:p>
            <w:pPr/>
          </w:p>
        </w:tc>
      </w:tr>
      <w:tr>
        <w:trPr>
          <w:trHeight w:val="156" w:hRule="exact"/>
        </w:trPr>
        <w:tc>
          <w:tcPr>
            <w:tcW w:w="2534" w:type="dxa"/>
            <w:vMerge/>
            <w:tcBorders>
              <w:left w:val="single" w:sz="4" w:space="0" w:color="000000"/>
              <w:right w:val="single" w:sz="4" w:space="0" w:color="000000"/>
            </w:tcBorders>
            <w:shd w:val="clear" w:color="auto" w:fill="D2D2D2"/>
          </w:tcPr>
          <w:p>
            <w:pPr/>
          </w:p>
        </w:tc>
        <w:tc>
          <w:tcPr>
            <w:tcW w:w="98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853" w:type="dxa"/>
            <w:vMerge w:val="restart"/>
            <w:tcBorders>
              <w:top w:val="nil" w:sz="6" w:space="0" w:color="auto"/>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727" w:type="dxa"/>
            <w:vMerge/>
            <w:tcBorders>
              <w:left w:val="single" w:sz="10" w:space="0" w:color="D2D2D2"/>
              <w:right w:val="single" w:sz="4" w:space="0" w:color="000000"/>
            </w:tcBorders>
          </w:tcPr>
          <w:p>
            <w:pPr/>
          </w:p>
        </w:tc>
      </w:tr>
      <w:tr>
        <w:trPr>
          <w:trHeight w:val="156" w:hRule="exact"/>
        </w:trPr>
        <w:tc>
          <w:tcPr>
            <w:tcW w:w="2534" w:type="dxa"/>
            <w:vMerge/>
            <w:tcBorders>
              <w:left w:val="single" w:sz="4" w:space="0" w:color="000000"/>
              <w:right w:val="single" w:sz="4" w:space="0" w:color="000000"/>
            </w:tcBorders>
            <w:shd w:val="clear" w:color="auto" w:fill="D2D2D2"/>
          </w:tcPr>
          <w:p>
            <w:pPr/>
          </w:p>
        </w:tc>
        <w:tc>
          <w:tcPr>
            <w:tcW w:w="986"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727" w:type="dxa"/>
            <w:vMerge/>
            <w:tcBorders>
              <w:left w:val="single" w:sz="10" w:space="0" w:color="D2D2D2"/>
              <w:right w:val="single" w:sz="4" w:space="0" w:color="000000"/>
            </w:tcBorders>
          </w:tcPr>
          <w:p>
            <w:pPr/>
          </w:p>
        </w:tc>
      </w:tr>
      <w:tr>
        <w:trPr>
          <w:trHeight w:val="161" w:hRule="exact"/>
        </w:trPr>
        <w:tc>
          <w:tcPr>
            <w:tcW w:w="2534" w:type="dxa"/>
            <w:vMerge/>
            <w:tcBorders>
              <w:left w:val="single" w:sz="4" w:space="0" w:color="000000"/>
              <w:bottom w:val="single" w:sz="4" w:space="0" w:color="000000"/>
              <w:right w:val="single" w:sz="4" w:space="0" w:color="000000"/>
            </w:tcBorders>
            <w:shd w:val="clear" w:color="auto" w:fill="D2D2D2"/>
          </w:tcPr>
          <w:p>
            <w:pPr/>
          </w:p>
        </w:tc>
        <w:tc>
          <w:tcPr>
            <w:tcW w:w="986"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3"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10" w:space="0" w:color="D2D2D2"/>
              <w:bottom w:val="single" w:sz="4" w:space="0" w:color="000000"/>
              <w:right w:val="single" w:sz="4" w:space="0" w:color="000000"/>
            </w:tcBorders>
          </w:tcPr>
          <w:p>
            <w:pPr/>
          </w:p>
        </w:tc>
      </w:tr>
      <w:tr>
        <w:trPr>
          <w:trHeight w:val="715" w:hRule="exact"/>
        </w:trPr>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合收益</w:t>
            </w:r>
          </w:p>
        </w:tc>
        <w:tc>
          <w:tcPr>
            <w:tcW w:w="986" w:type="dxa"/>
            <w:tcBorders>
              <w:top w:val="single" w:sz="4" w:space="0" w:color="000000"/>
              <w:left w:val="single" w:sz="10" w:space="0" w:color="D2D2D2"/>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-34,851,07</w:t>
            </w:r>
          </w:p>
          <w:p>
            <w:pPr>
              <w:pStyle w:val="TableParagraph"/>
              <w:spacing w:line="240" w:lineRule="auto" w:before="102"/>
              <w:ind w:left="506" w:right="0"/>
              <w:jc w:val="left"/>
              <w:rPr>
                <w:rFonts w:ascii="Times New Roman" w:hAnsi="Times New Roman" w:cs="Times New Roman" w:eastAsia="Times New Roman" w:hint="default"/>
                <w:sz w:val="18"/>
                <w:szCs w:val="18"/>
              </w:rPr>
            </w:pPr>
            <w:r>
              <w:rPr>
                <w:rFonts w:ascii="Times New Roman"/>
                <w:sz w:val="18"/>
              </w:rPr>
              <w:t>8.50</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-34,851,07</w:t>
            </w:r>
          </w:p>
          <w:p>
            <w:pPr>
              <w:pStyle w:val="TableParagraph"/>
              <w:spacing w:line="240" w:lineRule="auto" w:before="102"/>
              <w:ind w:left="506" w:right="0"/>
              <w:jc w:val="left"/>
              <w:rPr>
                <w:rFonts w:ascii="Times New Roman" w:hAnsi="Times New Roman" w:cs="Times New Roman" w:eastAsia="Times New Roman" w:hint="default"/>
                <w:sz w:val="18"/>
                <w:szCs w:val="18"/>
              </w:rPr>
            </w:pPr>
            <w:r>
              <w:rPr>
                <w:rFonts w:ascii="Times New Roman"/>
                <w:sz w:val="18"/>
              </w:rPr>
              <w:t>8.50</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 w:right="0"/>
              <w:jc w:val="center"/>
              <w:rPr>
                <w:rFonts w:ascii="Times New Roman" w:hAnsi="Times New Roman" w:cs="Times New Roman" w:eastAsia="Times New Roman" w:hint="default"/>
                <w:sz w:val="18"/>
                <w:szCs w:val="18"/>
              </w:rPr>
            </w:pPr>
            <w:r>
              <w:rPr>
                <w:rFonts w:ascii="Times New Roman"/>
                <w:sz w:val="18"/>
              </w:rPr>
              <w:t>-34,851,</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078.50</w:t>
            </w:r>
          </w:p>
        </w:tc>
      </w:tr>
      <w:tr>
        <w:trPr>
          <w:trHeight w:val="713" w:hRule="exact"/>
        </w:trPr>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69" w:firstLine="540"/>
              <w:jc w:val="left"/>
              <w:rPr>
                <w:rFonts w:ascii="宋体" w:hAnsi="宋体" w:cs="宋体" w:eastAsia="宋体" w:hint="default"/>
                <w:sz w:val="18"/>
                <w:szCs w:val="18"/>
              </w:rPr>
            </w:pPr>
            <w:r>
              <w:rPr>
                <w:rFonts w:ascii="宋体" w:hAnsi="宋体" w:cs="宋体" w:eastAsia="宋体" w:hint="default"/>
                <w:sz w:val="18"/>
                <w:szCs w:val="18"/>
              </w:rPr>
              <w:t>其他权益工具投资公允 价值变动</w:t>
            </w:r>
          </w:p>
        </w:tc>
        <w:tc>
          <w:tcPr>
            <w:tcW w:w="986" w:type="dxa"/>
            <w:tcBorders>
              <w:top w:val="single" w:sz="4" w:space="0" w:color="000000"/>
              <w:left w:val="single" w:sz="10" w:space="0" w:color="D2D2D2"/>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-34,851,07</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8.50</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-34,851,07</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8.50</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-34,851,</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078.50</w:t>
            </w:r>
          </w:p>
        </w:tc>
      </w:tr>
      <w:tr>
        <w:trPr>
          <w:trHeight w:val="715" w:hRule="exact"/>
        </w:trPr>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收益</w:t>
            </w:r>
          </w:p>
        </w:tc>
        <w:tc>
          <w:tcPr>
            <w:tcW w:w="9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-3,169,073.7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-916,138.6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-916,138.6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center"/>
              <w:rPr>
                <w:rFonts w:ascii="Times New Roman" w:hAnsi="Times New Roman" w:cs="Times New Roman" w:eastAsia="Times New Roman" w:hint="default"/>
                <w:sz w:val="18"/>
                <w:szCs w:val="18"/>
              </w:rPr>
            </w:pPr>
            <w:r>
              <w:rPr>
                <w:rFonts w:ascii="Times New Roman"/>
                <w:sz w:val="18"/>
              </w:rPr>
              <w:t>-4,085,2</w:t>
            </w:r>
          </w:p>
          <w:p>
            <w:pPr>
              <w:pStyle w:val="TableParagraph"/>
              <w:spacing w:line="240" w:lineRule="auto" w:before="102"/>
              <w:ind w:left="264" w:right="0"/>
              <w:jc w:val="center"/>
              <w:rPr>
                <w:rFonts w:ascii="Times New Roman" w:hAnsi="Times New Roman" w:cs="Times New Roman" w:eastAsia="Times New Roman" w:hint="default"/>
                <w:sz w:val="18"/>
                <w:szCs w:val="18"/>
              </w:rPr>
            </w:pPr>
            <w:r>
              <w:rPr>
                <w:rFonts w:ascii="Times New Roman"/>
                <w:sz w:val="18"/>
              </w:rPr>
              <w:t>12.40</w:t>
            </w:r>
          </w:p>
        </w:tc>
      </w:tr>
      <w:tr>
        <w:trPr>
          <w:trHeight w:val="161" w:hRule="exact"/>
        </w:trPr>
        <w:tc>
          <w:tcPr>
            <w:tcW w:w="25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86"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-3,169,073.7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-916,138.6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-916,138.6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52"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-4,085,2</w:t>
            </w:r>
          </w:p>
          <w:p>
            <w:pPr>
              <w:pStyle w:val="TableParagraph"/>
              <w:spacing w:line="240" w:lineRule="auto" w:before="105"/>
              <w:ind w:left="264" w:right="0"/>
              <w:jc w:val="center"/>
              <w:rPr>
                <w:rFonts w:ascii="Times New Roman" w:hAnsi="Times New Roman" w:cs="Times New Roman" w:eastAsia="Times New Roman" w:hint="default"/>
                <w:sz w:val="18"/>
                <w:szCs w:val="18"/>
              </w:rPr>
            </w:pPr>
            <w:r>
              <w:rPr>
                <w:rFonts w:ascii="Times New Roman"/>
                <w:sz w:val="18"/>
              </w:rPr>
              <w:t>12.40</w:t>
            </w:r>
          </w:p>
        </w:tc>
      </w:tr>
      <w:tr>
        <w:trPr>
          <w:trHeight w:val="392" w:hRule="exact"/>
        </w:trPr>
        <w:tc>
          <w:tcPr>
            <w:tcW w:w="25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986" w:type="dxa"/>
            <w:vMerge/>
            <w:tcBorders>
              <w:left w:val="single" w:sz="10" w:space="0" w:color="D2D2D2"/>
              <w:right w:val="single" w:sz="4" w:space="0" w:color="000000"/>
            </w:tcBorders>
          </w:tcPr>
          <w:p>
            <w:pPr/>
          </w:p>
        </w:tc>
        <w:tc>
          <w:tcPr>
            <w:tcW w:w="852" w:type="dxa"/>
            <w:vMerge/>
            <w:tcBorders>
              <w:left w:val="single" w:sz="4" w:space="0" w:color="000000"/>
              <w:right w:val="single" w:sz="4" w:space="0" w:color="000000"/>
            </w:tcBorders>
          </w:tcPr>
          <w:p>
            <w:pPr/>
          </w:p>
        </w:tc>
        <w:tc>
          <w:tcPr>
            <w:tcW w:w="10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r>
      <w:tr>
        <w:trPr>
          <w:trHeight w:val="161" w:hRule="exact"/>
        </w:trPr>
        <w:tc>
          <w:tcPr>
            <w:tcW w:w="25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86" w:type="dxa"/>
            <w:vMerge/>
            <w:tcBorders>
              <w:left w:val="single" w:sz="10" w:space="0" w:color="D2D2D2"/>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r>
      <w:tr>
        <w:trPr>
          <w:trHeight w:val="163" w:hRule="exact"/>
        </w:trPr>
        <w:tc>
          <w:tcPr>
            <w:tcW w:w="25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86" w:type="dxa"/>
            <w:vMerge w:val="restart"/>
            <w:tcBorders>
              <w:top w:val="single" w:sz="4" w:space="0" w:color="000000"/>
              <w:left w:val="single" w:sz="10" w:space="0" w:color="D2D2D2"/>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-3,169,073.7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-35,767,21</w:t>
            </w:r>
          </w:p>
          <w:p>
            <w:pPr>
              <w:pStyle w:val="TableParagraph"/>
              <w:spacing w:line="240" w:lineRule="auto" w:before="102"/>
              <w:ind w:left="513" w:right="0"/>
              <w:jc w:val="left"/>
              <w:rPr>
                <w:rFonts w:ascii="Times New Roman" w:hAnsi="Times New Roman" w:cs="Times New Roman" w:eastAsia="Times New Roman" w:hint="default"/>
                <w:sz w:val="18"/>
                <w:szCs w:val="18"/>
              </w:rPr>
            </w:pPr>
            <w:r>
              <w:rPr>
                <w:rFonts w:ascii="Times New Roman"/>
                <w:sz w:val="18"/>
              </w:rPr>
              <w:t>7.11</w:t>
            </w:r>
          </w:p>
        </w:tc>
        <w:tc>
          <w:tcPr>
            <w:tcW w:w="10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-35,767,21</w:t>
            </w:r>
          </w:p>
          <w:p>
            <w:pPr>
              <w:pStyle w:val="TableParagraph"/>
              <w:spacing w:line="240" w:lineRule="auto" w:before="102"/>
              <w:ind w:left="514" w:right="0"/>
              <w:jc w:val="left"/>
              <w:rPr>
                <w:rFonts w:ascii="Times New Roman" w:hAnsi="Times New Roman" w:cs="Times New Roman" w:eastAsia="Times New Roman" w:hint="default"/>
                <w:sz w:val="18"/>
                <w:szCs w:val="18"/>
              </w:rPr>
            </w:pPr>
            <w:r>
              <w:rPr>
                <w:rFonts w:ascii="Times New Roman"/>
                <w:sz w:val="18"/>
              </w:rPr>
              <w:t>7.11</w:t>
            </w:r>
          </w:p>
        </w:tc>
        <w:tc>
          <w:tcPr>
            <w:tcW w:w="852"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93"/>
              <w:ind w:left="70" w:right="0"/>
              <w:jc w:val="center"/>
              <w:rPr>
                <w:rFonts w:ascii="Times New Roman" w:hAnsi="Times New Roman" w:cs="Times New Roman" w:eastAsia="Times New Roman" w:hint="default"/>
                <w:sz w:val="18"/>
                <w:szCs w:val="18"/>
              </w:rPr>
            </w:pPr>
            <w:r>
              <w:rPr>
                <w:rFonts w:ascii="Times New Roman"/>
                <w:sz w:val="18"/>
              </w:rPr>
              <w:t>-38,936,</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290.90</w:t>
            </w:r>
          </w:p>
        </w:tc>
      </w:tr>
      <w:tr>
        <w:trPr>
          <w:trHeight w:val="391" w:hRule="exact"/>
        </w:trPr>
        <w:tc>
          <w:tcPr>
            <w:tcW w:w="25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86" w:type="dxa"/>
            <w:vMerge/>
            <w:tcBorders>
              <w:left w:val="single" w:sz="10" w:space="0" w:color="D2D2D2"/>
              <w:right w:val="single" w:sz="4" w:space="0" w:color="000000"/>
            </w:tcBorders>
          </w:tcPr>
          <w:p>
            <w:pPr/>
          </w:p>
        </w:tc>
        <w:tc>
          <w:tcPr>
            <w:tcW w:w="852" w:type="dxa"/>
            <w:vMerge/>
            <w:tcBorders>
              <w:left w:val="single" w:sz="4" w:space="0" w:color="000000"/>
              <w:right w:val="single" w:sz="4" w:space="0" w:color="000000"/>
            </w:tcBorders>
          </w:tcPr>
          <w:p>
            <w:pPr/>
          </w:p>
        </w:tc>
        <w:tc>
          <w:tcPr>
            <w:tcW w:w="10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r>
      <w:tr>
        <w:trPr>
          <w:trHeight w:val="161" w:hRule="exact"/>
        </w:trPr>
        <w:tc>
          <w:tcPr>
            <w:tcW w:w="25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86" w:type="dxa"/>
            <w:vMerge/>
            <w:tcBorders>
              <w:left w:val="single" w:sz="10" w:space="0" w:color="D2D2D2"/>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、盈余公积</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55,072,269.92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766,273.37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55,838,543.29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55,072,269.92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766,273.37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55,838,543.29</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133,239,250.29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102,917,962.24</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133,239,250.29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102,917,962.24</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51,723,043.25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36,361,863.23</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766,273.37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819,803.18</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5,256,752.00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5,220,772.00</w:t>
            </w:r>
          </w:p>
        </w:tc>
      </w:tr>
      <w:tr>
        <w:trPr>
          <w:trHeight w:val="404"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178,939,268.17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133,239,250.29</w:t>
            </w:r>
          </w:p>
        </w:tc>
      </w:tr>
    </w:tbl>
    <w:p>
      <w:pPr>
        <w:spacing w:before="49"/>
        <w:ind w:left="152" w:right="996"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5"/>
        <w:ind w:left="152" w:right="9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2" w:right="9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2" w:right="9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1"/>
        <w:ind w:left="152" w:right="9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2" w:right="9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454,379,014.22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236,683,003.12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318,028,218.39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125,929,816.45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14,447,299.28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11,820,112.51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15,977,222.49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11,308,148.42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468,826,313.50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248,503,115.63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334,005,440.88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137,237,964.87</w:t>
            </w:r>
          </w:p>
        </w:tc>
      </w:tr>
    </w:tbl>
    <w:p>
      <w:pPr>
        <w:spacing w:before="49"/>
        <w:ind w:left="152" w:right="996"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2" w:right="9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、税金及附加</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301,637.76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451,976.80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214,534.60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326,939.26</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121,646.39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143,635.65</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17,316.38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53,781.27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655,135.13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976,332.98</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79,287,176.66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42,544,278.64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14,708,499.91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16,008,307.45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3,256,307.94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907,583.92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977,513.19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989,084.22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901,699.42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529,791.65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708,847.20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295,401.95</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676,688.86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349,707.49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410,558.65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403,344.40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服务器托管费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168,652.85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345,797.82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184,351.12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213,344.70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折旧费及长期资产摊销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93,509.82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129,804.45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101,373,805.62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62,716,446.69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35</w:t>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16,263,313.94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19,249,483.82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折旧费及摊销费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5,662,249.38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3,944,528.41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期权费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4,666,479.38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3,562,345.79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2,983,857.51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2,809,841.68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4,285,986.13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2,035,902.06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2,144,596.46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1,272,818.28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1,464,267.65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外部服务费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1,018,287.17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1,223,611.65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1,007,548.85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1,064,306.90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950,866.71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1,143,193.56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物业管理费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414,588.02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589,365.92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39,664,241.26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38,093,198.01</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36</w:t>
      </w:r>
      <w:r>
        <w:rPr>
          <w:rFonts w:ascii="宋体" w:hAnsi="宋体" w:cs="宋体" w:eastAsia="宋体" w:hint="default"/>
          <w:b/>
          <w:bCs/>
          <w:sz w:val="21"/>
          <w:szCs w:val="21"/>
        </w:rPr>
        <w:t>、研发费用</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27,250,445.90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33,478,804.58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2,502,830.77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折旧费及摊销费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3,141,402.52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2,055,682.89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2,981,625.27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1,240,628.89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2,383,935.72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2,593,481.07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外包服务费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531,136.96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18,553.46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技术协作费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2,924,468.86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42,488,546.37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44,814,450.52</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37</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13,316,640.70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2,416,711.15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3,036,544.46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808,027.94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48,450.52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163,373.48</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1,128,842.31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3,357,986.74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加：其他支出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957,577.18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545,994.14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10,157,281.63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-1,039,935.91</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38</w:t>
      </w:r>
      <w:r>
        <w:rPr>
          <w:rFonts w:ascii="宋体" w:hAnsi="宋体" w:cs="宋体" w:eastAsia="宋体" w:hint="default"/>
          <w:b/>
          <w:bCs/>
          <w:sz w:val="21"/>
          <w:szCs w:val="21"/>
        </w:rPr>
        <w:t>、其他收益</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2,273,333.45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2,479,999.92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进项税加计扣除</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1,217,515.51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个税返还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74,066.31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3,564,915.27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2,479,999.92</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39</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-1,095,915.39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-1,548,944.37</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0"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-57,817.19</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0"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11,144,000.00</w:t>
            </w:r>
          </w:p>
        </w:tc>
      </w:tr>
      <w:tr>
        <w:trPr>
          <w:trHeight w:val="404"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3,137,511.85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1,196,210.32</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处置股权取得的投资收益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42,191,448.50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44,233,044.96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10,733,448.76</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40</w:t>
      </w:r>
      <w:r>
        <w:rPr>
          <w:rFonts w:ascii="宋体" w:hAnsi="宋体" w:cs="宋体" w:eastAsia="宋体" w:hint="default"/>
          <w:b/>
          <w:bCs/>
          <w:sz w:val="21"/>
          <w:szCs w:val="21"/>
        </w:rPr>
        <w:t>、公允价值变动收益</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5,868,493.15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131,506.85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5,868,493.15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131,506.85</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、信用减值损失</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2064" w:right="0"/>
              <w:jc w:val="left"/>
              <w:rPr>
                <w:rFonts w:ascii="Times New Roman" w:hAnsi="Times New Roman" w:cs="Times New Roman" w:eastAsia="Times New Roman" w:hint="default"/>
                <w:sz w:val="18"/>
                <w:szCs w:val="18"/>
              </w:rPr>
            </w:pPr>
            <w:r>
              <w:rPr>
                <w:rFonts w:ascii="Times New Roman"/>
                <w:sz w:val="18"/>
              </w:rPr>
              <w:t>-12,853,770.45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-8,532,742.32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-21,386,512.77</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42</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-13,426,677.39</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-5,558,659.45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-1,244,196.08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-8,787,987.51</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-6,802,855.53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-22,214,664.90</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43</w:t>
      </w:r>
      <w:r>
        <w:rPr>
          <w:rFonts w:ascii="宋体" w:hAnsi="宋体" w:cs="宋体" w:eastAsia="宋体" w:hint="default"/>
          <w:b/>
          <w:bCs/>
          <w:sz w:val="21"/>
          <w:szCs w:val="21"/>
        </w:rPr>
        <w:t>、资产处置收益</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-115,167.30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-621,797.03</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44"/>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w:t>
            </w:r>
            <w:r>
              <w:rPr>
                <w:rFonts w:ascii="宋体" w:hAnsi="宋体" w:cs="宋体" w:eastAsia="宋体" w:hint="default"/>
                <w:sz w:val="18"/>
                <w:szCs w:val="18"/>
              </w:rPr>
              <w:t>未划分为持有待售的非流动资产处 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-115,167.30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-621,797.03</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-115,167.30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-694,760.15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无形资产处置收益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72,963.12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-115,167.30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-621,797.03</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44</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6"/>
        <w:gridCol w:w="2396"/>
        <w:gridCol w:w="2393"/>
        <w:gridCol w:w="2393"/>
      </w:tblGrid>
      <w:tr>
        <w:trPr>
          <w:trHeight w:val="161" w:hRule="exact"/>
        </w:trPr>
        <w:tc>
          <w:tcPr>
            <w:tcW w:w="237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5,873,180.68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4,688,035.74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5,873,180.68</w:t>
            </w: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70,959.47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4,105.27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70,959.47</w:t>
            </w: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无需支付的应付款项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194,157.16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10,386.88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194,157.16</w:t>
            </w: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股权投资差额</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506,869.98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6,138,297.31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5,209,397.87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6,138,297.31</w:t>
            </w:r>
          </w:p>
        </w:tc>
      </w:tr>
    </w:tbl>
    <w:p>
      <w:pPr>
        <w:spacing w:before="49"/>
        <w:ind w:left="152" w:right="996"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258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07" w:lineRule="auto"/>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年企业 研究开发资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35"/>
              <w:jc w:val="left"/>
              <w:rPr>
                <w:rFonts w:ascii="宋体" w:hAnsi="宋体" w:cs="宋体" w:eastAsia="宋体" w:hint="default"/>
                <w:sz w:val="18"/>
                <w:szCs w:val="18"/>
              </w:rPr>
            </w:pPr>
            <w:r>
              <w:rPr>
                <w:rFonts w:ascii="宋体" w:hAnsi="宋体" w:cs="宋体" w:eastAsia="宋体" w:hint="default"/>
                <w:sz w:val="18"/>
                <w:szCs w:val="18"/>
              </w:rPr>
              <w:t>深圳市科技 创新委员会 关于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第一批企业 研究开发资 助计划拟资 助企业的公 示</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9"/>
              <w:jc w:val="right"/>
              <w:rPr>
                <w:rFonts w:ascii="Times New Roman" w:hAnsi="Times New Roman" w:cs="Times New Roman" w:eastAsia="Times New Roman" w:hint="default"/>
                <w:sz w:val="18"/>
                <w:szCs w:val="18"/>
              </w:rPr>
            </w:pPr>
            <w:r>
              <w:rPr>
                <w:rFonts w:ascii="Times New Roman"/>
                <w:spacing w:val="-1"/>
                <w:sz w:val="18"/>
              </w:rPr>
              <w:t>2,784,000.00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2" w:lineRule="auto"/>
              <w:ind w:left="24" w:right="24"/>
              <w:jc w:val="left"/>
              <w:rPr>
                <w:rFonts w:ascii="宋体" w:hAnsi="宋体" w:cs="宋体" w:eastAsia="宋体" w:hint="default"/>
                <w:sz w:val="18"/>
                <w:szCs w:val="18"/>
              </w:rPr>
            </w:pPr>
            <w:r>
              <w:rPr>
                <w:rFonts w:ascii="宋体" w:hAnsi="宋体" w:cs="宋体" w:eastAsia="宋体" w:hint="default"/>
                <w:sz w:val="18"/>
                <w:szCs w:val="18"/>
              </w:rPr>
              <w:t>深圳市福田 区国库支付 中心</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R&amp;D</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投 资支持款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9"/>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年福田 区产业发展 专项资金科 技创新分项 第一批拟支 持企业及项 目汇总表</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1,634,400.00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7" w:lineRule="auto"/>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年国家 高新技术企 业培育资助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35"/>
              <w:jc w:val="left"/>
              <w:rPr>
                <w:rFonts w:ascii="宋体" w:hAnsi="宋体" w:cs="宋体" w:eastAsia="宋体" w:hint="default"/>
                <w:sz w:val="18"/>
                <w:szCs w:val="18"/>
              </w:rPr>
            </w:pPr>
            <w:r>
              <w:rPr>
                <w:rFonts w:ascii="宋体" w:hAnsi="宋体" w:cs="宋体" w:eastAsia="宋体" w:hint="default"/>
                <w:sz w:val="18"/>
                <w:szCs w:val="18"/>
              </w:rPr>
              <w:t>深圳市科技 创新委员会 关于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高新技术企 业培育拟资 助企业的公 示</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410,700.00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09" w:lineRule="auto"/>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年科技 创新专项资 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年深圳 市龙华区科 技创新专项 资金（</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年第二批国 </w:t>
            </w:r>
            <w:r>
              <w:rPr>
                <w:rFonts w:ascii="宋体" w:hAnsi="宋体" w:cs="宋体" w:eastAsia="宋体" w:hint="default"/>
                <w:spacing w:val="-12"/>
                <w:sz w:val="18"/>
                <w:szCs w:val="18"/>
              </w:rPr>
              <w:t>高）拟资助企</w:t>
            </w:r>
            <w:r>
              <w:rPr>
                <w:rFonts w:ascii="宋体" w:hAnsi="宋体" w:cs="宋体" w:eastAsia="宋体" w:hint="default"/>
                <w:sz w:val="18"/>
                <w:szCs w:val="18"/>
              </w:rPr>
              <w:t> 业名单</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7" w:lineRule="auto"/>
              <w:ind w:left="24" w:right="81"/>
              <w:jc w:val="both"/>
              <w:rPr>
                <w:rFonts w:ascii="宋体" w:hAnsi="宋体" w:cs="宋体" w:eastAsia="宋体" w:hint="default"/>
                <w:sz w:val="18"/>
                <w:szCs w:val="18"/>
              </w:rPr>
            </w:pPr>
            <w:r>
              <w:rPr>
                <w:rFonts w:ascii="宋体" w:hAnsi="宋体" w:cs="宋体" w:eastAsia="宋体" w:hint="default"/>
                <w:sz w:val="18"/>
                <w:szCs w:val="18"/>
              </w:rPr>
              <w:t>其他政府补 助（</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以下）</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236,100.00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21" w:right="0"/>
              <w:jc w:val="left"/>
              <w:rPr>
                <w:rFonts w:ascii="Times New Roman" w:hAnsi="Times New Roman" w:cs="Times New Roman" w:eastAsia="Times New Roman" w:hint="default"/>
                <w:sz w:val="18"/>
                <w:szCs w:val="18"/>
              </w:rPr>
            </w:pPr>
            <w:r>
              <w:rPr>
                <w:rFonts w:ascii="Times New Roman"/>
                <w:sz w:val="18"/>
              </w:rPr>
              <w:t>131,200.00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30"/>
              <w:jc w:val="both"/>
              <w:rPr>
                <w:rFonts w:ascii="宋体" w:hAnsi="宋体" w:cs="宋体" w:eastAsia="宋体" w:hint="default"/>
                <w:sz w:val="18"/>
                <w:szCs w:val="18"/>
              </w:rPr>
            </w:pPr>
            <w:r>
              <w:rPr>
                <w:rFonts w:ascii="宋体" w:hAnsi="宋体" w:cs="宋体" w:eastAsia="宋体" w:hint="default"/>
                <w:sz w:val="18"/>
                <w:szCs w:val="18"/>
              </w:rPr>
              <w:t>企业发展服 务中心国家 企业认定支 持款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9"/>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年福田 区产业发展 专项资金科 技创新分项 第三批拟支 持企业及项 目汇总表</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90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56"/>
              <w:ind w:left="24"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年国家 高新技术企 业认定奖补 资金</w:t>
            </w:r>
            <w:r>
              <w:rPr>
                <w:rFonts w:ascii="Times New Roman" w:hAnsi="Times New Roman" w:cs="Times New Roman" w:eastAsia="Times New Roman" w:hint="default"/>
                <w:sz w:val="18"/>
                <w:szCs w:val="18"/>
              </w:rPr>
              <w:t>&amp;</w:t>
            </w:r>
            <w:r>
              <w:rPr>
                <w:rFonts w:ascii="宋体" w:hAnsi="宋体" w:cs="宋体" w:eastAsia="宋体" w:hint="default"/>
                <w:sz w:val="18"/>
                <w:szCs w:val="18"/>
              </w:rPr>
              <w:t>国家 高新技术企 业倍增支持 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年度南 山区自主创 新产业发展 专项资金文 化产业发展 分项资金资 </w:t>
            </w:r>
            <w:r>
              <w:rPr>
                <w:rFonts w:ascii="宋体" w:hAnsi="宋体" w:cs="宋体" w:eastAsia="宋体" w:hint="default"/>
                <w:spacing w:val="-12"/>
                <w:sz w:val="18"/>
                <w:szCs w:val="18"/>
              </w:rPr>
              <w:t>助项目（第三</w:t>
            </w:r>
            <w:r>
              <w:rPr>
                <w:rFonts w:ascii="宋体" w:hAnsi="宋体" w:cs="宋体" w:eastAsia="宋体" w:hint="default"/>
                <w:sz w:val="18"/>
                <w:szCs w:val="18"/>
              </w:rPr>
              <w:t> </w:t>
            </w:r>
            <w:r>
              <w:rPr>
                <w:rFonts w:ascii="宋体" w:hAnsi="宋体" w:cs="宋体" w:eastAsia="宋体" w:hint="default"/>
                <w:spacing w:val="-12"/>
                <w:sz w:val="18"/>
                <w:szCs w:val="18"/>
              </w:rPr>
              <w:t>批）扶持计划</w:t>
            </w:r>
            <w:r>
              <w:rPr>
                <w:rFonts w:ascii="宋体" w:hAnsi="宋体" w:cs="宋体" w:eastAsia="宋体" w:hint="default"/>
                <w:sz w:val="18"/>
                <w:szCs w:val="18"/>
              </w:rPr>
              <w:t> 的通知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130"/>
              <w:jc w:val="both"/>
              <w:rPr>
                <w:rFonts w:ascii="宋体" w:hAnsi="宋体" w:cs="宋体" w:eastAsia="宋体" w:hint="default"/>
                <w:sz w:val="18"/>
                <w:szCs w:val="18"/>
              </w:rPr>
            </w:pPr>
            <w:r>
              <w:rPr>
                <w:rFonts w:ascii="宋体" w:hAnsi="宋体" w:cs="宋体" w:eastAsia="宋体" w:hint="default"/>
                <w:sz w:val="18"/>
                <w:szCs w:val="18"/>
              </w:rPr>
              <w:t>企业发展服 务中心人才 奖励款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9"/>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年福田 区产业发展 专项资金文 化产业分项 第五批拟支 持企业及项 目汇总表</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宋体" w:hAnsi="宋体" w:cs="宋体" w:eastAsia="宋体" w:hint="default"/>
                <w:sz w:val="18"/>
                <w:szCs w:val="18"/>
              </w:rPr>
            </w:pPr>
            <w:r>
              <w:rPr>
                <w:rFonts w:ascii="宋体" w:hAnsi="宋体" w:cs="宋体" w:eastAsia="宋体" w:hint="default"/>
                <w:sz w:val="18"/>
                <w:szCs w:val="18"/>
              </w:rPr>
              <w:t>稳岗补贴款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57,980.68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201,935.74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09" w:lineRule="auto"/>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年企业 研究开发资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4"/>
              <w:ind w:left="23" w:right="79"/>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年企业 研究开发资 助计划第三 批资助企业 表</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2,392,000.00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130"/>
              <w:jc w:val="both"/>
              <w:rPr>
                <w:rFonts w:ascii="宋体" w:hAnsi="宋体" w:cs="宋体" w:eastAsia="宋体" w:hint="default"/>
                <w:sz w:val="18"/>
                <w:szCs w:val="18"/>
              </w:rPr>
            </w:pPr>
            <w:r>
              <w:rPr>
                <w:rFonts w:ascii="宋体" w:hAnsi="宋体" w:cs="宋体" w:eastAsia="宋体" w:hint="default"/>
                <w:sz w:val="18"/>
                <w:szCs w:val="18"/>
              </w:rPr>
              <w:t>互联网电子 商务企业运 营支持</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9"/>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年福田 区产业发展 专项资金科 技创新分项 第五批拟支 持企业及项 目汇总表</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1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4" w:lineRule="auto"/>
              <w:ind w:left="24" w:right="130"/>
              <w:jc w:val="left"/>
              <w:rPr>
                <w:rFonts w:ascii="宋体" w:hAnsi="宋体" w:cs="宋体" w:eastAsia="宋体" w:hint="default"/>
                <w:sz w:val="18"/>
                <w:szCs w:val="18"/>
              </w:rPr>
            </w:pPr>
            <w:r>
              <w:rPr>
                <w:rFonts w:ascii="宋体" w:hAnsi="宋体" w:cs="宋体" w:eastAsia="宋体" w:hint="default"/>
                <w:sz w:val="18"/>
                <w:szCs w:val="18"/>
              </w:rPr>
              <w:t>文化产品出 口奖励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关于下达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年度南 山区自主创 新产业发展 专项资金文 化产业发展 分项资金资 </w:t>
            </w:r>
            <w:r>
              <w:rPr>
                <w:rFonts w:ascii="宋体" w:hAnsi="宋体" w:cs="宋体" w:eastAsia="宋体" w:hint="default"/>
                <w:spacing w:val="-12"/>
                <w:sz w:val="18"/>
                <w:szCs w:val="18"/>
              </w:rPr>
              <w:t>助项目（第一</w:t>
            </w:r>
            <w:r>
              <w:rPr>
                <w:rFonts w:ascii="宋体" w:hAnsi="宋体" w:cs="宋体" w:eastAsia="宋体" w:hint="default"/>
                <w:sz w:val="18"/>
                <w:szCs w:val="18"/>
              </w:rPr>
              <w:t> </w:t>
            </w:r>
            <w:r>
              <w:rPr>
                <w:rFonts w:ascii="宋体" w:hAnsi="宋体" w:cs="宋体" w:eastAsia="宋体" w:hint="default"/>
                <w:spacing w:val="-12"/>
                <w:sz w:val="18"/>
                <w:szCs w:val="18"/>
              </w:rPr>
              <w:t>批）扶持计划</w:t>
            </w:r>
            <w:r>
              <w:rPr>
                <w:rFonts w:ascii="宋体" w:hAnsi="宋体" w:cs="宋体" w:eastAsia="宋体" w:hint="default"/>
                <w:sz w:val="18"/>
                <w:szCs w:val="18"/>
              </w:rPr>
              <w:t> 的通知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202,800.00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0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z w:val="18"/>
                <w:szCs w:val="18"/>
              </w:rPr>
              <w:t>原创作品播 </w:t>
            </w:r>
            <w:r>
              <w:rPr>
                <w:rFonts w:ascii="宋体" w:hAnsi="宋体" w:cs="宋体" w:eastAsia="宋体" w:hint="default"/>
                <w:spacing w:val="-12"/>
                <w:sz w:val="18"/>
                <w:szCs w:val="18"/>
              </w:rPr>
              <w:t>出、运营奖励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关于下达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年度南 山区自主创 新产业发展 专项资金文 化产业发展 分项资金资 </w:t>
            </w:r>
            <w:r>
              <w:rPr>
                <w:rFonts w:ascii="宋体" w:hAnsi="宋体" w:cs="宋体" w:eastAsia="宋体" w:hint="default"/>
                <w:spacing w:val="-12"/>
                <w:sz w:val="18"/>
                <w:szCs w:val="18"/>
              </w:rPr>
              <w:t>助项目（第三</w:t>
            </w:r>
            <w:r>
              <w:rPr>
                <w:rFonts w:ascii="宋体" w:hAnsi="宋体" w:cs="宋体" w:eastAsia="宋体" w:hint="default"/>
                <w:sz w:val="18"/>
                <w:szCs w:val="18"/>
              </w:rPr>
              <w:t> </w:t>
            </w:r>
            <w:r>
              <w:rPr>
                <w:rFonts w:ascii="宋体" w:hAnsi="宋体" w:cs="宋体" w:eastAsia="宋体" w:hint="default"/>
                <w:spacing w:val="-12"/>
                <w:sz w:val="18"/>
                <w:szCs w:val="18"/>
              </w:rPr>
              <w:t>批）扶持计划</w:t>
            </w:r>
            <w:r>
              <w:rPr>
                <w:rFonts w:ascii="宋体" w:hAnsi="宋体" w:cs="宋体" w:eastAsia="宋体" w:hint="default"/>
                <w:sz w:val="18"/>
                <w:szCs w:val="18"/>
              </w:rPr>
              <w:t> 的通知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4" w:right="130"/>
              <w:jc w:val="left"/>
              <w:rPr>
                <w:rFonts w:ascii="宋体" w:hAnsi="宋体" w:cs="宋体" w:eastAsia="宋体" w:hint="default"/>
                <w:sz w:val="18"/>
                <w:szCs w:val="18"/>
              </w:rPr>
            </w:pPr>
            <w:r>
              <w:rPr>
                <w:rFonts w:ascii="宋体" w:hAnsi="宋体" w:cs="宋体" w:eastAsia="宋体" w:hint="default"/>
                <w:sz w:val="18"/>
                <w:szCs w:val="18"/>
              </w:rPr>
              <w:t>企业资质认 定支持</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9"/>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年福田 区产业发展 专项资金文 化产业分项 第三批拟支 持企业及项 目汇总表</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综合贡献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9"/>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年福田 区产业发展 专项资金文 化产业分项 第三批拟支 持企业及项 目汇总表</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09" w:lineRule="auto"/>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年企业 研究开发资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4" w:lineRule="auto"/>
              <w:ind w:left="23" w:right="35"/>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企业研究开 发资助计划 第二批拟资 助企业的公 示</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339,000.00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90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4" w:right="22"/>
              <w:jc w:val="both"/>
              <w:rPr>
                <w:rFonts w:ascii="宋体" w:hAnsi="宋体" w:cs="宋体" w:eastAsia="宋体" w:hint="default"/>
                <w:sz w:val="18"/>
                <w:szCs w:val="18"/>
              </w:rPr>
            </w:pPr>
            <w:r>
              <w:rPr>
                <w:rFonts w:ascii="宋体" w:hAnsi="宋体" w:cs="宋体" w:eastAsia="宋体" w:hint="default"/>
                <w:spacing w:val="-12"/>
                <w:sz w:val="18"/>
                <w:szCs w:val="18"/>
              </w:rPr>
              <w:t>服务贸易（服</w:t>
            </w:r>
            <w:r>
              <w:rPr>
                <w:rFonts w:ascii="宋体" w:hAnsi="宋体" w:cs="宋体" w:eastAsia="宋体" w:hint="default"/>
                <w:sz w:val="18"/>
                <w:szCs w:val="18"/>
              </w:rPr>
              <w:t> </w:t>
            </w:r>
            <w:r>
              <w:rPr>
                <w:rFonts w:ascii="宋体" w:hAnsi="宋体" w:cs="宋体" w:eastAsia="宋体" w:hint="default"/>
                <w:spacing w:val="-12"/>
                <w:sz w:val="18"/>
                <w:szCs w:val="18"/>
              </w:rPr>
              <w:t>务外包）人才</w:t>
            </w:r>
            <w:r>
              <w:rPr>
                <w:rFonts w:ascii="宋体" w:hAnsi="宋体" w:cs="宋体" w:eastAsia="宋体" w:hint="default"/>
                <w:sz w:val="18"/>
                <w:szCs w:val="18"/>
              </w:rPr>
              <w:t> 培训资助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年深圳 市外经贸发 展专项资金 服务贸易创 新发展项目 </w:t>
            </w:r>
            <w:r>
              <w:rPr>
                <w:rFonts w:ascii="宋体" w:hAnsi="宋体" w:cs="宋体" w:eastAsia="宋体" w:hint="default"/>
                <w:spacing w:val="-12"/>
                <w:sz w:val="18"/>
                <w:szCs w:val="18"/>
              </w:rPr>
              <w:t>服务贸易（服</w:t>
            </w:r>
            <w:r>
              <w:rPr>
                <w:rFonts w:ascii="宋体" w:hAnsi="宋体" w:cs="宋体" w:eastAsia="宋体" w:hint="default"/>
                <w:sz w:val="18"/>
                <w:szCs w:val="18"/>
              </w:rPr>
              <w:t> </w:t>
            </w:r>
            <w:r>
              <w:rPr>
                <w:rFonts w:ascii="宋体" w:hAnsi="宋体" w:cs="宋体" w:eastAsia="宋体" w:hint="default"/>
                <w:spacing w:val="-12"/>
                <w:sz w:val="18"/>
                <w:szCs w:val="18"/>
              </w:rPr>
              <w:t>务外包）人才</w:t>
            </w:r>
            <w:r>
              <w:rPr>
                <w:rFonts w:ascii="宋体" w:hAnsi="宋体" w:cs="宋体" w:eastAsia="宋体" w:hint="default"/>
                <w:sz w:val="18"/>
                <w:szCs w:val="18"/>
              </w:rPr>
              <w:t> 培训资助公 示表</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5,873,180.68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4,688,035.74</w:t>
            </w: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24,295.00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10,176.59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38,107.11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10,176.59</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10,176.59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38,107.11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10,176.59</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罚款支出（及违约金）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1,692,841.04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58,256.26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1,692,841.04</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87,373.75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171,544.11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87,373.75</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1,790,391.38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292,202.48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1,790,391.38</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46</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）所得税费用表</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10,397,392.01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7,635,403.20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-4,281,331.85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950,460.41</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6,116,060.16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8,585,863.61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spacing w:before="36"/>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）会计利润与所得税费用调整过程</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55,694,011.57</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8,354,101.74</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-12,650,752.70</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9,058,155.91</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-1,502,334.94</w:t>
            </w:r>
          </w:p>
        </w:tc>
      </w:tr>
      <w:tr>
        <w:trPr>
          <w:trHeight w:val="715"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5,101,204.02</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研发费用加计扣除</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-2,249,849.63</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5,535.76</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6,116,060.16</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47</w:t>
      </w:r>
      <w:r>
        <w:rPr>
          <w:rFonts w:ascii="宋体" w:hAnsi="宋体" w:cs="宋体" w:eastAsia="宋体" w:hint="default"/>
          <w:b/>
          <w:bCs/>
          <w:sz w:val="21"/>
          <w:szCs w:val="21"/>
        </w:rPr>
        <w:t>、其他综合收益</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996" w:firstLine="0"/>
        <w:jc w:val="left"/>
        <w:rPr>
          <w:rFonts w:ascii="宋体" w:hAnsi="宋体" w:cs="宋体" w:eastAsia="宋体" w:hint="default"/>
          <w:sz w:val="18"/>
          <w:szCs w:val="18"/>
        </w:rPr>
      </w:pPr>
      <w:r>
        <w:rPr>
          <w:rFonts w:ascii="宋体" w:hAnsi="宋体" w:cs="宋体" w:eastAsia="宋体" w:hint="default"/>
          <w:sz w:val="18"/>
          <w:szCs w:val="18"/>
        </w:rPr>
        <w:t>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七、</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其他综合收益</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w:t>
      </w:r>
    </w:p>
    <w:p>
      <w:pPr>
        <w:spacing w:line="240" w:lineRule="auto" w:before="2"/>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48</w:t>
      </w:r>
      <w:r>
        <w:rPr>
          <w:rFonts w:ascii="宋体" w:hAnsi="宋体" w:cs="宋体" w:eastAsia="宋体" w:hint="default"/>
          <w:b/>
          <w:bCs/>
          <w:sz w:val="21"/>
          <w:szCs w:val="21"/>
        </w:rPr>
        <w:t>、现金流量表项目</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5,873,180.68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4,688,035.74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3,036,544.46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808,027.94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16,865,511.29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8,909,725.14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22,361,574.97</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）支付的其他与经营活动有关的现金</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广告推广费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89,210,804.07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43,451,862.56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14,727,694.37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4,772,115.82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5,896,697.95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9,279,963.05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6,406,784.13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6,600,053.71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3,778,824.76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3,057,166.05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2,159,226.27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2,103,882.87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2,035,902.06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2,009,902.60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1,852,566.13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1,672,985.21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1,418,107.50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1,467,651.30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外部服务费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1,038,626.78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1,223,611.65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957,577.18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439,135.89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129,482,811.20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76,078,330.71</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）收到的其他与投资活动有关的现金</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收回汇海易融借款本金及利息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23,132,883.48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12,199,711.70</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2"/>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 净额的负数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18,604.21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23,151,487.69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12,199,711.70</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）支付的其他与投资活动有关的现金</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支付汇海易融借款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28,840.03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40,028,840.03</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）支付的其他与筹资活动有关的现金</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同一控制下控股合并股权收购款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76,100,834.49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46,548,059.67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回购限制性股票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11,774,203.00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中富彩股权减资</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4,361,000.00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5,220.77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5,220.77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92,241,258.26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46,553,280.44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r>
        <w:rPr/>
        <w:pict>
          <v:group style="position:absolute;margin-left:223.369995pt;margin-top:423.349976pt;width:151.25pt;height:20.65pt;mso-position-horizontal-relative:page;mso-position-vertical-relative:page;z-index:-1243624" coordorigin="4467,8467" coordsize="3025,413">
            <v:group style="position:absolute;left:4478;top:8478;width:2;height:392" coordorigin="4478,8478" coordsize="2,392">
              <v:shape style="position:absolute;left:4478;top:8478;width:2;height:392" coordorigin="4478,8478" coordsize="0,392" path="m4478,8478l4478,8869e" filled="false" stroked="true" strokeweight="1.08pt" strokecolor="#ffffff">
                <v:path arrowok="t"/>
              </v:shape>
            </v:group>
            <v:group style="position:absolute;left:4489;top:8478;width:3003;height:392" coordorigin="4489,8478" coordsize="3003,392">
              <v:shape style="position:absolute;left:4489;top:8478;width:3003;height:392" coordorigin="4489,8478" coordsize="3003,392" path="m4489,8869l7492,8869,7492,8478,4489,8478,4489,8869xe" filled="true" fillcolor="#ffffff" stroked="false">
                <v:path arrowok="t"/>
                <v:fill type="solid"/>
              </v:shape>
            </v:group>
            <w10:wrap type="none"/>
          </v:group>
        </w:pict>
      </w: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49</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1054"/>
        <w:gridCol w:w="2015"/>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49,577,951.41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38,046,809.10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28,189,368.30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22,214,664.90</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20,190,889.38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19,988,999.36</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9,943,464.44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9,903,520.68</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10,835,831.79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7,531,047.29</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115,167.30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621,797.03</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10,176.59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38,107.11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22" w:right="0"/>
              <w:jc w:val="left"/>
              <w:rPr>
                <w:rFonts w:ascii="Times New Roman" w:hAnsi="Times New Roman" w:cs="Times New Roman" w:eastAsia="Times New Roman" w:hint="default"/>
                <w:sz w:val="18"/>
                <w:szCs w:val="18"/>
              </w:rPr>
            </w:pPr>
            <w:r>
              <w:rPr>
                <w:rFonts w:ascii="Times New Roman"/>
                <w:sz w:val="18"/>
              </w:rPr>
              <w:t>-5,868,493.15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-131,506.85</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13,316,640.70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2,416,711.15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33" w:right="0"/>
              <w:jc w:val="left"/>
              <w:rPr>
                <w:rFonts w:ascii="Times New Roman" w:hAnsi="Times New Roman" w:cs="Times New Roman" w:eastAsia="Times New Roman" w:hint="default"/>
                <w:sz w:val="18"/>
                <w:szCs w:val="18"/>
              </w:rPr>
            </w:pPr>
            <w:r>
              <w:rPr>
                <w:rFonts w:ascii="Times New Roman"/>
                <w:sz w:val="18"/>
              </w:rPr>
              <w:t>-44,233,044.96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-10,733,448.76</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4"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2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80" w:right="0"/>
              <w:jc w:val="left"/>
              <w:rPr>
                <w:rFonts w:ascii="Times New Roman" w:hAnsi="Times New Roman" w:cs="Times New Roman" w:eastAsia="Times New Roman" w:hint="default"/>
                <w:sz w:val="18"/>
                <w:szCs w:val="18"/>
              </w:rPr>
            </w:pPr>
            <w:r>
              <w:rPr>
                <w:rFonts w:ascii="Times New Roman"/>
                <w:sz w:val="18"/>
              </w:rPr>
              <w:t>-4,281,331.85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950,460.41</w:t>
            </w:r>
          </w:p>
        </w:tc>
      </w:tr>
      <w:tr>
        <w:trPr>
          <w:trHeight w:val="716"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2" w:right="0"/>
              <w:jc w:val="left"/>
              <w:rPr>
                <w:rFonts w:ascii="Times New Roman" w:hAnsi="Times New Roman" w:cs="Times New Roman" w:eastAsia="Times New Roman" w:hint="default"/>
                <w:sz w:val="18"/>
                <w:szCs w:val="18"/>
              </w:rPr>
            </w:pPr>
            <w:r>
              <w:rPr>
                <w:rFonts w:ascii="Times New Roman"/>
                <w:sz w:val="18"/>
              </w:rPr>
              <w:t>-164,389,635.56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-128,222,322.75</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89,665,927.80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31,907,184.30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3,072,912.19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-5,467,977.03</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9" w:right="0"/>
              <w:jc w:val="left"/>
              <w:rPr>
                <w:rFonts w:ascii="Times New Roman" w:hAnsi="Times New Roman" w:cs="Times New Roman" w:eastAsia="Times New Roman" w:hint="default"/>
                <w:sz w:val="18"/>
                <w:szCs w:val="18"/>
              </w:rPr>
            </w:pPr>
            <w:r>
              <w:rPr>
                <w:rFonts w:ascii="Times New Roman"/>
                <w:sz w:val="18"/>
              </w:rPr>
              <w:t>169,116,169.53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229,974,588.37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229,974,588.37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178,208,494.22</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33" w:right="0"/>
              <w:jc w:val="left"/>
              <w:rPr>
                <w:rFonts w:ascii="Times New Roman" w:hAnsi="Times New Roman" w:cs="Times New Roman" w:eastAsia="Times New Roman" w:hint="default"/>
                <w:sz w:val="18"/>
                <w:szCs w:val="18"/>
              </w:rPr>
            </w:pPr>
            <w:r>
              <w:rPr>
                <w:rFonts w:ascii="Times New Roman"/>
                <w:sz w:val="18"/>
              </w:rPr>
              <w:t>-60,858,418.84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51,766,094.15</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）本期支付的取得子公司的现金净额</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965"/>
        <w:gridCol w:w="4593"/>
      </w:tblGrid>
      <w:tr>
        <w:trPr>
          <w:trHeight w:val="401"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深圳市娱游时代科技有限公司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）现金和现金等价物的构成</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169,116,169.53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229,974,588.37</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5,875.30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28,810.34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169,110,294.23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229,945,778.03</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169,116,169.53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229,974,588.37</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20,531,957.20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727,860.23</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50</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20,531,957.20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专用账户使用受限</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9,462,966.20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深圳人才住房，只有使用权没有处置权</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贷款质押</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129,994,923.40</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51</w:t>
      </w:r>
      <w:r>
        <w:rPr>
          <w:rFonts w:ascii="宋体" w:hAnsi="宋体" w:cs="宋体" w:eastAsia="宋体" w:hint="default"/>
          <w:b/>
          <w:bCs/>
          <w:sz w:val="21"/>
          <w:szCs w:val="21"/>
        </w:rPr>
        <w:t>、外币货币性项目</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）外币货币性项目</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3"/>
        <w:gridCol w:w="2305"/>
        <w:gridCol w:w="2391"/>
        <w:gridCol w:w="2391"/>
      </w:tblGrid>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5"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1,176,464.81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6.97620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8,207,253.81</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197,894.95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0.89578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177,270.34</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1,226,924.61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6.97620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8,559,271.46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276,059.10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6.97620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1,925,843.49</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951,343.84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6.97620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6,636,764.90</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440,678.71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6.97620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3,074,262.82</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167,138.03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6.97620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1,165,988.32</w:t>
            </w:r>
          </w:p>
        </w:tc>
      </w:tr>
    </w:tbl>
    <w:p>
      <w:pPr>
        <w:spacing w:line="240" w:lineRule="auto" w:before="3"/>
        <w:rPr>
          <w:rFonts w:ascii="宋体" w:hAnsi="宋体" w:cs="宋体" w:eastAsia="宋体" w:hint="default"/>
          <w:sz w:val="19"/>
          <w:szCs w:val="19"/>
        </w:rPr>
      </w:pPr>
    </w:p>
    <w:p>
      <w:pPr>
        <w:spacing w:line="259" w:lineRule="auto" w:before="36"/>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）境外经营实体说明，包括对于重要的境外经营实体，应披露其境外主要经营地、记账本位币及选择</w:t>
      </w:r>
      <w:r>
        <w:rPr>
          <w:rFonts w:ascii="宋体" w:hAnsi="宋体" w:cs="宋体" w:eastAsia="宋体" w:hint="default"/>
          <w:b/>
          <w:bCs/>
          <w:spacing w:val="-65"/>
          <w:sz w:val="21"/>
          <w:szCs w:val="21"/>
        </w:rPr>
        <w:t> </w:t>
      </w:r>
      <w:r>
        <w:rPr>
          <w:rFonts w:ascii="宋体" w:hAnsi="宋体" w:cs="宋体" w:eastAsia="宋体" w:hint="default"/>
          <w:b/>
          <w:bCs/>
          <w:spacing w:val="-65"/>
          <w:sz w:val="21"/>
          <w:szCs w:val="21"/>
        </w:rPr>
      </w:r>
      <w:r>
        <w:rPr>
          <w:rFonts w:ascii="宋体" w:hAnsi="宋体" w:cs="宋体" w:eastAsia="宋体" w:hint="default"/>
          <w:b/>
          <w:bCs/>
          <w:sz w:val="21"/>
          <w:szCs w:val="21"/>
        </w:rPr>
        <w:t>依据，记账本位币发生变化的还应披露原因。</w:t>
      </w:r>
      <w:r>
        <w:rPr>
          <w:rFonts w:ascii="宋体" w:hAnsi="宋体" w:cs="宋体" w:eastAsia="宋体" w:hint="default"/>
          <w:sz w:val="21"/>
          <w:szCs w:val="21"/>
        </w:rPr>
      </w:r>
    </w:p>
    <w:p>
      <w:pPr>
        <w:spacing w:line="240" w:lineRule="auto" w:before="1"/>
        <w:rPr>
          <w:rFonts w:ascii="宋体" w:hAnsi="宋体" w:cs="宋体" w:eastAsia="宋体" w:hint="default"/>
          <w:b/>
          <w:bCs/>
          <w:sz w:val="26"/>
          <w:szCs w:val="26"/>
        </w:rPr>
      </w:pPr>
    </w:p>
    <w:p>
      <w:pPr>
        <w:spacing w:before="0"/>
        <w:ind w:left="152" w:right="9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52" w:lineRule="auto" w:before="155"/>
        <w:ind w:right="1090" w:firstLine="499"/>
        <w:jc w:val="both"/>
      </w:pPr>
      <w:r>
        <w:rPr>
          <w:spacing w:val="-4"/>
          <w:w w:val="100"/>
        </w:rPr>
        <w:t>公司主要的境外经营实体有全资子公司</w:t>
      </w:r>
      <w:r>
        <w:rPr>
          <w:rFonts w:ascii="Times New Roman" w:hAnsi="Times New Roman" w:cs="Times New Roman" w:eastAsia="Times New Roman" w:hint="default"/>
          <w:spacing w:val="-4"/>
          <w:w w:val="100"/>
        </w:rPr>
        <w:t>CUPLAY</w:t>
      </w:r>
      <w:r>
        <w:rPr>
          <w:spacing w:val="-4"/>
          <w:w w:val="100"/>
        </w:rPr>
        <w:t>和全资子公司美国中青宝，</w:t>
      </w:r>
      <w:r>
        <w:rPr>
          <w:rFonts w:ascii="Times New Roman" w:hAnsi="Times New Roman" w:cs="Times New Roman" w:eastAsia="Times New Roman" w:hint="default"/>
          <w:spacing w:val="-4"/>
          <w:w w:val="100"/>
        </w:rPr>
        <w:t>CUPLAY</w:t>
      </w:r>
      <w:r>
        <w:rPr>
          <w:spacing w:val="-4"/>
          <w:w w:val="100"/>
        </w:rPr>
        <w:t>系在英属维</w:t>
      </w:r>
      <w:r>
        <w:rPr>
          <w:w w:val="100"/>
        </w:rPr>
        <w:t> </w:t>
      </w:r>
      <w:r>
        <w:rPr>
          <w:spacing w:val="-2"/>
        </w:rPr>
        <w:t>尔京群岛注册的境外公司，其主要经营地在中国大陆，选择人民币作为记账本位币。美国中青宝系在</w:t>
      </w:r>
      <w:r>
        <w:rPr>
          <w:spacing w:val="-68"/>
        </w:rPr>
        <w:t> </w:t>
      </w:r>
      <w:r>
        <w:rPr>
          <w:spacing w:val="-68"/>
        </w:rPr>
      </w:r>
      <w:r>
        <w:rPr>
          <w:spacing w:val="-1"/>
        </w:rPr>
        <w:t>美国加利福尼亚州注册的境外公司，其主要经营地在美国加利福尼亚州，选择美元作为记账本位币。</w:t>
      </w:r>
    </w:p>
    <w:p>
      <w:pPr>
        <w:spacing w:line="240" w:lineRule="auto" w:before="9"/>
        <w:rPr>
          <w:rFonts w:ascii="宋体" w:hAnsi="宋体" w:cs="宋体" w:eastAsia="宋体" w:hint="default"/>
          <w:sz w:val="22"/>
          <w:szCs w:val="22"/>
        </w:rPr>
      </w:pPr>
    </w:p>
    <w:p>
      <w:pPr>
        <w:pStyle w:val="Heading2"/>
        <w:spacing w:line="240" w:lineRule="auto"/>
        <w:ind w:right="996"/>
        <w:jc w:val="left"/>
        <w:rPr>
          <w:b w:val="0"/>
          <w:bCs w:val="0"/>
        </w:rPr>
      </w:pPr>
      <w:r>
        <w:rPr/>
        <w:t>八、合并范围的变更</w:t>
      </w:r>
      <w:r>
        <w:rPr>
          <w:b w:val="0"/>
          <w:bCs w:val="0"/>
        </w:rPr>
      </w:r>
    </w:p>
    <w:p>
      <w:pPr>
        <w:spacing w:line="240" w:lineRule="auto" w:before="12"/>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）本期发生的非同一控制下企业合并</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6"/>
        <w:gridCol w:w="1063"/>
        <w:gridCol w:w="1064"/>
        <w:gridCol w:w="1066"/>
        <w:gridCol w:w="1061"/>
        <w:gridCol w:w="1064"/>
        <w:gridCol w:w="1061"/>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37" w:right="75" w:hanging="361"/>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深圳娱游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51.00%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非同一控制 下</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5"/>
              <w:jc w:val="left"/>
              <w:rPr>
                <w:rFonts w:ascii="宋体" w:hAnsi="宋体" w:cs="宋体" w:eastAsia="宋体" w:hint="default"/>
                <w:sz w:val="18"/>
                <w:szCs w:val="18"/>
              </w:rPr>
            </w:pPr>
            <w:r>
              <w:rPr>
                <w:rFonts w:ascii="宋体" w:hAnsi="宋体" w:cs="宋体" w:eastAsia="宋体" w:hint="default"/>
                <w:sz w:val="18"/>
                <w:szCs w:val="18"/>
              </w:rPr>
              <w:t>股权发生转 移</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123,303.68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-88,950.30</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）合并成本及商誉</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深圳娱游</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-11,234.84</w:t>
            </w:r>
          </w:p>
        </w:tc>
      </w:tr>
      <w:tr>
        <w:trPr>
          <w:trHeight w:val="715"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6"/>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11,236.84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spacing w:before="36"/>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）被购买方于购买日可辨认资产、负债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3"/>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93"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7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9"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18,604.21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18,604.21</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2,218.12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2,218.12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36,444.59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36,444.59</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21,406.83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21,406.83</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-22,029.09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-22,029.09</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-11,234.84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-11,234.84</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996"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7"/>
        <w:ind w:left="152" w:right="9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）购买日或合并当期期末无法合理确定合并对价或被购买方可辨认资产、负债公允价值的相关说明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、其他原因的合并范围变动</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996"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416"/>
        <w:gridCol w:w="3310"/>
      </w:tblGrid>
      <w:tr>
        <w:trPr>
          <w:trHeight w:val="343" w:hRule="exact"/>
        </w:trPr>
        <w:tc>
          <w:tcPr>
            <w:tcW w:w="5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宋体" w:hAnsi="宋体" w:cs="宋体" w:eastAsia="宋体" w:hint="default"/>
                <w:sz w:val="20"/>
                <w:szCs w:val="20"/>
              </w:rPr>
            </w:pPr>
            <w:r>
              <w:rPr>
                <w:rFonts w:ascii="宋体" w:hAnsi="宋体" w:cs="宋体" w:eastAsia="宋体" w:hint="default"/>
                <w:b/>
                <w:bCs/>
                <w:sz w:val="20"/>
                <w:szCs w:val="20"/>
              </w:rPr>
              <w:t>公司名称</w:t>
            </w:r>
            <w:r>
              <w:rPr>
                <w:rFonts w:ascii="宋体" w:hAnsi="宋体" w:cs="宋体" w:eastAsia="宋体" w:hint="default"/>
                <w:sz w:val="20"/>
                <w:szCs w:val="20"/>
              </w:rPr>
            </w:r>
          </w:p>
        </w:tc>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宋体" w:hAnsi="宋体" w:cs="宋体" w:eastAsia="宋体" w:hint="default"/>
                <w:b/>
                <w:bCs/>
                <w:sz w:val="20"/>
                <w:szCs w:val="20"/>
              </w:rPr>
              <w:t>注销时间</w:t>
            </w:r>
            <w:r>
              <w:rPr>
                <w:rFonts w:ascii="宋体" w:hAnsi="宋体" w:cs="宋体" w:eastAsia="宋体" w:hint="default"/>
                <w:sz w:val="20"/>
                <w:szCs w:val="20"/>
              </w:rPr>
            </w:r>
          </w:p>
        </w:tc>
      </w:tr>
      <w:tr>
        <w:trPr>
          <w:trHeight w:val="341" w:hRule="exact"/>
        </w:trPr>
        <w:tc>
          <w:tcPr>
            <w:tcW w:w="5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杭州九锡</w:t>
            </w:r>
          </w:p>
        </w:tc>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46"/>
              <w:jc w:val="right"/>
              <w:rPr>
                <w:rFonts w:ascii="宋体" w:hAnsi="宋体" w:cs="宋体" w:eastAsia="宋体" w:hint="default"/>
                <w:sz w:val="20"/>
                <w:szCs w:val="20"/>
              </w:rPr>
            </w:pPr>
            <w:r>
              <w:rPr>
                <w:rFonts w:ascii="Times New Roman" w:hAnsi="Times New Roman" w:cs="Times New Roman" w:eastAsia="Times New Roman" w:hint="default"/>
                <w:sz w:val="20"/>
                <w:szCs w:val="20"/>
              </w:rPr>
              <w:t>2019</w:t>
            </w:r>
            <w:r>
              <w:rPr>
                <w:rFonts w:ascii="宋体" w:hAnsi="宋体" w:cs="宋体" w:eastAsia="宋体" w:hint="default"/>
                <w:sz w:val="20"/>
                <w:szCs w:val="20"/>
              </w:rPr>
              <w:t>年</w:t>
            </w:r>
            <w:r>
              <w:rPr>
                <w:rFonts w:ascii="Times New Roman" w:hAnsi="Times New Roman" w:cs="Times New Roman" w:eastAsia="Times New Roman" w:hint="default"/>
                <w:sz w:val="20"/>
                <w:szCs w:val="20"/>
              </w:rPr>
              <w:t>3</w:t>
            </w:r>
            <w:r>
              <w:rPr>
                <w:rFonts w:ascii="宋体" w:hAnsi="宋体" w:cs="宋体" w:eastAsia="宋体" w:hint="default"/>
                <w:sz w:val="20"/>
                <w:szCs w:val="20"/>
              </w:rPr>
              <w:t>月</w:t>
            </w:r>
            <w:r>
              <w:rPr>
                <w:rFonts w:ascii="Times New Roman" w:hAnsi="Times New Roman" w:cs="Times New Roman" w:eastAsia="Times New Roman" w:hint="default"/>
                <w:sz w:val="20"/>
                <w:szCs w:val="20"/>
              </w:rPr>
              <w:t>4</w:t>
            </w:r>
            <w:r>
              <w:rPr>
                <w:rFonts w:ascii="宋体" w:hAnsi="宋体" w:cs="宋体" w:eastAsia="宋体" w:hint="default"/>
                <w:sz w:val="20"/>
                <w:szCs w:val="20"/>
              </w:rPr>
              <w:t>日</w:t>
            </w:r>
          </w:p>
        </w:tc>
      </w:tr>
      <w:tr>
        <w:trPr>
          <w:trHeight w:val="343" w:hRule="exact"/>
        </w:trPr>
        <w:tc>
          <w:tcPr>
            <w:tcW w:w="5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宋体" w:hAnsi="宋体" w:cs="宋体" w:eastAsia="宋体" w:hint="default"/>
                <w:sz w:val="20"/>
                <w:szCs w:val="20"/>
              </w:rPr>
              <w:t>霍尔果斯中青聚宝</w:t>
            </w:r>
          </w:p>
        </w:tc>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8"/>
              <w:jc w:val="right"/>
              <w:rPr>
                <w:rFonts w:ascii="宋体" w:hAnsi="宋体" w:cs="宋体" w:eastAsia="宋体" w:hint="default"/>
                <w:sz w:val="20"/>
                <w:szCs w:val="20"/>
              </w:rPr>
            </w:pPr>
            <w:r>
              <w:rPr>
                <w:rFonts w:ascii="Times New Roman" w:hAnsi="Times New Roman" w:cs="Times New Roman" w:eastAsia="Times New Roman" w:hint="default"/>
                <w:w w:val="95"/>
                <w:sz w:val="20"/>
                <w:szCs w:val="20"/>
              </w:rPr>
              <w:t>2019</w:t>
            </w:r>
            <w:r>
              <w:rPr>
                <w:rFonts w:ascii="宋体" w:hAnsi="宋体" w:cs="宋体" w:eastAsia="宋体" w:hint="default"/>
                <w:w w:val="95"/>
                <w:sz w:val="20"/>
                <w:szCs w:val="20"/>
              </w:rPr>
              <w:t>年</w:t>
            </w:r>
            <w:r>
              <w:rPr>
                <w:rFonts w:ascii="Times New Roman" w:hAnsi="Times New Roman" w:cs="Times New Roman" w:eastAsia="Times New Roman" w:hint="default"/>
                <w:w w:val="95"/>
                <w:sz w:val="20"/>
                <w:szCs w:val="20"/>
              </w:rPr>
              <w:t>3</w:t>
            </w:r>
            <w:r>
              <w:rPr>
                <w:rFonts w:ascii="宋体" w:hAnsi="宋体" w:cs="宋体" w:eastAsia="宋体" w:hint="default"/>
                <w:w w:val="95"/>
                <w:sz w:val="20"/>
                <w:szCs w:val="20"/>
              </w:rPr>
              <w:t>月</w:t>
            </w:r>
            <w:r>
              <w:rPr>
                <w:rFonts w:ascii="Times New Roman" w:hAnsi="Times New Roman" w:cs="Times New Roman" w:eastAsia="Times New Roman" w:hint="default"/>
                <w:w w:val="95"/>
                <w:sz w:val="20"/>
                <w:szCs w:val="20"/>
              </w:rPr>
              <w:t>20</w:t>
            </w:r>
            <w:r>
              <w:rPr>
                <w:rFonts w:ascii="宋体" w:hAnsi="宋体" w:cs="宋体" w:eastAsia="宋体" w:hint="default"/>
                <w:w w:val="95"/>
                <w:sz w:val="20"/>
                <w:szCs w:val="20"/>
              </w:rPr>
              <w:t>日</w:t>
            </w:r>
            <w:r>
              <w:rPr>
                <w:rFonts w:ascii="宋体" w:hAnsi="宋体" w:cs="宋体" w:eastAsia="宋体" w:hint="default"/>
                <w:sz w:val="20"/>
                <w:szCs w:val="20"/>
              </w:rPr>
            </w:r>
          </w:p>
        </w:tc>
      </w:tr>
    </w:tbl>
    <w:p>
      <w:pPr>
        <w:spacing w:line="240" w:lineRule="auto" w:before="1"/>
        <w:rPr>
          <w:rFonts w:ascii="宋体" w:hAnsi="宋体" w:cs="宋体" w:eastAsia="宋体" w:hint="default"/>
          <w:sz w:val="18"/>
          <w:szCs w:val="18"/>
        </w:rPr>
      </w:pPr>
    </w:p>
    <w:p>
      <w:pPr>
        <w:pStyle w:val="Heading2"/>
        <w:spacing w:line="240" w:lineRule="auto" w:before="26"/>
        <w:ind w:right="996"/>
        <w:jc w:val="left"/>
        <w:rPr>
          <w:b w:val="0"/>
          <w:bCs w:val="0"/>
        </w:rPr>
      </w:pPr>
      <w:r>
        <w:rPr/>
        <w:t>九、在其他主体中的权益</w:t>
      </w:r>
      <w:r>
        <w:rPr>
          <w:b w:val="0"/>
          <w:bCs w:val="0"/>
        </w:rPr>
      </w:r>
    </w:p>
    <w:p>
      <w:pPr>
        <w:spacing w:line="240" w:lineRule="auto" w:before="12"/>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）企业集团的构成</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1"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深圳卓页</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40.00%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深圳创想时空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杭州九锡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苏州华娱</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苏州中青宝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深圳时代首游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深圳中青聚宝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深圳幻游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深圳中富彩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深圳乔戈里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霍尔果斯中青聚 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霍尔果斯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霍尔果斯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老友互动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pacing w:val="-4"/>
                <w:sz w:val="18"/>
              </w:rPr>
              <w:t>CUPLAY</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英属维京群岛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美国中青宝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加利福尼亚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加利福尼亚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福州卓越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深圳苏摩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深圳比格</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通过子公司间接 持有</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深圳米斗</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深圳力透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香港中青宝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pacing w:val="-4"/>
                <w:sz w:val="18"/>
              </w:rPr>
              <w:t>LEEPLAY</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英属维京群岛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LEEGAME</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开曼群岛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深圳五秒</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广告业务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中青宝文化科技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文化投资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湖南湘西中青宝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凤凰</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凤凰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文化投资</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前海数据服务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文化传播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天地间文化传媒</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文化传播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北京中青宝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文化投资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深圳宝腾互联</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云服务业务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克拉玛依宝德大 数据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克拉玛依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克拉玛依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云服务业务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通过子公司间接 持有</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深圳宝腾大数据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云服务业务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通过子公司间接 持有</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乐山宝腾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云服务业务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通过子公司间接 持有</w:t>
            </w:r>
          </w:p>
        </w:tc>
      </w:tr>
    </w:tbl>
    <w:p>
      <w:pPr>
        <w:spacing w:after="0" w:line="316"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凤凰大峡谷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凤凰</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凤凰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文化传播</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通过子公司间接 持有</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深圳游嘻宝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创业投资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深圳娱游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通过子公司间接 持有</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深圳青友玩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通过子公司间接 持有</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Tycuplay</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英属维尔京群岛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通过子公司间接 持有</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山东科讯达恒</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通过子公司间接 持有</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合肥宝腾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云服务业务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通过子公司间接 持有</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利得链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云服务业务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spacing w:before="49"/>
        <w:ind w:left="152" w:right="99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36"/>
        <w:gridCol w:w="5161"/>
        <w:gridCol w:w="2729"/>
      </w:tblGrid>
      <w:tr>
        <w:trPr>
          <w:trHeight w:val="684"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 w:right="0"/>
              <w:jc w:val="center"/>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sz w:val="20"/>
                <w:szCs w:val="20"/>
              </w:rPr>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b/>
                <w:bCs/>
                <w:sz w:val="20"/>
                <w:szCs w:val="20"/>
              </w:rPr>
              <w:t>子公司名称</w:t>
            </w:r>
            <w:r>
              <w:rPr>
                <w:rFonts w:ascii="宋体" w:hAnsi="宋体" w:cs="宋体" w:eastAsia="宋体" w:hint="default"/>
                <w:sz w:val="20"/>
                <w:szCs w:val="20"/>
              </w:rPr>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859" w:right="0"/>
              <w:jc w:val="left"/>
              <w:rPr>
                <w:rFonts w:ascii="宋体" w:hAnsi="宋体" w:cs="宋体" w:eastAsia="宋体" w:hint="default"/>
                <w:sz w:val="20"/>
                <w:szCs w:val="20"/>
              </w:rPr>
            </w:pPr>
            <w:r>
              <w:rPr>
                <w:rFonts w:ascii="宋体" w:hAnsi="宋体" w:cs="宋体" w:eastAsia="宋体" w:hint="default"/>
                <w:b/>
                <w:bCs/>
                <w:sz w:val="20"/>
                <w:szCs w:val="20"/>
              </w:rPr>
              <w:t>子公司简称</w:t>
            </w:r>
            <w:r>
              <w:rPr>
                <w:rFonts w:ascii="宋体" w:hAnsi="宋体" w:cs="宋体" w:eastAsia="宋体" w:hint="default"/>
                <w:sz w:val="20"/>
                <w:szCs w:val="20"/>
              </w:rPr>
            </w:r>
          </w:p>
        </w:tc>
      </w:tr>
      <w:tr>
        <w:trPr>
          <w:trHeight w:val="343"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深圳市卓页互动网络科技有限公司</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宋体" w:hAnsi="宋体" w:cs="宋体" w:eastAsia="宋体" w:hint="default"/>
                <w:sz w:val="20"/>
                <w:szCs w:val="20"/>
              </w:rPr>
              <w:t>深圳卓页</w:t>
            </w:r>
          </w:p>
        </w:tc>
      </w:tr>
      <w:tr>
        <w:trPr>
          <w:trHeight w:val="341"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深圳市创想时空科技有限公司</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深圳创想时空</w:t>
            </w:r>
          </w:p>
        </w:tc>
      </w:tr>
      <w:tr>
        <w:trPr>
          <w:trHeight w:val="343"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杭州九锡网络科技有限公司</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宋体" w:hAnsi="宋体" w:cs="宋体" w:eastAsia="宋体" w:hint="default"/>
                <w:sz w:val="20"/>
                <w:szCs w:val="20"/>
              </w:rPr>
              <w:t>杭州九锡</w:t>
            </w:r>
          </w:p>
        </w:tc>
      </w:tr>
      <w:tr>
        <w:trPr>
          <w:trHeight w:val="341"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苏州华娱创新投资发展有限公司</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苏州华娱</w:t>
            </w:r>
          </w:p>
        </w:tc>
      </w:tr>
      <w:tr>
        <w:trPr>
          <w:trHeight w:val="343"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苏州中青宝网互动科技有限公司</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宋体" w:hAnsi="宋体" w:cs="宋体" w:eastAsia="宋体" w:hint="default"/>
                <w:sz w:val="20"/>
                <w:szCs w:val="20"/>
              </w:rPr>
              <w:t>苏州中青宝</w:t>
            </w:r>
          </w:p>
        </w:tc>
      </w:tr>
      <w:tr>
        <w:trPr>
          <w:trHeight w:val="341"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深圳时代首游互动科技有限公司</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深圳时代首游</w:t>
            </w:r>
          </w:p>
        </w:tc>
      </w:tr>
      <w:tr>
        <w:trPr>
          <w:trHeight w:val="343"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深圳中青聚宝信息技术有限公司</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宋体" w:hAnsi="宋体" w:cs="宋体" w:eastAsia="宋体" w:hint="default"/>
                <w:sz w:val="20"/>
                <w:szCs w:val="20"/>
              </w:rPr>
              <w:t>深圳中青聚宝</w:t>
            </w:r>
          </w:p>
        </w:tc>
      </w:tr>
      <w:tr>
        <w:trPr>
          <w:trHeight w:val="341"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w w:val="99"/>
                <w:sz w:val="20"/>
              </w:rPr>
              <w:t>8</w:t>
            </w:r>
            <w:r>
              <w:rPr>
                <w:rFonts w:ascii="Times New Roman"/>
                <w:sz w:val="20"/>
              </w:rPr>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深圳市幻游科技有限公司</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深圳幻游</w:t>
            </w:r>
          </w:p>
        </w:tc>
      </w:tr>
      <w:tr>
        <w:trPr>
          <w:trHeight w:val="343"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99"/>
                <w:sz w:val="20"/>
              </w:rPr>
              <w:t>9</w:t>
            </w:r>
            <w:r>
              <w:rPr>
                <w:rFonts w:ascii="Times New Roman"/>
                <w:sz w:val="20"/>
              </w:rPr>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深圳市中富彩网络技术有限公司</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宋体" w:hAnsi="宋体" w:cs="宋体" w:eastAsia="宋体" w:hint="default"/>
                <w:sz w:val="20"/>
                <w:szCs w:val="20"/>
              </w:rPr>
              <w:t>深圳中富彩</w:t>
            </w:r>
          </w:p>
        </w:tc>
      </w:tr>
      <w:tr>
        <w:trPr>
          <w:trHeight w:val="341"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 w:right="0"/>
              <w:jc w:val="center"/>
              <w:rPr>
                <w:rFonts w:ascii="Times New Roman" w:hAnsi="Times New Roman" w:cs="Times New Roman" w:eastAsia="Times New Roman" w:hint="default"/>
                <w:sz w:val="20"/>
                <w:szCs w:val="20"/>
              </w:rPr>
            </w:pPr>
            <w:r>
              <w:rPr>
                <w:rFonts w:ascii="Times New Roman"/>
                <w:sz w:val="20"/>
              </w:rPr>
              <w:t>10</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深圳乔戈里投资有限公司</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深圳乔戈里</w:t>
            </w:r>
          </w:p>
        </w:tc>
      </w:tr>
      <w:tr>
        <w:trPr>
          <w:trHeight w:val="343"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center"/>
              <w:rPr>
                <w:rFonts w:ascii="Times New Roman" w:hAnsi="Times New Roman" w:cs="Times New Roman" w:eastAsia="Times New Roman" w:hint="default"/>
                <w:sz w:val="20"/>
                <w:szCs w:val="20"/>
              </w:rPr>
            </w:pPr>
            <w:r>
              <w:rPr>
                <w:rFonts w:ascii="Times New Roman"/>
                <w:sz w:val="20"/>
              </w:rPr>
              <w:t>11</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霍尔果斯中青聚宝信息技术有限公司</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宋体" w:hAnsi="宋体" w:cs="宋体" w:eastAsia="宋体" w:hint="default"/>
                <w:sz w:val="20"/>
                <w:szCs w:val="20"/>
              </w:rPr>
              <w:t>霍尔果斯中青聚宝</w:t>
            </w:r>
          </w:p>
        </w:tc>
      </w:tr>
      <w:tr>
        <w:trPr>
          <w:trHeight w:val="341"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 w:right="0"/>
              <w:jc w:val="center"/>
              <w:rPr>
                <w:rFonts w:ascii="Times New Roman" w:hAnsi="Times New Roman" w:cs="Times New Roman" w:eastAsia="Times New Roman" w:hint="default"/>
                <w:sz w:val="20"/>
                <w:szCs w:val="20"/>
              </w:rPr>
            </w:pPr>
            <w:r>
              <w:rPr>
                <w:rFonts w:ascii="Times New Roman"/>
                <w:sz w:val="20"/>
              </w:rPr>
              <w:t>12</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深圳市老友互动科技有限公司</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老友互动</w:t>
            </w:r>
          </w:p>
        </w:tc>
      </w:tr>
      <w:tr>
        <w:trPr>
          <w:trHeight w:val="343"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center"/>
              <w:rPr>
                <w:rFonts w:ascii="Times New Roman" w:hAnsi="Times New Roman" w:cs="Times New Roman" w:eastAsia="Times New Roman" w:hint="default"/>
                <w:sz w:val="20"/>
                <w:szCs w:val="20"/>
              </w:rPr>
            </w:pPr>
            <w:r>
              <w:rPr>
                <w:rFonts w:ascii="Times New Roman"/>
                <w:sz w:val="20"/>
              </w:rPr>
              <w:t>13</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CUPLAYCO.,LTD</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 w:right="0"/>
              <w:jc w:val="left"/>
              <w:rPr>
                <w:rFonts w:ascii="Times New Roman" w:hAnsi="Times New Roman" w:cs="Times New Roman" w:eastAsia="Times New Roman" w:hint="default"/>
                <w:sz w:val="20"/>
                <w:szCs w:val="20"/>
              </w:rPr>
            </w:pPr>
            <w:r>
              <w:rPr>
                <w:rFonts w:ascii="Times New Roman"/>
                <w:sz w:val="20"/>
              </w:rPr>
              <w:t>CUPLAY</w:t>
            </w:r>
          </w:p>
        </w:tc>
      </w:tr>
      <w:tr>
        <w:trPr>
          <w:trHeight w:val="341"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 w:right="0"/>
              <w:jc w:val="center"/>
              <w:rPr>
                <w:rFonts w:ascii="Times New Roman" w:hAnsi="Times New Roman" w:cs="Times New Roman" w:eastAsia="Times New Roman" w:hint="default"/>
                <w:sz w:val="20"/>
                <w:szCs w:val="20"/>
              </w:rPr>
            </w:pPr>
            <w:r>
              <w:rPr>
                <w:rFonts w:ascii="Times New Roman"/>
                <w:sz w:val="20"/>
              </w:rPr>
              <w:t>14</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ZQ GAME</w:t>
            </w:r>
            <w:r>
              <w:rPr>
                <w:rFonts w:ascii="Times New Roman"/>
                <w:spacing w:val="-4"/>
                <w:sz w:val="18"/>
              </w:rPr>
              <w:t> </w:t>
            </w:r>
            <w:r>
              <w:rPr>
                <w:rFonts w:ascii="Times New Roman"/>
                <w:sz w:val="18"/>
              </w:rPr>
              <w:t>Inc</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美国中青宝</w:t>
            </w:r>
          </w:p>
        </w:tc>
      </w:tr>
      <w:tr>
        <w:trPr>
          <w:trHeight w:val="344"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center"/>
              <w:rPr>
                <w:rFonts w:ascii="Times New Roman" w:hAnsi="Times New Roman" w:cs="Times New Roman" w:eastAsia="Times New Roman" w:hint="default"/>
                <w:sz w:val="20"/>
                <w:szCs w:val="20"/>
              </w:rPr>
            </w:pPr>
            <w:r>
              <w:rPr>
                <w:rFonts w:ascii="Times New Roman"/>
                <w:sz w:val="20"/>
              </w:rPr>
              <w:t>15</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福州卓越无限软件开发有限公司</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宋体" w:hAnsi="宋体" w:cs="宋体" w:eastAsia="宋体" w:hint="default"/>
                <w:sz w:val="20"/>
                <w:szCs w:val="20"/>
              </w:rPr>
              <w:t>福州卓越</w:t>
            </w:r>
          </w:p>
        </w:tc>
      </w:tr>
      <w:tr>
        <w:trPr>
          <w:trHeight w:val="341"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 w:right="0"/>
              <w:jc w:val="center"/>
              <w:rPr>
                <w:rFonts w:ascii="Times New Roman" w:hAnsi="Times New Roman" w:cs="Times New Roman" w:eastAsia="Times New Roman" w:hint="default"/>
                <w:sz w:val="20"/>
                <w:szCs w:val="20"/>
              </w:rPr>
            </w:pPr>
            <w:r>
              <w:rPr>
                <w:rFonts w:ascii="Times New Roman"/>
                <w:sz w:val="20"/>
              </w:rPr>
              <w:t>16</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深圳市苏摩科技有限公司</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深圳苏摩</w:t>
            </w:r>
          </w:p>
        </w:tc>
      </w:tr>
      <w:tr>
        <w:trPr>
          <w:trHeight w:val="343"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center"/>
              <w:rPr>
                <w:rFonts w:ascii="Times New Roman" w:hAnsi="Times New Roman" w:cs="Times New Roman" w:eastAsia="Times New Roman" w:hint="default"/>
                <w:sz w:val="20"/>
                <w:szCs w:val="20"/>
              </w:rPr>
            </w:pPr>
            <w:r>
              <w:rPr>
                <w:rFonts w:ascii="Times New Roman"/>
                <w:sz w:val="20"/>
              </w:rPr>
              <w:t>17</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深圳市比格互动科技有限公司</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宋体" w:hAnsi="宋体" w:cs="宋体" w:eastAsia="宋体" w:hint="default"/>
                <w:sz w:val="20"/>
                <w:szCs w:val="20"/>
              </w:rPr>
              <w:t>深圳比格</w:t>
            </w:r>
          </w:p>
        </w:tc>
      </w:tr>
      <w:tr>
        <w:trPr>
          <w:trHeight w:val="341"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 w:right="0"/>
              <w:jc w:val="center"/>
              <w:rPr>
                <w:rFonts w:ascii="Times New Roman" w:hAnsi="Times New Roman" w:cs="Times New Roman" w:eastAsia="Times New Roman" w:hint="default"/>
                <w:sz w:val="20"/>
                <w:szCs w:val="20"/>
              </w:rPr>
            </w:pPr>
            <w:r>
              <w:rPr>
                <w:rFonts w:ascii="Times New Roman"/>
                <w:sz w:val="20"/>
              </w:rPr>
              <w:t>18</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深圳市米斗科技有限公司</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深圳米斗</w:t>
            </w:r>
          </w:p>
        </w:tc>
      </w:tr>
      <w:tr>
        <w:trPr>
          <w:trHeight w:val="343"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center"/>
              <w:rPr>
                <w:rFonts w:ascii="Times New Roman" w:hAnsi="Times New Roman" w:cs="Times New Roman" w:eastAsia="Times New Roman" w:hint="default"/>
                <w:sz w:val="20"/>
                <w:szCs w:val="20"/>
              </w:rPr>
            </w:pPr>
            <w:r>
              <w:rPr>
                <w:rFonts w:ascii="Times New Roman"/>
                <w:sz w:val="20"/>
              </w:rPr>
              <w:t>19</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深圳市力透科技有限公司</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宋体" w:hAnsi="宋体" w:cs="宋体" w:eastAsia="宋体" w:hint="default"/>
                <w:sz w:val="20"/>
                <w:szCs w:val="20"/>
              </w:rPr>
              <w:t>深圳力透</w:t>
            </w:r>
          </w:p>
        </w:tc>
      </w:tr>
      <w:tr>
        <w:trPr>
          <w:trHeight w:val="341"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 w:right="0"/>
              <w:jc w:val="center"/>
              <w:rPr>
                <w:rFonts w:ascii="Times New Roman" w:hAnsi="Times New Roman" w:cs="Times New Roman" w:eastAsia="Times New Roman" w:hint="default"/>
                <w:sz w:val="20"/>
                <w:szCs w:val="20"/>
              </w:rPr>
            </w:pPr>
            <w:r>
              <w:rPr>
                <w:rFonts w:ascii="Times New Roman"/>
                <w:sz w:val="20"/>
              </w:rPr>
              <w:t>20</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Zqgame Hong Kong Co.,</w:t>
            </w:r>
            <w:r>
              <w:rPr>
                <w:rFonts w:ascii="Times New Roman"/>
                <w:spacing w:val="-11"/>
                <w:sz w:val="18"/>
              </w:rPr>
              <w:t> </w:t>
            </w:r>
            <w:r>
              <w:rPr>
                <w:rFonts w:ascii="Times New Roman"/>
                <w:sz w:val="18"/>
              </w:rPr>
              <w:t>LTD</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香港中青宝</w:t>
            </w:r>
          </w:p>
        </w:tc>
      </w:tr>
      <w:tr>
        <w:trPr>
          <w:trHeight w:val="343"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center"/>
              <w:rPr>
                <w:rFonts w:ascii="Times New Roman" w:hAnsi="Times New Roman" w:cs="Times New Roman" w:eastAsia="Times New Roman" w:hint="default"/>
                <w:sz w:val="20"/>
                <w:szCs w:val="20"/>
              </w:rPr>
            </w:pPr>
            <w:r>
              <w:rPr>
                <w:rFonts w:ascii="Times New Roman"/>
                <w:sz w:val="20"/>
              </w:rPr>
              <w:t>21</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LeePlay International</w:t>
            </w:r>
            <w:r>
              <w:rPr>
                <w:rFonts w:ascii="Times New Roman"/>
                <w:spacing w:val="-8"/>
                <w:sz w:val="18"/>
              </w:rPr>
              <w:t> </w:t>
            </w:r>
            <w:r>
              <w:rPr>
                <w:rFonts w:ascii="Times New Roman"/>
                <w:sz w:val="18"/>
              </w:rPr>
              <w:t>Ltd</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 w:right="0"/>
              <w:jc w:val="left"/>
              <w:rPr>
                <w:rFonts w:ascii="Times New Roman" w:hAnsi="Times New Roman" w:cs="Times New Roman" w:eastAsia="Times New Roman" w:hint="default"/>
                <w:sz w:val="20"/>
                <w:szCs w:val="20"/>
              </w:rPr>
            </w:pPr>
            <w:r>
              <w:rPr>
                <w:rFonts w:ascii="Times New Roman"/>
                <w:sz w:val="20"/>
              </w:rPr>
              <w:t>LEEPLAY</w:t>
            </w:r>
          </w:p>
        </w:tc>
      </w:tr>
    </w:tbl>
    <w:p>
      <w:pPr>
        <w:spacing w:after="0" w:line="240" w:lineRule="auto"/>
        <w:jc w:val="left"/>
        <w:rPr>
          <w:rFonts w:ascii="Times New Roman" w:hAnsi="Times New Roman" w:cs="Times New Roman" w:eastAsia="Times New Roman" w:hint="default"/>
          <w:sz w:val="20"/>
          <w:szCs w:val="20"/>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36"/>
        <w:gridCol w:w="5161"/>
        <w:gridCol w:w="2729"/>
      </w:tblGrid>
      <w:tr>
        <w:trPr>
          <w:trHeight w:val="343"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 w:right="0"/>
              <w:jc w:val="center"/>
              <w:rPr>
                <w:rFonts w:ascii="Times New Roman" w:hAnsi="Times New Roman" w:cs="Times New Roman" w:eastAsia="Times New Roman" w:hint="default"/>
                <w:sz w:val="20"/>
                <w:szCs w:val="20"/>
              </w:rPr>
            </w:pPr>
            <w:r>
              <w:rPr>
                <w:rFonts w:ascii="Times New Roman"/>
                <w:sz w:val="20"/>
              </w:rPr>
              <w:t>22</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LeeGame International</w:t>
            </w:r>
            <w:r>
              <w:rPr>
                <w:rFonts w:ascii="Times New Roman"/>
                <w:spacing w:val="-7"/>
                <w:sz w:val="18"/>
              </w:rPr>
              <w:t> </w:t>
            </w:r>
            <w:r>
              <w:rPr>
                <w:rFonts w:ascii="Times New Roman"/>
                <w:sz w:val="18"/>
              </w:rPr>
              <w:t>Ltd</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7" w:right="0"/>
              <w:jc w:val="left"/>
              <w:rPr>
                <w:rFonts w:ascii="Times New Roman" w:hAnsi="Times New Roman" w:cs="Times New Roman" w:eastAsia="Times New Roman" w:hint="default"/>
                <w:sz w:val="20"/>
                <w:szCs w:val="20"/>
              </w:rPr>
            </w:pPr>
            <w:r>
              <w:rPr>
                <w:rFonts w:ascii="Times New Roman"/>
                <w:sz w:val="20"/>
              </w:rPr>
              <w:t>LEEGAME</w:t>
            </w:r>
          </w:p>
        </w:tc>
      </w:tr>
      <w:tr>
        <w:trPr>
          <w:trHeight w:val="341"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Times New Roman" w:hAnsi="Times New Roman" w:cs="Times New Roman" w:eastAsia="Times New Roman" w:hint="default"/>
                <w:sz w:val="20"/>
                <w:szCs w:val="20"/>
              </w:rPr>
            </w:pPr>
            <w:r>
              <w:rPr>
                <w:rFonts w:ascii="Times New Roman"/>
                <w:sz w:val="20"/>
              </w:rPr>
              <w:t>23</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深圳市五秒传媒科技有限公司</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 w:right="0"/>
              <w:jc w:val="left"/>
              <w:rPr>
                <w:rFonts w:ascii="宋体" w:hAnsi="宋体" w:cs="宋体" w:eastAsia="宋体" w:hint="default"/>
                <w:sz w:val="20"/>
                <w:szCs w:val="20"/>
              </w:rPr>
            </w:pPr>
            <w:r>
              <w:rPr>
                <w:rFonts w:ascii="宋体" w:hAnsi="宋体" w:cs="宋体" w:eastAsia="宋体" w:hint="default"/>
                <w:sz w:val="20"/>
                <w:szCs w:val="20"/>
              </w:rPr>
              <w:t>深圳五秒</w:t>
            </w:r>
          </w:p>
        </w:tc>
      </w:tr>
      <w:tr>
        <w:trPr>
          <w:trHeight w:val="343"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 w:right="0"/>
              <w:jc w:val="center"/>
              <w:rPr>
                <w:rFonts w:ascii="Times New Roman" w:hAnsi="Times New Roman" w:cs="Times New Roman" w:eastAsia="Times New Roman" w:hint="default"/>
                <w:sz w:val="20"/>
                <w:szCs w:val="20"/>
              </w:rPr>
            </w:pPr>
            <w:r>
              <w:rPr>
                <w:rFonts w:ascii="Times New Roman"/>
                <w:sz w:val="20"/>
              </w:rPr>
              <w:t>24</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深圳中青宝文化科技有限公司</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中青宝文化科技</w:t>
            </w:r>
          </w:p>
        </w:tc>
      </w:tr>
      <w:tr>
        <w:trPr>
          <w:trHeight w:val="341"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 w:right="0"/>
              <w:jc w:val="center"/>
              <w:rPr>
                <w:rFonts w:ascii="Times New Roman" w:hAnsi="Times New Roman" w:cs="Times New Roman" w:eastAsia="Times New Roman" w:hint="default"/>
                <w:sz w:val="20"/>
                <w:szCs w:val="20"/>
              </w:rPr>
            </w:pPr>
            <w:r>
              <w:rPr>
                <w:rFonts w:ascii="Times New Roman"/>
                <w:sz w:val="20"/>
              </w:rPr>
              <w:t>25</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湖南省湘西中青宝文化科技有限公司</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湖南湘西中青宝</w:t>
            </w:r>
          </w:p>
        </w:tc>
      </w:tr>
      <w:tr>
        <w:trPr>
          <w:trHeight w:val="343"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 w:right="0"/>
              <w:jc w:val="center"/>
              <w:rPr>
                <w:rFonts w:ascii="Times New Roman" w:hAnsi="Times New Roman" w:cs="Times New Roman" w:eastAsia="Times New Roman" w:hint="default"/>
                <w:sz w:val="20"/>
                <w:szCs w:val="20"/>
              </w:rPr>
            </w:pPr>
            <w:r>
              <w:rPr>
                <w:rFonts w:ascii="Times New Roman"/>
                <w:sz w:val="20"/>
              </w:rPr>
              <w:t>26</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深圳前海中青聚宝数据服务有限公司</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前海数据服务</w:t>
            </w:r>
          </w:p>
        </w:tc>
      </w:tr>
      <w:tr>
        <w:trPr>
          <w:trHeight w:val="341"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 w:right="0"/>
              <w:jc w:val="center"/>
              <w:rPr>
                <w:rFonts w:ascii="Times New Roman" w:hAnsi="Times New Roman" w:cs="Times New Roman" w:eastAsia="Times New Roman" w:hint="default"/>
                <w:sz w:val="20"/>
                <w:szCs w:val="20"/>
              </w:rPr>
            </w:pPr>
            <w:r>
              <w:rPr>
                <w:rFonts w:ascii="Times New Roman"/>
                <w:sz w:val="20"/>
              </w:rPr>
              <w:t>27</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深圳市天地间文化传媒有限公司</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天地间文化传媒</w:t>
            </w:r>
          </w:p>
        </w:tc>
      </w:tr>
      <w:tr>
        <w:trPr>
          <w:trHeight w:val="343"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 w:right="0"/>
              <w:jc w:val="center"/>
              <w:rPr>
                <w:rFonts w:ascii="Times New Roman" w:hAnsi="Times New Roman" w:cs="Times New Roman" w:eastAsia="Times New Roman" w:hint="default"/>
                <w:sz w:val="20"/>
                <w:szCs w:val="20"/>
              </w:rPr>
            </w:pPr>
            <w:r>
              <w:rPr>
                <w:rFonts w:ascii="Times New Roman"/>
                <w:sz w:val="20"/>
              </w:rPr>
              <w:t>28</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北京中青宝长城文化科技有限公司</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北京中青宝</w:t>
            </w:r>
          </w:p>
        </w:tc>
      </w:tr>
      <w:tr>
        <w:trPr>
          <w:trHeight w:val="341"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 w:right="0"/>
              <w:jc w:val="center"/>
              <w:rPr>
                <w:rFonts w:ascii="Times New Roman" w:hAnsi="Times New Roman" w:cs="Times New Roman" w:eastAsia="Times New Roman" w:hint="default"/>
                <w:sz w:val="20"/>
                <w:szCs w:val="20"/>
              </w:rPr>
            </w:pPr>
            <w:r>
              <w:rPr>
                <w:rFonts w:ascii="Times New Roman"/>
                <w:sz w:val="20"/>
              </w:rPr>
              <w:t>29</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深圳市宝腾互联科技有限公司</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深圳宝腾互联</w:t>
            </w:r>
          </w:p>
        </w:tc>
      </w:tr>
      <w:tr>
        <w:trPr>
          <w:trHeight w:val="343"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 w:right="0"/>
              <w:jc w:val="center"/>
              <w:rPr>
                <w:rFonts w:ascii="Times New Roman" w:hAnsi="Times New Roman" w:cs="Times New Roman" w:eastAsia="Times New Roman" w:hint="default"/>
                <w:sz w:val="20"/>
                <w:szCs w:val="20"/>
              </w:rPr>
            </w:pPr>
            <w:r>
              <w:rPr>
                <w:rFonts w:ascii="Times New Roman"/>
                <w:sz w:val="20"/>
              </w:rPr>
              <w:t>30</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克拉玛依市宝德大数据技术服务有限公司</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克拉玛依宝德大数据</w:t>
            </w:r>
          </w:p>
        </w:tc>
      </w:tr>
      <w:tr>
        <w:trPr>
          <w:trHeight w:val="341"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 w:right="0"/>
              <w:jc w:val="center"/>
              <w:rPr>
                <w:rFonts w:ascii="Times New Roman" w:hAnsi="Times New Roman" w:cs="Times New Roman" w:eastAsia="Times New Roman" w:hint="default"/>
                <w:sz w:val="20"/>
                <w:szCs w:val="20"/>
              </w:rPr>
            </w:pPr>
            <w:r>
              <w:rPr>
                <w:rFonts w:ascii="Times New Roman"/>
                <w:sz w:val="20"/>
              </w:rPr>
              <w:t>31</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深圳市宝腾互联大数据技术服务有限公司</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深圳宝腾大数据</w:t>
            </w:r>
          </w:p>
        </w:tc>
      </w:tr>
      <w:tr>
        <w:trPr>
          <w:trHeight w:val="343"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 w:right="0"/>
              <w:jc w:val="center"/>
              <w:rPr>
                <w:rFonts w:ascii="Times New Roman" w:hAnsi="Times New Roman" w:cs="Times New Roman" w:eastAsia="Times New Roman" w:hint="default"/>
                <w:sz w:val="20"/>
                <w:szCs w:val="20"/>
              </w:rPr>
            </w:pPr>
            <w:r>
              <w:rPr>
                <w:rFonts w:ascii="Times New Roman"/>
                <w:sz w:val="20"/>
              </w:rPr>
              <w:t>32</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乐山市宝腾互联科技有限公司</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乐山宝腾</w:t>
            </w:r>
          </w:p>
        </w:tc>
      </w:tr>
      <w:tr>
        <w:trPr>
          <w:trHeight w:val="341"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 w:right="0"/>
              <w:jc w:val="center"/>
              <w:rPr>
                <w:rFonts w:ascii="Times New Roman" w:hAnsi="Times New Roman" w:cs="Times New Roman" w:eastAsia="Times New Roman" w:hint="default"/>
                <w:sz w:val="20"/>
                <w:szCs w:val="20"/>
              </w:rPr>
            </w:pPr>
            <w:r>
              <w:rPr>
                <w:rFonts w:ascii="Times New Roman"/>
                <w:sz w:val="20"/>
              </w:rPr>
              <w:t>33</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湖南省神秘凤凰大峡谷旅游开发有限责任公司</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凤凰大峡谷</w:t>
            </w:r>
          </w:p>
        </w:tc>
      </w:tr>
      <w:tr>
        <w:trPr>
          <w:trHeight w:val="344"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Times New Roman" w:hAnsi="Times New Roman" w:cs="Times New Roman" w:eastAsia="Times New Roman" w:hint="default"/>
                <w:sz w:val="20"/>
                <w:szCs w:val="20"/>
              </w:rPr>
            </w:pPr>
            <w:r>
              <w:rPr>
                <w:rFonts w:ascii="Times New Roman"/>
                <w:sz w:val="20"/>
              </w:rPr>
              <w:t>34</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深圳游嘻宝创业投资企业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 w:right="0"/>
              <w:jc w:val="left"/>
              <w:rPr>
                <w:rFonts w:ascii="宋体" w:hAnsi="宋体" w:cs="宋体" w:eastAsia="宋体" w:hint="default"/>
                <w:sz w:val="20"/>
                <w:szCs w:val="20"/>
              </w:rPr>
            </w:pPr>
            <w:r>
              <w:rPr>
                <w:rFonts w:ascii="宋体" w:hAnsi="宋体" w:cs="宋体" w:eastAsia="宋体" w:hint="default"/>
                <w:sz w:val="20"/>
                <w:szCs w:val="20"/>
              </w:rPr>
              <w:t>深圳游嘻宝</w:t>
            </w:r>
          </w:p>
        </w:tc>
      </w:tr>
      <w:tr>
        <w:trPr>
          <w:trHeight w:val="341"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 w:right="0"/>
              <w:jc w:val="center"/>
              <w:rPr>
                <w:rFonts w:ascii="Times New Roman" w:hAnsi="Times New Roman" w:cs="Times New Roman" w:eastAsia="Times New Roman" w:hint="default"/>
                <w:sz w:val="20"/>
                <w:szCs w:val="20"/>
              </w:rPr>
            </w:pPr>
            <w:r>
              <w:rPr>
                <w:rFonts w:ascii="Times New Roman"/>
                <w:sz w:val="20"/>
              </w:rPr>
              <w:t>35</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深圳市娱游时代科技有限公司</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深圳娱游</w:t>
            </w:r>
          </w:p>
        </w:tc>
      </w:tr>
      <w:tr>
        <w:trPr>
          <w:trHeight w:val="343"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 w:right="0"/>
              <w:jc w:val="center"/>
              <w:rPr>
                <w:rFonts w:ascii="Times New Roman" w:hAnsi="Times New Roman" w:cs="Times New Roman" w:eastAsia="Times New Roman" w:hint="default"/>
                <w:sz w:val="20"/>
                <w:szCs w:val="20"/>
              </w:rPr>
            </w:pPr>
            <w:r>
              <w:rPr>
                <w:rFonts w:ascii="Times New Roman"/>
                <w:sz w:val="20"/>
              </w:rPr>
              <w:t>36</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深圳青友玩网络科技有限公司</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深圳青友玩</w:t>
            </w:r>
          </w:p>
        </w:tc>
      </w:tr>
      <w:tr>
        <w:trPr>
          <w:trHeight w:val="341"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 w:right="0"/>
              <w:jc w:val="center"/>
              <w:rPr>
                <w:rFonts w:ascii="Times New Roman" w:hAnsi="Times New Roman" w:cs="Times New Roman" w:eastAsia="Times New Roman" w:hint="default"/>
                <w:sz w:val="20"/>
                <w:szCs w:val="20"/>
              </w:rPr>
            </w:pPr>
            <w:r>
              <w:rPr>
                <w:rFonts w:ascii="Times New Roman"/>
                <w:sz w:val="20"/>
              </w:rPr>
              <w:t>37</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 w:right="0"/>
              <w:jc w:val="left"/>
              <w:rPr>
                <w:rFonts w:ascii="Times New Roman" w:hAnsi="Times New Roman" w:cs="Times New Roman" w:eastAsia="Times New Roman" w:hint="default"/>
                <w:sz w:val="20"/>
                <w:szCs w:val="20"/>
              </w:rPr>
            </w:pPr>
            <w:r>
              <w:rPr>
                <w:rFonts w:ascii="Times New Roman"/>
                <w:sz w:val="20"/>
              </w:rPr>
              <w:t>Tycuplay</w:t>
            </w:r>
            <w:r>
              <w:rPr>
                <w:rFonts w:ascii="Times New Roman"/>
                <w:spacing w:val="-6"/>
                <w:sz w:val="20"/>
              </w:rPr>
              <w:t> </w:t>
            </w:r>
            <w:r>
              <w:rPr>
                <w:rFonts w:ascii="Times New Roman"/>
                <w:sz w:val="20"/>
              </w:rPr>
              <w:t>Co.,Ltd</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7" w:right="0"/>
              <w:jc w:val="left"/>
              <w:rPr>
                <w:rFonts w:ascii="Times New Roman" w:hAnsi="Times New Roman" w:cs="Times New Roman" w:eastAsia="Times New Roman" w:hint="default"/>
                <w:sz w:val="20"/>
                <w:szCs w:val="20"/>
              </w:rPr>
            </w:pPr>
            <w:r>
              <w:rPr>
                <w:rFonts w:ascii="Times New Roman"/>
                <w:sz w:val="20"/>
              </w:rPr>
              <w:t>Tycuplay</w:t>
            </w:r>
          </w:p>
        </w:tc>
      </w:tr>
      <w:tr>
        <w:trPr>
          <w:trHeight w:val="343"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 w:right="0"/>
              <w:jc w:val="center"/>
              <w:rPr>
                <w:rFonts w:ascii="Times New Roman" w:hAnsi="Times New Roman" w:cs="Times New Roman" w:eastAsia="Times New Roman" w:hint="default"/>
                <w:sz w:val="20"/>
                <w:szCs w:val="20"/>
              </w:rPr>
            </w:pPr>
            <w:r>
              <w:rPr>
                <w:rFonts w:ascii="Times New Roman"/>
                <w:sz w:val="20"/>
              </w:rPr>
              <w:t>38</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山东科迅达恒科技发展有限公司</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山东科讯达恒</w:t>
            </w:r>
          </w:p>
        </w:tc>
      </w:tr>
      <w:tr>
        <w:trPr>
          <w:trHeight w:val="341"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 w:right="0"/>
              <w:jc w:val="center"/>
              <w:rPr>
                <w:rFonts w:ascii="Times New Roman" w:hAnsi="Times New Roman" w:cs="Times New Roman" w:eastAsia="Times New Roman" w:hint="default"/>
                <w:sz w:val="20"/>
                <w:szCs w:val="20"/>
              </w:rPr>
            </w:pPr>
            <w:r>
              <w:rPr>
                <w:rFonts w:ascii="Times New Roman"/>
                <w:sz w:val="20"/>
              </w:rPr>
              <w:t>39</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合肥宝腾信息技术有限公司</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合肥宝腾</w:t>
            </w:r>
          </w:p>
        </w:tc>
      </w:tr>
      <w:tr>
        <w:trPr>
          <w:trHeight w:val="343"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 w:right="0"/>
              <w:jc w:val="center"/>
              <w:rPr>
                <w:rFonts w:ascii="Times New Roman" w:hAnsi="Times New Roman" w:cs="Times New Roman" w:eastAsia="Times New Roman" w:hint="default"/>
                <w:sz w:val="20"/>
                <w:szCs w:val="20"/>
              </w:rPr>
            </w:pPr>
            <w:r>
              <w:rPr>
                <w:rFonts w:ascii="Times New Roman"/>
                <w:sz w:val="20"/>
              </w:rPr>
              <w:t>40</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深圳市利得链科技有限公司</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利得链</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、在子公司的所有者权益份额发生变化且仍控制子公司的交易</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）在子公司所有者权益份额发生变化的情况说明</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182"/>
        <w:gridCol w:w="1635"/>
        <w:gridCol w:w="1920"/>
        <w:gridCol w:w="2989"/>
      </w:tblGrid>
      <w:tr>
        <w:trPr>
          <w:trHeight w:val="341" w:hRule="exact"/>
        </w:trPr>
        <w:tc>
          <w:tcPr>
            <w:tcW w:w="2182" w:type="dxa"/>
            <w:vMerge w:val="restart"/>
            <w:tcBorders>
              <w:top w:val="single" w:sz="4" w:space="0" w:color="000000"/>
              <w:left w:val="single" w:sz="4" w:space="0" w:color="000000"/>
              <w:right w:val="single" w:sz="4" w:space="0" w:color="000000"/>
            </w:tcBorders>
          </w:tcPr>
          <w:p>
            <w:pPr>
              <w:pStyle w:val="TableParagraph"/>
              <w:spacing w:line="240" w:lineRule="auto" w:before="1"/>
              <w:ind w:left="586" w:right="0"/>
              <w:jc w:val="left"/>
              <w:rPr>
                <w:rFonts w:ascii="宋体" w:hAnsi="宋体" w:cs="宋体" w:eastAsia="宋体" w:hint="default"/>
                <w:sz w:val="20"/>
                <w:szCs w:val="20"/>
              </w:rPr>
            </w:pPr>
            <w:r>
              <w:rPr>
                <w:rFonts w:ascii="宋体" w:hAnsi="宋体" w:cs="宋体" w:eastAsia="宋体" w:hint="default"/>
                <w:b/>
                <w:bCs/>
                <w:sz w:val="20"/>
                <w:szCs w:val="20"/>
              </w:rPr>
              <w:t>子公司名称</w:t>
            </w:r>
            <w:r>
              <w:rPr>
                <w:rFonts w:ascii="宋体" w:hAnsi="宋体" w:cs="宋体" w:eastAsia="宋体" w:hint="default"/>
                <w:sz w:val="20"/>
                <w:szCs w:val="20"/>
              </w:rPr>
            </w:r>
          </w:p>
        </w:tc>
        <w:tc>
          <w:tcPr>
            <w:tcW w:w="35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68" w:right="0"/>
              <w:jc w:val="left"/>
              <w:rPr>
                <w:rFonts w:ascii="宋体" w:hAnsi="宋体" w:cs="宋体" w:eastAsia="宋体" w:hint="default"/>
                <w:sz w:val="20"/>
                <w:szCs w:val="20"/>
              </w:rPr>
            </w:pPr>
            <w:r>
              <w:rPr>
                <w:rFonts w:ascii="宋体" w:hAnsi="宋体" w:cs="宋体" w:eastAsia="宋体" w:hint="default"/>
                <w:b/>
                <w:bCs/>
                <w:sz w:val="20"/>
                <w:szCs w:val="20"/>
              </w:rPr>
              <w:t>所有者权益份额</w:t>
            </w:r>
            <w:r>
              <w:rPr>
                <w:rFonts w:ascii="宋体" w:hAnsi="宋体" w:cs="宋体" w:eastAsia="宋体" w:hint="default"/>
                <w:sz w:val="20"/>
                <w:szCs w:val="20"/>
              </w:rPr>
            </w:r>
          </w:p>
        </w:tc>
        <w:tc>
          <w:tcPr>
            <w:tcW w:w="2989" w:type="dxa"/>
            <w:vMerge w:val="restart"/>
            <w:tcBorders>
              <w:top w:val="single" w:sz="4" w:space="0" w:color="000000"/>
              <w:left w:val="single" w:sz="4" w:space="0" w:color="000000"/>
              <w:right w:val="single" w:sz="4" w:space="0" w:color="000000"/>
            </w:tcBorders>
          </w:tcPr>
          <w:p>
            <w:pPr>
              <w:pStyle w:val="TableParagraph"/>
              <w:spacing w:line="240" w:lineRule="auto" w:before="1"/>
              <w:ind w:left="1" w:right="0"/>
              <w:jc w:val="center"/>
              <w:rPr>
                <w:rFonts w:ascii="宋体" w:hAnsi="宋体" w:cs="宋体" w:eastAsia="宋体" w:hint="default"/>
                <w:sz w:val="20"/>
                <w:szCs w:val="20"/>
              </w:rPr>
            </w:pPr>
            <w:r>
              <w:rPr>
                <w:rFonts w:ascii="宋体" w:hAnsi="宋体" w:cs="宋体" w:eastAsia="宋体" w:hint="default"/>
                <w:b/>
                <w:bCs/>
                <w:sz w:val="20"/>
                <w:szCs w:val="20"/>
              </w:rPr>
              <w:t>变化原因</w:t>
            </w:r>
            <w:r>
              <w:rPr>
                <w:rFonts w:ascii="宋体" w:hAnsi="宋体" w:cs="宋体" w:eastAsia="宋体" w:hint="default"/>
                <w:sz w:val="20"/>
                <w:szCs w:val="20"/>
              </w:rPr>
            </w:r>
          </w:p>
        </w:tc>
      </w:tr>
      <w:tr>
        <w:trPr>
          <w:trHeight w:val="343" w:hRule="exact"/>
        </w:trPr>
        <w:tc>
          <w:tcPr>
            <w:tcW w:w="2182" w:type="dxa"/>
            <w:vMerge/>
            <w:tcBorders>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11" w:right="0"/>
              <w:jc w:val="left"/>
              <w:rPr>
                <w:rFonts w:ascii="宋体" w:hAnsi="宋体" w:cs="宋体" w:eastAsia="宋体" w:hint="default"/>
                <w:sz w:val="20"/>
                <w:szCs w:val="20"/>
              </w:rPr>
            </w:pPr>
            <w:r>
              <w:rPr>
                <w:rFonts w:ascii="宋体" w:hAnsi="宋体" w:cs="宋体" w:eastAsia="宋体" w:hint="default"/>
                <w:b/>
                <w:bCs/>
                <w:spacing w:val="2"/>
                <w:sz w:val="20"/>
                <w:szCs w:val="20"/>
              </w:rPr>
              <w:t>变化前</w:t>
            </w:r>
            <w:r>
              <w:rPr>
                <w:rFonts w:ascii="宋体" w:hAnsi="宋体" w:cs="宋体" w:eastAsia="宋体" w:hint="default"/>
                <w:sz w:val="20"/>
                <w:szCs w:val="20"/>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宋体" w:hAnsi="宋体" w:cs="宋体" w:eastAsia="宋体" w:hint="default"/>
                <w:sz w:val="20"/>
                <w:szCs w:val="20"/>
              </w:rPr>
            </w:pPr>
            <w:r>
              <w:rPr>
                <w:rFonts w:ascii="宋体" w:hAnsi="宋体" w:cs="宋体" w:eastAsia="宋体" w:hint="default"/>
                <w:b/>
                <w:bCs/>
                <w:spacing w:val="2"/>
                <w:sz w:val="20"/>
                <w:szCs w:val="20"/>
              </w:rPr>
              <w:t>变化后</w:t>
            </w:r>
            <w:r>
              <w:rPr>
                <w:rFonts w:ascii="宋体" w:hAnsi="宋体" w:cs="宋体" w:eastAsia="宋体" w:hint="default"/>
                <w:sz w:val="20"/>
                <w:szCs w:val="20"/>
              </w:rPr>
            </w:r>
          </w:p>
        </w:tc>
        <w:tc>
          <w:tcPr>
            <w:tcW w:w="2989" w:type="dxa"/>
            <w:vMerge/>
            <w:tcBorders>
              <w:left w:val="single" w:sz="4" w:space="0" w:color="000000"/>
              <w:bottom w:val="single" w:sz="4" w:space="0" w:color="000000"/>
              <w:right w:val="single" w:sz="4" w:space="0" w:color="000000"/>
            </w:tcBorders>
          </w:tcPr>
          <w:p>
            <w:pPr/>
          </w:p>
        </w:tc>
      </w:tr>
      <w:tr>
        <w:trPr>
          <w:trHeight w:val="341"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深圳五秒</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838" w:right="0"/>
              <w:jc w:val="left"/>
              <w:rPr>
                <w:rFonts w:ascii="Times New Roman" w:hAnsi="Times New Roman" w:cs="Times New Roman" w:eastAsia="Times New Roman" w:hint="default"/>
                <w:sz w:val="20"/>
                <w:szCs w:val="20"/>
              </w:rPr>
            </w:pPr>
            <w:r>
              <w:rPr>
                <w:rFonts w:ascii="Times New Roman"/>
                <w:sz w:val="20"/>
              </w:rPr>
              <w:t>69.93%%</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z w:val="20"/>
              </w:rPr>
              <w:t>90.00%</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因收购少数股东股权</w:t>
            </w:r>
          </w:p>
        </w:tc>
      </w:tr>
    </w:tbl>
    <w:p>
      <w:pPr>
        <w:spacing w:line="240" w:lineRule="auto" w:before="3"/>
        <w:rPr>
          <w:rFonts w:ascii="宋体" w:hAnsi="宋体" w:cs="宋体" w:eastAsia="宋体" w:hint="default"/>
          <w:b/>
          <w:bCs/>
          <w:sz w:val="19"/>
          <w:szCs w:val="19"/>
        </w:rPr>
      </w:pPr>
    </w:p>
    <w:p>
      <w:pPr>
        <w:spacing w:before="36"/>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）交易对于少数股东权益及归属于母公司所有者权益的影响</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22,300.00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22,300.00</w:t>
            </w:r>
          </w:p>
        </w:tc>
      </w:tr>
      <w:tr>
        <w:trPr>
          <w:trHeight w:val="40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622,490.67</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-600,190.67</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600,190.67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、在合营安排或联营企业中的权益</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）不重要的合营企业和联营企业的汇总财务信息</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45,978,483.29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52,633,058.13</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-1,095,915.39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-1,548,944.37</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-1,095,915.39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-1,548,944.37</w:t>
            </w:r>
          </w:p>
        </w:tc>
      </w:tr>
    </w:tbl>
    <w:p>
      <w:pPr>
        <w:spacing w:line="240" w:lineRule="auto" w:before="1"/>
        <w:rPr>
          <w:rFonts w:ascii="宋体" w:hAnsi="宋体" w:cs="宋体" w:eastAsia="宋体" w:hint="default"/>
          <w:sz w:val="18"/>
          <w:szCs w:val="18"/>
        </w:rPr>
      </w:pPr>
    </w:p>
    <w:p>
      <w:pPr>
        <w:pStyle w:val="Heading2"/>
        <w:spacing w:line="240" w:lineRule="auto" w:before="26"/>
        <w:ind w:right="0"/>
        <w:jc w:val="both"/>
        <w:rPr>
          <w:b w:val="0"/>
          <w:bCs w:val="0"/>
        </w:rPr>
      </w:pPr>
      <w:r>
        <w:rPr/>
        <w:t>十、与金融工具相关的风险</w:t>
      </w:r>
      <w:r>
        <w:rPr>
          <w:b w:val="0"/>
          <w:bCs w:val="0"/>
        </w:rPr>
      </w:r>
    </w:p>
    <w:p>
      <w:pPr>
        <w:spacing w:line="240" w:lineRule="auto" w:before="0"/>
        <w:rPr>
          <w:rFonts w:ascii="宋体" w:hAnsi="宋体" w:cs="宋体" w:eastAsia="宋体" w:hint="default"/>
          <w:b/>
          <w:bCs/>
          <w:sz w:val="24"/>
          <w:szCs w:val="24"/>
        </w:rPr>
      </w:pPr>
    </w:p>
    <w:p>
      <w:pPr>
        <w:pStyle w:val="BodyText"/>
        <w:spacing w:line="259" w:lineRule="auto"/>
        <w:ind w:right="1127" w:firstLine="439"/>
        <w:jc w:val="both"/>
      </w:pPr>
      <w:r>
        <w:rPr>
          <w:spacing w:val="-2"/>
        </w:rPr>
        <w:t>本公司的主要金融工具包括借款、应收款项、应付款项等，各项金融工具的详细情况说明见本附</w:t>
      </w:r>
      <w:r>
        <w:rPr>
          <w:w w:val="100"/>
        </w:rPr>
        <w:t> </w:t>
      </w:r>
      <w:r>
        <w:rPr>
          <w:spacing w:val="-2"/>
        </w:rPr>
        <w:t>注六。与这些金融工具有关的风险，以及本公司为降低这些风险所采取的风险管理政策如下所述。本</w:t>
      </w:r>
      <w:r>
        <w:rPr>
          <w:spacing w:val="-66"/>
        </w:rPr>
        <w:t> </w:t>
      </w:r>
      <w:r>
        <w:rPr>
          <w:spacing w:val="-66"/>
        </w:rPr>
      </w:r>
      <w:r>
        <w:rPr/>
        <w:t>公司管理层对这些风险敞口进行管理和监控以确保将上述风险控制在限定的范围之内。</w:t>
      </w:r>
    </w:p>
    <w:p>
      <w:pPr>
        <w:pStyle w:val="BodyText"/>
        <w:spacing w:line="530" w:lineRule="atLeast" w:before="21"/>
        <w:ind w:left="592" w:right="996" w:hanging="84"/>
        <w:jc w:val="left"/>
      </w:pPr>
      <w:r>
        <w:rPr>
          <w:rFonts w:ascii="Times New Roman" w:hAnsi="Times New Roman" w:cs="Times New Roman" w:eastAsia="Times New Roman" w:hint="default"/>
        </w:rPr>
        <w:t>1.</w:t>
      </w:r>
      <w:r>
        <w:rPr/>
        <w:t>各类风险管理目标和政策</w:t>
      </w:r>
      <w:r>
        <w:rPr>
          <w:w w:val="100"/>
        </w:rPr>
        <w:t> </w:t>
      </w:r>
      <w:r>
        <w:rPr>
          <w:spacing w:val="-2"/>
        </w:rPr>
        <w:t>本公司从事风险管理的目标是在风险和收益之间取得适当的平衡，将风险对本公司经营业绩的负</w:t>
      </w:r>
    </w:p>
    <w:p>
      <w:pPr>
        <w:pStyle w:val="BodyText"/>
        <w:spacing w:line="259" w:lineRule="auto" w:before="24"/>
        <w:ind w:right="1090"/>
        <w:jc w:val="both"/>
      </w:pPr>
      <w:r>
        <w:rPr>
          <w:spacing w:val="-2"/>
        </w:rPr>
        <w:t>面影响降低到最低水平，使股东及其它权益投资者的利益最大化。基于该风险管理目标，本公司风险</w:t>
      </w:r>
      <w:r>
        <w:rPr>
          <w:spacing w:val="-67"/>
        </w:rPr>
        <w:t> </w:t>
      </w:r>
      <w:r>
        <w:rPr>
          <w:spacing w:val="-67"/>
        </w:rPr>
      </w:r>
      <w:r>
        <w:rPr>
          <w:spacing w:val="-1"/>
        </w:rPr>
        <w:t>管理的基本策略是确定和分析本公司所面临的各种风险，建立适当的风险承受底线并进行风险管理，</w:t>
      </w:r>
      <w:r>
        <w:rPr>
          <w:spacing w:val="-73"/>
        </w:rPr>
        <w:t> </w:t>
      </w:r>
      <w:r>
        <w:rPr>
          <w:spacing w:val="-73"/>
        </w:rPr>
      </w:r>
      <w:r>
        <w:rPr/>
        <w:t>并及时可靠地对各种风险进行监督，将风险控制在限定的范围之内。</w:t>
      </w:r>
    </w:p>
    <w:p>
      <w:pPr>
        <w:spacing w:line="240" w:lineRule="auto" w:before="11"/>
        <w:rPr>
          <w:rFonts w:ascii="宋体" w:hAnsi="宋体" w:cs="宋体" w:eastAsia="宋体" w:hint="default"/>
          <w:sz w:val="18"/>
          <w:szCs w:val="18"/>
        </w:rPr>
      </w:pPr>
    </w:p>
    <w:p>
      <w:pPr>
        <w:pStyle w:val="BodyText"/>
        <w:spacing w:line="240" w:lineRule="auto"/>
        <w:ind w:left="592" w:right="99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3"/>
        </w:rPr>
        <w:t> </w:t>
      </w:r>
      <w:r>
        <w:rPr/>
        <w:t>市场风险</w:t>
      </w:r>
    </w:p>
    <w:p>
      <w:pPr>
        <w:spacing w:line="240" w:lineRule="auto" w:before="12"/>
        <w:rPr>
          <w:rFonts w:ascii="宋体" w:hAnsi="宋体" w:cs="宋体" w:eastAsia="宋体" w:hint="default"/>
          <w:sz w:val="18"/>
          <w:szCs w:val="18"/>
        </w:rPr>
      </w:pPr>
    </w:p>
    <w:p>
      <w:pPr>
        <w:pStyle w:val="BodyText"/>
        <w:spacing w:line="240" w:lineRule="auto"/>
        <w:ind w:left="597" w:right="996"/>
        <w:jc w:val="left"/>
      </w:pPr>
      <w:r>
        <w:rPr>
          <w:rFonts w:ascii="Times New Roman" w:hAnsi="Times New Roman" w:cs="Times New Roman" w:eastAsia="Times New Roman" w:hint="default"/>
        </w:rPr>
        <w:t>1)</w:t>
      </w:r>
      <w:r>
        <w:rPr/>
        <w:t>汇率风险</w:t>
      </w:r>
    </w:p>
    <w:p>
      <w:pPr>
        <w:spacing w:line="240" w:lineRule="auto" w:before="0"/>
        <w:rPr>
          <w:rFonts w:ascii="宋体" w:hAnsi="宋体" w:cs="宋体" w:eastAsia="宋体" w:hint="default"/>
          <w:sz w:val="18"/>
          <w:szCs w:val="18"/>
        </w:rPr>
      </w:pPr>
    </w:p>
    <w:p>
      <w:pPr>
        <w:pStyle w:val="Heading4"/>
        <w:spacing w:line="244" w:lineRule="auto"/>
        <w:ind w:right="1127" w:firstLine="439"/>
        <w:jc w:val="both"/>
        <w:rPr>
          <w:i w:val="0"/>
        </w:rPr>
      </w:pPr>
      <w:r>
        <w:rPr>
          <w:spacing w:val="-3"/>
          <w:w w:val="95"/>
        </w:rPr>
        <w:t>本公司承受汇率风险主要与美元、港币有关，除本公司及几个下属子公司以美元、港币进行采购</w:t>
      </w:r>
      <w:r>
        <w:rPr>
          <w:w w:val="96"/>
        </w:rPr>
        <w:t> </w:t>
      </w:r>
      <w:r>
        <w:rPr>
          <w:spacing w:val="-2"/>
          <w:w w:val="95"/>
        </w:rPr>
        <w:t>和销售外，本公司的其他主要业务活动以人民币计价结算。于</w:t>
      </w:r>
      <w:r>
        <w:rPr>
          <w:rFonts w:ascii="Times New Roman" w:hAnsi="Times New Roman" w:cs="Times New Roman" w:eastAsia="Times New Roman" w:hint="default"/>
          <w:i/>
          <w:spacing w:val="-2"/>
          <w:w w:val="95"/>
          <w:sz w:val="22"/>
          <w:szCs w:val="22"/>
        </w:rPr>
        <w:t>2019</w:t>
      </w:r>
      <w:r>
        <w:rPr>
          <w:spacing w:val="-2"/>
          <w:w w:val="95"/>
        </w:rPr>
        <w:t>年</w:t>
      </w:r>
      <w:r>
        <w:rPr>
          <w:rFonts w:ascii="Times New Roman" w:hAnsi="Times New Roman" w:cs="Times New Roman" w:eastAsia="Times New Roman" w:hint="default"/>
          <w:i/>
          <w:spacing w:val="-2"/>
          <w:w w:val="95"/>
          <w:sz w:val="22"/>
          <w:szCs w:val="22"/>
        </w:rPr>
        <w:t>12</w:t>
      </w:r>
      <w:r>
        <w:rPr>
          <w:spacing w:val="-2"/>
          <w:w w:val="95"/>
        </w:rPr>
        <w:t>月</w:t>
      </w:r>
      <w:r>
        <w:rPr>
          <w:rFonts w:ascii="Times New Roman" w:hAnsi="Times New Roman" w:cs="Times New Roman" w:eastAsia="Times New Roman" w:hint="default"/>
          <w:i/>
          <w:spacing w:val="-2"/>
          <w:w w:val="95"/>
          <w:sz w:val="22"/>
          <w:szCs w:val="22"/>
        </w:rPr>
        <w:t>31</w:t>
      </w:r>
      <w:r>
        <w:rPr>
          <w:spacing w:val="-2"/>
          <w:w w:val="95"/>
        </w:rPr>
        <w:t>日，除下表所述资产及负</w:t>
      </w:r>
      <w:r>
        <w:rPr>
          <w:spacing w:val="48"/>
          <w:w w:val="95"/>
        </w:rPr>
        <w:t> </w:t>
      </w:r>
      <w:r>
        <w:rPr>
          <w:spacing w:val="48"/>
          <w:w w:val="95"/>
        </w:rPr>
      </w:r>
      <w:r>
        <w:rPr>
          <w:spacing w:val="-3"/>
          <w:w w:val="95"/>
        </w:rPr>
        <w:t>债的美元余额、港币余额外，本公司的资产及负债均为人民币余额。该美元余额、港币余额的资产和</w:t>
      </w:r>
      <w:r>
        <w:rPr>
          <w:spacing w:val="40"/>
          <w:w w:val="95"/>
        </w:rPr>
        <w:t> </w:t>
      </w:r>
      <w:r>
        <w:rPr>
          <w:spacing w:val="40"/>
          <w:w w:val="95"/>
        </w:rPr>
      </w:r>
      <w:r>
        <w:rPr/>
        <w:t>负债产生的汇率风险可能对本公司的经营业绩产生影响。</w:t>
      </w:r>
      <w:r>
        <w:rPr>
          <w:i w:val="0"/>
        </w:rPr>
      </w:r>
    </w:p>
    <w:p>
      <w:pPr>
        <w:spacing w:line="240" w:lineRule="auto" w:before="12"/>
        <w:rPr>
          <w:rFonts w:ascii="宋体" w:hAnsi="宋体" w:cs="宋体" w:eastAsia="宋体" w:hint="default"/>
          <w:i/>
          <w:sz w:val="26"/>
          <w:szCs w:val="26"/>
        </w:rPr>
      </w:pPr>
    </w:p>
    <w:tbl>
      <w:tblPr>
        <w:tblW w:w="0" w:type="auto"/>
        <w:jc w:val="left"/>
        <w:tblInd w:w="148" w:type="dxa"/>
        <w:tblLayout w:type="fixed"/>
        <w:tblCellMar>
          <w:top w:w="0" w:type="dxa"/>
          <w:left w:w="0" w:type="dxa"/>
          <w:bottom w:w="0" w:type="dxa"/>
          <w:right w:w="0" w:type="dxa"/>
        </w:tblCellMar>
        <w:tblLook w:val="01E0"/>
      </w:tblPr>
      <w:tblGrid>
        <w:gridCol w:w="3709"/>
        <w:gridCol w:w="2501"/>
        <w:gridCol w:w="2432"/>
      </w:tblGrid>
      <w:tr>
        <w:trPr>
          <w:trHeight w:val="343"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808"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341"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货币资金</w:t>
            </w:r>
            <w:r>
              <w:rPr>
                <w:rFonts w:ascii="Times New Roman" w:hAnsi="Times New Roman" w:cs="Times New Roman" w:eastAsia="Times New Roman" w:hint="default"/>
                <w:sz w:val="20"/>
                <w:szCs w:val="20"/>
              </w:rPr>
              <w:t>-</w:t>
            </w:r>
            <w:r>
              <w:rPr>
                <w:rFonts w:ascii="宋体" w:hAnsi="宋体" w:cs="宋体" w:eastAsia="宋体" w:hint="default"/>
                <w:sz w:val="20"/>
                <w:szCs w:val="20"/>
              </w:rPr>
              <w:t>美元</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
              <w:jc w:val="right"/>
              <w:rPr>
                <w:rFonts w:ascii="Times New Roman" w:hAnsi="Times New Roman" w:cs="Times New Roman" w:eastAsia="Times New Roman" w:hint="default"/>
                <w:sz w:val="20"/>
                <w:szCs w:val="20"/>
              </w:rPr>
            </w:pPr>
            <w:r>
              <w:rPr>
                <w:rFonts w:ascii="Times New Roman"/>
                <w:spacing w:val="-1"/>
                <w:sz w:val="20"/>
              </w:rPr>
              <w:t>1,176,464.81</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294,153.38</w:t>
            </w:r>
            <w:r>
              <w:rPr>
                <w:rFonts w:ascii="Times New Roman"/>
                <w:sz w:val="20"/>
              </w:rPr>
            </w:r>
          </w:p>
        </w:tc>
      </w:tr>
      <w:tr>
        <w:trPr>
          <w:trHeight w:val="343"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宋体" w:hAnsi="宋体" w:cs="宋体" w:eastAsia="宋体" w:hint="default"/>
                <w:sz w:val="20"/>
                <w:szCs w:val="20"/>
              </w:rPr>
              <w:t>货币资金</w:t>
            </w:r>
            <w:r>
              <w:rPr>
                <w:rFonts w:ascii="Times New Roman" w:hAnsi="Times New Roman" w:cs="Times New Roman" w:eastAsia="Times New Roman" w:hint="default"/>
                <w:sz w:val="20"/>
                <w:szCs w:val="20"/>
              </w:rPr>
              <w:t>-</w:t>
            </w:r>
            <w:r>
              <w:rPr>
                <w:rFonts w:ascii="宋体" w:hAnsi="宋体" w:cs="宋体" w:eastAsia="宋体" w:hint="default"/>
                <w:sz w:val="20"/>
                <w:szCs w:val="20"/>
              </w:rPr>
              <w:t>港币</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right"/>
              <w:rPr>
                <w:rFonts w:ascii="Times New Roman" w:hAnsi="Times New Roman" w:cs="Times New Roman" w:eastAsia="Times New Roman" w:hint="default"/>
                <w:sz w:val="20"/>
                <w:szCs w:val="20"/>
              </w:rPr>
            </w:pPr>
            <w:r>
              <w:rPr>
                <w:rFonts w:ascii="Times New Roman"/>
                <w:spacing w:val="-1"/>
                <w:sz w:val="20"/>
              </w:rPr>
              <w:t>197,894.95</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319,194.13</w:t>
            </w:r>
            <w:r>
              <w:rPr>
                <w:rFonts w:ascii="Times New Roman"/>
                <w:sz w:val="20"/>
              </w:rPr>
            </w:r>
          </w:p>
        </w:tc>
      </w:tr>
      <w:tr>
        <w:trPr>
          <w:trHeight w:val="341"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应收账款</w:t>
            </w:r>
            <w:r>
              <w:rPr>
                <w:rFonts w:ascii="Times New Roman" w:hAnsi="Times New Roman" w:cs="Times New Roman" w:eastAsia="Times New Roman" w:hint="default"/>
                <w:sz w:val="20"/>
                <w:szCs w:val="20"/>
              </w:rPr>
              <w:t>-</w:t>
            </w:r>
            <w:r>
              <w:rPr>
                <w:rFonts w:ascii="宋体" w:hAnsi="宋体" w:cs="宋体" w:eastAsia="宋体" w:hint="default"/>
                <w:sz w:val="20"/>
                <w:szCs w:val="20"/>
              </w:rPr>
              <w:t>美元</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
              <w:jc w:val="right"/>
              <w:rPr>
                <w:rFonts w:ascii="Times New Roman" w:hAnsi="Times New Roman" w:cs="Times New Roman" w:eastAsia="Times New Roman" w:hint="default"/>
                <w:sz w:val="20"/>
                <w:szCs w:val="20"/>
              </w:rPr>
            </w:pPr>
            <w:r>
              <w:rPr>
                <w:rFonts w:ascii="Times New Roman"/>
                <w:spacing w:val="-1"/>
                <w:sz w:val="20"/>
              </w:rPr>
              <w:t>1,226,924.61</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983,915.37</w:t>
            </w:r>
            <w:r>
              <w:rPr>
                <w:rFonts w:ascii="Times New Roman"/>
                <w:sz w:val="20"/>
              </w:rPr>
            </w:r>
          </w:p>
        </w:tc>
      </w:tr>
      <w:tr>
        <w:trPr>
          <w:trHeight w:val="343"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宋体" w:hAnsi="宋体" w:cs="宋体" w:eastAsia="宋体" w:hint="default"/>
                <w:sz w:val="20"/>
                <w:szCs w:val="20"/>
              </w:rPr>
              <w:t>应收账款</w:t>
            </w:r>
            <w:r>
              <w:rPr>
                <w:rFonts w:ascii="Times New Roman" w:hAnsi="Times New Roman" w:cs="Times New Roman" w:eastAsia="Times New Roman" w:hint="default"/>
                <w:sz w:val="20"/>
                <w:szCs w:val="20"/>
              </w:rPr>
              <w:t>-</w:t>
            </w:r>
            <w:r>
              <w:rPr>
                <w:rFonts w:ascii="宋体" w:hAnsi="宋体" w:cs="宋体" w:eastAsia="宋体" w:hint="default"/>
                <w:sz w:val="20"/>
                <w:szCs w:val="20"/>
              </w:rPr>
              <w:t>港币</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w w:val="95"/>
                <w:sz w:val="20"/>
              </w:rPr>
              <w:t>16,842.55</w:t>
            </w:r>
            <w:r>
              <w:rPr>
                <w:rFonts w:ascii="Times New Roman"/>
                <w:sz w:val="20"/>
              </w:rPr>
            </w:r>
          </w:p>
        </w:tc>
      </w:tr>
      <w:tr>
        <w:trPr>
          <w:trHeight w:val="343"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其他应收款</w:t>
            </w:r>
            <w:r>
              <w:rPr>
                <w:rFonts w:ascii="Times New Roman" w:hAnsi="Times New Roman" w:cs="Times New Roman" w:eastAsia="Times New Roman" w:hint="default"/>
                <w:sz w:val="20"/>
                <w:szCs w:val="20"/>
              </w:rPr>
              <w:t>-</w:t>
            </w:r>
            <w:r>
              <w:rPr>
                <w:rFonts w:ascii="宋体" w:hAnsi="宋体" w:cs="宋体" w:eastAsia="宋体" w:hint="default"/>
                <w:sz w:val="20"/>
                <w:szCs w:val="20"/>
              </w:rPr>
              <w:t>美元</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
              <w:jc w:val="right"/>
              <w:rPr>
                <w:rFonts w:ascii="Times New Roman" w:hAnsi="Times New Roman" w:cs="Times New Roman" w:eastAsia="Times New Roman" w:hint="default"/>
                <w:sz w:val="20"/>
                <w:szCs w:val="20"/>
              </w:rPr>
            </w:pPr>
            <w:r>
              <w:rPr>
                <w:rFonts w:ascii="Times New Roman"/>
                <w:spacing w:val="-1"/>
                <w:sz w:val="20"/>
              </w:rPr>
              <w:t>951,343.84</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950,574.68</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877" w:footer="980" w:top="1060" w:bottom="1160" w:left="980" w:right="0"/>
        </w:sectPr>
      </w:pPr>
    </w:p>
    <w:p>
      <w:pPr>
        <w:spacing w:line="240" w:lineRule="auto" w:before="6"/>
        <w:rPr>
          <w:rFonts w:ascii="宋体" w:hAnsi="宋体" w:cs="宋体" w:eastAsia="宋体" w:hint="default"/>
          <w:i/>
          <w:sz w:val="28"/>
          <w:szCs w:val="28"/>
        </w:rPr>
      </w:pPr>
    </w:p>
    <w:tbl>
      <w:tblPr>
        <w:tblW w:w="0" w:type="auto"/>
        <w:jc w:val="left"/>
        <w:tblInd w:w="148" w:type="dxa"/>
        <w:tblLayout w:type="fixed"/>
        <w:tblCellMar>
          <w:top w:w="0" w:type="dxa"/>
          <w:left w:w="0" w:type="dxa"/>
          <w:bottom w:w="0" w:type="dxa"/>
          <w:right w:w="0" w:type="dxa"/>
        </w:tblCellMar>
        <w:tblLook w:val="01E0"/>
      </w:tblPr>
      <w:tblGrid>
        <w:gridCol w:w="3709"/>
        <w:gridCol w:w="2501"/>
        <w:gridCol w:w="2432"/>
      </w:tblGrid>
      <w:tr>
        <w:trPr>
          <w:trHeight w:val="341"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预付账款</w:t>
            </w:r>
            <w:r>
              <w:rPr>
                <w:rFonts w:ascii="Times New Roman" w:hAnsi="Times New Roman" w:cs="Times New Roman" w:eastAsia="Times New Roman" w:hint="default"/>
                <w:sz w:val="20"/>
                <w:szCs w:val="20"/>
              </w:rPr>
              <w:t>-</w:t>
            </w:r>
            <w:r>
              <w:rPr>
                <w:rFonts w:ascii="宋体" w:hAnsi="宋体" w:cs="宋体" w:eastAsia="宋体" w:hint="default"/>
                <w:sz w:val="20"/>
                <w:szCs w:val="20"/>
              </w:rPr>
              <w:t>美元</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
              <w:jc w:val="right"/>
              <w:rPr>
                <w:rFonts w:ascii="Times New Roman" w:hAnsi="Times New Roman" w:cs="Times New Roman" w:eastAsia="Times New Roman" w:hint="default"/>
                <w:sz w:val="20"/>
                <w:szCs w:val="20"/>
              </w:rPr>
            </w:pPr>
            <w:r>
              <w:rPr>
                <w:rFonts w:ascii="Times New Roman"/>
                <w:spacing w:val="-1"/>
                <w:sz w:val="20"/>
              </w:rPr>
              <w:t>276,059.10</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1,089,053.02</w:t>
            </w:r>
            <w:r>
              <w:rPr>
                <w:rFonts w:ascii="Times New Roman"/>
                <w:sz w:val="20"/>
              </w:rPr>
            </w:r>
          </w:p>
        </w:tc>
      </w:tr>
      <w:tr>
        <w:trPr>
          <w:trHeight w:val="344"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宋体" w:hAnsi="宋体" w:cs="宋体" w:eastAsia="宋体" w:hint="default"/>
                <w:sz w:val="20"/>
                <w:szCs w:val="20"/>
              </w:rPr>
              <w:t>应付账款</w:t>
            </w:r>
            <w:r>
              <w:rPr>
                <w:rFonts w:ascii="Times New Roman" w:hAnsi="Times New Roman" w:cs="Times New Roman" w:eastAsia="Times New Roman" w:hint="default"/>
                <w:sz w:val="20"/>
                <w:szCs w:val="20"/>
              </w:rPr>
              <w:t>-</w:t>
            </w:r>
            <w:r>
              <w:rPr>
                <w:rFonts w:ascii="宋体" w:hAnsi="宋体" w:cs="宋体" w:eastAsia="宋体" w:hint="default"/>
                <w:sz w:val="20"/>
                <w:szCs w:val="20"/>
              </w:rPr>
              <w:t>美元</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right"/>
              <w:rPr>
                <w:rFonts w:ascii="Times New Roman" w:hAnsi="Times New Roman" w:cs="Times New Roman" w:eastAsia="Times New Roman" w:hint="default"/>
                <w:sz w:val="20"/>
                <w:szCs w:val="20"/>
              </w:rPr>
            </w:pPr>
            <w:r>
              <w:rPr>
                <w:rFonts w:ascii="Times New Roman"/>
                <w:spacing w:val="-1"/>
                <w:sz w:val="20"/>
              </w:rPr>
              <w:t>440,678.71</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454,814.85</w:t>
            </w:r>
            <w:r>
              <w:rPr>
                <w:rFonts w:ascii="Times New Roman"/>
                <w:sz w:val="20"/>
              </w:rPr>
            </w:r>
          </w:p>
        </w:tc>
      </w:tr>
      <w:tr>
        <w:trPr>
          <w:trHeight w:val="341"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应付账款</w:t>
            </w:r>
            <w:r>
              <w:rPr>
                <w:rFonts w:ascii="Times New Roman" w:hAnsi="Times New Roman" w:cs="Times New Roman" w:eastAsia="Times New Roman" w:hint="default"/>
                <w:sz w:val="20"/>
                <w:szCs w:val="20"/>
              </w:rPr>
              <w:t>-</w:t>
            </w:r>
            <w:r>
              <w:rPr>
                <w:rFonts w:ascii="宋体" w:hAnsi="宋体" w:cs="宋体" w:eastAsia="宋体" w:hint="default"/>
                <w:sz w:val="20"/>
                <w:szCs w:val="20"/>
              </w:rPr>
              <w:t>港币</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313,972.00</w:t>
            </w:r>
            <w:r>
              <w:rPr>
                <w:rFonts w:ascii="Times New Roman"/>
                <w:sz w:val="20"/>
              </w:rPr>
            </w:r>
          </w:p>
        </w:tc>
      </w:tr>
      <w:tr>
        <w:trPr>
          <w:trHeight w:val="343"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宋体" w:hAnsi="宋体" w:cs="宋体" w:eastAsia="宋体" w:hint="default"/>
                <w:sz w:val="20"/>
                <w:szCs w:val="20"/>
              </w:rPr>
              <w:t>预收账款</w:t>
            </w:r>
            <w:r>
              <w:rPr>
                <w:rFonts w:ascii="Times New Roman" w:hAnsi="Times New Roman" w:cs="Times New Roman" w:eastAsia="Times New Roman" w:hint="default"/>
                <w:sz w:val="20"/>
                <w:szCs w:val="20"/>
              </w:rPr>
              <w:t>-</w:t>
            </w:r>
            <w:r>
              <w:rPr>
                <w:rFonts w:ascii="宋体" w:hAnsi="宋体" w:cs="宋体" w:eastAsia="宋体" w:hint="default"/>
                <w:sz w:val="20"/>
                <w:szCs w:val="20"/>
              </w:rPr>
              <w:t>美元</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right"/>
              <w:rPr>
                <w:rFonts w:ascii="Times New Roman" w:hAnsi="Times New Roman" w:cs="Times New Roman" w:eastAsia="Times New Roman" w:hint="default"/>
                <w:sz w:val="20"/>
                <w:szCs w:val="20"/>
              </w:rPr>
            </w:pPr>
            <w:r>
              <w:rPr>
                <w:rFonts w:ascii="Times New Roman"/>
                <w:spacing w:val="-1"/>
                <w:sz w:val="20"/>
              </w:rPr>
              <w:t>167,138.03</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180,728.68</w:t>
            </w:r>
            <w:r>
              <w:rPr>
                <w:rFonts w:ascii="Times New Roman"/>
                <w:sz w:val="20"/>
              </w:rPr>
            </w:r>
          </w:p>
        </w:tc>
      </w:tr>
    </w:tbl>
    <w:p>
      <w:pPr>
        <w:spacing w:line="240" w:lineRule="auto" w:before="5"/>
        <w:rPr>
          <w:rFonts w:ascii="宋体" w:hAnsi="宋体" w:cs="宋体" w:eastAsia="宋体" w:hint="default"/>
          <w:i/>
          <w:sz w:val="13"/>
          <w:szCs w:val="13"/>
        </w:rPr>
      </w:pPr>
    </w:p>
    <w:p>
      <w:pPr>
        <w:pStyle w:val="Heading4"/>
        <w:spacing w:line="240" w:lineRule="auto" w:before="31"/>
        <w:ind w:left="592" w:right="996"/>
        <w:jc w:val="left"/>
        <w:rPr>
          <w:i w:val="0"/>
        </w:rPr>
      </w:pPr>
      <w:r>
        <w:rPr/>
        <w:t>本公司密切关注汇率变动对本公司的影响，本公司目前并未采取其他措施规避外汇风险。</w:t>
      </w:r>
      <w:r>
        <w:rPr>
          <w:i w:val="0"/>
        </w:rPr>
      </w:r>
    </w:p>
    <w:p>
      <w:pPr>
        <w:spacing w:line="240" w:lineRule="auto" w:before="1"/>
        <w:rPr>
          <w:rFonts w:ascii="宋体" w:hAnsi="宋体" w:cs="宋体" w:eastAsia="宋体" w:hint="default"/>
          <w:i/>
          <w:sz w:val="20"/>
          <w:szCs w:val="20"/>
        </w:rPr>
      </w:pPr>
    </w:p>
    <w:p>
      <w:pPr>
        <w:pStyle w:val="BodyText"/>
        <w:spacing w:line="446" w:lineRule="auto"/>
        <w:ind w:left="592" w:right="3794"/>
        <w:jc w:val="left"/>
      </w:pPr>
      <w:r>
        <w:rPr>
          <w:rFonts w:ascii="Times New Roman" w:hAnsi="Times New Roman" w:cs="Times New Roman" w:eastAsia="Times New Roman" w:hint="default"/>
        </w:rPr>
        <w:t>2</w:t>
      </w:r>
      <w:r>
        <w:rPr/>
        <w:t>）价格风险</w:t>
      </w:r>
      <w:r>
        <w:rPr>
          <w:w w:val="100"/>
        </w:rPr>
        <w:t> </w:t>
      </w:r>
      <w:r>
        <w:rPr>
          <w:spacing w:val="-1"/>
        </w:rPr>
        <w:t>本公司以市场价格运营游戏产品，因此受到此等价格波动的影响。</w:t>
      </w:r>
      <w:r>
        <w:rPr>
          <w:spacing w:val="-85"/>
        </w:rPr>
        <w:t> </w:t>
      </w:r>
      <w:r>
        <w:rPr>
          <w:spacing w:val="-85"/>
        </w:rPr>
      </w:r>
      <w:r>
        <w:rPr>
          <w:rFonts w:ascii="Times New Roman" w:hAnsi="Times New Roman" w:cs="Times New Roman" w:eastAsia="Times New Roman" w:hint="default"/>
        </w:rPr>
        <w:t>(2)</w:t>
      </w:r>
      <w:r>
        <w:rPr>
          <w:rFonts w:ascii="Times New Roman" w:hAnsi="Times New Roman" w:cs="Times New Roman" w:eastAsia="Times New Roman" w:hint="default"/>
          <w:spacing w:val="33"/>
        </w:rPr>
        <w:t> </w:t>
      </w:r>
      <w:r>
        <w:rPr/>
        <w:t>信用风险</w:t>
      </w:r>
    </w:p>
    <w:p>
      <w:pPr>
        <w:pStyle w:val="BodyText"/>
        <w:spacing w:line="247" w:lineRule="auto" w:before="38"/>
        <w:ind w:right="996" w:firstLine="439"/>
        <w:jc w:val="left"/>
      </w:pPr>
      <w:r>
        <w:rPr>
          <w:spacing w:val="-2"/>
        </w:rPr>
        <w:t>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日，可能引起本公司财务损失的最大信用风险敞口主要来自于合同另一方未能履</w:t>
      </w:r>
      <w:r>
        <w:rPr>
          <w:w w:val="100"/>
        </w:rPr>
        <w:t> </w:t>
      </w:r>
      <w:r>
        <w:rPr/>
        <w:t>行义务而导致本公司金融资产产生的损失，具体包括：</w:t>
      </w:r>
    </w:p>
    <w:p>
      <w:pPr>
        <w:spacing w:line="240" w:lineRule="auto" w:before="9"/>
        <w:rPr>
          <w:rFonts w:ascii="宋体" w:hAnsi="宋体" w:cs="宋体" w:eastAsia="宋体" w:hint="default"/>
          <w:sz w:val="19"/>
          <w:szCs w:val="19"/>
        </w:rPr>
      </w:pPr>
    </w:p>
    <w:p>
      <w:pPr>
        <w:pStyle w:val="BodyText"/>
        <w:spacing w:line="259" w:lineRule="auto"/>
        <w:ind w:right="996" w:firstLine="439"/>
        <w:jc w:val="left"/>
      </w:pPr>
      <w:r>
        <w:rPr>
          <w:spacing w:val="-2"/>
        </w:rPr>
        <w:t>合并资产负债表中已确认的金融资产的账面金额；对于以公允价值计量的金融工具而言，账面价</w:t>
      </w:r>
      <w:r>
        <w:rPr>
          <w:w w:val="100"/>
        </w:rPr>
        <w:t> </w:t>
      </w:r>
      <w:r>
        <w:rPr/>
        <w:t>值反映了其风险敞口，但并非最大风险敞口，其最大风险敞口将随着未来公允价值的变化而改变。</w:t>
      </w:r>
    </w:p>
    <w:p>
      <w:pPr>
        <w:spacing w:line="240" w:lineRule="auto" w:before="11"/>
        <w:rPr>
          <w:rFonts w:ascii="宋体" w:hAnsi="宋体" w:cs="宋体" w:eastAsia="宋体" w:hint="default"/>
          <w:sz w:val="18"/>
          <w:szCs w:val="18"/>
        </w:rPr>
      </w:pPr>
    </w:p>
    <w:p>
      <w:pPr>
        <w:pStyle w:val="BodyText"/>
        <w:spacing w:line="259" w:lineRule="auto"/>
        <w:ind w:right="996" w:firstLine="439"/>
        <w:jc w:val="left"/>
      </w:pPr>
      <w:r>
        <w:rPr/>
        <w:t>为降低信用风险，本公司成立专门部门确定信用额度、进行信用审批，并执行其它监控程序以确</w:t>
      </w:r>
      <w:r>
        <w:rPr>
          <w:w w:val="100"/>
        </w:rPr>
        <w:t> </w:t>
      </w:r>
      <w:r>
        <w:rPr>
          <w:spacing w:val="-5"/>
        </w:rPr>
        <w:t>保采取必要的措施回收过期债权。此外，本公司于每个资产负债表日审核每一单项应收款的回收情况，</w:t>
      </w:r>
      <w:r>
        <w:rPr>
          <w:spacing w:val="-48"/>
        </w:rPr>
        <w:t> </w:t>
      </w:r>
      <w:r>
        <w:rPr>
          <w:spacing w:val="-48"/>
        </w:rPr>
      </w:r>
      <w:r>
        <w:rPr>
          <w:spacing w:val="-2"/>
        </w:rPr>
        <w:t>以确保就无法回收的款项计提充分的坏账准备。因此，本公司管理层认为本公司所承担的信用风险已</w:t>
      </w:r>
      <w:r>
        <w:rPr>
          <w:spacing w:val="-70"/>
        </w:rPr>
        <w:t> </w:t>
      </w:r>
      <w:r>
        <w:rPr>
          <w:spacing w:val="-70"/>
        </w:rPr>
      </w:r>
      <w:r>
        <w:rPr/>
        <w:t>经大为降低。</w:t>
      </w:r>
    </w:p>
    <w:p>
      <w:pPr>
        <w:spacing w:line="240" w:lineRule="auto" w:before="12"/>
        <w:rPr>
          <w:rFonts w:ascii="宋体" w:hAnsi="宋体" w:cs="宋体" w:eastAsia="宋体" w:hint="default"/>
          <w:sz w:val="17"/>
          <w:szCs w:val="17"/>
        </w:rPr>
      </w:pPr>
    </w:p>
    <w:p>
      <w:pPr>
        <w:spacing w:line="456" w:lineRule="auto" w:before="0"/>
        <w:ind w:left="592" w:right="996" w:firstLine="0"/>
        <w:jc w:val="left"/>
        <w:rPr>
          <w:rFonts w:ascii="宋体" w:hAnsi="宋体" w:cs="宋体" w:eastAsia="宋体" w:hint="default"/>
          <w:sz w:val="22"/>
          <w:szCs w:val="22"/>
        </w:rPr>
      </w:pPr>
      <w:r>
        <w:rPr>
          <w:rFonts w:ascii="宋体" w:hAnsi="宋体" w:cs="宋体" w:eastAsia="宋体" w:hint="default"/>
          <w:i/>
          <w:sz w:val="23"/>
          <w:szCs w:val="23"/>
        </w:rPr>
        <w:t>本公司的流动资金存放在信用评级较高的银行，故流动资金的信用风险较低。</w:t>
      </w:r>
      <w:r>
        <w:rPr>
          <w:rFonts w:ascii="宋体" w:hAnsi="宋体" w:cs="宋体" w:eastAsia="宋体" w:hint="default"/>
          <w:i/>
          <w:w w:val="96"/>
          <w:sz w:val="23"/>
          <w:szCs w:val="23"/>
        </w:rPr>
        <w:t> </w:t>
      </w:r>
      <w:r>
        <w:rPr>
          <w:rFonts w:ascii="宋体" w:hAnsi="宋体" w:cs="宋体" w:eastAsia="宋体" w:hint="default"/>
          <w:spacing w:val="-1"/>
          <w:sz w:val="22"/>
          <w:szCs w:val="22"/>
        </w:rPr>
        <w:t>由于本公司的风险敞口分布在多个合同方和多个客户，因此没有重大的信用集中风险。</w:t>
      </w:r>
      <w:r>
        <w:rPr>
          <w:rFonts w:ascii="宋体" w:hAnsi="宋体" w:cs="宋体" w:eastAsia="宋体" w:hint="default"/>
          <w:spacing w:val="-81"/>
          <w:sz w:val="22"/>
          <w:szCs w:val="22"/>
        </w:rPr>
        <w:t> </w:t>
      </w:r>
      <w:r>
        <w:rPr>
          <w:rFonts w:ascii="宋体" w:hAnsi="宋体" w:cs="宋体" w:eastAsia="宋体" w:hint="default"/>
          <w:spacing w:val="-81"/>
          <w:sz w:val="22"/>
          <w:szCs w:val="22"/>
        </w:rPr>
      </w:r>
      <w:r>
        <w:rPr>
          <w:rFonts w:ascii="宋体" w:hAnsi="宋体" w:cs="宋体" w:eastAsia="宋体" w:hint="default"/>
          <w:sz w:val="22"/>
          <w:szCs w:val="22"/>
        </w:rPr>
        <w:t>应收账款前五名金额合计：</w:t>
      </w:r>
      <w:r>
        <w:rPr>
          <w:rFonts w:ascii="Times New Roman" w:hAnsi="Times New Roman" w:cs="Times New Roman" w:eastAsia="Times New Roman" w:hint="default"/>
          <w:sz w:val="22"/>
          <w:szCs w:val="22"/>
        </w:rPr>
        <w:t>96,812,744.08</w:t>
      </w:r>
      <w:r>
        <w:rPr>
          <w:rFonts w:ascii="宋体" w:hAnsi="宋体" w:cs="宋体" w:eastAsia="宋体" w:hint="default"/>
          <w:sz w:val="22"/>
          <w:szCs w:val="22"/>
        </w:rPr>
        <w:t>元。</w:t>
      </w:r>
    </w:p>
    <w:p>
      <w:pPr>
        <w:pStyle w:val="BodyText"/>
        <w:spacing w:line="240" w:lineRule="auto" w:before="28"/>
        <w:ind w:left="592" w:right="996"/>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3"/>
        </w:rPr>
        <w:t> </w:t>
      </w:r>
      <w:r>
        <w:rPr/>
        <w:t>流动风险</w:t>
      </w:r>
    </w:p>
    <w:p>
      <w:pPr>
        <w:spacing w:line="240" w:lineRule="auto" w:before="12"/>
        <w:rPr>
          <w:rFonts w:ascii="宋体" w:hAnsi="宋体" w:cs="宋体" w:eastAsia="宋体" w:hint="default"/>
          <w:sz w:val="18"/>
          <w:szCs w:val="18"/>
        </w:rPr>
      </w:pPr>
    </w:p>
    <w:p>
      <w:pPr>
        <w:pStyle w:val="BodyText"/>
        <w:spacing w:line="259" w:lineRule="auto"/>
        <w:ind w:right="1131" w:firstLine="439"/>
        <w:jc w:val="both"/>
      </w:pPr>
      <w:r>
        <w:rPr>
          <w:spacing w:val="-2"/>
        </w:rPr>
        <w:t>流动风险为本公司在到期日无法履行其财务义务的风险。本公司管理流动性风险的方法是确保有</w:t>
      </w:r>
      <w:r>
        <w:rPr>
          <w:w w:val="100"/>
        </w:rPr>
        <w:t> </w:t>
      </w:r>
      <w:r>
        <w:rPr>
          <w:spacing w:val="-2"/>
        </w:rPr>
        <w:t>足够的资金流动性来履行到期债务，而不至于造成不可接受的损失或对企业信誉造成损害。本公司定</w:t>
      </w:r>
      <w:r>
        <w:rPr>
          <w:spacing w:val="-70"/>
        </w:rPr>
        <w:t> </w:t>
      </w:r>
      <w:r>
        <w:rPr>
          <w:spacing w:val="-70"/>
        </w:rPr>
      </w:r>
      <w:r>
        <w:rPr>
          <w:spacing w:val="-2"/>
        </w:rPr>
        <w:t>期分析负债结构和期限，以确保有充裕的资金。本公司管理层对银行借款的使用情况进行监控并确保</w:t>
      </w:r>
      <w:r>
        <w:rPr>
          <w:spacing w:val="-70"/>
        </w:rPr>
        <w:t> </w:t>
      </w:r>
      <w:r>
        <w:rPr>
          <w:spacing w:val="-70"/>
        </w:rPr>
      </w:r>
      <w:r>
        <w:rPr/>
        <w:t>遵守借款协议。同时与金融机构进行融资磋商，以保持一定的授信额度，减低流动性风险。</w:t>
      </w:r>
    </w:p>
    <w:p>
      <w:pPr>
        <w:spacing w:line="240" w:lineRule="auto" w:before="11"/>
        <w:rPr>
          <w:rFonts w:ascii="宋体" w:hAnsi="宋体" w:cs="宋体" w:eastAsia="宋体" w:hint="default"/>
          <w:sz w:val="18"/>
          <w:szCs w:val="18"/>
        </w:rPr>
      </w:pPr>
    </w:p>
    <w:p>
      <w:pPr>
        <w:pStyle w:val="BodyText"/>
        <w:spacing w:line="247" w:lineRule="auto"/>
        <w:ind w:right="1132" w:firstLine="439"/>
        <w:jc w:val="both"/>
      </w:pPr>
      <w:r>
        <w:rPr>
          <w:spacing w:val="2"/>
        </w:rPr>
        <w:t>本公司将银行借款作为主要资金来源。于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日，本公司尚未使用的银行借款额度为</w:t>
      </w:r>
      <w:r>
        <w:rPr>
          <w:w w:val="100"/>
        </w:rPr>
        <w:t> </w:t>
      </w:r>
      <w:r>
        <w:rPr>
          <w:rFonts w:ascii="Times New Roman" w:hAnsi="Times New Roman" w:cs="Times New Roman" w:eastAsia="Times New Roman" w:hint="default"/>
          <w:spacing w:val="-1"/>
        </w:rPr>
        <w:t>123,500,000</w:t>
      </w:r>
      <w:r>
        <w:rPr>
          <w:spacing w:val="-1"/>
        </w:rPr>
        <w:t>元，（</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r>
        <w:rPr>
          <w:rFonts w:ascii="Times New Roman" w:hAnsi="Times New Roman" w:cs="Times New Roman" w:eastAsia="Times New Roman" w:hint="default"/>
          <w:spacing w:val="-1"/>
        </w:rPr>
        <w:t>30,000,000.00</w:t>
      </w:r>
      <w:r>
        <w:rPr>
          <w:spacing w:val="-1"/>
        </w:rPr>
        <w:t>元）其中本公司尚未使用的短期银行借款额度为人</w:t>
      </w:r>
      <w:r>
        <w:rPr>
          <w:spacing w:val="-40"/>
        </w:rPr>
        <w:t> </w:t>
      </w:r>
      <w:r>
        <w:rPr>
          <w:spacing w:val="-40"/>
        </w:rPr>
      </w:r>
      <w:r>
        <w:rPr/>
        <w:t>民币</w:t>
      </w:r>
      <w:r>
        <w:rPr>
          <w:rFonts w:ascii="Times New Roman" w:hAnsi="Times New Roman" w:cs="Times New Roman" w:eastAsia="Times New Roman" w:hint="default"/>
        </w:rPr>
        <w:t>23,500,000</w:t>
      </w:r>
      <w:r>
        <w:rPr/>
        <w:t>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30,000,000.00</w:t>
      </w:r>
      <w:r>
        <w:rPr/>
        <w:t>元）。</w:t>
      </w:r>
    </w:p>
    <w:p>
      <w:pPr>
        <w:spacing w:line="240" w:lineRule="auto" w:before="5"/>
        <w:rPr>
          <w:rFonts w:ascii="宋体" w:hAnsi="宋体" w:cs="宋体" w:eastAsia="宋体" w:hint="default"/>
          <w:sz w:val="18"/>
          <w:szCs w:val="18"/>
        </w:rPr>
      </w:pPr>
    </w:p>
    <w:p>
      <w:pPr>
        <w:pStyle w:val="BodyText"/>
        <w:spacing w:line="240" w:lineRule="auto"/>
        <w:ind w:left="592" w:right="996"/>
        <w:jc w:val="left"/>
      </w:pPr>
      <w:r>
        <w:rPr/>
        <w:t>本公司持有的金融资产和金融负债按未折现剩余合同义务的到期期限分析如下：</w:t>
      </w:r>
    </w:p>
    <w:p>
      <w:pPr>
        <w:spacing w:line="240" w:lineRule="auto" w:before="2"/>
        <w:rPr>
          <w:rFonts w:ascii="宋体" w:hAnsi="宋体" w:cs="宋体" w:eastAsia="宋体" w:hint="default"/>
          <w:sz w:val="20"/>
          <w:szCs w:val="20"/>
        </w:rPr>
      </w:pPr>
    </w:p>
    <w:p>
      <w:pPr>
        <w:pStyle w:val="BodyText"/>
        <w:spacing w:line="240" w:lineRule="auto"/>
        <w:ind w:right="996"/>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日金额：</w:t>
      </w:r>
    </w:p>
    <w:p>
      <w:pPr>
        <w:spacing w:line="240" w:lineRule="auto" w:before="7"/>
        <w:rPr>
          <w:rFonts w:ascii="宋体" w:hAnsi="宋体" w:cs="宋体" w:eastAsia="宋体" w:hint="default"/>
          <w:sz w:val="20"/>
          <w:szCs w:val="20"/>
        </w:rPr>
      </w:pPr>
    </w:p>
    <w:tbl>
      <w:tblPr>
        <w:tblW w:w="0" w:type="auto"/>
        <w:jc w:val="left"/>
        <w:tblInd w:w="148" w:type="dxa"/>
        <w:tblLayout w:type="fixed"/>
        <w:tblCellMar>
          <w:top w:w="0" w:type="dxa"/>
          <w:left w:w="0" w:type="dxa"/>
          <w:bottom w:w="0" w:type="dxa"/>
          <w:right w:w="0" w:type="dxa"/>
        </w:tblCellMar>
        <w:tblLook w:val="01E0"/>
      </w:tblPr>
      <w:tblGrid>
        <w:gridCol w:w="1527"/>
        <w:gridCol w:w="1844"/>
        <w:gridCol w:w="991"/>
        <w:gridCol w:w="1277"/>
        <w:gridCol w:w="1385"/>
        <w:gridCol w:w="1705"/>
      </w:tblGrid>
      <w:tr>
        <w:trPr>
          <w:trHeight w:val="34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15" w:right="0"/>
              <w:jc w:val="left"/>
              <w:rPr>
                <w:rFonts w:ascii="宋体" w:hAnsi="宋体" w:cs="宋体" w:eastAsia="宋体" w:hint="default"/>
                <w:sz w:val="20"/>
                <w:szCs w:val="20"/>
              </w:rPr>
            </w:pPr>
            <w:r>
              <w:rPr>
                <w:rFonts w:ascii="宋体" w:hAnsi="宋体" w:cs="宋体" w:eastAsia="宋体" w:hint="default"/>
                <w:b/>
                <w:bCs/>
                <w:sz w:val="20"/>
                <w:szCs w:val="20"/>
              </w:rPr>
              <w:t>一年以内</w:t>
            </w:r>
            <w:r>
              <w:rPr>
                <w:rFonts w:ascii="宋体" w:hAnsi="宋体" w:cs="宋体" w:eastAsia="宋体" w:hint="default"/>
                <w:sz w:val="20"/>
                <w:szCs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88" w:right="0"/>
              <w:jc w:val="left"/>
              <w:rPr>
                <w:rFonts w:ascii="宋体" w:hAnsi="宋体" w:cs="宋体" w:eastAsia="宋体" w:hint="default"/>
                <w:sz w:val="20"/>
                <w:szCs w:val="20"/>
              </w:rPr>
            </w:pPr>
            <w:r>
              <w:rPr>
                <w:rFonts w:ascii="宋体" w:hAnsi="宋体" w:cs="宋体" w:eastAsia="宋体" w:hint="default"/>
                <w:b/>
                <w:bCs/>
                <w:sz w:val="20"/>
                <w:szCs w:val="20"/>
              </w:rPr>
              <w:t>一到二年</w:t>
            </w:r>
            <w:r>
              <w:rPr>
                <w:rFonts w:ascii="宋体" w:hAnsi="宋体" w:cs="宋体" w:eastAsia="宋体" w:hint="default"/>
                <w:sz w:val="20"/>
                <w:szCs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32" w:right="0"/>
              <w:jc w:val="left"/>
              <w:rPr>
                <w:rFonts w:ascii="宋体" w:hAnsi="宋体" w:cs="宋体" w:eastAsia="宋体" w:hint="default"/>
                <w:sz w:val="20"/>
                <w:szCs w:val="20"/>
              </w:rPr>
            </w:pPr>
            <w:r>
              <w:rPr>
                <w:rFonts w:ascii="宋体" w:hAnsi="宋体" w:cs="宋体" w:eastAsia="宋体" w:hint="default"/>
                <w:b/>
                <w:bCs/>
                <w:sz w:val="20"/>
                <w:szCs w:val="20"/>
              </w:rPr>
              <w:t>二到五年</w:t>
            </w:r>
            <w:r>
              <w:rPr>
                <w:rFonts w:ascii="宋体" w:hAnsi="宋体" w:cs="宋体" w:eastAsia="宋体" w:hint="default"/>
                <w:sz w:val="20"/>
                <w:szCs w:val="20"/>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85" w:right="0"/>
              <w:jc w:val="left"/>
              <w:rPr>
                <w:rFonts w:ascii="宋体" w:hAnsi="宋体" w:cs="宋体" w:eastAsia="宋体" w:hint="default"/>
                <w:sz w:val="20"/>
                <w:szCs w:val="20"/>
              </w:rPr>
            </w:pPr>
            <w:r>
              <w:rPr>
                <w:rFonts w:ascii="宋体" w:hAnsi="宋体" w:cs="宋体" w:eastAsia="宋体" w:hint="default"/>
                <w:b/>
                <w:bCs/>
                <w:sz w:val="20"/>
                <w:szCs w:val="20"/>
              </w:rPr>
              <w:t>五年以上</w:t>
            </w:r>
            <w:r>
              <w:rPr>
                <w:rFonts w:ascii="宋体" w:hAnsi="宋体" w:cs="宋体" w:eastAsia="宋体" w:hint="default"/>
                <w:sz w:val="20"/>
                <w:szCs w:val="20"/>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r>
      <w:tr>
        <w:trPr>
          <w:trHeight w:val="34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b/>
                <w:bCs/>
                <w:sz w:val="20"/>
                <w:szCs w:val="20"/>
              </w:rPr>
              <w:t>金融资产</w:t>
            </w:r>
            <w:r>
              <w:rPr>
                <w:rFonts w:ascii="宋体" w:hAnsi="宋体" w:cs="宋体" w:eastAsia="宋体" w:hint="default"/>
                <w:sz w:val="20"/>
                <w:szCs w:val="20"/>
              </w:rPr>
            </w:r>
          </w:p>
        </w:tc>
        <w:tc>
          <w:tcPr>
            <w:tcW w:w="184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27"/>
        <w:gridCol w:w="1844"/>
        <w:gridCol w:w="991"/>
        <w:gridCol w:w="1277"/>
        <w:gridCol w:w="1385"/>
        <w:gridCol w:w="1705"/>
      </w:tblGrid>
      <w:tr>
        <w:trPr>
          <w:trHeight w:val="34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270,570,112.20</w:t>
            </w:r>
            <w:r>
              <w:rPr>
                <w:rFonts w:ascii="Times New Roman"/>
                <w:sz w:val="20"/>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
              <w:jc w:val="right"/>
              <w:rPr>
                <w:rFonts w:ascii="Times New Roman" w:hAnsi="Times New Roman" w:cs="Times New Roman" w:eastAsia="Times New Roman" w:hint="default"/>
                <w:sz w:val="20"/>
                <w:szCs w:val="20"/>
              </w:rPr>
            </w:pPr>
            <w:r>
              <w:rPr>
                <w:rFonts w:ascii="Times New Roman"/>
                <w:w w:val="95"/>
                <w:sz w:val="20"/>
              </w:rPr>
              <w:t>270,570,112.20</w:t>
            </w:r>
            <w:r>
              <w:rPr>
                <w:rFonts w:ascii="Times New Roman"/>
                <w:sz w:val="20"/>
              </w:rPr>
            </w:r>
          </w:p>
        </w:tc>
      </w:tr>
      <w:tr>
        <w:trPr>
          <w:trHeight w:val="34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232,274,740.18</w:t>
            </w:r>
            <w:r>
              <w:rPr>
                <w:rFonts w:ascii="Times New Roman"/>
                <w:sz w:val="20"/>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w w:val="95"/>
                <w:sz w:val="20"/>
              </w:rPr>
              <w:t>232,274,740.18</w:t>
            </w:r>
            <w:r>
              <w:rPr>
                <w:rFonts w:ascii="Times New Roman"/>
                <w:sz w:val="20"/>
              </w:rPr>
            </w:r>
          </w:p>
        </w:tc>
      </w:tr>
      <w:tr>
        <w:trPr>
          <w:trHeight w:val="34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54,240,757.80</w:t>
            </w:r>
            <w:r>
              <w:rPr>
                <w:rFonts w:ascii="Times New Roman"/>
                <w:sz w:val="20"/>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54,240,757.80</w:t>
            </w:r>
            <w:r>
              <w:rPr>
                <w:rFonts w:ascii="Times New Roman"/>
                <w:sz w:val="20"/>
              </w:rPr>
            </w:r>
          </w:p>
        </w:tc>
      </w:tr>
      <w:tr>
        <w:trPr>
          <w:trHeight w:val="34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宋体" w:hAnsi="宋体" w:cs="宋体" w:eastAsia="宋体" w:hint="default"/>
                <w:b/>
                <w:bCs/>
                <w:sz w:val="20"/>
                <w:szCs w:val="20"/>
              </w:rPr>
              <w:t>金融负债</w:t>
            </w:r>
            <w:r>
              <w:rPr>
                <w:rFonts w:ascii="宋体" w:hAnsi="宋体" w:cs="宋体" w:eastAsia="宋体" w:hint="default"/>
                <w:sz w:val="20"/>
                <w:szCs w:val="20"/>
              </w:rPr>
            </w:r>
          </w:p>
        </w:tc>
        <w:tc>
          <w:tcPr>
            <w:tcW w:w="184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215,887,305.31</w:t>
            </w:r>
            <w:r>
              <w:rPr>
                <w:rFonts w:ascii="Times New Roman"/>
                <w:sz w:val="20"/>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
              <w:jc w:val="right"/>
              <w:rPr>
                <w:rFonts w:ascii="Times New Roman" w:hAnsi="Times New Roman" w:cs="Times New Roman" w:eastAsia="Times New Roman" w:hint="default"/>
                <w:sz w:val="20"/>
                <w:szCs w:val="20"/>
              </w:rPr>
            </w:pPr>
            <w:r>
              <w:rPr>
                <w:rFonts w:ascii="Times New Roman"/>
                <w:w w:val="95"/>
                <w:sz w:val="20"/>
              </w:rPr>
              <w:t>215,887,305.31</w:t>
            </w:r>
            <w:r>
              <w:rPr>
                <w:rFonts w:ascii="Times New Roman"/>
                <w:sz w:val="20"/>
              </w:rPr>
            </w:r>
          </w:p>
        </w:tc>
      </w:tr>
      <w:tr>
        <w:trPr>
          <w:trHeight w:val="34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155,851,627.92</w:t>
            </w:r>
            <w:r>
              <w:rPr>
                <w:rFonts w:ascii="Times New Roman"/>
                <w:sz w:val="20"/>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w w:val="95"/>
                <w:sz w:val="20"/>
              </w:rPr>
              <w:t>155,851,627.92</w:t>
            </w:r>
            <w:r>
              <w:rPr>
                <w:rFonts w:ascii="Times New Roman"/>
                <w:sz w:val="20"/>
              </w:rPr>
            </w:r>
          </w:p>
        </w:tc>
      </w:tr>
      <w:tr>
        <w:trPr>
          <w:trHeight w:val="34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129,003,601.03</w:t>
            </w:r>
            <w:r>
              <w:rPr>
                <w:rFonts w:ascii="Times New Roman"/>
                <w:sz w:val="20"/>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
              <w:jc w:val="right"/>
              <w:rPr>
                <w:rFonts w:ascii="Times New Roman" w:hAnsi="Times New Roman" w:cs="Times New Roman" w:eastAsia="Times New Roman" w:hint="default"/>
                <w:sz w:val="20"/>
                <w:szCs w:val="20"/>
              </w:rPr>
            </w:pPr>
            <w:r>
              <w:rPr>
                <w:rFonts w:ascii="Times New Roman"/>
                <w:w w:val="95"/>
                <w:sz w:val="20"/>
              </w:rPr>
              <w:t>129,003,601.03</w:t>
            </w:r>
            <w:r>
              <w:rPr>
                <w:rFonts w:ascii="Times New Roman"/>
                <w:sz w:val="20"/>
              </w:rPr>
            </w:r>
          </w:p>
        </w:tc>
      </w:tr>
      <w:tr>
        <w:trPr>
          <w:trHeight w:val="34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4,028,354.36</w:t>
            </w:r>
            <w:r>
              <w:rPr>
                <w:rFonts w:ascii="Times New Roman"/>
                <w:sz w:val="20"/>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4,028,354.36</w:t>
            </w:r>
            <w:r>
              <w:rPr>
                <w:rFonts w:ascii="Times New Roman"/>
                <w:sz w:val="20"/>
              </w:rPr>
            </w:r>
          </w:p>
        </w:tc>
      </w:tr>
    </w:tbl>
    <w:p>
      <w:pPr>
        <w:spacing w:line="240" w:lineRule="auto" w:before="2"/>
        <w:rPr>
          <w:rFonts w:ascii="宋体" w:hAnsi="宋体" w:cs="宋体" w:eastAsia="宋体" w:hint="default"/>
          <w:sz w:val="14"/>
          <w:szCs w:val="14"/>
        </w:rPr>
      </w:pPr>
    </w:p>
    <w:p>
      <w:pPr>
        <w:pStyle w:val="BodyText"/>
        <w:spacing w:line="340" w:lineRule="auto" w:before="32"/>
        <w:ind w:left="592" w:right="996" w:hanging="84"/>
        <w:jc w:val="left"/>
      </w:pPr>
      <w:r>
        <w:rPr>
          <w:rFonts w:ascii="Times New Roman" w:hAnsi="Times New Roman" w:cs="Times New Roman" w:eastAsia="Times New Roman" w:hint="default"/>
        </w:rPr>
        <w:t>2.</w:t>
      </w:r>
      <w:r>
        <w:rPr/>
        <w:t>敏感性分析</w:t>
      </w:r>
      <w:r>
        <w:rPr>
          <w:w w:val="100"/>
        </w:rPr>
        <w:t> </w:t>
      </w:r>
      <w:r>
        <w:rPr>
          <w:spacing w:val="-2"/>
        </w:rPr>
        <w:t>本公司采用敏感性分析技术分析风险变量的合理、可能变化对当期损益或股东权益可能产生的影</w:t>
      </w:r>
    </w:p>
    <w:p>
      <w:pPr>
        <w:pStyle w:val="BodyText"/>
        <w:spacing w:line="220" w:lineRule="exact"/>
        <w:ind w:right="996"/>
        <w:jc w:val="left"/>
      </w:pPr>
      <w:r>
        <w:rPr/>
        <w:t>响。由于任何风险变量很少孤立的发生变化，而变量之间存在的相关性对某一风险变量变化的最终影</w:t>
      </w:r>
    </w:p>
    <w:p>
      <w:pPr>
        <w:pStyle w:val="BodyText"/>
        <w:spacing w:line="240" w:lineRule="auto" w:before="24"/>
        <w:ind w:right="996"/>
        <w:jc w:val="left"/>
      </w:pPr>
      <w:r>
        <w:rPr/>
        <w:t>响金额将产生重大作用，因此下述内容是在假设每一变量的变化是独立的情况下进行的。</w:t>
      </w:r>
    </w:p>
    <w:p>
      <w:pPr>
        <w:spacing w:line="240" w:lineRule="auto" w:before="2"/>
        <w:rPr>
          <w:rFonts w:ascii="宋体" w:hAnsi="宋体" w:cs="宋体" w:eastAsia="宋体" w:hint="default"/>
          <w:sz w:val="20"/>
          <w:szCs w:val="20"/>
        </w:rPr>
      </w:pPr>
    </w:p>
    <w:p>
      <w:pPr>
        <w:pStyle w:val="BodyText"/>
        <w:spacing w:line="350" w:lineRule="auto"/>
        <w:ind w:left="592" w:right="996" w:hanging="84"/>
        <w:jc w:val="left"/>
      </w:pPr>
      <w:r>
        <w:rPr>
          <w:rFonts w:ascii="Times New Roman" w:hAnsi="Times New Roman" w:cs="Times New Roman" w:eastAsia="Times New Roman" w:hint="default"/>
        </w:rPr>
        <w:t>(1)</w:t>
      </w:r>
      <w:r>
        <w:rPr/>
        <w:t>外汇风险敏感性分析</w:t>
      </w:r>
      <w:r>
        <w:rPr>
          <w:w w:val="100"/>
        </w:rPr>
        <w:t> </w:t>
      </w:r>
      <w:r>
        <w:rPr/>
        <w:t>外汇风险敏感性分析假设：所有境外经营净投资套期及现金流量套期均高度有效。</w:t>
      </w:r>
      <w:r>
        <w:rPr>
          <w:w w:val="100"/>
        </w:rPr>
        <w:t> </w:t>
      </w:r>
      <w:r>
        <w:rPr>
          <w:spacing w:val="-2"/>
        </w:rPr>
        <w:t>在上述假设的基础上，在其它变量不变的情况下，汇率可能发生的合理变动对当期损益和权益的</w:t>
      </w:r>
    </w:p>
    <w:p>
      <w:pPr>
        <w:pStyle w:val="BodyText"/>
        <w:spacing w:line="211" w:lineRule="exact"/>
        <w:ind w:right="996"/>
        <w:jc w:val="left"/>
      </w:pPr>
      <w:r>
        <w:rPr/>
        <w:t>税后影响如下：</w:t>
      </w:r>
    </w:p>
    <w:p>
      <w:pPr>
        <w:spacing w:line="240" w:lineRule="auto" w:before="5"/>
        <w:rPr>
          <w:rFonts w:ascii="宋体" w:hAnsi="宋体" w:cs="宋体" w:eastAsia="宋体"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648"/>
        <w:gridCol w:w="1714"/>
        <w:gridCol w:w="1621"/>
        <w:gridCol w:w="1433"/>
        <w:gridCol w:w="1663"/>
        <w:gridCol w:w="1647"/>
      </w:tblGrid>
      <w:tr>
        <w:trPr>
          <w:trHeight w:val="341" w:hRule="exact"/>
        </w:trPr>
        <w:tc>
          <w:tcPr>
            <w:tcW w:w="648" w:type="dxa"/>
            <w:vMerge w:val="restart"/>
            <w:tcBorders>
              <w:top w:val="single" w:sz="4" w:space="0" w:color="000000"/>
              <w:left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b/>
                <w:bCs/>
                <w:sz w:val="20"/>
                <w:szCs w:val="20"/>
              </w:rPr>
              <w:t>項目</w:t>
            </w:r>
            <w:r>
              <w:rPr>
                <w:rFonts w:ascii="宋体" w:hAnsi="宋体" w:cs="宋体" w:eastAsia="宋体" w:hint="default"/>
                <w:sz w:val="20"/>
                <w:szCs w:val="20"/>
              </w:rPr>
            </w:r>
          </w:p>
        </w:tc>
        <w:tc>
          <w:tcPr>
            <w:tcW w:w="1714" w:type="dxa"/>
            <w:vMerge w:val="restart"/>
            <w:tcBorders>
              <w:top w:val="single" w:sz="4" w:space="0" w:color="000000"/>
              <w:left w:val="single" w:sz="4" w:space="0" w:color="000000"/>
              <w:right w:val="single" w:sz="4" w:space="0" w:color="000000"/>
            </w:tcBorders>
          </w:tcPr>
          <w:p>
            <w:pPr>
              <w:pStyle w:val="TableParagraph"/>
              <w:spacing w:line="240" w:lineRule="auto" w:before="1"/>
              <w:ind w:left="451" w:right="0"/>
              <w:jc w:val="left"/>
              <w:rPr>
                <w:rFonts w:ascii="宋体" w:hAnsi="宋体" w:cs="宋体" w:eastAsia="宋体" w:hint="default"/>
                <w:sz w:val="20"/>
                <w:szCs w:val="20"/>
              </w:rPr>
            </w:pPr>
            <w:r>
              <w:rPr>
                <w:rFonts w:ascii="宋体" w:hAnsi="宋体" w:cs="宋体" w:eastAsia="宋体" w:hint="default"/>
                <w:b/>
                <w:bCs/>
                <w:sz w:val="20"/>
                <w:szCs w:val="20"/>
              </w:rPr>
              <w:t>汇率变动</w:t>
            </w:r>
            <w:r>
              <w:rPr>
                <w:rFonts w:ascii="宋体" w:hAnsi="宋体" w:cs="宋体" w:eastAsia="宋体" w:hint="default"/>
                <w:sz w:val="20"/>
                <w:szCs w:val="20"/>
              </w:rPr>
            </w:r>
          </w:p>
        </w:tc>
        <w:tc>
          <w:tcPr>
            <w:tcW w:w="30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 w:right="0"/>
              <w:jc w:val="center"/>
              <w:rPr>
                <w:rFonts w:ascii="宋体" w:hAnsi="宋体" w:cs="宋体" w:eastAsia="宋体" w:hint="default"/>
                <w:sz w:val="20"/>
                <w:szCs w:val="20"/>
              </w:rPr>
            </w:pPr>
            <w:r>
              <w:rPr>
                <w:rFonts w:ascii="Times New Roman" w:hAnsi="Times New Roman" w:cs="Times New Roman" w:eastAsia="Times New Roman" w:hint="default"/>
                <w:b/>
                <w:bCs/>
                <w:sz w:val="20"/>
                <w:szCs w:val="20"/>
              </w:rPr>
              <w:t>2019</w:t>
            </w:r>
            <w:r>
              <w:rPr>
                <w:rFonts w:ascii="宋体" w:hAnsi="宋体" w:cs="宋体" w:eastAsia="宋体" w:hint="default"/>
                <w:b/>
                <w:bCs/>
                <w:sz w:val="20"/>
                <w:szCs w:val="20"/>
              </w:rPr>
              <w:t>年度</w:t>
            </w:r>
            <w:r>
              <w:rPr>
                <w:rFonts w:ascii="宋体" w:hAnsi="宋体" w:cs="宋体" w:eastAsia="宋体" w:hint="default"/>
                <w:sz w:val="20"/>
                <w:szCs w:val="20"/>
              </w:rPr>
            </w:r>
          </w:p>
        </w:tc>
        <w:tc>
          <w:tcPr>
            <w:tcW w:w="33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Times New Roman" w:hAnsi="Times New Roman" w:cs="Times New Roman" w:eastAsia="Times New Roman" w:hint="default"/>
                <w:b/>
                <w:bCs/>
                <w:sz w:val="20"/>
                <w:szCs w:val="20"/>
              </w:rPr>
              <w:t>2018</w:t>
            </w:r>
            <w:r>
              <w:rPr>
                <w:rFonts w:ascii="宋体" w:hAnsi="宋体" w:cs="宋体" w:eastAsia="宋体" w:hint="default"/>
                <w:b/>
                <w:bCs/>
                <w:sz w:val="20"/>
                <w:szCs w:val="20"/>
              </w:rPr>
              <w:t>年度</w:t>
            </w:r>
            <w:r>
              <w:rPr>
                <w:rFonts w:ascii="宋体" w:hAnsi="宋体" w:cs="宋体" w:eastAsia="宋体" w:hint="default"/>
                <w:sz w:val="20"/>
                <w:szCs w:val="20"/>
              </w:rPr>
            </w:r>
          </w:p>
        </w:tc>
      </w:tr>
      <w:tr>
        <w:trPr>
          <w:trHeight w:val="655" w:hRule="exact"/>
        </w:trPr>
        <w:tc>
          <w:tcPr>
            <w:tcW w:w="648" w:type="dxa"/>
            <w:vMerge/>
            <w:tcBorders>
              <w:left w:val="single" w:sz="4" w:space="0" w:color="000000"/>
              <w:bottom w:val="single" w:sz="4" w:space="0" w:color="000000"/>
              <w:right w:val="single" w:sz="4" w:space="0" w:color="000000"/>
            </w:tcBorders>
          </w:tcPr>
          <w:p>
            <w:pPr/>
          </w:p>
        </w:tc>
        <w:tc>
          <w:tcPr>
            <w:tcW w:w="1714" w:type="dxa"/>
            <w:vMerge/>
            <w:tcBorders>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0" w:right="0"/>
              <w:jc w:val="left"/>
              <w:rPr>
                <w:rFonts w:ascii="宋体" w:hAnsi="宋体" w:cs="宋体" w:eastAsia="宋体" w:hint="default"/>
                <w:sz w:val="20"/>
                <w:szCs w:val="20"/>
              </w:rPr>
            </w:pPr>
            <w:r>
              <w:rPr>
                <w:rFonts w:ascii="宋体" w:hAnsi="宋体" w:cs="宋体" w:eastAsia="宋体" w:hint="default"/>
                <w:b/>
                <w:bCs/>
                <w:sz w:val="20"/>
                <w:szCs w:val="20"/>
              </w:rPr>
              <w:t>对净利润的影响</w:t>
            </w:r>
            <w:r>
              <w:rPr>
                <w:rFonts w:ascii="宋体" w:hAnsi="宋体" w:cs="宋体" w:eastAsia="宋体" w:hint="default"/>
                <w:sz w:val="20"/>
                <w:szCs w:val="20"/>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
              <w:ind w:left="612" w:right="6" w:hanging="603"/>
              <w:jc w:val="left"/>
              <w:rPr>
                <w:rFonts w:ascii="宋体" w:hAnsi="宋体" w:cs="宋体" w:eastAsia="宋体" w:hint="default"/>
                <w:sz w:val="20"/>
                <w:szCs w:val="20"/>
              </w:rPr>
            </w:pPr>
            <w:r>
              <w:rPr>
                <w:rFonts w:ascii="宋体" w:hAnsi="宋体" w:cs="宋体" w:eastAsia="宋体" w:hint="default"/>
                <w:b/>
                <w:bCs/>
                <w:sz w:val="20"/>
                <w:szCs w:val="20"/>
              </w:rPr>
              <w:t>对股东权益的影</w:t>
            </w:r>
            <w:r>
              <w:rPr>
                <w:rFonts w:ascii="宋体" w:hAnsi="宋体" w:cs="宋体" w:eastAsia="宋体" w:hint="default"/>
                <w:b/>
                <w:bCs/>
                <w:w w:val="99"/>
                <w:sz w:val="20"/>
                <w:szCs w:val="20"/>
              </w:rPr>
              <w:t> </w:t>
            </w:r>
            <w:r>
              <w:rPr>
                <w:rFonts w:ascii="宋体" w:hAnsi="宋体" w:cs="宋体" w:eastAsia="宋体" w:hint="default"/>
                <w:b/>
                <w:bCs/>
                <w:sz w:val="20"/>
                <w:szCs w:val="20"/>
              </w:rPr>
              <w:t>响</w:t>
            </w:r>
            <w:r>
              <w:rPr>
                <w:rFonts w:ascii="宋体" w:hAnsi="宋体" w:cs="宋体" w:eastAsia="宋体" w:hint="default"/>
                <w:sz w:val="20"/>
                <w:szCs w:val="20"/>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22" w:right="0"/>
              <w:jc w:val="left"/>
              <w:rPr>
                <w:rFonts w:ascii="宋体" w:hAnsi="宋体" w:cs="宋体" w:eastAsia="宋体" w:hint="default"/>
                <w:sz w:val="20"/>
                <w:szCs w:val="20"/>
              </w:rPr>
            </w:pPr>
            <w:r>
              <w:rPr>
                <w:rFonts w:ascii="宋体" w:hAnsi="宋体" w:cs="宋体" w:eastAsia="宋体" w:hint="default"/>
                <w:b/>
                <w:bCs/>
                <w:sz w:val="20"/>
                <w:szCs w:val="20"/>
              </w:rPr>
              <w:t>对净利润的影响</w:t>
            </w:r>
            <w:r>
              <w:rPr>
                <w:rFonts w:ascii="宋体" w:hAnsi="宋体" w:cs="宋体" w:eastAsia="宋体" w:hint="default"/>
                <w:sz w:val="20"/>
                <w:szCs w:val="20"/>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4"/>
              <w:jc w:val="right"/>
              <w:rPr>
                <w:rFonts w:ascii="宋体" w:hAnsi="宋体" w:cs="宋体" w:eastAsia="宋体" w:hint="default"/>
                <w:sz w:val="20"/>
                <w:szCs w:val="20"/>
              </w:rPr>
            </w:pPr>
            <w:r>
              <w:rPr>
                <w:rFonts w:ascii="宋体" w:hAnsi="宋体" w:cs="宋体" w:eastAsia="宋体" w:hint="default"/>
                <w:b/>
                <w:bCs/>
                <w:w w:val="95"/>
                <w:sz w:val="20"/>
                <w:szCs w:val="20"/>
              </w:rPr>
              <w:t>对股东权益的影响</w:t>
            </w:r>
            <w:r>
              <w:rPr>
                <w:rFonts w:ascii="宋体" w:hAnsi="宋体" w:cs="宋体" w:eastAsia="宋体" w:hint="default"/>
                <w:sz w:val="20"/>
                <w:szCs w:val="20"/>
              </w:rPr>
            </w:r>
          </w:p>
        </w:tc>
      </w:tr>
      <w:tr>
        <w:trPr>
          <w:trHeight w:val="341"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 w:right="0"/>
              <w:jc w:val="left"/>
              <w:rPr>
                <w:rFonts w:ascii="宋体" w:hAnsi="宋体" w:cs="宋体" w:eastAsia="宋体" w:hint="default"/>
                <w:sz w:val="20"/>
                <w:szCs w:val="20"/>
              </w:rPr>
            </w:pPr>
            <w:r>
              <w:rPr>
                <w:rFonts w:ascii="宋体" w:hAnsi="宋体" w:cs="宋体" w:eastAsia="宋体" w:hint="default"/>
                <w:sz w:val="20"/>
                <w:szCs w:val="20"/>
              </w:rPr>
              <w:t>美元</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对人民币升值</w:t>
            </w:r>
            <w:r>
              <w:rPr>
                <w:rFonts w:ascii="Times New Roman" w:hAnsi="Times New Roman" w:cs="Times New Roman" w:eastAsia="Times New Roman" w:hint="default"/>
                <w:sz w:val="20"/>
                <w:szCs w:val="20"/>
              </w:rPr>
              <w:t>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w w:val="95"/>
                <w:sz w:val="20"/>
              </w:rPr>
              <w:t>128,476.46</w:t>
            </w:r>
            <w:r>
              <w:rPr>
                <w:rFonts w:ascii="Times New Roman"/>
                <w:sz w:val="20"/>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w w:val="95"/>
                <w:sz w:val="20"/>
              </w:rPr>
              <w:t>128,476.46</w:t>
            </w:r>
            <w:r>
              <w:rPr>
                <w:rFonts w:ascii="Times New Roman"/>
                <w:sz w:val="20"/>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w w:val="95"/>
                <w:sz w:val="20"/>
              </w:rPr>
              <w:t>113,991.50</w:t>
            </w:r>
            <w:r>
              <w:rPr>
                <w:rFonts w:ascii="Times New Roman"/>
                <w:sz w:val="20"/>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w w:val="95"/>
                <w:sz w:val="20"/>
              </w:rPr>
              <w:t>113,991.50</w:t>
            </w:r>
            <w:r>
              <w:rPr>
                <w:rFonts w:ascii="Times New Roman"/>
                <w:sz w:val="20"/>
              </w:rPr>
            </w:r>
          </w:p>
        </w:tc>
      </w:tr>
      <w:tr>
        <w:trPr>
          <w:trHeight w:val="343"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美元</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对人民币贬值</w:t>
            </w:r>
            <w:r>
              <w:rPr>
                <w:rFonts w:ascii="Times New Roman" w:hAnsi="Times New Roman" w:cs="Times New Roman" w:eastAsia="Times New Roman" w:hint="default"/>
                <w:sz w:val="20"/>
                <w:szCs w:val="20"/>
              </w:rPr>
              <w:t>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-128,476.46</w:t>
            </w:r>
            <w:r>
              <w:rPr>
                <w:rFonts w:ascii="Times New Roman"/>
                <w:sz w:val="20"/>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-128,476.46</w:t>
            </w:r>
            <w:r>
              <w:rPr>
                <w:rFonts w:ascii="Times New Roman"/>
                <w:sz w:val="20"/>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-113,991.50</w:t>
            </w:r>
            <w:r>
              <w:rPr>
                <w:rFonts w:ascii="Times New Roman"/>
                <w:sz w:val="20"/>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-113,991.50</w:t>
            </w:r>
            <w:r>
              <w:rPr>
                <w:rFonts w:ascii="Times New Roman"/>
                <w:sz w:val="20"/>
              </w:rPr>
            </w:r>
          </w:p>
        </w:tc>
      </w:tr>
      <w:tr>
        <w:trPr>
          <w:trHeight w:val="341"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港币</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对人民币升值</w:t>
            </w:r>
            <w:r>
              <w:rPr>
                <w:rFonts w:ascii="Times New Roman" w:hAnsi="Times New Roman" w:cs="Times New Roman" w:eastAsia="Times New Roman" w:hint="default"/>
                <w:sz w:val="20"/>
                <w:szCs w:val="20"/>
              </w:rPr>
              <w:t>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w w:val="95"/>
                <w:sz w:val="20"/>
              </w:rPr>
              <w:t>8,410.54</w:t>
            </w:r>
            <w:r>
              <w:rPr>
                <w:rFonts w:ascii="Times New Roman"/>
                <w:sz w:val="20"/>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8,410.54</w:t>
            </w:r>
            <w:r>
              <w:rPr>
                <w:rFonts w:ascii="Times New Roman"/>
                <w:sz w:val="20"/>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w w:val="95"/>
                <w:sz w:val="20"/>
              </w:rPr>
              <w:t>937.75</w:t>
            </w:r>
            <w:r>
              <w:rPr>
                <w:rFonts w:ascii="Times New Roman"/>
                <w:sz w:val="20"/>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w w:val="95"/>
                <w:sz w:val="20"/>
              </w:rPr>
              <w:t>937.75</w:t>
            </w:r>
            <w:r>
              <w:rPr>
                <w:rFonts w:ascii="Times New Roman"/>
                <w:sz w:val="20"/>
              </w:rPr>
            </w:r>
          </w:p>
        </w:tc>
      </w:tr>
      <w:tr>
        <w:trPr>
          <w:trHeight w:val="343"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港币</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对人民币贬值</w:t>
            </w:r>
            <w:r>
              <w:rPr>
                <w:rFonts w:ascii="Times New Roman" w:hAnsi="Times New Roman" w:cs="Times New Roman" w:eastAsia="Times New Roman" w:hint="default"/>
                <w:sz w:val="20"/>
                <w:szCs w:val="20"/>
              </w:rPr>
              <w:t>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w w:val="95"/>
                <w:sz w:val="20"/>
              </w:rPr>
              <w:t>-8,410.54</w:t>
            </w:r>
            <w:r>
              <w:rPr>
                <w:rFonts w:ascii="Times New Roman"/>
                <w:sz w:val="20"/>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-8,410.54</w:t>
            </w:r>
            <w:r>
              <w:rPr>
                <w:rFonts w:ascii="Times New Roman"/>
                <w:sz w:val="20"/>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w w:val="95"/>
                <w:sz w:val="20"/>
              </w:rPr>
              <w:t>-937.75</w:t>
            </w:r>
            <w:r>
              <w:rPr>
                <w:rFonts w:ascii="Times New Roman"/>
                <w:sz w:val="20"/>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w w:val="95"/>
                <w:sz w:val="20"/>
              </w:rPr>
              <w:t>-937.75</w:t>
            </w:r>
            <w:r>
              <w:rPr>
                <w:rFonts w:ascii="Times New Roman"/>
                <w:sz w:val="20"/>
              </w:rPr>
            </w:r>
          </w:p>
        </w:tc>
      </w:tr>
    </w:tbl>
    <w:p>
      <w:pPr>
        <w:spacing w:line="240" w:lineRule="auto" w:before="2"/>
        <w:rPr>
          <w:rFonts w:ascii="宋体" w:hAnsi="宋体" w:cs="宋体" w:eastAsia="宋体" w:hint="default"/>
          <w:sz w:val="14"/>
          <w:szCs w:val="14"/>
        </w:rPr>
      </w:pPr>
    </w:p>
    <w:p>
      <w:pPr>
        <w:pStyle w:val="BodyText"/>
        <w:spacing w:line="340" w:lineRule="auto" w:before="32"/>
        <w:ind w:left="592" w:right="6810" w:hanging="84"/>
        <w:jc w:val="left"/>
      </w:pPr>
      <w:r>
        <w:rPr>
          <w:rFonts w:ascii="Times New Roman" w:hAnsi="Times New Roman" w:cs="Times New Roman" w:eastAsia="Times New Roman" w:hint="default"/>
        </w:rPr>
        <w:t>(2)</w:t>
      </w:r>
      <w:r>
        <w:rPr/>
        <w:t>利率敏感性分析</w:t>
      </w:r>
      <w:r>
        <w:rPr>
          <w:w w:val="100"/>
        </w:rPr>
        <w:t> </w:t>
      </w:r>
      <w:r>
        <w:rPr>
          <w:spacing w:val="-1"/>
        </w:rPr>
        <w:t>利率风险敏感性分析基于下述假设：</w:t>
      </w:r>
    </w:p>
    <w:p>
      <w:pPr>
        <w:pStyle w:val="BodyText"/>
        <w:spacing w:line="360" w:lineRule="auto" w:before="51"/>
        <w:ind w:left="592" w:right="996"/>
        <w:jc w:val="left"/>
      </w:pPr>
      <w:r>
        <w:rPr/>
        <w:t>市场利率变化影响可变利率金融工具的利息收入或费用；</w:t>
      </w:r>
      <w:r>
        <w:rPr>
          <w:w w:val="100"/>
        </w:rPr>
        <w:t> </w:t>
      </w:r>
      <w:r>
        <w:rPr/>
        <w:t>对于以公允价值计量的固定利率金融工具，市场利率变化仅仅影响其利息收入或费用；</w:t>
      </w:r>
    </w:p>
    <w:p>
      <w:pPr>
        <w:pStyle w:val="BodyText"/>
        <w:spacing w:line="261" w:lineRule="auto" w:before="34"/>
        <w:ind w:right="996" w:firstLine="439"/>
        <w:jc w:val="left"/>
      </w:pPr>
      <w:r>
        <w:rPr>
          <w:spacing w:val="2"/>
        </w:rPr>
        <w:t>以资产负债表日市场利率采用现金流量折现法计算衍生金融工具及其它金融资产和负债的公允</w:t>
      </w:r>
      <w:r>
        <w:rPr>
          <w:w w:val="100"/>
        </w:rPr>
        <w:t> </w:t>
      </w:r>
      <w:r>
        <w:rPr/>
        <w:t>价值变化。</w:t>
      </w:r>
    </w:p>
    <w:p>
      <w:pPr>
        <w:pStyle w:val="BodyText"/>
        <w:spacing w:line="259" w:lineRule="auto" w:before="124"/>
        <w:ind w:right="996" w:firstLine="439"/>
        <w:jc w:val="left"/>
      </w:pPr>
      <w:r>
        <w:rPr>
          <w:spacing w:val="-2"/>
        </w:rPr>
        <w:t>在上述假设的基础上，在其它变量不变的情况下，利率可能发生的合理变动对当期损益和权益的</w:t>
      </w:r>
      <w:r>
        <w:rPr>
          <w:w w:val="100"/>
        </w:rPr>
        <w:t> </w:t>
      </w:r>
      <w:r>
        <w:rPr/>
        <w:t>税后影响如下：</w:t>
      </w:r>
    </w:p>
    <w:p>
      <w:pPr>
        <w:spacing w:line="240" w:lineRule="auto" w:before="7"/>
        <w:rPr>
          <w:rFonts w:ascii="宋体" w:hAnsi="宋体" w:cs="宋体" w:eastAsia="宋体" w:hint="default"/>
          <w:sz w:val="20"/>
          <w:szCs w:val="20"/>
        </w:rPr>
      </w:pPr>
    </w:p>
    <w:tbl>
      <w:tblPr>
        <w:tblW w:w="0" w:type="auto"/>
        <w:jc w:val="left"/>
        <w:tblInd w:w="148" w:type="dxa"/>
        <w:tblLayout w:type="fixed"/>
        <w:tblCellMar>
          <w:top w:w="0" w:type="dxa"/>
          <w:left w:w="0" w:type="dxa"/>
          <w:bottom w:w="0" w:type="dxa"/>
          <w:right w:w="0" w:type="dxa"/>
        </w:tblCellMar>
        <w:tblLook w:val="01E0"/>
      </w:tblPr>
      <w:tblGrid>
        <w:gridCol w:w="1380"/>
        <w:gridCol w:w="1135"/>
        <w:gridCol w:w="1558"/>
        <w:gridCol w:w="1712"/>
        <w:gridCol w:w="1440"/>
        <w:gridCol w:w="1313"/>
      </w:tblGrid>
      <w:tr>
        <w:trPr>
          <w:trHeight w:val="341" w:hRule="exact"/>
        </w:trPr>
        <w:tc>
          <w:tcPr>
            <w:tcW w:w="1380" w:type="dxa"/>
            <w:vMerge w:val="restart"/>
            <w:tcBorders>
              <w:top w:val="single" w:sz="4" w:space="0" w:color="000000"/>
              <w:left w:val="single" w:sz="4" w:space="0" w:color="000000"/>
              <w:right w:val="single" w:sz="4" w:space="0" w:color="000000"/>
            </w:tcBorders>
          </w:tcPr>
          <w:p>
            <w:pPr>
              <w:pStyle w:val="TableParagraph"/>
              <w:spacing w:line="240" w:lineRule="auto" w:before="1"/>
              <w:ind w:left="7"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1"/>
              <w:ind w:left="160" w:right="0"/>
              <w:jc w:val="left"/>
              <w:rPr>
                <w:rFonts w:ascii="宋体" w:hAnsi="宋体" w:cs="宋体" w:eastAsia="宋体" w:hint="default"/>
                <w:sz w:val="20"/>
                <w:szCs w:val="20"/>
              </w:rPr>
            </w:pPr>
            <w:r>
              <w:rPr>
                <w:rFonts w:ascii="宋体" w:hAnsi="宋体" w:cs="宋体" w:eastAsia="宋体" w:hint="default"/>
                <w:b/>
                <w:bCs/>
                <w:sz w:val="20"/>
                <w:szCs w:val="20"/>
              </w:rPr>
              <w:t>利率变动</w:t>
            </w:r>
            <w:r>
              <w:rPr>
                <w:rFonts w:ascii="宋体" w:hAnsi="宋体" w:cs="宋体" w:eastAsia="宋体" w:hint="default"/>
                <w:sz w:val="20"/>
                <w:szCs w:val="20"/>
              </w:rPr>
            </w:r>
          </w:p>
        </w:tc>
        <w:tc>
          <w:tcPr>
            <w:tcW w:w="32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 w:right="0"/>
              <w:jc w:val="center"/>
              <w:rPr>
                <w:rFonts w:ascii="宋体" w:hAnsi="宋体" w:cs="宋体" w:eastAsia="宋体" w:hint="default"/>
                <w:sz w:val="20"/>
                <w:szCs w:val="20"/>
              </w:rPr>
            </w:pPr>
            <w:r>
              <w:rPr>
                <w:rFonts w:ascii="Times New Roman" w:hAnsi="Times New Roman" w:cs="Times New Roman" w:eastAsia="Times New Roman" w:hint="default"/>
                <w:b/>
                <w:bCs/>
                <w:sz w:val="20"/>
                <w:szCs w:val="20"/>
              </w:rPr>
              <w:t>2019</w:t>
            </w:r>
            <w:r>
              <w:rPr>
                <w:rFonts w:ascii="宋体" w:hAnsi="宋体" w:cs="宋体" w:eastAsia="宋体" w:hint="default"/>
                <w:b/>
                <w:bCs/>
                <w:sz w:val="20"/>
                <w:szCs w:val="20"/>
              </w:rPr>
              <w:t>年度</w:t>
            </w:r>
            <w:r>
              <w:rPr>
                <w:rFonts w:ascii="宋体" w:hAnsi="宋体" w:cs="宋体" w:eastAsia="宋体" w:hint="default"/>
                <w:sz w:val="20"/>
                <w:szCs w:val="20"/>
              </w:rPr>
            </w:r>
          </w:p>
        </w:tc>
        <w:tc>
          <w:tcPr>
            <w:tcW w:w="27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center"/>
              <w:rPr>
                <w:rFonts w:ascii="宋体" w:hAnsi="宋体" w:cs="宋体" w:eastAsia="宋体" w:hint="default"/>
                <w:sz w:val="20"/>
                <w:szCs w:val="20"/>
              </w:rPr>
            </w:pPr>
            <w:r>
              <w:rPr>
                <w:rFonts w:ascii="Times New Roman" w:hAnsi="Times New Roman" w:cs="Times New Roman" w:eastAsia="Times New Roman" w:hint="default"/>
                <w:b/>
                <w:bCs/>
                <w:sz w:val="20"/>
                <w:szCs w:val="20"/>
              </w:rPr>
              <w:t>2018</w:t>
            </w:r>
            <w:r>
              <w:rPr>
                <w:rFonts w:ascii="宋体" w:hAnsi="宋体" w:cs="宋体" w:eastAsia="宋体" w:hint="default"/>
                <w:b/>
                <w:bCs/>
                <w:sz w:val="20"/>
                <w:szCs w:val="20"/>
              </w:rPr>
              <w:t>年度</w:t>
            </w:r>
            <w:r>
              <w:rPr>
                <w:rFonts w:ascii="宋体" w:hAnsi="宋体" w:cs="宋体" w:eastAsia="宋体" w:hint="default"/>
                <w:sz w:val="20"/>
                <w:szCs w:val="20"/>
              </w:rPr>
            </w:r>
          </w:p>
        </w:tc>
      </w:tr>
      <w:tr>
        <w:trPr>
          <w:trHeight w:val="655" w:hRule="exact"/>
        </w:trPr>
        <w:tc>
          <w:tcPr>
            <w:tcW w:w="1380"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0" w:right="0"/>
              <w:jc w:val="left"/>
              <w:rPr>
                <w:rFonts w:ascii="宋体" w:hAnsi="宋体" w:cs="宋体" w:eastAsia="宋体" w:hint="default"/>
                <w:sz w:val="20"/>
                <w:szCs w:val="20"/>
              </w:rPr>
            </w:pPr>
            <w:r>
              <w:rPr>
                <w:rFonts w:ascii="宋体" w:hAnsi="宋体" w:cs="宋体" w:eastAsia="宋体" w:hint="default"/>
                <w:b/>
                <w:bCs/>
                <w:sz w:val="20"/>
                <w:szCs w:val="20"/>
              </w:rPr>
              <w:t>对净利润的影响</w:t>
            </w:r>
            <w:r>
              <w:rPr>
                <w:rFonts w:ascii="宋体" w:hAnsi="宋体" w:cs="宋体" w:eastAsia="宋体" w:hint="default"/>
                <w:sz w:val="20"/>
                <w:szCs w:val="20"/>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0" w:right="0"/>
              <w:jc w:val="left"/>
              <w:rPr>
                <w:rFonts w:ascii="宋体" w:hAnsi="宋体" w:cs="宋体" w:eastAsia="宋体" w:hint="default"/>
                <w:sz w:val="20"/>
                <w:szCs w:val="20"/>
              </w:rPr>
            </w:pPr>
            <w:r>
              <w:rPr>
                <w:rFonts w:ascii="宋体" w:hAnsi="宋体" w:cs="宋体" w:eastAsia="宋体" w:hint="default"/>
                <w:b/>
                <w:bCs/>
                <w:sz w:val="20"/>
                <w:szCs w:val="20"/>
              </w:rPr>
              <w:t>对股东权益的影响</w:t>
            </w:r>
            <w:r>
              <w:rPr>
                <w:rFonts w:ascii="宋体" w:hAnsi="宋体" w:cs="宋体" w:eastAsia="宋体" w:hint="default"/>
                <w:sz w:val="20"/>
                <w:szCs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1" w:right="0"/>
              <w:jc w:val="left"/>
              <w:rPr>
                <w:rFonts w:ascii="宋体" w:hAnsi="宋体" w:cs="宋体" w:eastAsia="宋体" w:hint="default"/>
                <w:sz w:val="20"/>
                <w:szCs w:val="20"/>
              </w:rPr>
            </w:pPr>
            <w:r>
              <w:rPr>
                <w:rFonts w:ascii="宋体" w:hAnsi="宋体" w:cs="宋体" w:eastAsia="宋体" w:hint="default"/>
                <w:b/>
                <w:bCs/>
                <w:sz w:val="20"/>
                <w:szCs w:val="20"/>
              </w:rPr>
              <w:t>对净利润的影响</w:t>
            </w:r>
            <w:r>
              <w:rPr>
                <w:rFonts w:ascii="宋体" w:hAnsi="宋体" w:cs="宋体" w:eastAsia="宋体" w:hint="default"/>
                <w:sz w:val="20"/>
                <w:szCs w:val="20"/>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451" w:right="49" w:hanging="404"/>
              <w:jc w:val="left"/>
              <w:rPr>
                <w:rFonts w:ascii="宋体" w:hAnsi="宋体" w:cs="宋体" w:eastAsia="宋体" w:hint="default"/>
                <w:sz w:val="20"/>
                <w:szCs w:val="20"/>
              </w:rPr>
            </w:pPr>
            <w:r>
              <w:rPr>
                <w:rFonts w:ascii="宋体" w:hAnsi="宋体" w:cs="宋体" w:eastAsia="宋体" w:hint="default"/>
                <w:b/>
                <w:bCs/>
                <w:sz w:val="20"/>
                <w:szCs w:val="20"/>
              </w:rPr>
              <w:t>对股东权益的</w:t>
            </w:r>
            <w:r>
              <w:rPr>
                <w:rFonts w:ascii="宋体" w:hAnsi="宋体" w:cs="宋体" w:eastAsia="宋体" w:hint="default"/>
                <w:b/>
                <w:bCs/>
                <w:w w:val="99"/>
                <w:sz w:val="20"/>
                <w:szCs w:val="20"/>
              </w:rPr>
              <w:t> </w:t>
            </w:r>
            <w:r>
              <w:rPr>
                <w:rFonts w:ascii="宋体" w:hAnsi="宋体" w:cs="宋体" w:eastAsia="宋体" w:hint="default"/>
                <w:b/>
                <w:bCs/>
                <w:sz w:val="20"/>
                <w:szCs w:val="20"/>
              </w:rPr>
              <w:t>影响</w:t>
            </w:r>
            <w:r>
              <w:rPr>
                <w:rFonts w:ascii="宋体" w:hAnsi="宋体" w:cs="宋体" w:eastAsia="宋体" w:hint="default"/>
                <w:sz w:val="20"/>
                <w:szCs w:val="20"/>
              </w:rPr>
            </w:r>
          </w:p>
        </w:tc>
      </w:tr>
    </w:tbl>
    <w:p>
      <w:pPr>
        <w:spacing w:after="0" w:line="285" w:lineRule="auto"/>
        <w:jc w:val="left"/>
        <w:rPr>
          <w:rFonts w:ascii="宋体" w:hAnsi="宋体" w:cs="宋体" w:eastAsia="宋体" w:hint="default"/>
          <w:sz w:val="20"/>
          <w:szCs w:val="20"/>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80"/>
        <w:gridCol w:w="1135"/>
        <w:gridCol w:w="1558"/>
        <w:gridCol w:w="1712"/>
        <w:gridCol w:w="1440"/>
        <w:gridCol w:w="1313"/>
      </w:tblGrid>
      <w:tr>
        <w:trPr>
          <w:trHeight w:val="343"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浮动利率借款</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增加</w:t>
            </w:r>
            <w:r>
              <w:rPr>
                <w:rFonts w:ascii="Times New Roman" w:hAnsi="Times New Roman" w:cs="Times New Roman" w:eastAsia="Times New Roman" w:hint="default"/>
                <w:sz w:val="20"/>
                <w:szCs w:val="20"/>
              </w:rPr>
              <w:t>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16" w:right="0"/>
              <w:jc w:val="left"/>
              <w:rPr>
                <w:rFonts w:ascii="Times New Roman" w:hAnsi="Times New Roman" w:cs="Times New Roman" w:eastAsia="Times New Roman" w:hint="default"/>
                <w:sz w:val="20"/>
                <w:szCs w:val="20"/>
              </w:rPr>
            </w:pPr>
            <w:r>
              <w:rPr>
                <w:rFonts w:ascii="Times New Roman"/>
                <w:sz w:val="20"/>
              </w:rPr>
              <w:t>-1,315,000.00</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20"/>
                <w:szCs w:val="20"/>
              </w:rPr>
            </w:pPr>
            <w:r>
              <w:rPr>
                <w:rFonts w:ascii="Times New Roman"/>
                <w:sz w:val="20"/>
              </w:rPr>
              <w:t>-1,315,000.00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-600,000.00</w:t>
            </w:r>
            <w:r>
              <w:rPr>
                <w:rFonts w:ascii="Times New Roman"/>
                <w:sz w:val="20"/>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15" w:right="0"/>
              <w:jc w:val="left"/>
              <w:rPr>
                <w:rFonts w:ascii="Times New Roman" w:hAnsi="Times New Roman" w:cs="Times New Roman" w:eastAsia="Times New Roman" w:hint="default"/>
                <w:sz w:val="18"/>
                <w:szCs w:val="18"/>
              </w:rPr>
            </w:pPr>
            <w:r>
              <w:rPr>
                <w:rFonts w:ascii="Times New Roman"/>
                <w:sz w:val="18"/>
              </w:rPr>
              <w:t>-600,000.00</w:t>
            </w:r>
          </w:p>
        </w:tc>
      </w:tr>
      <w:tr>
        <w:trPr>
          <w:trHeight w:val="341"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 w:right="0"/>
              <w:jc w:val="left"/>
              <w:rPr>
                <w:rFonts w:ascii="宋体" w:hAnsi="宋体" w:cs="宋体" w:eastAsia="宋体" w:hint="default"/>
                <w:sz w:val="20"/>
                <w:szCs w:val="20"/>
              </w:rPr>
            </w:pPr>
            <w:r>
              <w:rPr>
                <w:rFonts w:ascii="宋体" w:hAnsi="宋体" w:cs="宋体" w:eastAsia="宋体" w:hint="default"/>
                <w:sz w:val="20"/>
                <w:szCs w:val="20"/>
              </w:rPr>
              <w:t>浮动利率借款</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减少</w:t>
            </w:r>
            <w:r>
              <w:rPr>
                <w:rFonts w:ascii="Times New Roman" w:hAnsi="Times New Roman" w:cs="Times New Roman" w:eastAsia="Times New Roman" w:hint="default"/>
                <w:sz w:val="20"/>
                <w:szCs w:val="20"/>
              </w:rPr>
              <w:t>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7" w:right="0"/>
              <w:jc w:val="left"/>
              <w:rPr>
                <w:rFonts w:ascii="Times New Roman" w:hAnsi="Times New Roman" w:cs="Times New Roman" w:eastAsia="Times New Roman" w:hint="default"/>
                <w:sz w:val="20"/>
                <w:szCs w:val="20"/>
              </w:rPr>
            </w:pPr>
            <w:r>
              <w:rPr>
                <w:rFonts w:ascii="Times New Roman"/>
                <w:sz w:val="20"/>
              </w:rPr>
              <w:t>1,315,000.00</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20"/>
                <w:szCs w:val="20"/>
              </w:rPr>
            </w:pPr>
            <w:r>
              <w:rPr>
                <w:rFonts w:ascii="Times New Roman"/>
                <w:sz w:val="20"/>
              </w:rPr>
              <w:t>1,315,000.00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w w:val="95"/>
                <w:sz w:val="20"/>
              </w:rPr>
              <w:t>600,000.00</w:t>
            </w:r>
            <w:r>
              <w:rPr>
                <w:rFonts w:ascii="Times New Roman"/>
                <w:sz w:val="20"/>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8" w:right="0"/>
              <w:jc w:val="left"/>
              <w:rPr>
                <w:rFonts w:ascii="Times New Roman" w:hAnsi="Times New Roman" w:cs="Times New Roman" w:eastAsia="Times New Roman" w:hint="default"/>
                <w:sz w:val="20"/>
                <w:szCs w:val="20"/>
              </w:rPr>
            </w:pPr>
            <w:r>
              <w:rPr>
                <w:rFonts w:ascii="Times New Roman"/>
                <w:sz w:val="20"/>
              </w:rPr>
              <w:t>600,000.00</w:t>
            </w:r>
          </w:p>
        </w:tc>
      </w:tr>
    </w:tbl>
    <w:p>
      <w:pPr>
        <w:spacing w:line="240" w:lineRule="auto" w:before="1"/>
        <w:rPr>
          <w:rFonts w:ascii="宋体" w:hAnsi="宋体" w:cs="宋体" w:eastAsia="宋体" w:hint="default"/>
          <w:sz w:val="18"/>
          <w:szCs w:val="18"/>
        </w:rPr>
      </w:pPr>
    </w:p>
    <w:p>
      <w:pPr>
        <w:pStyle w:val="Heading2"/>
        <w:spacing w:line="240" w:lineRule="auto" w:before="26"/>
        <w:ind w:right="996"/>
        <w:jc w:val="left"/>
        <w:rPr>
          <w:b w:val="0"/>
          <w:bCs w:val="0"/>
        </w:rPr>
      </w:pPr>
      <w:r>
        <w:rPr/>
        <w:t>十一、公允价值的披露</w:t>
      </w:r>
      <w:r>
        <w:rPr>
          <w:b w:val="0"/>
          <w:bCs w:val="0"/>
        </w:rPr>
      </w:r>
    </w:p>
    <w:p>
      <w:pPr>
        <w:spacing w:line="240" w:lineRule="auto" w:before="12"/>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、以公允价值计量的资产和负债的期末公允价值</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2"/>
        <w:gridCol w:w="1847"/>
        <w:gridCol w:w="1913"/>
        <w:gridCol w:w="1913"/>
        <w:gridCol w:w="1915"/>
      </w:tblGrid>
      <w:tr>
        <w:trPr>
          <w:trHeight w:val="402" w:hRule="exact"/>
        </w:trPr>
        <w:tc>
          <w:tcPr>
            <w:tcW w:w="19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58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2" w:hRule="exact"/>
        </w:trPr>
        <w:tc>
          <w:tcPr>
            <w:tcW w:w="19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4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834"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972" w:type="dxa"/>
            <w:vMerge/>
            <w:tcBorders>
              <w:left w:val="single" w:sz="4" w:space="0" w:color="000000"/>
              <w:bottom w:val="nil" w:sz="6" w:space="0" w:color="auto"/>
              <w:right w:val="single" w:sz="4" w:space="0" w:color="000000"/>
            </w:tcBorders>
            <w:shd w:val="clear" w:color="auto" w:fill="D2D2D2"/>
          </w:tcPr>
          <w:p>
            <w:pPr/>
          </w:p>
        </w:tc>
        <w:tc>
          <w:tcPr>
            <w:tcW w:w="1847"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2" w:hRule="exact"/>
        </w:trPr>
        <w:tc>
          <w:tcPr>
            <w:tcW w:w="1972" w:type="dxa"/>
            <w:vMerge w:val="restart"/>
            <w:tcBorders>
              <w:top w:val="nil" w:sz="6" w:space="0" w:color="auto"/>
              <w:left w:val="single" w:sz="4" w:space="0" w:color="000000"/>
              <w:right w:val="single" w:sz="4" w:space="0" w:color="000000"/>
            </w:tcBorders>
            <w:shd w:val="clear" w:color="auto" w:fill="D2D2D2"/>
          </w:tcPr>
          <w:p>
            <w:pPr/>
          </w:p>
        </w:tc>
        <w:tc>
          <w:tcPr>
            <w:tcW w:w="1847"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5"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72" w:type="dxa"/>
            <w:vMerge/>
            <w:tcBorders>
              <w:left w:val="single" w:sz="4" w:space="0" w:color="000000"/>
              <w:bottom w:val="single" w:sz="4" w:space="0" w:color="000000"/>
              <w:right w:val="single" w:sz="4" w:space="0" w:color="000000"/>
            </w:tcBorders>
            <w:shd w:val="clear" w:color="auto" w:fill="D2D2D2"/>
          </w:tcPr>
          <w:p>
            <w:pPr/>
          </w:p>
        </w:tc>
        <w:tc>
          <w:tcPr>
            <w:tcW w:w="1847"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1028"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2"/>
              <w:ind w:left="12"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指定以公允价值计量且 其变动计入当期损益的 金融资产</w:t>
            </w:r>
          </w:p>
        </w:tc>
        <w:tc>
          <w:tcPr>
            <w:tcW w:w="184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12,550,000.00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12,550,000.00</w:t>
            </w:r>
          </w:p>
        </w:tc>
      </w:tr>
      <w:tr>
        <w:trPr>
          <w:trHeight w:val="401"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4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12,550,000.00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12,550,000.00</w:t>
            </w:r>
          </w:p>
        </w:tc>
      </w:tr>
      <w:tr>
        <w:trPr>
          <w:trHeight w:val="403"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4"/>
                <w:sz w:val="18"/>
                <w:szCs w:val="18"/>
              </w:rPr>
              <w:t>（三）其他权益工具投资</w:t>
            </w:r>
          </w:p>
        </w:tc>
        <w:tc>
          <w:tcPr>
            <w:tcW w:w="184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304,430,155.65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304,430,155.65</w:t>
            </w:r>
          </w:p>
        </w:tc>
      </w:tr>
      <w:tr>
        <w:trPr>
          <w:trHeight w:val="714"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4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316,980,155.65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316,980,155.65</w:t>
            </w:r>
          </w:p>
        </w:tc>
      </w:tr>
      <w:tr>
        <w:trPr>
          <w:trHeight w:val="162" w:hRule="exact"/>
        </w:trPr>
        <w:tc>
          <w:tcPr>
            <w:tcW w:w="197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12" w:right="11"/>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47"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72" w:type="dxa"/>
            <w:vMerge/>
            <w:tcBorders>
              <w:left w:val="single" w:sz="4" w:space="0" w:color="000000"/>
              <w:right w:val="single" w:sz="4" w:space="0" w:color="000000"/>
            </w:tcBorders>
            <w:shd w:val="clear" w:color="auto" w:fill="D2D2D2"/>
          </w:tcPr>
          <w:p>
            <w:pPr/>
          </w:p>
        </w:tc>
        <w:tc>
          <w:tcPr>
            <w:tcW w:w="18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972" w:type="dxa"/>
            <w:vMerge/>
            <w:tcBorders>
              <w:left w:val="single" w:sz="4" w:space="0" w:color="000000"/>
              <w:bottom w:val="single" w:sz="4" w:space="0" w:color="000000"/>
              <w:right w:val="single" w:sz="4" w:space="0" w:color="000000"/>
            </w:tcBorders>
            <w:shd w:val="clear" w:color="auto" w:fill="D2D2D2"/>
          </w:tcPr>
          <w:p>
            <w:pPr/>
          </w:p>
        </w:tc>
        <w:tc>
          <w:tcPr>
            <w:tcW w:w="1847"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、持续和非持续第三层次公允价值计量项目，采用的估值技术和重要参数的定性及定量信息</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p>
    <w:p>
      <w:pPr>
        <w:pStyle w:val="BodyText"/>
        <w:spacing w:line="259" w:lineRule="auto"/>
        <w:ind w:right="996"/>
        <w:jc w:val="left"/>
      </w:pPr>
      <w:r>
        <w:rPr>
          <w:spacing w:val="-2"/>
        </w:rPr>
        <w:t>上表中的权益工具投资和其他权益工具投资系本公司持有的不存在活跃市场的非上市公司股权，在估</w:t>
      </w:r>
      <w:r>
        <w:rPr>
          <w:spacing w:val="-73"/>
        </w:rPr>
        <w:t> </w:t>
      </w:r>
      <w:r>
        <w:rPr>
          <w:spacing w:val="-73"/>
        </w:rPr>
      </w:r>
      <w:r>
        <w:rPr/>
        <w:t>值时，本公司采用</w:t>
      </w:r>
      <w:r>
        <w:rPr>
          <w:color w:val="333333"/>
        </w:rPr>
        <w:t>永续增长模型对所持股权的价值进行估值。</w:t>
      </w:r>
      <w:r>
        <w:rPr/>
      </w:r>
    </w:p>
    <w:p>
      <w:pPr>
        <w:spacing w:line="240" w:lineRule="auto" w:before="2"/>
        <w:rPr>
          <w:rFonts w:ascii="宋体" w:hAnsi="宋体" w:cs="宋体" w:eastAsia="宋体" w:hint="default"/>
          <w:sz w:val="22"/>
          <w:szCs w:val="22"/>
        </w:rPr>
      </w:pPr>
    </w:p>
    <w:p>
      <w:pPr>
        <w:pStyle w:val="Heading2"/>
        <w:spacing w:line="240" w:lineRule="auto"/>
        <w:ind w:right="996"/>
        <w:jc w:val="left"/>
        <w:rPr>
          <w:b w:val="0"/>
          <w:bCs w:val="0"/>
        </w:rPr>
      </w:pPr>
      <w:r>
        <w:rPr/>
        <w:t>十二、关联方及关联交易</w:t>
      </w:r>
      <w:r>
        <w:rPr>
          <w:b w:val="0"/>
          <w:bCs w:val="0"/>
        </w:rPr>
      </w:r>
    </w:p>
    <w:p>
      <w:pPr>
        <w:spacing w:line="240" w:lineRule="auto" w:before="9"/>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70"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宝德控股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27.37%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27.37%</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宝德科技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服务器生产与销售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24,300.00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12.59%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12.59%</w:t>
            </w:r>
          </w:p>
        </w:tc>
      </w:tr>
    </w:tbl>
    <w:p>
      <w:pPr>
        <w:spacing w:before="49"/>
        <w:ind w:left="152" w:right="996"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w:t>
      </w:r>
    </w:p>
    <w:p>
      <w:pPr>
        <w:spacing w:line="240" w:lineRule="auto" w:before="12"/>
        <w:rPr>
          <w:rFonts w:ascii="宋体" w:hAnsi="宋体" w:cs="宋体" w:eastAsia="宋体" w:hint="default"/>
          <w:sz w:val="12"/>
          <w:szCs w:val="12"/>
        </w:rPr>
      </w:pPr>
    </w:p>
    <w:p>
      <w:pPr>
        <w:pStyle w:val="BodyText"/>
        <w:spacing w:line="338" w:lineRule="auto"/>
        <w:ind w:left="508" w:right="996" w:firstLine="84"/>
        <w:jc w:val="left"/>
      </w:pPr>
      <w:r>
        <w:rPr/>
        <w:t>（</w:t>
      </w:r>
      <w:r>
        <w:rPr>
          <w:rFonts w:ascii="Times New Roman" w:hAnsi="Times New Roman" w:cs="Times New Roman" w:eastAsia="Times New Roman" w:hint="default"/>
        </w:rPr>
        <w:t>1</w:t>
      </w:r>
      <w:r>
        <w:rPr/>
        <w:t>）控股股东及最终控制方</w:t>
      </w:r>
      <w:r>
        <w:rPr>
          <w:w w:val="100"/>
        </w:rPr>
        <w:t> </w:t>
      </w:r>
      <w:r>
        <w:rPr/>
        <w:t>宝德控股直接持有本公司</w:t>
      </w:r>
      <w:r>
        <w:rPr>
          <w:rFonts w:ascii="Times New Roman" w:hAnsi="Times New Roman" w:cs="Times New Roman" w:eastAsia="Times New Roman" w:hint="default"/>
        </w:rPr>
        <w:t>27.37%</w:t>
      </w:r>
      <w:r>
        <w:rPr/>
        <w:t>股权，宝德科技直接持有本公司</w:t>
      </w:r>
      <w:r>
        <w:rPr>
          <w:rFonts w:ascii="Times New Roman" w:hAnsi="Times New Roman" w:cs="Times New Roman" w:eastAsia="Times New Roman" w:hint="default"/>
        </w:rPr>
        <w:t>12.59%</w:t>
      </w:r>
      <w:r>
        <w:rPr/>
        <w:t>股权。</w:t>
      </w:r>
    </w:p>
    <w:p>
      <w:pPr>
        <w:pStyle w:val="BodyText"/>
        <w:spacing w:line="240" w:lineRule="auto" w:before="147"/>
        <w:ind w:left="592" w:right="996"/>
        <w:jc w:val="left"/>
      </w:pPr>
      <w:r>
        <w:rPr>
          <w:spacing w:val="-3"/>
        </w:rPr>
        <w:t>李瑞杰与张云霞系夫妻关系，分别持有前海宝德</w:t>
      </w:r>
      <w:r>
        <w:rPr>
          <w:rFonts w:ascii="Times New Roman" w:hAnsi="Times New Roman" w:cs="Times New Roman" w:eastAsia="Times New Roman" w:hint="default"/>
          <w:spacing w:val="-3"/>
        </w:rPr>
        <w:t>87.50%</w:t>
      </w:r>
      <w:r>
        <w:rPr>
          <w:spacing w:val="-3"/>
        </w:rPr>
        <w:t>和</w:t>
      </w:r>
      <w:r>
        <w:rPr>
          <w:rFonts w:ascii="Times New Roman" w:hAnsi="Times New Roman" w:cs="Times New Roman" w:eastAsia="Times New Roman" w:hint="default"/>
          <w:spacing w:val="-3"/>
        </w:rPr>
        <w:t>12.50%</w:t>
      </w:r>
      <w:r>
        <w:rPr>
          <w:spacing w:val="-3"/>
        </w:rPr>
        <w:t>股权。前海宝德、李瑞杰和张云</w:t>
      </w:r>
    </w:p>
    <w:p>
      <w:pPr>
        <w:spacing w:after="0" w:line="240" w:lineRule="auto"/>
        <w:jc w:val="left"/>
        <w:sectPr>
          <w:pgSz w:w="11910" w:h="16840"/>
          <w:pgMar w:header="877" w:footer="980" w:top="1060" w:bottom="1160" w:left="980" w:right="0"/>
        </w:sectPr>
      </w:pPr>
    </w:p>
    <w:p>
      <w:pPr>
        <w:spacing w:line="240" w:lineRule="auto" w:before="4"/>
        <w:rPr>
          <w:rFonts w:ascii="宋体" w:hAnsi="宋体" w:cs="宋体" w:eastAsia="宋体" w:hint="default"/>
          <w:sz w:val="24"/>
          <w:szCs w:val="24"/>
        </w:rPr>
      </w:pPr>
    </w:p>
    <w:p>
      <w:pPr>
        <w:pStyle w:val="BodyText"/>
        <w:spacing w:line="247" w:lineRule="auto" w:before="32"/>
        <w:ind w:right="996"/>
        <w:jc w:val="left"/>
      </w:pPr>
      <w:r>
        <w:rPr>
          <w:spacing w:val="-1"/>
        </w:rPr>
        <w:t>霞分别持有宝德控股股权的</w:t>
      </w:r>
      <w:r>
        <w:rPr>
          <w:rFonts w:ascii="Times New Roman" w:hAnsi="Times New Roman" w:cs="Times New Roman" w:eastAsia="Times New Roman" w:hint="default"/>
          <w:spacing w:val="-1"/>
        </w:rPr>
        <w:t>57.33%</w:t>
      </w:r>
      <w:r>
        <w:rPr>
          <w:spacing w:val="-1"/>
        </w:rPr>
        <w:t>、</w:t>
      </w:r>
      <w:r>
        <w:rPr>
          <w:rFonts w:ascii="Times New Roman" w:hAnsi="Times New Roman" w:cs="Times New Roman" w:eastAsia="Times New Roman" w:hint="default"/>
          <w:spacing w:val="-1"/>
        </w:rPr>
        <w:t>37.34%</w:t>
      </w:r>
      <w:r>
        <w:rPr>
          <w:spacing w:val="-1"/>
        </w:rPr>
        <w:t>和</w:t>
      </w:r>
      <w:r>
        <w:rPr>
          <w:rFonts w:ascii="Times New Roman" w:hAnsi="Times New Roman" w:cs="Times New Roman" w:eastAsia="Times New Roman" w:hint="default"/>
          <w:spacing w:val="-1"/>
        </w:rPr>
        <w:t>5.33%</w:t>
      </w:r>
      <w:r>
        <w:rPr>
          <w:spacing w:val="-1"/>
        </w:rPr>
        <w:t>；宝德控股则持有宝德科技股权的</w:t>
      </w:r>
      <w:r>
        <w:rPr>
          <w:rFonts w:ascii="Times New Roman" w:hAnsi="Times New Roman" w:cs="Times New Roman" w:eastAsia="Times New Roman" w:hint="default"/>
          <w:spacing w:val="-1"/>
        </w:rPr>
        <w:t>42.05%</w:t>
      </w:r>
      <w:r>
        <w:rPr>
          <w:spacing w:val="-1"/>
        </w:rPr>
        <w:t>；李瑞</w:t>
      </w:r>
      <w:r>
        <w:rPr>
          <w:spacing w:val="-75"/>
        </w:rPr>
        <w:t> </w:t>
      </w:r>
      <w:r>
        <w:rPr/>
        <w:t>杰与张云霞二人通过宝德控股、宝德科技间接控制本公司。</w:t>
      </w:r>
    </w:p>
    <w:p>
      <w:pPr>
        <w:spacing w:line="240" w:lineRule="auto" w:before="9"/>
        <w:rPr>
          <w:rFonts w:ascii="宋体" w:hAnsi="宋体" w:cs="宋体" w:eastAsia="宋体" w:hint="default"/>
          <w:sz w:val="19"/>
          <w:szCs w:val="19"/>
        </w:rPr>
      </w:pPr>
    </w:p>
    <w:p>
      <w:pPr>
        <w:pStyle w:val="BodyText"/>
        <w:spacing w:line="240" w:lineRule="auto"/>
        <w:ind w:left="508" w:right="996"/>
        <w:jc w:val="left"/>
      </w:pPr>
      <w:r>
        <w:rPr/>
        <w:t>（</w:t>
      </w:r>
      <w:r>
        <w:rPr>
          <w:rFonts w:ascii="Times New Roman" w:hAnsi="Times New Roman" w:cs="Times New Roman" w:eastAsia="Times New Roman" w:hint="default"/>
        </w:rPr>
        <w:t>2</w:t>
      </w:r>
      <w:r>
        <w:rPr/>
        <w:t>）控股股东的注册资本及其变化</w:t>
      </w:r>
    </w:p>
    <w:p>
      <w:pPr>
        <w:spacing w:line="240" w:lineRule="auto" w:before="3"/>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1282"/>
        <w:gridCol w:w="1875"/>
        <w:gridCol w:w="1848"/>
        <w:gridCol w:w="1652"/>
        <w:gridCol w:w="1865"/>
      </w:tblGrid>
      <w:tr>
        <w:trPr>
          <w:trHeight w:val="341"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b/>
                <w:bCs/>
                <w:sz w:val="20"/>
                <w:szCs w:val="20"/>
              </w:rPr>
              <w:t>控股股东</w:t>
            </w:r>
            <w:r>
              <w:rPr>
                <w:rFonts w:ascii="宋体" w:hAnsi="宋体" w:cs="宋体" w:eastAsia="宋体" w:hint="default"/>
                <w:sz w:val="20"/>
                <w:szCs w:val="20"/>
              </w:rPr>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30"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18"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20"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25"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34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宋体" w:hAnsi="宋体" w:cs="宋体" w:eastAsia="宋体" w:hint="default"/>
                <w:sz w:val="20"/>
                <w:szCs w:val="20"/>
              </w:rPr>
              <w:t>宝德控股</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spacing w:val="-1"/>
                <w:sz w:val="20"/>
              </w:rPr>
              <w:t>1,200,000,000.00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spacing w:val="-1"/>
                <w:sz w:val="20"/>
              </w:rPr>
              <w:t>1,200,000,000.00</w:t>
            </w:r>
          </w:p>
        </w:tc>
      </w:tr>
      <w:tr>
        <w:trPr>
          <w:trHeight w:val="34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宝德科技</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
              <w:jc w:val="right"/>
              <w:rPr>
                <w:rFonts w:ascii="Times New Roman" w:hAnsi="Times New Roman" w:cs="Times New Roman" w:eastAsia="Times New Roman" w:hint="default"/>
                <w:sz w:val="20"/>
                <w:szCs w:val="20"/>
              </w:rPr>
            </w:pPr>
            <w:r>
              <w:rPr>
                <w:rFonts w:ascii="Times New Roman"/>
                <w:w w:val="95"/>
                <w:sz w:val="20"/>
              </w:rPr>
              <w:t>243,000,000.00</w:t>
            </w:r>
            <w:r>
              <w:rPr>
                <w:rFonts w:ascii="Times New Roman"/>
                <w:sz w:val="20"/>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
              <w:jc w:val="right"/>
              <w:rPr>
                <w:rFonts w:ascii="Times New Roman" w:hAnsi="Times New Roman" w:cs="Times New Roman" w:eastAsia="Times New Roman" w:hint="default"/>
                <w:sz w:val="20"/>
                <w:szCs w:val="20"/>
              </w:rPr>
            </w:pPr>
            <w:r>
              <w:rPr>
                <w:rFonts w:ascii="Times New Roman"/>
                <w:w w:val="95"/>
                <w:sz w:val="20"/>
              </w:rPr>
              <w:t>243,000,000.00</w:t>
            </w:r>
            <w:r>
              <w:rPr>
                <w:rFonts w:ascii="Times New Roman"/>
                <w:sz w:val="20"/>
              </w:rPr>
            </w:r>
          </w:p>
        </w:tc>
      </w:tr>
    </w:tbl>
    <w:p>
      <w:pPr>
        <w:spacing w:line="240" w:lineRule="auto" w:before="2"/>
        <w:rPr>
          <w:rFonts w:ascii="宋体" w:hAnsi="宋体" w:cs="宋体" w:eastAsia="宋体" w:hint="default"/>
          <w:sz w:val="14"/>
          <w:szCs w:val="14"/>
        </w:rPr>
      </w:pPr>
    </w:p>
    <w:p>
      <w:pPr>
        <w:pStyle w:val="BodyText"/>
        <w:spacing w:line="240" w:lineRule="auto" w:before="32"/>
        <w:ind w:left="508" w:right="996"/>
        <w:jc w:val="left"/>
      </w:pPr>
      <w:r>
        <w:rPr/>
        <w:t>（</w:t>
      </w:r>
      <w:r>
        <w:rPr>
          <w:rFonts w:ascii="Times New Roman" w:hAnsi="Times New Roman" w:cs="Times New Roman" w:eastAsia="Times New Roman" w:hint="default"/>
        </w:rPr>
        <w:t>3</w:t>
      </w:r>
      <w:r>
        <w:rPr/>
        <w:t>）控股股东的所持股份或权益及其变化</w:t>
      </w:r>
    </w:p>
    <w:p>
      <w:pPr>
        <w:spacing w:line="240" w:lineRule="auto" w:before="3"/>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1282"/>
        <w:gridCol w:w="1988"/>
        <w:gridCol w:w="1983"/>
        <w:gridCol w:w="1702"/>
        <w:gridCol w:w="1568"/>
      </w:tblGrid>
      <w:tr>
        <w:trPr>
          <w:trHeight w:val="341" w:hRule="exact"/>
        </w:trPr>
        <w:tc>
          <w:tcPr>
            <w:tcW w:w="1282" w:type="dxa"/>
            <w:vMerge w:val="restart"/>
            <w:tcBorders>
              <w:top w:val="single" w:sz="4" w:space="0" w:color="000000"/>
              <w:left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b/>
                <w:bCs/>
                <w:sz w:val="20"/>
                <w:szCs w:val="20"/>
              </w:rPr>
              <w:t>控股股东</w:t>
            </w:r>
            <w:r>
              <w:rPr>
                <w:rFonts w:ascii="宋体" w:hAnsi="宋体" w:cs="宋体" w:eastAsia="宋体" w:hint="default"/>
                <w:sz w:val="20"/>
                <w:szCs w:val="20"/>
              </w:rPr>
            </w:r>
          </w:p>
        </w:tc>
        <w:tc>
          <w:tcPr>
            <w:tcW w:w="39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b/>
                <w:bCs/>
                <w:sz w:val="20"/>
                <w:szCs w:val="20"/>
              </w:rPr>
              <w:t>持股数量</w:t>
            </w:r>
            <w:r>
              <w:rPr>
                <w:rFonts w:ascii="宋体" w:hAnsi="宋体" w:cs="宋体" w:eastAsia="宋体" w:hint="default"/>
                <w:sz w:val="20"/>
                <w:szCs w:val="20"/>
              </w:rPr>
            </w:r>
          </w:p>
        </w:tc>
        <w:tc>
          <w:tcPr>
            <w:tcW w:w="32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928" w:right="0"/>
              <w:jc w:val="left"/>
              <w:rPr>
                <w:rFonts w:ascii="宋体" w:hAnsi="宋体" w:cs="宋体" w:eastAsia="宋体" w:hint="default"/>
                <w:sz w:val="20"/>
                <w:szCs w:val="20"/>
              </w:rPr>
            </w:pPr>
            <w:r>
              <w:rPr>
                <w:rFonts w:ascii="宋体" w:hAnsi="宋体" w:cs="宋体" w:eastAsia="宋体" w:hint="default"/>
                <w:b/>
                <w:bCs/>
                <w:sz w:val="20"/>
                <w:szCs w:val="20"/>
              </w:rPr>
              <w:t>持股比例（</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r>
      <w:tr>
        <w:trPr>
          <w:trHeight w:val="343" w:hRule="exact"/>
        </w:trPr>
        <w:tc>
          <w:tcPr>
            <w:tcW w:w="1282" w:type="dxa"/>
            <w:vMerge/>
            <w:tcBorders>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87" w:right="0"/>
              <w:jc w:val="left"/>
              <w:rPr>
                <w:rFonts w:ascii="宋体" w:hAnsi="宋体" w:cs="宋体" w:eastAsia="宋体" w:hint="default"/>
                <w:sz w:val="20"/>
                <w:szCs w:val="20"/>
              </w:rPr>
            </w:pPr>
            <w:r>
              <w:rPr>
                <w:rFonts w:ascii="宋体" w:hAnsi="宋体" w:cs="宋体" w:eastAsia="宋体" w:hint="default"/>
                <w:b/>
                <w:bCs/>
                <w:sz w:val="20"/>
                <w:szCs w:val="20"/>
              </w:rPr>
              <w:t>年末</w:t>
            </w:r>
            <w:r>
              <w:rPr>
                <w:rFonts w:ascii="宋体" w:hAnsi="宋体" w:cs="宋体" w:eastAsia="宋体" w:hint="default"/>
                <w:sz w:val="20"/>
                <w:szCs w:val="20"/>
              </w:rPr>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84" w:right="0"/>
              <w:jc w:val="left"/>
              <w:rPr>
                <w:rFonts w:ascii="宋体" w:hAnsi="宋体" w:cs="宋体" w:eastAsia="宋体" w:hint="default"/>
                <w:sz w:val="20"/>
                <w:szCs w:val="20"/>
              </w:rPr>
            </w:pPr>
            <w:r>
              <w:rPr>
                <w:rFonts w:ascii="宋体" w:hAnsi="宋体" w:cs="宋体" w:eastAsia="宋体" w:hint="default"/>
                <w:b/>
                <w:bCs/>
                <w:sz w:val="20"/>
                <w:szCs w:val="20"/>
              </w:rPr>
              <w:t>年初</w:t>
            </w:r>
            <w:r>
              <w:rPr>
                <w:rFonts w:ascii="宋体" w:hAnsi="宋体" w:cs="宋体" w:eastAsia="宋体" w:hint="default"/>
                <w:sz w:val="20"/>
                <w:szCs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44" w:right="0"/>
              <w:jc w:val="left"/>
              <w:rPr>
                <w:rFonts w:ascii="宋体" w:hAnsi="宋体" w:cs="宋体" w:eastAsia="宋体" w:hint="default"/>
                <w:sz w:val="20"/>
                <w:szCs w:val="20"/>
              </w:rPr>
            </w:pPr>
            <w:r>
              <w:rPr>
                <w:rFonts w:ascii="宋体" w:hAnsi="宋体" w:cs="宋体" w:eastAsia="宋体" w:hint="default"/>
                <w:b/>
                <w:bCs/>
                <w:sz w:val="20"/>
                <w:szCs w:val="20"/>
              </w:rPr>
              <w:t>年末比例</w:t>
            </w:r>
            <w:r>
              <w:rPr>
                <w:rFonts w:ascii="宋体" w:hAnsi="宋体" w:cs="宋体" w:eastAsia="宋体" w:hint="default"/>
                <w:sz w:val="20"/>
                <w:szCs w:val="20"/>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79" w:right="0"/>
              <w:jc w:val="left"/>
              <w:rPr>
                <w:rFonts w:ascii="宋体" w:hAnsi="宋体" w:cs="宋体" w:eastAsia="宋体" w:hint="default"/>
                <w:sz w:val="20"/>
                <w:szCs w:val="20"/>
              </w:rPr>
            </w:pPr>
            <w:r>
              <w:rPr>
                <w:rFonts w:ascii="宋体" w:hAnsi="宋体" w:cs="宋体" w:eastAsia="宋体" w:hint="default"/>
                <w:b/>
                <w:bCs/>
                <w:sz w:val="20"/>
                <w:szCs w:val="20"/>
              </w:rPr>
              <w:t>年初比例</w:t>
            </w:r>
            <w:r>
              <w:rPr>
                <w:rFonts w:ascii="宋体" w:hAnsi="宋体" w:cs="宋体" w:eastAsia="宋体" w:hint="default"/>
                <w:sz w:val="20"/>
                <w:szCs w:val="20"/>
              </w:rPr>
            </w:r>
          </w:p>
        </w:tc>
      </w:tr>
      <w:tr>
        <w:trPr>
          <w:trHeight w:val="341"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宝德控股</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823" w:right="0"/>
              <w:jc w:val="left"/>
              <w:rPr>
                <w:rFonts w:ascii="Times New Roman" w:hAnsi="Times New Roman" w:cs="Times New Roman" w:eastAsia="Times New Roman" w:hint="default"/>
                <w:sz w:val="20"/>
                <w:szCs w:val="20"/>
              </w:rPr>
            </w:pPr>
            <w:r>
              <w:rPr>
                <w:rFonts w:ascii="Times New Roman"/>
                <w:sz w:val="20"/>
              </w:rPr>
              <w:t>72,163,262.00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816" w:right="0"/>
              <w:jc w:val="left"/>
              <w:rPr>
                <w:rFonts w:ascii="Times New Roman" w:hAnsi="Times New Roman" w:cs="Times New Roman" w:eastAsia="Times New Roman" w:hint="default"/>
                <w:sz w:val="20"/>
                <w:szCs w:val="20"/>
              </w:rPr>
            </w:pPr>
            <w:r>
              <w:rPr>
                <w:rFonts w:ascii="Times New Roman"/>
                <w:sz w:val="20"/>
              </w:rPr>
              <w:t>72,713,262.00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sz w:val="20"/>
              </w:rPr>
              <w:t>27.37</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27.47</w:t>
            </w:r>
          </w:p>
        </w:tc>
      </w:tr>
      <w:tr>
        <w:trPr>
          <w:trHeight w:val="344"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宝德科技</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823" w:right="0"/>
              <w:jc w:val="left"/>
              <w:rPr>
                <w:rFonts w:ascii="Times New Roman" w:hAnsi="Times New Roman" w:cs="Times New Roman" w:eastAsia="Times New Roman" w:hint="default"/>
                <w:sz w:val="20"/>
                <w:szCs w:val="20"/>
              </w:rPr>
            </w:pPr>
            <w:r>
              <w:rPr>
                <w:rFonts w:ascii="Times New Roman"/>
                <w:sz w:val="20"/>
              </w:rPr>
              <w:t>33,183,400.00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816" w:right="0"/>
              <w:jc w:val="left"/>
              <w:rPr>
                <w:rFonts w:ascii="Times New Roman" w:hAnsi="Times New Roman" w:cs="Times New Roman" w:eastAsia="Times New Roman" w:hint="default"/>
                <w:sz w:val="20"/>
                <w:szCs w:val="20"/>
              </w:rPr>
            </w:pPr>
            <w:r>
              <w:rPr>
                <w:rFonts w:ascii="Times New Roman"/>
                <w:sz w:val="20"/>
              </w:rPr>
              <w:t>39,780,000.00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sz w:val="20"/>
              </w:rPr>
              <w:t>12.59</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15.03</w:t>
            </w:r>
          </w:p>
        </w:tc>
      </w:tr>
    </w:tbl>
    <w:p>
      <w:pPr>
        <w:spacing w:line="240" w:lineRule="auto" w:before="2"/>
        <w:rPr>
          <w:rFonts w:ascii="宋体" w:hAnsi="宋体" w:cs="宋体" w:eastAsia="宋体" w:hint="default"/>
          <w:sz w:val="24"/>
          <w:szCs w:val="24"/>
        </w:rPr>
      </w:pPr>
    </w:p>
    <w:p>
      <w:pPr>
        <w:spacing w:before="44"/>
        <w:ind w:left="152" w:right="996" w:firstLine="0"/>
        <w:jc w:val="left"/>
        <w:rPr>
          <w:rFonts w:ascii="宋体" w:hAnsi="宋体" w:cs="宋体" w:eastAsia="宋体" w:hint="default"/>
          <w:sz w:val="18"/>
          <w:szCs w:val="18"/>
        </w:rPr>
      </w:pPr>
      <w:r>
        <w:rPr>
          <w:rFonts w:ascii="宋体" w:hAnsi="宋体" w:cs="宋体" w:eastAsia="宋体" w:hint="default"/>
          <w:sz w:val="18"/>
          <w:szCs w:val="18"/>
        </w:rPr>
        <w:t>本企业最终控制方是李瑞杰和张云霞夫妇。</w:t>
      </w:r>
    </w:p>
    <w:p>
      <w:pPr>
        <w:spacing w:line="240" w:lineRule="auto" w:before="0"/>
        <w:rPr>
          <w:rFonts w:ascii="宋体" w:hAnsi="宋体" w:cs="宋体" w:eastAsia="宋体" w:hint="default"/>
          <w:sz w:val="18"/>
          <w:szCs w:val="18"/>
        </w:rPr>
      </w:pPr>
    </w:p>
    <w:p>
      <w:pPr>
        <w:spacing w:line="547" w:lineRule="auto" w:before="118"/>
        <w:ind w:left="152" w:right="550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z w:val="18"/>
          <w:szCs w:val="18"/>
        </w:rPr>
        <w:t>本企业子公司的情况详见附注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九、</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）公司的构成</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357" w:lineRule="auto" w:before="46"/>
        <w:ind w:left="152" w:right="2294"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 本期与本公司发生关联方交易，或前期与本公司发生关联方交易形成余额的其他合营或联营企业情况如下：</w:t>
      </w: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广州卓游网络科技有限公司（以下简称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广州卓游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深圳市萝卜互动科技有限公司（以下简称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萝卜互动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上海巨贤网络科技有限公司（以下简称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上海巨闲</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bl>
    <w:p>
      <w:pPr>
        <w:spacing w:line="240" w:lineRule="auto" w:before="10"/>
        <w:rPr>
          <w:rFonts w:ascii="宋体" w:hAnsi="宋体" w:cs="宋体" w:eastAsia="宋体" w:hint="default"/>
          <w:sz w:val="20"/>
          <w:szCs w:val="20"/>
        </w:rPr>
      </w:pPr>
    </w:p>
    <w:p>
      <w:pPr>
        <w:spacing w:before="36"/>
        <w:ind w:left="152" w:right="996" w:firstLine="0"/>
        <w:jc w:val="left"/>
        <w:rPr>
          <w:rFonts w:ascii="宋体" w:hAnsi="宋体" w:cs="宋体" w:eastAsia="宋体" w:hint="default"/>
          <w:sz w:val="21"/>
          <w:szCs w:val="21"/>
        </w:rPr>
      </w:pPr>
      <w:r>
        <w:rPr/>
        <w:pict>
          <v:group style="position:absolute;margin-left:297.290009pt;margin-top:93.86969pt;width:236.45pt;height:19.75pt;mso-position-horizontal-relative:page;mso-position-vertical-relative:paragraph;z-index:-1243600" coordorigin="5946,1877" coordsize="4729,395">
            <v:shape style="position:absolute;left:5946;top:1877;width:4729;height:395" coordorigin="5946,1877" coordsize="4729,395" path="m5946,2271l10675,2271,10675,1877,5946,1877,5946,2271xe" filled="true" fillcolor="#ffffff" stroked="false">
              <v:path arrowok="t"/>
              <v:fill type="solid"/>
            </v:shape>
            <w10:wrap type="none"/>
          </v:group>
        </w:pic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、其他关联方情况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深圳市宝德计算机系统有限公司（以下简称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宝德计算机</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深圳市宝通信息科技发展有限公司（以下简称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宝通信息</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实际控制人控制的企业</w:t>
            </w:r>
          </w:p>
        </w:tc>
      </w:tr>
      <w:tr>
        <w:trPr>
          <w:trHeight w:val="404" w:hRule="exact"/>
        </w:trPr>
        <w:tc>
          <w:tcPr>
            <w:tcW w:w="4784"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49"/>
              <w:ind w:left="24" w:right="-41"/>
              <w:jc w:val="left"/>
              <w:rPr>
                <w:rFonts w:ascii="宋体" w:hAnsi="宋体" w:cs="宋体" w:eastAsia="宋体" w:hint="default"/>
                <w:sz w:val="18"/>
                <w:szCs w:val="18"/>
              </w:rPr>
            </w:pPr>
            <w:r>
              <w:rPr>
                <w:rFonts w:ascii="宋体" w:hAnsi="宋体" w:cs="宋体" w:eastAsia="宋体" w:hint="default"/>
                <w:spacing w:val="-2"/>
                <w:sz w:val="18"/>
                <w:szCs w:val="18"/>
              </w:rPr>
              <w:t>宝德网络安全系统（深圳）有限公司（以下简称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宝德网络</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r>
          </w:p>
        </w:tc>
        <w:tc>
          <w:tcPr>
            <w:tcW w:w="4787"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实际控制人控制的企业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深圳前海宝德资产管理有限公司（以下简称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前海宝德</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深圳市速必拓网络科技有限公司（以下简称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速必拓</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实际控制人控制的企业</w:t>
            </w:r>
          </w:p>
        </w:tc>
      </w:tr>
      <w:tr>
        <w:trPr>
          <w:trHeight w:val="71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23"/>
              <w:jc w:val="left"/>
              <w:rPr>
                <w:rFonts w:ascii="宋体" w:hAnsi="宋体" w:cs="宋体" w:eastAsia="宋体" w:hint="default"/>
                <w:sz w:val="18"/>
                <w:szCs w:val="18"/>
              </w:rPr>
            </w:pPr>
            <w:r>
              <w:rPr>
                <w:rFonts w:ascii="宋体" w:hAnsi="宋体" w:cs="宋体" w:eastAsia="宋体" w:hint="default"/>
                <w:spacing w:val="-2"/>
                <w:sz w:val="18"/>
                <w:szCs w:val="18"/>
              </w:rPr>
              <w:t>贵州金沙安底斗酒酒业有限公司（以下简称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贵州金沙安底斗</w:t>
            </w:r>
            <w:r>
              <w:rPr>
                <w:rFonts w:ascii="宋体" w:hAnsi="宋体" w:cs="宋体" w:eastAsia="宋体" w:hint="default"/>
                <w:spacing w:val="-65"/>
                <w:sz w:val="18"/>
                <w:szCs w:val="18"/>
              </w:rPr>
              <w:t> </w:t>
            </w:r>
            <w:r>
              <w:rPr>
                <w:rFonts w:ascii="宋体" w:hAnsi="宋体" w:cs="宋体" w:eastAsia="宋体" w:hint="default"/>
                <w:sz w:val="18"/>
                <w:szCs w:val="18"/>
              </w:rPr>
              <w:t>酒酒业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实际控制人控制的企业（宝德控股占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深圳中付通电子商务有限公司（以下简称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深圳中付通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原全资子公司，现母公司控制的企业</w:t>
            </w:r>
          </w:p>
        </w:tc>
      </w:tr>
    </w:tbl>
    <w:p>
      <w:pPr>
        <w:spacing w:after="0" w:line="240" w:lineRule="auto"/>
        <w:jc w:val="left"/>
        <w:rPr>
          <w:rFonts w:ascii="宋体" w:hAnsi="宋体" w:cs="宋体" w:eastAsia="宋体" w:hint="default"/>
          <w:sz w:val="18"/>
          <w:szCs w:val="18"/>
        </w:rPr>
        <w:sectPr>
          <w:footerReference w:type="default" r:id="rId35"/>
          <w:pgSz w:w="11910" w:h="16840"/>
          <w:pgMar w:footer="980" w:header="877"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71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北京京西北发展集团有限公司</w:t>
            </w:r>
            <w:r>
              <w:rPr>
                <w:rFonts w:ascii="宋体" w:hAnsi="宋体" w:cs="宋体" w:eastAsia="宋体" w:hint="default"/>
                <w:spacing w:val="-1"/>
                <w:sz w:val="18"/>
                <w:szCs w:val="18"/>
              </w:rPr>
              <w:t> </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北京京西北房地 产</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北京中青宝的非控股股东</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深圳鹏德创业投资有限公司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实际控制人控制的企业</w:t>
            </w:r>
          </w:p>
        </w:tc>
      </w:tr>
      <w:tr>
        <w:trPr>
          <w:trHeight w:val="71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3"/>
              <w:jc w:val="left"/>
              <w:rPr>
                <w:rFonts w:ascii="宋体" w:hAnsi="宋体" w:cs="宋体" w:eastAsia="宋体" w:hint="default"/>
                <w:sz w:val="18"/>
                <w:szCs w:val="18"/>
              </w:rPr>
            </w:pPr>
            <w:r>
              <w:rPr>
                <w:rFonts w:ascii="宋体" w:hAnsi="宋体" w:cs="宋体" w:eastAsia="宋体" w:hint="default"/>
                <w:spacing w:val="-2"/>
                <w:sz w:val="18"/>
                <w:szCs w:val="18"/>
              </w:rPr>
              <w:t>深圳市恒德小额贷款有限公司（以下简称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深圳市恒德小额贷</w:t>
            </w:r>
            <w:r>
              <w:rPr>
                <w:rFonts w:ascii="宋体" w:hAnsi="宋体" w:cs="宋体" w:eastAsia="宋体" w:hint="default"/>
                <w:spacing w:val="-65"/>
                <w:sz w:val="18"/>
                <w:szCs w:val="18"/>
              </w:rPr>
              <w:t> </w:t>
            </w:r>
            <w:r>
              <w:rPr>
                <w:rFonts w:ascii="宋体" w:hAnsi="宋体" w:cs="宋体" w:eastAsia="宋体" w:hint="default"/>
                <w:sz w:val="18"/>
                <w:szCs w:val="18"/>
              </w:rPr>
              <w:t>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深圳市鸿德房地产开发有限公司（以下简称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鸿德房地产</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实际控制人控制的企业</w:t>
            </w:r>
          </w:p>
        </w:tc>
      </w:tr>
      <w:tr>
        <w:trPr>
          <w:trHeight w:val="71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15"/>
              <w:jc w:val="left"/>
              <w:rPr>
                <w:rFonts w:ascii="Times New Roman" w:hAnsi="Times New Roman" w:cs="Times New Roman" w:eastAsia="Times New Roman" w:hint="default"/>
                <w:sz w:val="18"/>
                <w:szCs w:val="18"/>
              </w:rPr>
            </w:pPr>
            <w:r>
              <w:rPr>
                <w:rFonts w:ascii="宋体" w:hAnsi="宋体" w:cs="宋体" w:eastAsia="宋体" w:hint="default"/>
                <w:sz w:val="18"/>
                <w:szCs w:val="18"/>
              </w:rPr>
              <w:t>湖南省梦回凤凰文化旅游投资有限责任公司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梦回 凤凰</w:t>
            </w:r>
            <w:r>
              <w:rPr>
                <w:rFonts w:ascii="Times New Roman" w:hAnsi="Times New Roman" w:cs="Times New Roman" w:eastAsia="Times New Roman"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同一控股股东</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副总经理、董事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李逸伦</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r>
    </w:tbl>
    <w:p>
      <w:pPr>
        <w:spacing w:line="240" w:lineRule="auto" w:before="3"/>
        <w:rPr>
          <w:rFonts w:ascii="宋体" w:hAnsi="宋体" w:cs="宋体" w:eastAsia="宋体" w:hint="default"/>
          <w:b/>
          <w:bCs/>
          <w:sz w:val="19"/>
          <w:szCs w:val="19"/>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、关联交易情况</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996"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6"/>
      </w:tblGrid>
      <w:tr>
        <w:trPr>
          <w:trHeight w:val="403"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深圳市速必拓网络 科技有限公司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59"/>
              <w:jc w:val="left"/>
              <w:rPr>
                <w:rFonts w:ascii="宋体" w:hAnsi="宋体" w:cs="宋体" w:eastAsia="宋体" w:hint="default"/>
                <w:sz w:val="18"/>
                <w:szCs w:val="18"/>
              </w:rPr>
            </w:pPr>
            <w:r>
              <w:rPr>
                <w:rFonts w:ascii="宋体" w:hAnsi="宋体" w:cs="宋体" w:eastAsia="宋体" w:hint="default"/>
                <w:sz w:val="18"/>
                <w:szCs w:val="18"/>
              </w:rPr>
              <w:t>服务器托管服务 及宽带服务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593,136.79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1,372,445.91</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深圳市宝德计算机 系统有限公司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6"/>
                <w:sz w:val="18"/>
                <w:szCs w:val="18"/>
              </w:rPr>
              <w:t>服务器、电脑及配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件</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1,715,506.21</w:t>
            </w:r>
          </w:p>
        </w:tc>
        <w:tc>
          <w:tcPr>
            <w:tcW w:w="1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641" w:right="0"/>
              <w:jc w:val="left"/>
              <w:rPr>
                <w:rFonts w:ascii="Times New Roman" w:hAnsi="Times New Roman" w:cs="Times New Roman" w:eastAsia="Times New Roman" w:hint="default"/>
                <w:sz w:val="18"/>
                <w:szCs w:val="18"/>
              </w:rPr>
            </w:pPr>
            <w:r>
              <w:rPr>
                <w:rFonts w:ascii="Times New Roman"/>
                <w:sz w:val="18"/>
              </w:rPr>
              <w:t>10,000,000.00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1,250,000.00</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深圳市宝通信息科 技发展有限公司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2"/>
              <w:jc w:val="left"/>
              <w:rPr>
                <w:rFonts w:ascii="宋体" w:hAnsi="宋体" w:cs="宋体" w:eastAsia="宋体" w:hint="default"/>
                <w:sz w:val="18"/>
                <w:szCs w:val="18"/>
              </w:rPr>
            </w:pPr>
            <w:r>
              <w:rPr>
                <w:rFonts w:ascii="宋体" w:hAnsi="宋体" w:cs="宋体" w:eastAsia="宋体" w:hint="default"/>
                <w:spacing w:val="-6"/>
                <w:sz w:val="18"/>
                <w:szCs w:val="18"/>
              </w:rPr>
              <w:t>服务器、电脑及配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件</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1,991.38</w:t>
            </w:r>
          </w:p>
        </w:tc>
        <w:tc>
          <w:tcPr>
            <w:tcW w:w="1709" w:type="dxa"/>
            <w:vMerge/>
            <w:tcBorders>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深圳市萝卜互动科 技有限公司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游戏分成</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3,131,855.96</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5,901,326.06</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上海巨贤网络科技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游戏分成</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80,138.98</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103,019.07</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上海巨贤网络科技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游戏委托开发费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1,200,000.00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5"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6,722,629.32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12,000,000.00</w:t>
            </w: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8,626,791.04</w:t>
            </w:r>
          </w:p>
        </w:tc>
      </w:tr>
    </w:tbl>
    <w:p>
      <w:pPr>
        <w:spacing w:before="49"/>
        <w:ind w:left="152" w:right="996"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3"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湖南省梦回凤凰文化旅游投资 有限责任公司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3"/>
              <w:jc w:val="left"/>
              <w:rPr>
                <w:rFonts w:ascii="宋体" w:hAnsi="宋体" w:cs="宋体" w:eastAsia="宋体" w:hint="default"/>
                <w:sz w:val="18"/>
                <w:szCs w:val="18"/>
              </w:rPr>
            </w:pPr>
            <w:r>
              <w:rPr>
                <w:rFonts w:ascii="宋体" w:hAnsi="宋体" w:cs="宋体" w:eastAsia="宋体" w:hint="default"/>
                <w:sz w:val="18"/>
                <w:szCs w:val="18"/>
              </w:rPr>
              <w:t>提供咨询、技术开发、创意 设计服务等</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87" w:right="0"/>
              <w:jc w:val="left"/>
              <w:rPr>
                <w:rFonts w:ascii="Times New Roman" w:hAnsi="Times New Roman" w:cs="Times New Roman" w:eastAsia="Times New Roman" w:hint="default"/>
                <w:sz w:val="18"/>
                <w:szCs w:val="18"/>
              </w:rPr>
            </w:pPr>
            <w:r>
              <w:rPr>
                <w:rFonts w:ascii="Times New Roman"/>
                <w:sz w:val="18"/>
              </w:rPr>
              <w:t>20,754,716.98</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深圳市宝德计算机系统有限公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分布式云存储软件</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92,743.38</w:t>
            </w:r>
          </w:p>
        </w:tc>
        <w:tc>
          <w:tcPr>
            <w:tcW w:w="2655"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6"/>
          <w:pgSz w:w="11910" w:h="16840"/>
          <w:pgMar w:footer="980" w:header="877" w:top="1060" w:bottom="1160" w:left="980" w:right="0"/>
          <w:pgNumType w:start="201"/>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深圳市恒德小额贷款有限公司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信息数据服务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108,479.40</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786,225.02</w:t>
            </w:r>
          </w:p>
        </w:tc>
      </w:tr>
      <w:tr>
        <w:trPr>
          <w:trHeight w:val="40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宝德科技</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运维服务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67,358.52</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14,232.64</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宝德网络安全系统（深圳）有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运维服务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4,452.83</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深圳市速必拓网络科技有限公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运维服务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12,503,416.67</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17,028,551.93</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深圳市宝通信息科技发展有限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运维服务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283.02</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深圳鸿德房地产开发有限公司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业务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50,927.36</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贵州金沙安底斗酒酒业有限公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运维服务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12,679.25</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22"/>
              <w:jc w:val="left"/>
              <w:rPr>
                <w:rFonts w:ascii="宋体" w:hAnsi="宋体" w:cs="宋体" w:eastAsia="宋体" w:hint="default"/>
                <w:sz w:val="18"/>
                <w:szCs w:val="18"/>
              </w:rPr>
            </w:pPr>
            <w:r>
              <w:rPr>
                <w:rFonts w:ascii="宋体" w:hAnsi="宋体" w:cs="宋体" w:eastAsia="宋体" w:hint="default"/>
                <w:sz w:val="18"/>
                <w:szCs w:val="18"/>
              </w:rPr>
              <w:t>贵州金沙安底斗酒酒业有限公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区块链</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3,773,584.90</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16,613,925.33</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38,583,726.57</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）关联租赁情况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152" w:right="996"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宝德科技</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办公楼租赁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2,487,167.69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2,435,431.32</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宝德控股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办公楼租赁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836,797.42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2,364,991.92</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深圳鸿德房地产开发有限公 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办公楼租赁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4,143,435.72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3,685,174.36</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深圳鹏德创业投资有限公司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办公楼租赁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1,714,516.90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9,181,917.73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8,485,597.60</w:t>
            </w:r>
          </w:p>
        </w:tc>
      </w:tr>
    </w:tbl>
    <w:p>
      <w:pPr>
        <w:spacing w:before="49"/>
        <w:ind w:left="152" w:right="996"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宝德科技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机房租赁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4,923,200.09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3,791,771.52</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宝德科技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办公楼租赁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37,714.29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37,714.29</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4,960,914.38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3,829,485.81</w:t>
            </w:r>
          </w:p>
        </w:tc>
      </w:tr>
    </w:tbl>
    <w:p>
      <w:pPr>
        <w:spacing w:before="49"/>
        <w:ind w:left="152" w:right="996"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pStyle w:val="BodyText"/>
        <w:spacing w:line="244" w:lineRule="auto" w:before="85"/>
        <w:ind w:right="996"/>
        <w:jc w:val="left"/>
      </w:pPr>
      <w:r>
        <w:rPr>
          <w:spacing w:val="-3"/>
        </w:rPr>
        <w:t>深圳宝腾互联与宝德科技签订房地产租赁合同：①租用观澜高新园观益</w:t>
      </w:r>
      <w:r>
        <w:rPr>
          <w:rFonts w:ascii="Times New Roman" w:hAnsi="Times New Roman" w:cs="Times New Roman" w:eastAsia="Times New Roman" w:hint="default"/>
          <w:spacing w:val="-3"/>
        </w:rPr>
        <w:t>3</w:t>
      </w:r>
      <w:r>
        <w:rPr>
          <w:spacing w:val="-3"/>
        </w:rPr>
        <w:t>号机房，一楼</w:t>
      </w:r>
      <w:r>
        <w:rPr>
          <w:rFonts w:ascii="Times New Roman" w:hAnsi="Times New Roman" w:cs="Times New Roman" w:eastAsia="Times New Roman" w:hint="default"/>
          <w:spacing w:val="-3"/>
        </w:rPr>
        <w:t>1,440</w:t>
      </w:r>
      <w:r>
        <w:rPr>
          <w:spacing w:val="-3"/>
        </w:rPr>
        <w:t>平米，二、</w:t>
      </w:r>
      <w:r>
        <w:rPr>
          <w:spacing w:val="-72"/>
        </w:rPr>
        <w:t> </w:t>
      </w:r>
      <w:r>
        <w:rPr>
          <w:spacing w:val="-72"/>
        </w:rPr>
      </w:r>
      <w:r>
        <w:rPr>
          <w:spacing w:val="-3"/>
        </w:rPr>
        <w:t>三楼</w:t>
      </w:r>
      <w:r>
        <w:rPr>
          <w:rFonts w:ascii="Times New Roman" w:hAnsi="Times New Roman" w:cs="Times New Roman" w:eastAsia="Times New Roman" w:hint="default"/>
          <w:spacing w:val="-3"/>
        </w:rPr>
        <w:t>3,078</w:t>
      </w:r>
      <w:r>
        <w:rPr>
          <w:spacing w:val="-3"/>
        </w:rPr>
        <w:t>平米，四楼</w:t>
      </w:r>
      <w:r>
        <w:rPr>
          <w:rFonts w:ascii="Times New Roman" w:hAnsi="Times New Roman" w:cs="Times New Roman" w:eastAsia="Times New Roman" w:hint="default"/>
          <w:spacing w:val="-3"/>
        </w:rPr>
        <w:t>1,638</w:t>
      </w:r>
      <w:r>
        <w:rPr>
          <w:spacing w:val="-3"/>
        </w:rPr>
        <w:t>平米，共计</w:t>
      </w:r>
      <w:r>
        <w:rPr>
          <w:rFonts w:ascii="Times New Roman" w:hAnsi="Times New Roman" w:cs="Times New Roman" w:eastAsia="Times New Roman" w:hint="default"/>
          <w:spacing w:val="-3"/>
        </w:rPr>
        <w:t>6,156</w:t>
      </w:r>
      <w:r>
        <w:rPr>
          <w:spacing w:val="-3"/>
        </w:rPr>
        <w:t>平方米；②租用观澜高新园观益</w:t>
      </w:r>
      <w:r>
        <w:rPr>
          <w:rFonts w:ascii="Times New Roman" w:hAnsi="Times New Roman" w:cs="Times New Roman" w:eastAsia="Times New Roman" w:hint="default"/>
          <w:spacing w:val="-3"/>
        </w:rPr>
        <w:t>3</w:t>
      </w:r>
      <w:r>
        <w:rPr>
          <w:spacing w:val="-3"/>
        </w:rPr>
        <w:t>号机房，数据中心二期一</w:t>
      </w:r>
      <w:r>
        <w:rPr>
          <w:spacing w:val="-61"/>
        </w:rPr>
        <w:t> </w:t>
      </w:r>
      <w:r>
        <w:rPr>
          <w:spacing w:val="-61"/>
        </w:rPr>
      </w:r>
      <w:r>
        <w:rPr>
          <w:spacing w:val="-2"/>
        </w:rPr>
        <w:t>楼</w:t>
      </w:r>
      <w:r>
        <w:rPr>
          <w:rFonts w:ascii="Times New Roman" w:hAnsi="Times New Roman" w:cs="Times New Roman" w:eastAsia="Times New Roman" w:hint="default"/>
          <w:spacing w:val="-2"/>
        </w:rPr>
        <w:t>932</w:t>
      </w:r>
      <w:r>
        <w:rPr>
          <w:spacing w:val="-2"/>
        </w:rPr>
        <w:t>平方米，二楼</w:t>
      </w:r>
      <w:r>
        <w:rPr>
          <w:rFonts w:ascii="Times New Roman" w:hAnsi="Times New Roman" w:cs="Times New Roman" w:eastAsia="Times New Roman" w:hint="default"/>
          <w:spacing w:val="-2"/>
        </w:rPr>
        <w:t>3,576.45</w:t>
      </w:r>
      <w:r>
        <w:rPr>
          <w:spacing w:val="-2"/>
        </w:rPr>
        <w:t>平方米，共计</w:t>
      </w:r>
      <w:r>
        <w:rPr>
          <w:rFonts w:ascii="Times New Roman" w:hAnsi="Times New Roman" w:cs="Times New Roman" w:eastAsia="Times New Roman" w:hint="default"/>
          <w:spacing w:val="-2"/>
        </w:rPr>
        <w:t>4,508.45</w:t>
      </w:r>
      <w:r>
        <w:rPr>
          <w:spacing w:val="-2"/>
        </w:rPr>
        <w:t>平方米；③租用观澜高新园观益</w:t>
      </w:r>
      <w:r>
        <w:rPr>
          <w:rFonts w:ascii="Times New Roman" w:hAnsi="Times New Roman" w:cs="Times New Roman" w:eastAsia="Times New Roman" w:hint="default"/>
          <w:spacing w:val="-2"/>
        </w:rPr>
        <w:t>3</w:t>
      </w:r>
      <w:r>
        <w:rPr>
          <w:spacing w:val="-2"/>
        </w:rPr>
        <w:t>号机房，数据中心</w:t>
      </w:r>
      <w:r>
        <w:rPr>
          <w:spacing w:val="-53"/>
        </w:rPr>
        <w:t> </w:t>
      </w:r>
      <w:r>
        <w:rPr>
          <w:spacing w:val="-53"/>
        </w:rPr>
      </w:r>
      <w:r>
        <w:rPr/>
        <w:t>二期一楼</w:t>
      </w:r>
      <w:r>
        <w:rPr>
          <w:rFonts w:ascii="Times New Roman" w:hAnsi="Times New Roman" w:cs="Times New Roman" w:eastAsia="Times New Roman" w:hint="default"/>
        </w:rPr>
        <w:t>1,100</w:t>
      </w:r>
      <w:r>
        <w:rPr/>
        <w:t>平方米，数据中心二期三楼</w:t>
      </w:r>
      <w:r>
        <w:rPr>
          <w:rFonts w:ascii="Times New Roman" w:hAnsi="Times New Roman" w:cs="Times New Roman" w:eastAsia="Times New Roman" w:hint="default"/>
        </w:rPr>
        <w:t>3,300</w:t>
      </w:r>
      <w:r>
        <w:rPr/>
        <w:t>平方米，公计</w:t>
      </w:r>
      <w:r>
        <w:rPr>
          <w:rFonts w:ascii="Times New Roman" w:hAnsi="Times New Roman" w:cs="Times New Roman" w:eastAsia="Times New Roman" w:hint="default"/>
        </w:rPr>
        <w:t>4,400</w:t>
      </w:r>
      <w:r>
        <w:rPr/>
        <w:t>平方米。</w:t>
      </w:r>
    </w:p>
    <w:p>
      <w:pPr>
        <w:spacing w:after="0" w:line="244" w:lineRule="auto"/>
        <w:jc w:val="left"/>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spacing w:before="36"/>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）关联担保情况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996"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before="35"/>
              <w:ind w:left="23" w:right="24"/>
              <w:jc w:val="left"/>
              <w:rPr>
                <w:rFonts w:ascii="宋体" w:hAnsi="宋体" w:cs="宋体" w:eastAsia="宋体" w:hint="default"/>
                <w:sz w:val="20"/>
                <w:szCs w:val="20"/>
              </w:rPr>
            </w:pPr>
            <w:r>
              <w:rPr>
                <w:rFonts w:ascii="宋体" w:hAnsi="宋体" w:cs="宋体" w:eastAsia="宋体" w:hint="default"/>
                <w:spacing w:val="6"/>
                <w:sz w:val="20"/>
                <w:szCs w:val="20"/>
              </w:rPr>
              <w:t>债务履行期限届满之</w:t>
            </w:r>
            <w:r>
              <w:rPr>
                <w:rFonts w:ascii="宋体" w:hAnsi="宋体" w:cs="宋体" w:eastAsia="宋体" w:hint="default"/>
                <w:w w:val="99"/>
                <w:sz w:val="20"/>
                <w:szCs w:val="20"/>
              </w:rPr>
              <w:t> </w:t>
            </w:r>
            <w:r>
              <w:rPr>
                <w:rFonts w:ascii="宋体" w:hAnsi="宋体" w:cs="宋体" w:eastAsia="宋体" w:hint="default"/>
                <w:sz w:val="20"/>
                <w:szCs w:val="20"/>
              </w:rPr>
              <w:t>日起两年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宝德控股、李瑞杰</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3"/>
              <w:ind w:left="23" w:right="24"/>
              <w:jc w:val="left"/>
              <w:rPr>
                <w:rFonts w:ascii="宋体" w:hAnsi="宋体" w:cs="宋体" w:eastAsia="宋体" w:hint="default"/>
                <w:sz w:val="20"/>
                <w:szCs w:val="20"/>
              </w:rPr>
            </w:pPr>
            <w:r>
              <w:rPr>
                <w:rFonts w:ascii="宋体" w:hAnsi="宋体" w:cs="宋体" w:eastAsia="宋体" w:hint="default"/>
                <w:spacing w:val="6"/>
                <w:sz w:val="20"/>
                <w:szCs w:val="20"/>
              </w:rPr>
              <w:t>债务履行期限届满之</w:t>
            </w:r>
            <w:r>
              <w:rPr>
                <w:rFonts w:ascii="宋体" w:hAnsi="宋体" w:cs="宋体" w:eastAsia="宋体" w:hint="default"/>
                <w:w w:val="99"/>
                <w:sz w:val="20"/>
                <w:szCs w:val="20"/>
              </w:rPr>
              <w:t> </w:t>
            </w:r>
            <w:r>
              <w:rPr>
                <w:rFonts w:ascii="宋体" w:hAnsi="宋体" w:cs="宋体" w:eastAsia="宋体" w:hint="default"/>
                <w:sz w:val="20"/>
                <w:szCs w:val="20"/>
              </w:rPr>
              <w:t>日起两年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1"/>
              <w:jc w:val="left"/>
              <w:rPr>
                <w:rFonts w:ascii="宋体" w:hAnsi="宋体" w:cs="宋体" w:eastAsia="宋体" w:hint="default"/>
                <w:sz w:val="18"/>
                <w:szCs w:val="18"/>
              </w:rPr>
            </w:pPr>
            <w:r>
              <w:rPr>
                <w:rFonts w:ascii="宋体" w:hAnsi="宋体" w:cs="宋体" w:eastAsia="宋体" w:hint="default"/>
                <w:spacing w:val="-4"/>
                <w:sz w:val="18"/>
                <w:szCs w:val="18"/>
              </w:rPr>
              <w:t>宝德控股、鸿德房地产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李瑞杰、张云霞</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8" w:lineRule="exact"/>
              <w:ind w:left="850" w:right="0"/>
              <w:jc w:val="left"/>
              <w:rPr>
                <w:rFonts w:ascii="Times New Roman" w:hAnsi="Times New Roman" w:cs="Times New Roman" w:eastAsia="Times New Roman" w:hint="default"/>
                <w:sz w:val="18"/>
                <w:szCs w:val="18"/>
              </w:rPr>
            </w:pPr>
            <w:r>
              <w:rPr>
                <w:rFonts w:ascii="Times New Roman"/>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before="35"/>
              <w:ind w:left="23" w:right="24"/>
              <w:jc w:val="left"/>
              <w:rPr>
                <w:rFonts w:ascii="宋体" w:hAnsi="宋体" w:cs="宋体" w:eastAsia="宋体" w:hint="default"/>
                <w:sz w:val="20"/>
                <w:szCs w:val="20"/>
              </w:rPr>
            </w:pPr>
            <w:r>
              <w:rPr>
                <w:rFonts w:ascii="宋体" w:hAnsi="宋体" w:cs="宋体" w:eastAsia="宋体" w:hint="default"/>
                <w:spacing w:val="6"/>
                <w:sz w:val="20"/>
                <w:szCs w:val="20"/>
              </w:rPr>
              <w:t>债务履行期限届满之</w:t>
            </w:r>
            <w:r>
              <w:rPr>
                <w:rFonts w:ascii="宋体" w:hAnsi="宋体" w:cs="宋体" w:eastAsia="宋体" w:hint="default"/>
                <w:w w:val="99"/>
                <w:sz w:val="20"/>
                <w:szCs w:val="20"/>
              </w:rPr>
              <w:t> </w:t>
            </w:r>
            <w:r>
              <w:rPr>
                <w:rFonts w:ascii="宋体" w:hAnsi="宋体" w:cs="宋体" w:eastAsia="宋体" w:hint="default"/>
                <w:sz w:val="20"/>
                <w:szCs w:val="20"/>
              </w:rPr>
              <w:t>日起两年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宝德控股、李瑞杰、张 云霞</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3"/>
              <w:ind w:left="23" w:right="24"/>
              <w:jc w:val="left"/>
              <w:rPr>
                <w:rFonts w:ascii="宋体" w:hAnsi="宋体" w:cs="宋体" w:eastAsia="宋体" w:hint="default"/>
                <w:sz w:val="20"/>
                <w:szCs w:val="20"/>
              </w:rPr>
            </w:pPr>
            <w:r>
              <w:rPr>
                <w:rFonts w:ascii="宋体" w:hAnsi="宋体" w:cs="宋体" w:eastAsia="宋体" w:hint="default"/>
                <w:spacing w:val="6"/>
                <w:sz w:val="20"/>
                <w:szCs w:val="20"/>
              </w:rPr>
              <w:t>债务履行期限届满之</w:t>
            </w:r>
            <w:r>
              <w:rPr>
                <w:rFonts w:ascii="宋体" w:hAnsi="宋体" w:cs="宋体" w:eastAsia="宋体" w:hint="default"/>
                <w:w w:val="99"/>
                <w:sz w:val="20"/>
                <w:szCs w:val="20"/>
              </w:rPr>
              <w:t> </w:t>
            </w:r>
            <w:r>
              <w:rPr>
                <w:rFonts w:ascii="宋体" w:hAnsi="宋体" w:cs="宋体" w:eastAsia="宋体" w:hint="default"/>
                <w:sz w:val="20"/>
                <w:szCs w:val="20"/>
              </w:rPr>
              <w:t>日起两年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宝德控股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before="35"/>
              <w:ind w:left="23" w:right="24"/>
              <w:jc w:val="left"/>
              <w:rPr>
                <w:rFonts w:ascii="宋体" w:hAnsi="宋体" w:cs="宋体" w:eastAsia="宋体" w:hint="default"/>
                <w:sz w:val="20"/>
                <w:szCs w:val="20"/>
              </w:rPr>
            </w:pPr>
            <w:r>
              <w:rPr>
                <w:rFonts w:ascii="宋体" w:hAnsi="宋体" w:cs="宋体" w:eastAsia="宋体" w:hint="default"/>
                <w:spacing w:val="6"/>
                <w:sz w:val="20"/>
                <w:szCs w:val="20"/>
              </w:rPr>
              <w:t>债务履行期限届满之</w:t>
            </w:r>
            <w:r>
              <w:rPr>
                <w:rFonts w:ascii="宋体" w:hAnsi="宋体" w:cs="宋体" w:eastAsia="宋体" w:hint="default"/>
                <w:w w:val="99"/>
                <w:sz w:val="20"/>
                <w:szCs w:val="20"/>
              </w:rPr>
              <w:t> </w:t>
            </w:r>
            <w:r>
              <w:rPr>
                <w:rFonts w:ascii="宋体" w:hAnsi="宋体" w:cs="宋体" w:eastAsia="宋体" w:hint="default"/>
                <w:sz w:val="20"/>
                <w:szCs w:val="20"/>
              </w:rPr>
              <w:t>日起两年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pict>
          <v:group style="position:absolute;margin-left:152.660004pt;margin-top:-119.646339pt;width:95.2pt;height:27.9pt;mso-position-horizontal-relative:page;mso-position-vertical-relative:paragraph;z-index:-1243576" coordorigin="3053,-2393" coordsize="1904,558">
            <v:group style="position:absolute;left:3053;top:-2393;width:1904;height:156" coordorigin="3053,-2393" coordsize="1904,156">
              <v:shape style="position:absolute;left:3053;top:-2393;width:1904;height:156" coordorigin="3053,-2393" coordsize="1904,156" path="m3053,-2237l4957,-2237,4957,-2393,3053,-2393,3053,-2237xe" filled="true" fillcolor="#ffffff" stroked="false">
                <v:path arrowok="t"/>
                <v:fill type="solid"/>
              </v:shape>
            </v:group>
            <v:group style="position:absolute;left:3064;top:-2237;width:2;height:392" coordorigin="3064,-2237" coordsize="2,392">
              <v:shape style="position:absolute;left:3064;top:-2237;width:2;height:392" coordorigin="3064,-2237" coordsize="0,392" path="m3064,-2237l3064,-1846e" filled="false" stroked="true" strokeweight="1.08pt" strokecolor="#ffffff">
                <v:path arrowok="t"/>
              </v:shape>
            </v:group>
            <v:group style="position:absolute;left:3075;top:-2237;width:1861;height:392" coordorigin="3075,-2237" coordsize="1861,392">
              <v:shape style="position:absolute;left:3075;top:-2237;width:1861;height:392" coordorigin="3075,-2237" coordsize="1861,392" path="m3075,-1846l4935,-1846,4935,-2237,3075,-2237,3075,-1846xe" filled="true" fillcolor="#ffffff" stroked="false">
                <v:path arrowok="t"/>
                <v:fill type="solid"/>
              </v:shape>
            </v:group>
            <w10:wrap type="none"/>
          </v:group>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）关键管理人员报酬</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薪酬合计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2,486,356.26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2,477,783.99</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）其他关联交易</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）应收项目</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深圳市速必拓网络 科技有限公司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10,287,844.13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308,635.32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12,604,222.49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630,211.12</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湖南省梦回凤凰文 化旅游投资有限责 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550,000.00</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深圳市恒德小额贷 款有限公司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809,811.76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40,490.59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贵州金沙安底斗酒 酒业有限公司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宝德网络安全系统</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（深圳）有限公司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4,720.00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141.60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14,292,564.13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428,776.92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24,414,034.25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1,220,701.71</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广州卓游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2,697,427.56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2,697,427.56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宝德控股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53,993.60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2,699.68</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宝德科技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588,703.85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82,248.36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996,300.95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49,815.06</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深圳鸿德房地产开 发有限公司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2,002,798.45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300,419.77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深圳鹏德创业投资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559,592.96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83,938.94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3,151,095.26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382,668.13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3,747,722.11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2,749,942.30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宝德科技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12,325,904.11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7,436,144.68</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深圳市宝德计算机 系统有限公司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6,327,684.00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上海巨贤</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18,653,588.11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8,636,144.68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）应付项目</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宝德科技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49,500.00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深圳市速必拓网络科技有限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96,116.00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52,432.00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上海巨贤网络科技有限公司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495,325.41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392,544.91</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深圳市萝卜互动科技有限公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1,221,366.53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2,084,143.01</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1,812,807.94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2,578,619.92</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宝德科技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89,184,407.19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199,201,490.08</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宝德控股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757,206.40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北京京西北房地产开发集团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15,575,000.00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14,350,000.00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深圳市速必拓网络科技有限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960,151.02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260,151.02</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深圳中付通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107,814.42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107,814.42</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深圳鸿德房地产开发有限公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686,351.52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686,351.52</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李逸伦</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142,088.91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65,585.93</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711.55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279.73</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107,413,731.01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214,671,672.70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宝德科技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730,650.00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上海巨贤网络科技有限公司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1,370.00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1,370.00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732,020.00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1,370.00</w:t>
            </w:r>
          </w:p>
        </w:tc>
      </w:tr>
    </w:tbl>
    <w:p>
      <w:pPr>
        <w:spacing w:line="240" w:lineRule="auto" w:before="3"/>
        <w:rPr>
          <w:rFonts w:ascii="宋体" w:hAnsi="宋体" w:cs="宋体" w:eastAsia="宋体" w:hint="default"/>
          <w:sz w:val="19"/>
          <w:szCs w:val="19"/>
        </w:rPr>
      </w:pPr>
    </w:p>
    <w:p>
      <w:pPr>
        <w:spacing w:line="487" w:lineRule="auto" w:before="36"/>
        <w:ind w:left="152" w:right="875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、关联方承诺</w:t>
      </w:r>
      <w:r>
        <w:rPr>
          <w:rFonts w:ascii="宋体" w:hAnsi="宋体" w:cs="宋体" w:eastAsia="宋体" w:hint="default"/>
          <w:b/>
          <w:bCs/>
          <w:spacing w:val="-103"/>
          <w:sz w:val="21"/>
          <w:szCs w:val="21"/>
        </w:rPr>
        <w:t> </w:t>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102"/>
        <w:ind w:left="152" w:right="9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431,700.00</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1,871,000.00</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、以权益结算的股份支付情况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9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716"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采用</w:t>
            </w:r>
            <w:r>
              <w:rPr>
                <w:rFonts w:ascii="Times New Roman" w:hAnsi="Times New Roman" w:cs="Times New Roman" w:eastAsia="Times New Roman" w:hint="default"/>
                <w:sz w:val="18"/>
                <w:szCs w:val="18"/>
              </w:rPr>
              <w:t>"</w:t>
            </w:r>
            <w:r>
              <w:rPr>
                <w:rFonts w:ascii="宋体" w:hAnsi="宋体" w:cs="宋体" w:eastAsia="宋体" w:hint="default"/>
                <w:sz w:val="18"/>
                <w:szCs w:val="18"/>
              </w:rPr>
              <w:t>布莱克斯科尔斯默顿</w:t>
            </w:r>
            <w:r>
              <w:rPr>
                <w:rFonts w:ascii="Times New Roman" w:hAnsi="Times New Roman" w:cs="Times New Roman" w:eastAsia="Times New Roman" w:hint="default"/>
                <w:sz w:val="18"/>
                <w:szCs w:val="18"/>
              </w:rPr>
              <w:t>"</w:t>
            </w:r>
            <w:r>
              <w:rPr>
                <w:rFonts w:ascii="宋体" w:hAnsi="宋体" w:cs="宋体" w:eastAsia="宋体" w:hint="default"/>
                <w:sz w:val="18"/>
                <w:szCs w:val="18"/>
              </w:rPr>
              <w:t>期权定价公式（</w:t>
            </w:r>
            <w:r>
              <w:rPr>
                <w:rFonts w:ascii="Times New Roman" w:hAnsi="Times New Roman" w:cs="Times New Roman" w:eastAsia="Times New Roman" w:hint="default"/>
                <w:sz w:val="18"/>
                <w:szCs w:val="18"/>
              </w:rPr>
              <w:t>BS</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模型）确定</w:t>
            </w:r>
            <w:r>
              <w:rPr>
                <w:rFonts w:ascii="宋体" w:hAnsi="宋体" w:cs="宋体" w:eastAsia="宋体" w:hint="default"/>
                <w:sz w:val="18"/>
                <w:szCs w:val="18"/>
              </w:rPr>
              <w:t> 授予的期权的公允价值</w:t>
            </w:r>
          </w:p>
        </w:tc>
      </w:tr>
      <w:tr>
        <w:trPr>
          <w:trHeight w:val="1025"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1"/>
              <w:jc w:val="both"/>
              <w:rPr>
                <w:rFonts w:ascii="宋体" w:hAnsi="宋体" w:cs="宋体" w:eastAsia="宋体" w:hint="default"/>
                <w:sz w:val="18"/>
                <w:szCs w:val="18"/>
              </w:rPr>
            </w:pPr>
            <w:r>
              <w:rPr>
                <w:rFonts w:ascii="宋体" w:hAnsi="宋体" w:cs="宋体" w:eastAsia="宋体" w:hint="default"/>
                <w:sz w:val="18"/>
                <w:szCs w:val="18"/>
              </w:rPr>
              <w:t>被授予期权的职工均为公司高管及核心管理人员，本公司 根据实际离职情况以及公司未来发展状况合理估计未来将 离职的职工人数</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4,666,479.38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4,666,479.38</w:t>
            </w:r>
          </w:p>
        </w:tc>
      </w:tr>
    </w:tbl>
    <w:p>
      <w:pPr>
        <w:spacing w:line="240" w:lineRule="auto" w:before="0"/>
        <w:rPr>
          <w:rFonts w:ascii="宋体" w:hAnsi="宋体" w:cs="宋体" w:eastAsia="宋体" w:hint="default"/>
          <w:sz w:val="5"/>
          <w:szCs w:val="5"/>
        </w:rPr>
      </w:pPr>
    </w:p>
    <w:p>
      <w:pPr>
        <w:pStyle w:val="BodyText"/>
        <w:spacing w:line="244" w:lineRule="auto" w:before="32"/>
        <w:ind w:right="1132" w:firstLine="439"/>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9</w:t>
      </w:r>
      <w:r>
        <w:rPr/>
        <w:t>日，公司召开</w:t>
      </w:r>
      <w:r>
        <w:rPr>
          <w:rFonts w:ascii="Times New Roman" w:hAnsi="Times New Roman" w:cs="Times New Roman" w:eastAsia="Times New Roman" w:hint="default"/>
        </w:rPr>
        <w:t>2018</w:t>
      </w:r>
      <w:r>
        <w:rPr/>
        <w:t>年第二次临时股东大会，审议并通过了《关于</w:t>
      </w:r>
      <w:r>
        <w:rPr>
          <w:rFonts w:ascii="Times New Roman" w:hAnsi="Times New Roman" w:cs="Times New Roman" w:eastAsia="Times New Roman" w:hint="default"/>
        </w:rPr>
        <w:t>&lt;</w:t>
      </w:r>
      <w:r>
        <w:rPr/>
        <w:t>公司</w:t>
      </w:r>
      <w:r>
        <w:rPr>
          <w:rFonts w:ascii="Times New Roman" w:hAnsi="Times New Roman" w:cs="Times New Roman" w:eastAsia="Times New Roman" w:hint="default"/>
        </w:rPr>
        <w:t>2018</w:t>
      </w:r>
      <w:r>
        <w:rPr/>
        <w:t>年限制性</w:t>
      </w:r>
      <w:r>
        <w:rPr>
          <w:w w:val="100"/>
        </w:rPr>
        <w:t> </w:t>
      </w:r>
      <w:r>
        <w:rPr>
          <w:spacing w:val="-3"/>
        </w:rPr>
        <w:t>股票激励计划（草案）</w:t>
      </w:r>
      <w:r>
        <w:rPr>
          <w:rFonts w:ascii="Times New Roman" w:hAnsi="Times New Roman" w:cs="Times New Roman" w:eastAsia="Times New Roman" w:hint="default"/>
          <w:spacing w:val="-3"/>
        </w:rPr>
        <w:t>&gt;</w:t>
      </w:r>
      <w:r>
        <w:rPr>
          <w:spacing w:val="-3"/>
        </w:rPr>
        <w:t>及其摘要的议案》、《关于</w:t>
      </w:r>
      <w:r>
        <w:rPr>
          <w:rFonts w:ascii="Times New Roman" w:hAnsi="Times New Roman" w:cs="Times New Roman" w:eastAsia="Times New Roman" w:hint="default"/>
          <w:spacing w:val="-3"/>
        </w:rPr>
        <w:t>&lt;</w:t>
      </w:r>
      <w:r>
        <w:rPr>
          <w:spacing w:val="-3"/>
        </w:rPr>
        <w:t>公司</w:t>
      </w:r>
      <w:r>
        <w:rPr>
          <w:rFonts w:ascii="Times New Roman" w:hAnsi="Times New Roman" w:cs="Times New Roman" w:eastAsia="Times New Roman" w:hint="default"/>
          <w:spacing w:val="-3"/>
        </w:rPr>
        <w:t>2018</w:t>
      </w:r>
      <w:r>
        <w:rPr>
          <w:spacing w:val="-3"/>
        </w:rPr>
        <w:t>年限制性股票激励计划实施考核管理办</w:t>
      </w:r>
      <w:r>
        <w:rPr>
          <w:spacing w:val="-48"/>
        </w:rPr>
        <w:t> </w:t>
      </w:r>
      <w:r>
        <w:rPr>
          <w:spacing w:val="-48"/>
        </w:rPr>
      </w:r>
      <w:r>
        <w:rPr/>
        <w:t>法</w:t>
      </w:r>
      <w:r>
        <w:rPr>
          <w:rFonts w:ascii="Times New Roman" w:hAnsi="Times New Roman" w:cs="Times New Roman" w:eastAsia="Times New Roman" w:hint="default"/>
        </w:rPr>
        <w:t>&gt;</w:t>
      </w:r>
      <w:r>
        <w:rPr/>
        <w:t>的议案》及《关于提请股东大会授权董事会办理</w:t>
      </w:r>
      <w:r>
        <w:rPr>
          <w:rFonts w:ascii="Times New Roman" w:hAnsi="Times New Roman" w:cs="Times New Roman" w:eastAsia="Times New Roman" w:hint="default"/>
        </w:rPr>
        <w:t>2018</w:t>
      </w:r>
      <w:r>
        <w:rPr/>
        <w:t>年限制性股票激励计划有关事项的议案》。</w:t>
      </w:r>
      <w:r>
        <w:rPr>
          <w:w w:val="100"/>
        </w:rPr>
        <w:t> </w:t>
      </w:r>
      <w:r>
        <w:rPr/>
        <w:t>确定授予文毅等</w:t>
      </w:r>
      <w:r>
        <w:rPr>
          <w:rFonts w:ascii="Times New Roman" w:hAnsi="Times New Roman" w:cs="Times New Roman" w:eastAsia="Times New Roman" w:hint="default"/>
        </w:rPr>
        <w:t>46</w:t>
      </w:r>
      <w:r>
        <w:rPr/>
        <w:t>名激励对象共计</w:t>
      </w:r>
      <w:r>
        <w:rPr>
          <w:rFonts w:ascii="Times New Roman" w:hAnsi="Times New Roman" w:cs="Times New Roman" w:eastAsia="Times New Roman" w:hint="default"/>
        </w:rPr>
        <w:t>367</w:t>
      </w:r>
      <w:r>
        <w:rPr/>
        <w:t>万股限制性股票，授予日为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日，授予价格为</w:t>
      </w:r>
      <w:r>
        <w:rPr>
          <w:rFonts w:ascii="Times New Roman" w:hAnsi="Times New Roman" w:cs="Times New Roman" w:eastAsia="Times New Roman" w:hint="default"/>
        </w:rPr>
        <w:t>6.2</w:t>
      </w:r>
      <w:r>
        <w:rPr/>
        <w:t>元</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股；</w:t>
      </w:r>
    </w:p>
    <w:p>
      <w:pPr>
        <w:pStyle w:val="BodyText"/>
        <w:spacing w:line="244" w:lineRule="auto" w:before="139"/>
        <w:ind w:right="1128" w:firstLine="439"/>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3</w:t>
      </w:r>
      <w:r>
        <w:rPr>
          <w:spacing w:val="-2"/>
        </w:rPr>
        <w:t>日，公司召开了第四届董事会第二十四次（临时）会议和第四届监事会第十五次（临</w:t>
      </w:r>
      <w:r>
        <w:rPr>
          <w:w w:val="100"/>
        </w:rPr>
        <w:t> </w:t>
      </w:r>
      <w:r>
        <w:rPr/>
        <w:t>时）会议并于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15</w:t>
      </w:r>
      <w:r>
        <w:rPr/>
        <w:t>日召开了</w:t>
      </w:r>
      <w:r>
        <w:rPr>
          <w:rFonts w:ascii="Times New Roman" w:hAnsi="Times New Roman" w:cs="Times New Roman" w:eastAsia="Times New Roman" w:hint="default"/>
        </w:rPr>
        <w:t>2018</w:t>
      </w:r>
      <w:r>
        <w:rPr/>
        <w:t>年年度股东大会审议通过了《关于回购注销部分限制性股票</w:t>
      </w:r>
      <w:r>
        <w:rPr>
          <w:w w:val="100"/>
        </w:rPr>
        <w:t> </w:t>
      </w:r>
      <w:r>
        <w:rPr>
          <w:spacing w:val="-2"/>
        </w:rPr>
        <w:t>的议案》，同意回购注销已获授但尚未解锁的限制性股票共</w:t>
      </w:r>
      <w:r>
        <w:rPr>
          <w:rFonts w:ascii="Times New Roman" w:hAnsi="Times New Roman" w:cs="Times New Roman" w:eastAsia="Times New Roman" w:hint="default"/>
          <w:spacing w:val="-2"/>
        </w:rPr>
        <w:t>1,468,500</w:t>
      </w:r>
      <w:r>
        <w:rPr>
          <w:spacing w:val="-2"/>
        </w:rPr>
        <w:t>股，回购价格为</w:t>
      </w:r>
      <w:r>
        <w:rPr>
          <w:rFonts w:ascii="Times New Roman" w:hAnsi="Times New Roman" w:cs="Times New Roman" w:eastAsia="Times New Roman" w:hint="default"/>
          <w:spacing w:val="-2"/>
        </w:rPr>
        <w:t>6.20</w:t>
      </w:r>
      <w:r>
        <w:rPr>
          <w:spacing w:val="-2"/>
        </w:rPr>
        <w:t>元</w:t>
      </w:r>
      <w:r>
        <w:rPr>
          <w:rFonts w:ascii="Times New Roman" w:hAnsi="Times New Roman" w:cs="Times New Roman" w:eastAsia="Times New Roman" w:hint="default"/>
          <w:spacing w:val="-2"/>
        </w:rPr>
        <w:t>/</w:t>
      </w:r>
      <w:r>
        <w:rPr>
          <w:spacing w:val="-2"/>
        </w:rPr>
        <w:t>股加银行</w:t>
      </w:r>
      <w:r>
        <w:rPr>
          <w:spacing w:val="-59"/>
        </w:rPr>
        <w:t> </w:t>
      </w:r>
      <w:r>
        <w:rPr>
          <w:spacing w:val="-59"/>
        </w:rPr>
      </w:r>
      <w:r>
        <w:rPr/>
        <w:t>同期存款利息。</w:t>
      </w:r>
    </w:p>
    <w:p>
      <w:pPr>
        <w:spacing w:line="240" w:lineRule="auto" w:before="11"/>
        <w:rPr>
          <w:rFonts w:ascii="宋体" w:hAnsi="宋体" w:cs="宋体" w:eastAsia="宋体" w:hint="default"/>
          <w:sz w:val="19"/>
          <w:szCs w:val="19"/>
        </w:rPr>
      </w:pPr>
    </w:p>
    <w:p>
      <w:pPr>
        <w:pStyle w:val="BodyText"/>
        <w:spacing w:line="244" w:lineRule="auto"/>
        <w:ind w:right="1127" w:firstLine="439"/>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25</w:t>
      </w:r>
      <w:r>
        <w:rPr/>
        <w:t>日，公司召开第四届董事会第二十六次会议及第四届监事会第十七次会议，审议通</w:t>
      </w:r>
      <w:r>
        <w:rPr>
          <w:w w:val="100"/>
        </w:rPr>
        <w:t> </w:t>
      </w:r>
      <w:r>
        <w:rPr>
          <w:spacing w:val="-2"/>
        </w:rPr>
        <w:t>过了《关于调整公司</w:t>
      </w:r>
      <w:r>
        <w:rPr>
          <w:rFonts w:ascii="Times New Roman" w:hAnsi="Times New Roman" w:cs="Times New Roman" w:eastAsia="Times New Roman" w:hint="default"/>
          <w:spacing w:val="-2"/>
        </w:rPr>
        <w:t>2018</w:t>
      </w:r>
      <w:r>
        <w:rPr>
          <w:spacing w:val="-2"/>
        </w:rPr>
        <w:t>年限制性股票激励计划预留授予限制性股票授予价格的议案》、《关于向激</w:t>
      </w:r>
      <w:r>
        <w:rPr>
          <w:spacing w:val="-70"/>
        </w:rPr>
        <w:t> </w:t>
      </w:r>
      <w:r>
        <w:rPr>
          <w:spacing w:val="-70"/>
        </w:rPr>
      </w:r>
      <w:r>
        <w:rPr/>
        <w:t>励对象授予预留限制性股票的议案》，鉴于公司 </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年限制性股票激励计划预留部分股份的授予条</w:t>
      </w:r>
      <w:r>
        <w:rPr>
          <w:w w:val="100"/>
        </w:rPr>
        <w:t> </w:t>
      </w:r>
      <w:r>
        <w:rPr/>
        <w:t>件已成就，公司董事会同意以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25</w:t>
      </w:r>
      <w:r>
        <w:rPr/>
        <w:t>日作为限制性股票的授予日，向符合条件的</w:t>
      </w:r>
      <w:r>
        <w:rPr>
          <w:rFonts w:ascii="Times New Roman" w:hAnsi="Times New Roman" w:cs="Times New Roman" w:eastAsia="Times New Roman" w:hint="default"/>
        </w:rPr>
        <w:t>14</w:t>
      </w:r>
      <w:r>
        <w:rPr/>
        <w:t>名激励对象</w:t>
      </w:r>
      <w:r>
        <w:rPr>
          <w:spacing w:val="-45"/>
        </w:rPr>
        <w:t> </w:t>
      </w:r>
      <w:r>
        <w:rPr>
          <w:spacing w:val="-45"/>
        </w:rPr>
      </w:r>
      <w:r>
        <w:rPr>
          <w:spacing w:val="-1"/>
        </w:rPr>
        <w:t>授予</w:t>
      </w:r>
      <w:r>
        <w:rPr>
          <w:rFonts w:ascii="Times New Roman" w:hAnsi="Times New Roman" w:cs="Times New Roman" w:eastAsia="Times New Roman" w:hint="default"/>
          <w:spacing w:val="-1"/>
        </w:rPr>
        <w:t>70.77</w:t>
      </w:r>
      <w:r>
        <w:rPr>
          <w:spacing w:val="-1"/>
        </w:rPr>
        <w:t>万股预留限制性股票，授予价格为</w:t>
      </w:r>
      <w:r>
        <w:rPr>
          <w:rFonts w:ascii="Times New Roman" w:hAnsi="Times New Roman" w:cs="Times New Roman" w:eastAsia="Times New Roman" w:hint="default"/>
          <w:spacing w:val="-1"/>
        </w:rPr>
        <w:t>6.18</w:t>
      </w:r>
      <w:r>
        <w:rPr>
          <w:spacing w:val="-1"/>
        </w:rPr>
        <w:t>元</w:t>
      </w:r>
      <w:r>
        <w:rPr>
          <w:rFonts w:ascii="Times New Roman" w:hAnsi="Times New Roman" w:cs="Times New Roman" w:eastAsia="Times New Roman" w:hint="default"/>
          <w:spacing w:val="-1"/>
        </w:rPr>
        <w:t>/</w:t>
      </w:r>
      <w:r>
        <w:rPr>
          <w:spacing w:val="-1"/>
        </w:rPr>
        <w:t>股。</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25</w:t>
      </w:r>
      <w:r>
        <w:rPr>
          <w:spacing w:val="-1"/>
        </w:rPr>
        <w:t>日，公司召开第四届董事会第二</w:t>
      </w:r>
      <w:r>
        <w:rPr>
          <w:spacing w:val="-58"/>
        </w:rPr>
        <w:t> </w:t>
      </w:r>
      <w:r>
        <w:rPr>
          <w:spacing w:val="-58"/>
        </w:rPr>
      </w:r>
      <w:r>
        <w:rPr>
          <w:spacing w:val="-2"/>
        </w:rPr>
        <w:t>十七次会议及第四届监事会第十八次会议，审议通过了《关于调整</w:t>
      </w:r>
      <w:r>
        <w:rPr>
          <w:rFonts w:ascii="Times New Roman" w:hAnsi="Times New Roman" w:cs="Times New Roman" w:eastAsia="Times New Roman" w:hint="default"/>
          <w:spacing w:val="-2"/>
        </w:rPr>
        <w:t>2018</w:t>
      </w:r>
      <w:r>
        <w:rPr>
          <w:spacing w:val="-2"/>
        </w:rPr>
        <w:t>年限制性股票激励计划预留授</w:t>
      </w:r>
      <w:r>
        <w:rPr>
          <w:spacing w:val="-65"/>
        </w:rPr>
        <w:t> </w:t>
      </w:r>
      <w:r>
        <w:rPr>
          <w:spacing w:val="-65"/>
        </w:rPr>
      </w:r>
      <w:r>
        <w:rPr>
          <w:spacing w:val="-2"/>
        </w:rPr>
        <w:t>予激励对象名单、授予数量的议案》，本次激励计划预留授予的激励对象由</w:t>
      </w:r>
      <w:r>
        <w:rPr>
          <w:rFonts w:ascii="Times New Roman" w:hAnsi="Times New Roman" w:cs="Times New Roman" w:eastAsia="Times New Roman" w:hint="default"/>
          <w:spacing w:val="-2"/>
        </w:rPr>
        <w:t>14</w:t>
      </w:r>
      <w:r>
        <w:rPr>
          <w:spacing w:val="-2"/>
        </w:rPr>
        <w:t>名调整为</w:t>
      </w:r>
      <w:r>
        <w:rPr>
          <w:rFonts w:ascii="Times New Roman" w:hAnsi="Times New Roman" w:cs="Times New Roman" w:eastAsia="Times New Roman" w:hint="default"/>
          <w:spacing w:val="-2"/>
        </w:rPr>
        <w:t>12</w:t>
      </w:r>
      <w:r>
        <w:rPr>
          <w:spacing w:val="-2"/>
        </w:rPr>
        <w:t>名，本次激</w:t>
      </w:r>
      <w:r>
        <w:rPr>
          <w:spacing w:val="-65"/>
        </w:rPr>
        <w:t> </w:t>
      </w:r>
      <w:r>
        <w:rPr>
          <w:spacing w:val="-65"/>
        </w:rPr>
      </w:r>
      <w:r>
        <w:rPr/>
        <w:t>励计划拟授予的预留限制性股票数量由</w:t>
      </w:r>
      <w:r>
        <w:rPr>
          <w:rFonts w:ascii="Times New Roman" w:hAnsi="Times New Roman" w:cs="Times New Roman" w:eastAsia="Times New Roman" w:hint="default"/>
        </w:rPr>
        <w:t>70.77</w:t>
      </w:r>
      <w:r>
        <w:rPr/>
        <w:t>万股调整为</w:t>
      </w:r>
      <w:r>
        <w:rPr>
          <w:rFonts w:ascii="Times New Roman" w:hAnsi="Times New Roman" w:cs="Times New Roman" w:eastAsia="Times New Roman" w:hint="default"/>
        </w:rPr>
        <w:t>43.17</w:t>
      </w:r>
      <w:r>
        <w:rPr/>
        <w:t>万股。本次授予预留限制性股票事项完</w:t>
      </w:r>
      <w:r>
        <w:rPr>
          <w:spacing w:val="-47"/>
        </w:rPr>
        <w:t> </w:t>
      </w:r>
      <w:r>
        <w:rPr>
          <w:spacing w:val="-47"/>
        </w:rPr>
      </w:r>
      <w:r>
        <w:rPr/>
        <w:t>成后，公司总股本由</w:t>
      </w:r>
      <w:r>
        <w:rPr>
          <w:rFonts w:ascii="Times New Roman" w:hAnsi="Times New Roman" w:cs="Times New Roman" w:eastAsia="Times New Roman" w:hint="default"/>
        </w:rPr>
        <w:t>263,240,100</w:t>
      </w:r>
      <w:r>
        <w:rPr/>
        <w:t>股增加至</w:t>
      </w:r>
      <w:r>
        <w:rPr>
          <w:rFonts w:ascii="Times New Roman" w:hAnsi="Times New Roman" w:cs="Times New Roman" w:eastAsia="Times New Roman" w:hint="default"/>
        </w:rPr>
        <w:t>263,671,800</w:t>
      </w:r>
      <w:r>
        <w:rPr/>
        <w:t>股。</w:t>
      </w:r>
    </w:p>
    <w:p>
      <w:pPr>
        <w:pStyle w:val="BodyText"/>
        <w:spacing w:line="244" w:lineRule="auto" w:before="122"/>
        <w:ind w:right="996" w:firstLine="439"/>
        <w:jc w:val="left"/>
      </w:pP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20</w:t>
      </w:r>
      <w:r>
        <w:rPr>
          <w:spacing w:val="-1"/>
        </w:rPr>
        <w:t>日，公司召开了第四届董事会第二十九次会议，审议通过了《关于回购注销部分限</w:t>
      </w:r>
      <w:r>
        <w:rPr>
          <w:w w:val="100"/>
        </w:rPr>
        <w:t> </w:t>
      </w:r>
      <w:r>
        <w:rPr/>
        <w:t>制性股票的议案》，同意回购注销</w:t>
      </w:r>
      <w:r>
        <w:rPr>
          <w:rFonts w:ascii="Times New Roman" w:hAnsi="Times New Roman" w:cs="Times New Roman" w:eastAsia="Times New Roman" w:hint="default"/>
        </w:rPr>
        <w:t>402,500</w:t>
      </w:r>
      <w:r>
        <w:rPr>
          <w:rFonts w:ascii="Times New Roman" w:hAnsi="Times New Roman" w:cs="Times New Roman" w:eastAsia="Times New Roman" w:hint="default"/>
          <w:spacing w:val="30"/>
        </w:rPr>
        <w:t> </w:t>
      </w:r>
      <w:r>
        <w:rPr/>
        <w:t>股限制性股票。本次回购注销完成后，公司总股本由</w:t>
      </w:r>
      <w:r>
        <w:rPr>
          <w:w w:val="100"/>
        </w:rPr>
        <w:t> </w:t>
      </w:r>
      <w:r>
        <w:rPr>
          <w:rFonts w:ascii="Times New Roman" w:hAnsi="Times New Roman" w:cs="Times New Roman" w:eastAsia="Times New Roman" w:hint="default"/>
        </w:rPr>
        <w:t>263,671,800</w:t>
      </w:r>
      <w:r>
        <w:rPr/>
        <w:t>股减至</w:t>
      </w:r>
      <w:r>
        <w:rPr>
          <w:rFonts w:ascii="Times New Roman" w:hAnsi="Times New Roman" w:cs="Times New Roman" w:eastAsia="Times New Roman" w:hint="default"/>
        </w:rPr>
        <w:t>263,269,300</w:t>
      </w:r>
      <w:r>
        <w:rPr/>
        <w:t>股。</w:t>
      </w:r>
    </w:p>
    <w:p>
      <w:pPr>
        <w:pStyle w:val="BodyText"/>
        <w:spacing w:line="244" w:lineRule="auto" w:before="123"/>
        <w:ind w:right="1198" w:firstLine="439"/>
        <w:jc w:val="both"/>
      </w:pPr>
      <w:r>
        <w:rPr>
          <w:spacing w:val="-1"/>
        </w:rPr>
        <w:t>截至本报告期期末，</w:t>
      </w:r>
      <w:r>
        <w:rPr>
          <w:rFonts w:ascii="Times New Roman" w:hAnsi="Times New Roman" w:cs="Times New Roman" w:eastAsia="Times New Roman" w:hint="default"/>
          <w:spacing w:val="-1"/>
        </w:rPr>
        <w:t>2019</w:t>
      </w:r>
      <w:r>
        <w:rPr>
          <w:spacing w:val="-1"/>
        </w:rPr>
        <w:t>年度本公司收到</w:t>
      </w:r>
      <w:r>
        <w:rPr>
          <w:rFonts w:ascii="Times New Roman" w:hAnsi="Times New Roman" w:cs="Times New Roman" w:eastAsia="Times New Roman" w:hint="default"/>
          <w:spacing w:val="-1"/>
        </w:rPr>
        <w:t>43.17</w:t>
      </w:r>
      <w:r>
        <w:rPr>
          <w:spacing w:val="-1"/>
        </w:rPr>
        <w:t>万股限制性股票款</w:t>
      </w:r>
      <w:r>
        <w:rPr>
          <w:rFonts w:ascii="Times New Roman" w:hAnsi="Times New Roman" w:cs="Times New Roman" w:eastAsia="Times New Roman" w:hint="default"/>
          <w:spacing w:val="-1"/>
        </w:rPr>
        <w:t>2,667,906.00</w:t>
      </w:r>
      <w:r>
        <w:rPr>
          <w:spacing w:val="-1"/>
        </w:rPr>
        <w:t>元，限制性股票激</w:t>
      </w:r>
      <w:r>
        <w:rPr>
          <w:w w:val="100"/>
        </w:rPr>
        <w:t> </w:t>
      </w:r>
      <w:r>
        <w:rPr/>
        <w:t>励计划处于等待期内。</w:t>
      </w:r>
    </w:p>
    <w:p>
      <w:pPr>
        <w:pStyle w:val="BodyText"/>
        <w:spacing w:line="240" w:lineRule="auto" w:before="139"/>
        <w:ind w:left="592" w:right="996"/>
        <w:jc w:val="left"/>
      </w:pPr>
      <w:r>
        <w:rPr/>
        <w:t>截至本报告期期末，</w:t>
      </w:r>
      <w:r>
        <w:rPr>
          <w:rFonts w:ascii="Times New Roman" w:hAnsi="Times New Roman" w:cs="Times New Roman" w:eastAsia="Times New Roman" w:hint="default"/>
        </w:rPr>
        <w:t>2019</w:t>
      </w:r>
      <w:r>
        <w:rPr/>
        <w:t>年度本公司已支付回购</w:t>
      </w:r>
      <w:r>
        <w:rPr>
          <w:rFonts w:ascii="Times New Roman" w:hAnsi="Times New Roman" w:cs="Times New Roman" w:eastAsia="Times New Roman" w:hint="default"/>
        </w:rPr>
        <w:t>187.10</w:t>
      </w:r>
      <w:r>
        <w:rPr/>
        <w:t>万股限制性股票款</w:t>
      </w:r>
      <w:r>
        <w:rPr>
          <w:rFonts w:ascii="Times New Roman" w:hAnsi="Times New Roman" w:cs="Times New Roman" w:eastAsia="Times New Roman" w:hint="default"/>
        </w:rPr>
        <w:t>11,600,200.00</w:t>
      </w:r>
      <w:r>
        <w:rPr/>
        <w:t>元。</w:t>
      </w:r>
    </w:p>
    <w:p>
      <w:pPr>
        <w:spacing w:line="240" w:lineRule="auto" w:before="3"/>
        <w:rPr>
          <w:rFonts w:ascii="宋体" w:hAnsi="宋体" w:cs="宋体" w:eastAsia="宋体" w:hint="default"/>
          <w:sz w:val="24"/>
          <w:szCs w:val="24"/>
        </w:rPr>
      </w:pPr>
    </w:p>
    <w:p>
      <w:pPr>
        <w:spacing w:before="0"/>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、以现金结算的股份支付情况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9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996"/>
        <w:jc w:val="left"/>
        <w:rPr>
          <w:b w:val="0"/>
          <w:bCs w:val="0"/>
        </w:rPr>
      </w:pPr>
      <w:r>
        <w:rPr/>
        <w:t>十四、承诺及或有事项</w:t>
      </w:r>
      <w:r>
        <w:rPr>
          <w:b w:val="0"/>
          <w:bCs w:val="0"/>
        </w:rPr>
      </w:r>
    </w:p>
    <w:p>
      <w:pPr>
        <w:spacing w:line="240" w:lineRule="auto" w:before="12"/>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2845"/>
        <w:gridCol w:w="2844"/>
        <w:gridCol w:w="2844"/>
      </w:tblGrid>
      <w:tr>
        <w:trPr>
          <w:trHeight w:val="351" w:hRule="exact"/>
        </w:trPr>
        <w:tc>
          <w:tcPr>
            <w:tcW w:w="2845"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
              <w:ind w:left="7"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84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
              <w:ind w:left="1303"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844"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6" w:hRule="exact"/>
        </w:trPr>
        <w:tc>
          <w:tcPr>
            <w:tcW w:w="2845"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581" w:right="0"/>
              <w:jc w:val="left"/>
              <w:rPr>
                <w:rFonts w:ascii="宋体" w:hAnsi="宋体" w:cs="宋体" w:eastAsia="宋体" w:hint="default"/>
                <w:sz w:val="20"/>
                <w:szCs w:val="20"/>
              </w:rPr>
            </w:pPr>
            <w:r>
              <w:rPr>
                <w:rFonts w:ascii="宋体" w:hAnsi="宋体" w:cs="宋体" w:eastAsia="宋体" w:hint="default"/>
                <w:sz w:val="20"/>
                <w:szCs w:val="20"/>
              </w:rPr>
              <w:t>对外投资</w:t>
            </w:r>
          </w:p>
        </w:tc>
        <w:tc>
          <w:tcPr>
            <w:tcW w:w="2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88,137,512.49</w:t>
            </w:r>
            <w:r>
              <w:rPr>
                <w:rFonts w:ascii="Times New Roman"/>
                <w:sz w:val="20"/>
              </w:rPr>
            </w:r>
          </w:p>
        </w:tc>
        <w:tc>
          <w:tcPr>
            <w:tcW w:w="284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3"/>
              <w:ind w:right="6"/>
              <w:jc w:val="right"/>
              <w:rPr>
                <w:rFonts w:ascii="Times New Roman" w:hAnsi="Times New Roman" w:cs="Times New Roman" w:eastAsia="Times New Roman" w:hint="default"/>
                <w:sz w:val="20"/>
                <w:szCs w:val="20"/>
              </w:rPr>
            </w:pPr>
            <w:r>
              <w:rPr>
                <w:rFonts w:ascii="Times New Roman"/>
                <w:w w:val="95"/>
                <w:sz w:val="20"/>
              </w:rPr>
              <w:t>198,451,940.33</w:t>
            </w:r>
            <w:r>
              <w:rPr>
                <w:rFonts w:ascii="Times New Roman"/>
                <w:sz w:val="20"/>
              </w:rPr>
            </w:r>
          </w:p>
        </w:tc>
      </w:tr>
      <w:tr>
        <w:trPr>
          <w:trHeight w:val="348" w:hRule="exact"/>
        </w:trPr>
        <w:tc>
          <w:tcPr>
            <w:tcW w:w="2845"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581"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2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61,401,943.86</w:t>
            </w:r>
            <w:r>
              <w:rPr>
                <w:rFonts w:ascii="Times New Roman"/>
                <w:sz w:val="20"/>
              </w:rPr>
            </w:r>
          </w:p>
        </w:tc>
        <w:tc>
          <w:tcPr>
            <w:tcW w:w="284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6"/>
              <w:jc w:val="right"/>
              <w:rPr>
                <w:rFonts w:ascii="Times New Roman" w:hAnsi="Times New Roman" w:cs="Times New Roman" w:eastAsia="Times New Roman" w:hint="default"/>
                <w:sz w:val="20"/>
                <w:szCs w:val="20"/>
              </w:rPr>
            </w:pPr>
            <w:r>
              <w:rPr>
                <w:rFonts w:ascii="Times New Roman"/>
                <w:w w:val="95"/>
                <w:sz w:val="20"/>
              </w:rPr>
              <w:t>20,640,068.54</w:t>
            </w:r>
            <w:r>
              <w:rPr>
                <w:rFonts w:ascii="Times New Roman"/>
                <w:sz w:val="20"/>
              </w:rPr>
            </w:r>
          </w:p>
        </w:tc>
      </w:tr>
      <w:tr>
        <w:trPr>
          <w:trHeight w:val="348" w:hRule="exact"/>
        </w:trPr>
        <w:tc>
          <w:tcPr>
            <w:tcW w:w="2845"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1493"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b/>
                <w:w w:val="95"/>
                <w:sz w:val="20"/>
              </w:rPr>
              <w:t>149,539,456.35</w:t>
            </w:r>
            <w:r>
              <w:rPr>
                <w:rFonts w:ascii="Times New Roman"/>
                <w:sz w:val="20"/>
              </w:rPr>
            </w:r>
          </w:p>
        </w:tc>
        <w:tc>
          <w:tcPr>
            <w:tcW w:w="284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6"/>
              <w:jc w:val="right"/>
              <w:rPr>
                <w:rFonts w:ascii="Times New Roman" w:hAnsi="Times New Roman" w:cs="Times New Roman" w:eastAsia="Times New Roman" w:hint="default"/>
                <w:sz w:val="20"/>
                <w:szCs w:val="20"/>
              </w:rPr>
            </w:pPr>
            <w:r>
              <w:rPr>
                <w:rFonts w:ascii="Times New Roman"/>
                <w:b/>
                <w:w w:val="95"/>
                <w:sz w:val="20"/>
              </w:rPr>
              <w:t>219,092,008.87</w:t>
            </w:r>
            <w:r>
              <w:rPr>
                <w:rFonts w:ascii="Times New Roman"/>
                <w:sz w:val="20"/>
              </w:rPr>
            </w:r>
          </w:p>
        </w:tc>
      </w:tr>
    </w:tbl>
    <w:p>
      <w:pPr>
        <w:spacing w:line="240" w:lineRule="auto" w:before="0"/>
        <w:rPr>
          <w:rFonts w:ascii="宋体" w:hAnsi="宋体" w:cs="宋体" w:eastAsia="宋体" w:hint="default"/>
          <w:b/>
          <w:bCs/>
          <w:sz w:val="5"/>
          <w:szCs w:val="5"/>
        </w:rPr>
      </w:pPr>
    </w:p>
    <w:p>
      <w:pPr>
        <w:pStyle w:val="BodyText"/>
        <w:spacing w:line="240" w:lineRule="auto" w:before="32"/>
        <w:ind w:left="592" w:right="996"/>
        <w:jc w:val="left"/>
      </w:pPr>
      <w:r>
        <w:rPr/>
        <w:t>（</w:t>
      </w:r>
      <w:r>
        <w:rPr>
          <w:spacing w:val="-54"/>
        </w:rPr>
        <w:t> </w:t>
      </w:r>
      <w:r>
        <w:rPr>
          <w:rFonts w:ascii="Times New Roman" w:hAnsi="Times New Roman" w:cs="Times New Roman" w:eastAsia="Times New Roman" w:hint="default"/>
          <w:spacing w:val="10"/>
        </w:rPr>
        <w:t>1</w:t>
      </w:r>
      <w:r>
        <w:rPr>
          <w:spacing w:val="10"/>
        </w:rPr>
        <w:t>）截至</w:t>
      </w:r>
      <w:r>
        <w:rPr>
          <w:rFonts w:ascii="Times New Roman" w:hAnsi="Times New Roman" w:cs="Times New Roman" w:eastAsia="Times New Roman" w:hint="default"/>
          <w:spacing w:val="10"/>
        </w:rPr>
        <w:t>2019</w:t>
      </w:r>
      <w:r>
        <w:rPr>
          <w:spacing w:val="10"/>
        </w:rPr>
        <w:t>年</w:t>
      </w:r>
      <w:r>
        <w:rPr>
          <w:rFonts w:ascii="Times New Roman" w:hAnsi="Times New Roman" w:cs="Times New Roman" w:eastAsia="Times New Roman" w:hint="default"/>
          <w:spacing w:val="10"/>
        </w:rPr>
        <w:t>12</w:t>
      </w:r>
      <w:r>
        <w:rPr>
          <w:spacing w:val="10"/>
        </w:rPr>
        <w:t>月</w:t>
      </w:r>
      <w:r>
        <w:rPr>
          <w:spacing w:val="-54"/>
        </w:rPr>
        <w:t> </w:t>
      </w:r>
      <w:r>
        <w:rPr>
          <w:rFonts w:ascii="Times New Roman" w:hAnsi="Times New Roman" w:cs="Times New Roman" w:eastAsia="Times New Roman" w:hint="default"/>
          <w:spacing w:val="17"/>
        </w:rPr>
        <w:t>31</w:t>
      </w:r>
      <w:r>
        <w:rPr>
          <w:spacing w:val="17"/>
        </w:rPr>
        <w:t>日，本公司尚有已签订合同但未付的约定重大对外投资支出共计</w:t>
      </w:r>
      <w:r>
        <w:rPr/>
      </w:r>
    </w:p>
    <w:p>
      <w:pPr>
        <w:pStyle w:val="BodyText"/>
        <w:spacing w:line="240" w:lineRule="auto" w:before="7"/>
        <w:ind w:right="996"/>
        <w:jc w:val="left"/>
      </w:pPr>
      <w:r>
        <w:rPr>
          <w:rFonts w:ascii="Times New Roman" w:hAnsi="Times New Roman" w:cs="Times New Roman" w:eastAsia="Times New Roman" w:hint="default"/>
        </w:rPr>
        <w:t>88,137,512.49</w:t>
      </w:r>
      <w:r>
        <w:rPr/>
        <w:t>元，具体情况如下：</w:t>
      </w:r>
    </w:p>
    <w:p>
      <w:pPr>
        <w:spacing w:after="0" w:line="240" w:lineRule="auto"/>
        <w:jc w:val="left"/>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814"/>
        <w:gridCol w:w="1618"/>
        <w:gridCol w:w="2144"/>
        <w:gridCol w:w="1618"/>
        <w:gridCol w:w="1522"/>
        <w:gridCol w:w="1010"/>
      </w:tblGrid>
      <w:tr>
        <w:trPr>
          <w:trHeight w:val="663" w:hRule="exact"/>
        </w:trPr>
        <w:tc>
          <w:tcPr>
            <w:tcW w:w="814" w:type="dxa"/>
            <w:tcBorders>
              <w:top w:val="single" w:sz="6" w:space="0" w:color="000000"/>
              <w:left w:val="single" w:sz="6" w:space="0" w:color="000000"/>
              <w:bottom w:val="single" w:sz="8" w:space="0" w:color="000000"/>
              <w:right w:val="single" w:sz="6" w:space="0" w:color="000000"/>
            </w:tcBorders>
          </w:tcPr>
          <w:p>
            <w:pPr>
              <w:pStyle w:val="TableParagraph"/>
              <w:spacing w:line="285" w:lineRule="auto" w:before="1"/>
              <w:ind w:left="98" w:right="94"/>
              <w:jc w:val="left"/>
              <w:rPr>
                <w:rFonts w:ascii="宋体" w:hAnsi="宋体" w:cs="宋体" w:eastAsia="宋体" w:hint="default"/>
                <w:sz w:val="20"/>
                <w:szCs w:val="20"/>
              </w:rPr>
            </w:pPr>
            <w:r>
              <w:rPr>
                <w:rFonts w:ascii="宋体" w:hAnsi="宋体" w:cs="宋体" w:eastAsia="宋体" w:hint="default"/>
                <w:b/>
                <w:bCs/>
                <w:spacing w:val="2"/>
                <w:sz w:val="20"/>
                <w:szCs w:val="20"/>
              </w:rPr>
              <w:t>投资项</w:t>
            </w:r>
            <w:r>
              <w:rPr>
                <w:rFonts w:ascii="宋体" w:hAnsi="宋体" w:cs="宋体" w:eastAsia="宋体" w:hint="default"/>
                <w:b/>
                <w:bCs/>
                <w:spacing w:val="2"/>
                <w:w w:val="99"/>
                <w:sz w:val="20"/>
                <w:szCs w:val="20"/>
              </w:rPr>
              <w:t> </w:t>
            </w:r>
            <w:r>
              <w:rPr>
                <w:rFonts w:ascii="宋体" w:hAnsi="宋体" w:cs="宋体" w:eastAsia="宋体" w:hint="default"/>
                <w:b/>
                <w:bCs/>
                <w:spacing w:val="2"/>
                <w:sz w:val="20"/>
                <w:szCs w:val="20"/>
              </w:rPr>
              <w:t>目名称</w:t>
            </w:r>
            <w:r>
              <w:rPr>
                <w:rFonts w:ascii="宋体" w:hAnsi="宋体" w:cs="宋体" w:eastAsia="宋体" w:hint="default"/>
                <w:sz w:val="20"/>
                <w:szCs w:val="20"/>
              </w:rPr>
            </w:r>
          </w:p>
        </w:tc>
        <w:tc>
          <w:tcPr>
            <w:tcW w:w="161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
              <w:ind w:left="299" w:right="0"/>
              <w:jc w:val="left"/>
              <w:rPr>
                <w:rFonts w:ascii="宋体" w:hAnsi="宋体" w:cs="宋体" w:eastAsia="宋体" w:hint="default"/>
                <w:sz w:val="20"/>
                <w:szCs w:val="20"/>
              </w:rPr>
            </w:pPr>
            <w:r>
              <w:rPr>
                <w:rFonts w:ascii="宋体" w:hAnsi="宋体" w:cs="宋体" w:eastAsia="宋体" w:hint="default"/>
                <w:b/>
                <w:bCs/>
                <w:sz w:val="20"/>
                <w:szCs w:val="20"/>
              </w:rPr>
              <w:t>合同投资额</w:t>
            </w:r>
            <w:r>
              <w:rPr>
                <w:rFonts w:ascii="宋体" w:hAnsi="宋体" w:cs="宋体" w:eastAsia="宋体" w:hint="default"/>
                <w:sz w:val="20"/>
                <w:szCs w:val="20"/>
              </w:rPr>
            </w:r>
          </w:p>
        </w:tc>
        <w:tc>
          <w:tcPr>
            <w:tcW w:w="2144" w:type="dxa"/>
            <w:tcBorders>
              <w:top w:val="single" w:sz="6" w:space="0" w:color="000000"/>
              <w:left w:val="single" w:sz="6" w:space="0" w:color="000000"/>
              <w:bottom w:val="single" w:sz="8" w:space="0" w:color="000000"/>
              <w:right w:val="single" w:sz="6" w:space="0" w:color="000000"/>
            </w:tcBorders>
          </w:tcPr>
          <w:p>
            <w:pPr>
              <w:pStyle w:val="TableParagraph"/>
              <w:spacing w:line="285" w:lineRule="auto" w:before="1"/>
              <w:ind w:left="965" w:right="60" w:hanging="906"/>
              <w:jc w:val="left"/>
              <w:rPr>
                <w:rFonts w:ascii="宋体" w:hAnsi="宋体" w:cs="宋体" w:eastAsia="宋体" w:hint="default"/>
                <w:sz w:val="20"/>
                <w:szCs w:val="20"/>
              </w:rPr>
            </w:pPr>
            <w:r>
              <w:rPr>
                <w:rFonts w:ascii="宋体" w:hAnsi="宋体" w:cs="宋体" w:eastAsia="宋体" w:hint="default"/>
                <w:b/>
                <w:bCs/>
                <w:sz w:val="20"/>
                <w:szCs w:val="20"/>
              </w:rPr>
              <w:t>业绩补偿款冲减合同金</w:t>
            </w:r>
            <w:r>
              <w:rPr>
                <w:rFonts w:ascii="宋体" w:hAnsi="宋体" w:cs="宋体" w:eastAsia="宋体" w:hint="default"/>
                <w:b/>
                <w:bCs/>
                <w:w w:val="99"/>
                <w:sz w:val="20"/>
                <w:szCs w:val="20"/>
              </w:rPr>
              <w:t> </w:t>
            </w:r>
            <w:r>
              <w:rPr>
                <w:rFonts w:ascii="宋体" w:hAnsi="宋体" w:cs="宋体" w:eastAsia="宋体" w:hint="default"/>
                <w:b/>
                <w:bCs/>
                <w:sz w:val="20"/>
                <w:szCs w:val="20"/>
              </w:rPr>
              <w:t>额</w:t>
            </w:r>
            <w:r>
              <w:rPr>
                <w:rFonts w:ascii="宋体" w:hAnsi="宋体" w:cs="宋体" w:eastAsia="宋体" w:hint="default"/>
                <w:sz w:val="20"/>
                <w:szCs w:val="20"/>
              </w:rPr>
            </w:r>
          </w:p>
        </w:tc>
        <w:tc>
          <w:tcPr>
            <w:tcW w:w="161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
              <w:ind w:left="299" w:right="0"/>
              <w:jc w:val="left"/>
              <w:rPr>
                <w:rFonts w:ascii="宋体" w:hAnsi="宋体" w:cs="宋体" w:eastAsia="宋体" w:hint="default"/>
                <w:sz w:val="20"/>
                <w:szCs w:val="20"/>
              </w:rPr>
            </w:pPr>
            <w:r>
              <w:rPr>
                <w:rFonts w:ascii="宋体" w:hAnsi="宋体" w:cs="宋体" w:eastAsia="宋体" w:hint="default"/>
                <w:b/>
                <w:bCs/>
                <w:sz w:val="20"/>
                <w:szCs w:val="20"/>
              </w:rPr>
              <w:t>已付投资额</w:t>
            </w:r>
            <w:r>
              <w:rPr>
                <w:rFonts w:ascii="宋体" w:hAnsi="宋体" w:cs="宋体" w:eastAsia="宋体" w:hint="default"/>
                <w:sz w:val="20"/>
                <w:szCs w:val="20"/>
              </w:rPr>
            </w:r>
          </w:p>
        </w:tc>
        <w:tc>
          <w:tcPr>
            <w:tcW w:w="152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
              <w:ind w:left="251" w:right="0"/>
              <w:jc w:val="left"/>
              <w:rPr>
                <w:rFonts w:ascii="宋体" w:hAnsi="宋体" w:cs="宋体" w:eastAsia="宋体" w:hint="default"/>
                <w:sz w:val="20"/>
                <w:szCs w:val="20"/>
              </w:rPr>
            </w:pPr>
            <w:r>
              <w:rPr>
                <w:rFonts w:ascii="宋体" w:hAnsi="宋体" w:cs="宋体" w:eastAsia="宋体" w:hint="default"/>
                <w:b/>
                <w:bCs/>
                <w:sz w:val="20"/>
                <w:szCs w:val="20"/>
              </w:rPr>
              <w:t>未付投资额</w:t>
            </w:r>
            <w:r>
              <w:rPr>
                <w:rFonts w:ascii="宋体" w:hAnsi="宋体" w:cs="宋体" w:eastAsia="宋体" w:hint="default"/>
                <w:sz w:val="20"/>
                <w:szCs w:val="20"/>
              </w:rPr>
            </w:r>
          </w:p>
        </w:tc>
        <w:tc>
          <w:tcPr>
            <w:tcW w:w="1010" w:type="dxa"/>
            <w:tcBorders>
              <w:top w:val="single" w:sz="6" w:space="0" w:color="000000"/>
              <w:left w:val="single" w:sz="6" w:space="0" w:color="000000"/>
              <w:bottom w:val="single" w:sz="8" w:space="0" w:color="000000"/>
              <w:right w:val="nil" w:sz="6" w:space="0" w:color="auto"/>
            </w:tcBorders>
          </w:tcPr>
          <w:p>
            <w:pPr>
              <w:pStyle w:val="TableParagraph"/>
              <w:spacing w:line="285" w:lineRule="auto" w:before="1"/>
              <w:ind w:left="297" w:right="98" w:hanging="202"/>
              <w:jc w:val="left"/>
              <w:rPr>
                <w:rFonts w:ascii="宋体" w:hAnsi="宋体" w:cs="宋体" w:eastAsia="宋体" w:hint="default"/>
                <w:sz w:val="20"/>
                <w:szCs w:val="20"/>
              </w:rPr>
            </w:pPr>
            <w:r>
              <w:rPr>
                <w:rFonts w:ascii="宋体" w:hAnsi="宋体" w:cs="宋体" w:eastAsia="宋体" w:hint="default"/>
                <w:b/>
                <w:bCs/>
                <w:sz w:val="20"/>
                <w:szCs w:val="20"/>
              </w:rPr>
              <w:t>预计投资</w:t>
            </w:r>
            <w:r>
              <w:rPr>
                <w:rFonts w:ascii="宋体" w:hAnsi="宋体" w:cs="宋体" w:eastAsia="宋体" w:hint="default"/>
                <w:b/>
                <w:bCs/>
                <w:spacing w:val="2"/>
                <w:w w:val="99"/>
                <w:sz w:val="20"/>
                <w:szCs w:val="20"/>
              </w:rPr>
              <w:t> </w:t>
            </w:r>
            <w:r>
              <w:rPr>
                <w:rFonts w:ascii="宋体" w:hAnsi="宋体" w:cs="宋体" w:eastAsia="宋体" w:hint="default"/>
                <w:b/>
                <w:bCs/>
                <w:sz w:val="20"/>
                <w:szCs w:val="20"/>
              </w:rPr>
              <w:t>期间</w:t>
            </w:r>
            <w:r>
              <w:rPr>
                <w:rFonts w:ascii="宋体" w:hAnsi="宋体" w:cs="宋体" w:eastAsia="宋体" w:hint="default"/>
                <w:sz w:val="20"/>
                <w:szCs w:val="20"/>
              </w:rPr>
            </w:r>
          </w:p>
        </w:tc>
      </w:tr>
      <w:tr>
        <w:trPr>
          <w:trHeight w:val="658" w:hRule="exact"/>
        </w:trPr>
        <w:tc>
          <w:tcPr>
            <w:tcW w:w="814"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4" w:right="3"/>
              <w:jc w:val="left"/>
              <w:rPr>
                <w:rFonts w:ascii="宋体" w:hAnsi="宋体" w:cs="宋体" w:eastAsia="宋体" w:hint="default"/>
                <w:sz w:val="20"/>
                <w:szCs w:val="20"/>
              </w:rPr>
            </w:pPr>
            <w:r>
              <w:rPr>
                <w:rFonts w:ascii="宋体" w:hAnsi="宋体" w:cs="宋体" w:eastAsia="宋体" w:hint="default"/>
                <w:spacing w:val="48"/>
                <w:w w:val="99"/>
                <w:sz w:val="20"/>
                <w:szCs w:val="20"/>
              </w:rPr>
              <w:t>深圳</w:t>
            </w:r>
            <w:r>
              <w:rPr>
                <w:rFonts w:ascii="宋体" w:hAnsi="宋体" w:cs="宋体" w:eastAsia="宋体" w:hint="default"/>
                <w:spacing w:val="-4"/>
                <w:w w:val="99"/>
                <w:sz w:val="20"/>
                <w:szCs w:val="20"/>
              </w:rPr>
              <w:t> </w:t>
            </w:r>
            <w:r>
              <w:rPr>
                <w:rFonts w:ascii="宋体" w:hAnsi="宋体" w:cs="宋体" w:eastAsia="宋体" w:hint="default"/>
                <w:w w:val="99"/>
                <w:sz w:val="20"/>
                <w:szCs w:val="20"/>
              </w:rPr>
              <w:t>宝</w:t>
            </w:r>
            <w:r>
              <w:rPr>
                <w:rFonts w:ascii="宋体" w:hAnsi="宋体" w:cs="宋体" w:eastAsia="宋体" w:hint="default"/>
                <w:w w:val="99"/>
                <w:sz w:val="20"/>
                <w:szCs w:val="20"/>
              </w:rPr>
              <w:t> </w:t>
            </w:r>
            <w:r>
              <w:rPr>
                <w:rFonts w:ascii="宋体" w:hAnsi="宋体" w:cs="宋体" w:eastAsia="宋体" w:hint="default"/>
                <w:sz w:val="20"/>
                <w:szCs w:val="20"/>
              </w:rPr>
              <w:t>腾互联</w:t>
            </w:r>
          </w:p>
        </w:tc>
        <w:tc>
          <w:tcPr>
            <w:tcW w:w="161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left="350" w:right="0"/>
              <w:jc w:val="left"/>
              <w:rPr>
                <w:rFonts w:ascii="Times New Roman" w:hAnsi="Times New Roman" w:cs="Times New Roman" w:eastAsia="Times New Roman" w:hint="default"/>
                <w:sz w:val="20"/>
                <w:szCs w:val="20"/>
              </w:rPr>
            </w:pPr>
            <w:r>
              <w:rPr>
                <w:rFonts w:ascii="Times New Roman"/>
                <w:sz w:val="20"/>
              </w:rPr>
              <w:t>500,000,000.00</w:t>
            </w:r>
          </w:p>
        </w:tc>
        <w:tc>
          <w:tcPr>
            <w:tcW w:w="21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34,213,593.35</w:t>
            </w:r>
            <w:r>
              <w:rPr>
                <w:rFonts w:ascii="Times New Roman"/>
                <w:sz w:val="20"/>
              </w:rPr>
            </w:r>
          </w:p>
        </w:tc>
        <w:tc>
          <w:tcPr>
            <w:tcW w:w="161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left="350" w:right="0"/>
              <w:jc w:val="left"/>
              <w:rPr>
                <w:rFonts w:ascii="Times New Roman" w:hAnsi="Times New Roman" w:cs="Times New Roman" w:eastAsia="Times New Roman" w:hint="default"/>
                <w:sz w:val="20"/>
                <w:szCs w:val="20"/>
              </w:rPr>
            </w:pPr>
            <w:r>
              <w:rPr>
                <w:rFonts w:ascii="Times New Roman"/>
                <w:sz w:val="20"/>
              </w:rPr>
              <w:t>377,648,894.16</w:t>
            </w:r>
          </w:p>
        </w:tc>
        <w:tc>
          <w:tcPr>
            <w:tcW w:w="152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88,137,512.49</w:t>
            </w:r>
            <w:r>
              <w:rPr>
                <w:rFonts w:ascii="Times New Roman"/>
                <w:sz w:val="20"/>
              </w:rPr>
            </w:r>
          </w:p>
        </w:tc>
        <w:tc>
          <w:tcPr>
            <w:tcW w:w="1010" w:type="dxa"/>
            <w:tcBorders>
              <w:top w:val="single" w:sz="8" w:space="0" w:color="000000"/>
              <w:left w:val="single" w:sz="6" w:space="0" w:color="000000"/>
              <w:bottom w:val="single" w:sz="8" w:space="0" w:color="000000"/>
              <w:right w:val="nil" w:sz="6" w:space="0" w:color="auto"/>
            </w:tcBorders>
          </w:tcPr>
          <w:p>
            <w:pPr>
              <w:pStyle w:val="TableParagraph"/>
              <w:spacing w:line="274" w:lineRule="exact"/>
              <w:ind w:left="19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2018</w:t>
            </w:r>
            <w:r>
              <w:rPr>
                <w:rFonts w:ascii="宋体" w:hAnsi="宋体" w:cs="宋体" w:eastAsia="宋体" w:hint="default"/>
                <w:sz w:val="20"/>
                <w:szCs w:val="20"/>
              </w:rPr>
              <w:t>年</w:t>
            </w:r>
          </w:p>
          <w:p>
            <w:pPr>
              <w:pStyle w:val="TableParagraph"/>
              <w:spacing w:line="240" w:lineRule="auto" w:before="35"/>
              <w:ind w:left="16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-2020</w:t>
            </w:r>
            <w:r>
              <w:rPr>
                <w:rFonts w:ascii="宋体" w:hAnsi="宋体" w:cs="宋体" w:eastAsia="宋体" w:hint="default"/>
                <w:sz w:val="20"/>
                <w:szCs w:val="20"/>
              </w:rPr>
              <w:t>年</w:t>
            </w:r>
          </w:p>
        </w:tc>
      </w:tr>
      <w:tr>
        <w:trPr>
          <w:trHeight w:val="348" w:hRule="exact"/>
        </w:trPr>
        <w:tc>
          <w:tcPr>
            <w:tcW w:w="814"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199"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1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8"/>
              <w:ind w:left="350" w:right="0"/>
              <w:jc w:val="left"/>
              <w:rPr>
                <w:rFonts w:ascii="Times New Roman" w:hAnsi="Times New Roman" w:cs="Times New Roman" w:eastAsia="Times New Roman" w:hint="default"/>
                <w:sz w:val="20"/>
                <w:szCs w:val="20"/>
              </w:rPr>
            </w:pPr>
            <w:r>
              <w:rPr>
                <w:rFonts w:ascii="Times New Roman"/>
                <w:b/>
                <w:sz w:val="20"/>
              </w:rPr>
              <w:t>500,000,000.00</w:t>
            </w:r>
            <w:r>
              <w:rPr>
                <w:rFonts w:ascii="Times New Roman"/>
                <w:sz w:val="20"/>
              </w:rPr>
            </w:r>
          </w:p>
        </w:tc>
        <w:tc>
          <w:tcPr>
            <w:tcW w:w="21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b/>
                <w:w w:val="95"/>
                <w:sz w:val="20"/>
              </w:rPr>
              <w:t>34,213,593.35</w:t>
            </w:r>
            <w:r>
              <w:rPr>
                <w:rFonts w:ascii="Times New Roman"/>
                <w:sz w:val="20"/>
              </w:rPr>
            </w:r>
          </w:p>
        </w:tc>
        <w:tc>
          <w:tcPr>
            <w:tcW w:w="161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8"/>
              <w:ind w:left="350" w:right="0"/>
              <w:jc w:val="left"/>
              <w:rPr>
                <w:rFonts w:ascii="Times New Roman" w:hAnsi="Times New Roman" w:cs="Times New Roman" w:eastAsia="Times New Roman" w:hint="default"/>
                <w:sz w:val="20"/>
                <w:szCs w:val="20"/>
              </w:rPr>
            </w:pPr>
            <w:r>
              <w:rPr>
                <w:rFonts w:ascii="Times New Roman"/>
                <w:b/>
                <w:sz w:val="20"/>
              </w:rPr>
              <w:t>377,648,894.16</w:t>
            </w:r>
            <w:r>
              <w:rPr>
                <w:rFonts w:ascii="Times New Roman"/>
                <w:sz w:val="20"/>
              </w:rPr>
            </w:r>
          </w:p>
        </w:tc>
        <w:tc>
          <w:tcPr>
            <w:tcW w:w="152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b/>
                <w:w w:val="95"/>
                <w:sz w:val="20"/>
              </w:rPr>
              <w:t>88,137,512.49</w:t>
            </w:r>
            <w:r>
              <w:rPr>
                <w:rFonts w:ascii="Times New Roman"/>
                <w:sz w:val="20"/>
              </w:rPr>
            </w:r>
          </w:p>
        </w:tc>
        <w:tc>
          <w:tcPr>
            <w:tcW w:w="1010" w:type="dxa"/>
            <w:tcBorders>
              <w:top w:val="single" w:sz="8" w:space="0" w:color="000000"/>
              <w:left w:val="single" w:sz="6" w:space="0" w:color="000000"/>
              <w:bottom w:val="single" w:sz="8" w:space="0" w:color="000000"/>
              <w:right w:val="nil" w:sz="6" w:space="0" w:color="auto"/>
            </w:tcBorders>
          </w:tcPr>
          <w:p>
            <w:pPr/>
          </w:p>
        </w:tc>
      </w:tr>
    </w:tbl>
    <w:p>
      <w:pPr>
        <w:spacing w:line="240" w:lineRule="auto" w:before="2"/>
        <w:rPr>
          <w:rFonts w:ascii="宋体" w:hAnsi="宋体" w:cs="宋体" w:eastAsia="宋体" w:hint="default"/>
          <w:sz w:val="14"/>
          <w:szCs w:val="14"/>
        </w:rPr>
      </w:pPr>
    </w:p>
    <w:p>
      <w:pPr>
        <w:pStyle w:val="BodyText"/>
        <w:spacing w:line="244" w:lineRule="auto" w:before="32"/>
        <w:ind w:right="1126" w:firstLine="439"/>
        <w:jc w:val="both"/>
      </w:pPr>
      <w:r>
        <w:rPr>
          <w:spacing w:val="2"/>
        </w:rPr>
        <w:t>子公司宝腾互联盈利补偿期间（</w:t>
      </w:r>
      <w:r>
        <w:rPr>
          <w:rFonts w:ascii="Times New Roman" w:hAnsi="Times New Roman" w:cs="Times New Roman" w:eastAsia="Times New Roman" w:hint="default"/>
          <w:spacing w:val="2"/>
        </w:rPr>
        <w:t>2017</w:t>
      </w:r>
      <w:r>
        <w:rPr>
          <w:spacing w:val="2"/>
        </w:rPr>
        <w:t>年度、</w:t>
      </w:r>
      <w:r>
        <w:rPr>
          <w:rFonts w:ascii="Times New Roman" w:hAnsi="Times New Roman" w:cs="Times New Roman" w:eastAsia="Times New Roman" w:hint="default"/>
          <w:spacing w:val="2"/>
        </w:rPr>
        <w:t>2018</w:t>
      </w:r>
      <w:r>
        <w:rPr>
          <w:spacing w:val="2"/>
        </w:rPr>
        <w:t>年度、</w:t>
      </w:r>
      <w:r>
        <w:rPr>
          <w:rFonts w:ascii="Times New Roman" w:hAnsi="Times New Roman" w:cs="Times New Roman" w:eastAsia="Times New Roman" w:hint="default"/>
          <w:spacing w:val="2"/>
        </w:rPr>
        <w:t>2019</w:t>
      </w:r>
      <w:r>
        <w:rPr>
          <w:spacing w:val="2"/>
        </w:rPr>
        <w:t>年度）累计实现的扣非后净利润为</w:t>
      </w:r>
      <w:r>
        <w:rPr>
          <w:w w:val="100"/>
        </w:rPr>
        <w:t> </w:t>
      </w:r>
      <w:r>
        <w:rPr>
          <w:rFonts w:ascii="Times New Roman" w:hAnsi="Times New Roman" w:cs="Times New Roman" w:eastAsia="Times New Roman" w:hint="default"/>
          <w:spacing w:val="-1"/>
        </w:rPr>
        <w:t>102,809,871.60</w:t>
      </w:r>
      <w:r>
        <w:rPr>
          <w:spacing w:val="-1"/>
        </w:rPr>
        <w:t>元，与承诺业绩</w:t>
      </w:r>
      <w:r>
        <w:rPr>
          <w:rFonts w:ascii="Times New Roman" w:hAnsi="Times New Roman" w:cs="Times New Roman" w:eastAsia="Times New Roman" w:hint="default"/>
          <w:spacing w:val="-1"/>
        </w:rPr>
        <w:t>110,361,605.80</w:t>
      </w:r>
      <w:r>
        <w:rPr>
          <w:spacing w:val="-1"/>
        </w:rPr>
        <w:t>元的差异为</w:t>
      </w:r>
      <w:r>
        <w:rPr>
          <w:rFonts w:ascii="Times New Roman" w:hAnsi="Times New Roman" w:cs="Times New Roman" w:eastAsia="Times New Roman" w:hint="default"/>
          <w:spacing w:val="-1"/>
        </w:rPr>
        <w:t>7,551,734.20</w:t>
      </w:r>
      <w:r>
        <w:rPr>
          <w:spacing w:val="-1"/>
        </w:rPr>
        <w:t>元。根据《盈利预测补偿协议》</w:t>
      </w:r>
      <w:r>
        <w:rPr>
          <w:spacing w:val="-33"/>
        </w:rPr>
        <w:t> </w:t>
      </w:r>
      <w:r>
        <w:rPr>
          <w:spacing w:val="-33"/>
        </w:rPr>
      </w:r>
      <w:r>
        <w:rPr/>
        <w:t>计算，宝德科技应补偿中青宝</w:t>
      </w:r>
      <w:r>
        <w:rPr>
          <w:rFonts w:ascii="Times New Roman" w:hAnsi="Times New Roman" w:cs="Times New Roman" w:eastAsia="Times New Roman" w:hint="default"/>
        </w:rPr>
        <w:t>34,213,593.35</w:t>
      </w:r>
      <w:r>
        <w:rPr/>
        <w:t>元。中青宝实际应付股权转让款余款为</w:t>
      </w:r>
      <w:r>
        <w:rPr>
          <w:rFonts w:ascii="Times New Roman" w:hAnsi="Times New Roman" w:cs="Times New Roman" w:eastAsia="Times New Roman" w:hint="default"/>
        </w:rPr>
        <w:t>88,137,512.49</w:t>
      </w:r>
      <w:r>
        <w:rPr/>
        <w:t>元。</w:t>
      </w:r>
    </w:p>
    <w:p>
      <w:pPr>
        <w:spacing w:line="240" w:lineRule="auto" w:before="7"/>
        <w:rPr>
          <w:rFonts w:ascii="宋体" w:hAnsi="宋体" w:cs="宋体" w:eastAsia="宋体" w:hint="default"/>
          <w:sz w:val="18"/>
          <w:szCs w:val="18"/>
        </w:rPr>
      </w:pPr>
    </w:p>
    <w:p>
      <w:pPr>
        <w:pStyle w:val="BodyText"/>
        <w:spacing w:line="240" w:lineRule="auto"/>
        <w:ind w:left="592" w:right="996"/>
        <w:jc w:val="left"/>
      </w:pPr>
      <w:r>
        <w:rPr/>
        <w:t>（</w:t>
      </w:r>
      <w:r>
        <w:rPr>
          <w:spacing w:val="-79"/>
        </w:rPr>
        <w:t> </w:t>
      </w: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w:t>
      </w:r>
      <w:r>
        <w:rPr>
          <w:spacing w:val="-79"/>
        </w:rPr>
        <w:t> </w:t>
      </w:r>
      <w:r>
        <w:rPr>
          <w:spacing w:val="11"/>
        </w:rPr>
        <w:t>截至</w:t>
      </w:r>
      <w:r>
        <w:rPr>
          <w:spacing w:val="-7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6"/>
        </w:rPr>
        <w:t> </w:t>
      </w:r>
      <w:r>
        <w:rPr/>
        <w:t>年</w:t>
      </w:r>
      <w:r>
        <w:rPr>
          <w:spacing w:val="-79"/>
        </w:rPr>
        <w:t> </w:t>
      </w:r>
      <w:r>
        <w:rPr>
          <w:rFonts w:ascii="Times New Roman" w:hAnsi="Times New Roman" w:cs="Times New Roman" w:eastAsia="Times New Roman" w:hint="default"/>
        </w:rPr>
        <w:t>12</w:t>
      </w:r>
      <w:r>
        <w:rPr>
          <w:rFonts w:ascii="Times New Roman" w:hAnsi="Times New Roman" w:cs="Times New Roman" w:eastAsia="Times New Roman" w:hint="default"/>
          <w:spacing w:val="-24"/>
        </w:rPr>
        <w:t> </w:t>
      </w:r>
      <w:r>
        <w:rPr/>
        <w:t>月</w:t>
      </w:r>
      <w:r>
        <w:rPr>
          <w:spacing w:val="-81"/>
        </w:rPr>
        <w:t> </w:t>
      </w:r>
      <w:r>
        <w:rPr>
          <w:rFonts w:ascii="Times New Roman" w:hAnsi="Times New Roman" w:cs="Times New Roman" w:eastAsia="Times New Roman" w:hint="default"/>
        </w:rPr>
        <w:t>31</w:t>
      </w:r>
      <w:r>
        <w:rPr>
          <w:rFonts w:ascii="Times New Roman" w:hAnsi="Times New Roman" w:cs="Times New Roman" w:eastAsia="Times New Roman" w:hint="default"/>
          <w:spacing w:val="-24"/>
        </w:rPr>
        <w:t> </w:t>
      </w:r>
      <w:r>
        <w:rPr>
          <w:spacing w:val="12"/>
        </w:rPr>
        <w:t>日，</w:t>
      </w:r>
      <w:r>
        <w:rPr>
          <w:spacing w:val="-79"/>
        </w:rPr>
        <w:t> </w:t>
      </w:r>
      <w:r>
        <w:rPr>
          <w:spacing w:val="23"/>
        </w:rPr>
        <w:t>本公司尚有已签订但未支付的约定大额发包合同支出共计</w:t>
      </w:r>
    </w:p>
    <w:p>
      <w:pPr>
        <w:pStyle w:val="BodyText"/>
        <w:spacing w:line="240" w:lineRule="auto" w:before="7"/>
        <w:ind w:right="996"/>
        <w:jc w:val="left"/>
      </w:pPr>
      <w:r>
        <w:rPr>
          <w:rFonts w:ascii="Times New Roman" w:hAnsi="Times New Roman" w:cs="Times New Roman" w:eastAsia="Times New Roman" w:hint="default"/>
        </w:rPr>
        <w:t>61,401,943.86</w:t>
      </w:r>
      <w:r>
        <w:rPr/>
        <w:t>元，具体情况如下：</w:t>
      </w:r>
    </w:p>
    <w:p>
      <w:pPr>
        <w:spacing w:line="240" w:lineRule="auto" w:before="1"/>
        <w:rPr>
          <w:rFonts w:ascii="宋体" w:hAnsi="宋体" w:cs="宋体" w:eastAsia="宋体" w:hint="default"/>
          <w:sz w:val="26"/>
          <w:szCs w:val="26"/>
        </w:rPr>
      </w:pPr>
    </w:p>
    <w:tbl>
      <w:tblPr>
        <w:tblW w:w="0" w:type="auto"/>
        <w:jc w:val="left"/>
        <w:tblInd w:w="145" w:type="dxa"/>
        <w:tblLayout w:type="fixed"/>
        <w:tblCellMar>
          <w:top w:w="0" w:type="dxa"/>
          <w:left w:w="0" w:type="dxa"/>
          <w:bottom w:w="0" w:type="dxa"/>
          <w:right w:w="0" w:type="dxa"/>
        </w:tblCellMar>
        <w:tblLook w:val="01E0"/>
      </w:tblPr>
      <w:tblGrid>
        <w:gridCol w:w="1952"/>
        <w:gridCol w:w="1702"/>
        <w:gridCol w:w="1700"/>
        <w:gridCol w:w="1560"/>
        <w:gridCol w:w="1136"/>
        <w:gridCol w:w="485"/>
      </w:tblGrid>
      <w:tr>
        <w:trPr>
          <w:trHeight w:val="663" w:hRule="exact"/>
        </w:trPr>
        <w:tc>
          <w:tcPr>
            <w:tcW w:w="195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
              <w:ind w:left="569" w:right="0"/>
              <w:jc w:val="left"/>
              <w:rPr>
                <w:rFonts w:ascii="宋体" w:hAnsi="宋体" w:cs="宋体" w:eastAsia="宋体" w:hint="default"/>
                <w:sz w:val="20"/>
                <w:szCs w:val="20"/>
              </w:rPr>
            </w:pPr>
            <w:r>
              <w:rPr>
                <w:rFonts w:ascii="宋体" w:hAnsi="宋体" w:cs="宋体" w:eastAsia="宋体" w:hint="default"/>
                <w:b/>
                <w:bCs/>
                <w:sz w:val="20"/>
                <w:szCs w:val="20"/>
              </w:rPr>
              <w:t>项目名称</w:t>
            </w:r>
            <w:r>
              <w:rPr>
                <w:rFonts w:ascii="宋体" w:hAnsi="宋体" w:cs="宋体" w:eastAsia="宋体" w:hint="default"/>
                <w:sz w:val="20"/>
                <w:szCs w:val="20"/>
              </w:rPr>
            </w:r>
          </w:p>
        </w:tc>
        <w:tc>
          <w:tcPr>
            <w:tcW w:w="170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
              <w:ind w:left="441" w:right="0"/>
              <w:jc w:val="left"/>
              <w:rPr>
                <w:rFonts w:ascii="宋体" w:hAnsi="宋体" w:cs="宋体" w:eastAsia="宋体" w:hint="default"/>
                <w:sz w:val="20"/>
                <w:szCs w:val="20"/>
              </w:rPr>
            </w:pPr>
            <w:r>
              <w:rPr>
                <w:rFonts w:ascii="宋体" w:hAnsi="宋体" w:cs="宋体" w:eastAsia="宋体" w:hint="default"/>
                <w:b/>
                <w:bCs/>
                <w:sz w:val="20"/>
                <w:szCs w:val="20"/>
              </w:rPr>
              <w:t>合同金额</w:t>
            </w:r>
            <w:r>
              <w:rPr>
                <w:rFonts w:ascii="宋体" w:hAnsi="宋体" w:cs="宋体" w:eastAsia="宋体" w:hint="default"/>
                <w:sz w:val="20"/>
                <w:szCs w:val="20"/>
              </w:rPr>
            </w:r>
          </w:p>
        </w:tc>
        <w:tc>
          <w:tcPr>
            <w:tcW w:w="1700"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
              <w:ind w:left="439" w:right="0"/>
              <w:jc w:val="left"/>
              <w:rPr>
                <w:rFonts w:ascii="宋体" w:hAnsi="宋体" w:cs="宋体" w:eastAsia="宋体" w:hint="default"/>
                <w:sz w:val="20"/>
                <w:szCs w:val="20"/>
              </w:rPr>
            </w:pPr>
            <w:r>
              <w:rPr>
                <w:rFonts w:ascii="宋体" w:hAnsi="宋体" w:cs="宋体" w:eastAsia="宋体" w:hint="default"/>
                <w:b/>
                <w:bCs/>
                <w:sz w:val="20"/>
                <w:szCs w:val="20"/>
              </w:rPr>
              <w:t>已付金额</w:t>
            </w:r>
            <w:r>
              <w:rPr>
                <w:rFonts w:ascii="宋体" w:hAnsi="宋体" w:cs="宋体" w:eastAsia="宋体" w:hint="default"/>
                <w:sz w:val="20"/>
                <w:szCs w:val="20"/>
              </w:rPr>
            </w:r>
          </w:p>
        </w:tc>
        <w:tc>
          <w:tcPr>
            <w:tcW w:w="1560"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
              <w:ind w:left="371" w:right="0"/>
              <w:jc w:val="left"/>
              <w:rPr>
                <w:rFonts w:ascii="宋体" w:hAnsi="宋体" w:cs="宋体" w:eastAsia="宋体" w:hint="default"/>
                <w:sz w:val="20"/>
                <w:szCs w:val="20"/>
              </w:rPr>
            </w:pPr>
            <w:r>
              <w:rPr>
                <w:rFonts w:ascii="宋体" w:hAnsi="宋体" w:cs="宋体" w:eastAsia="宋体" w:hint="default"/>
                <w:b/>
                <w:bCs/>
                <w:sz w:val="20"/>
                <w:szCs w:val="20"/>
              </w:rPr>
              <w:t>未付金额</w:t>
            </w:r>
            <w:r>
              <w:rPr>
                <w:rFonts w:ascii="宋体" w:hAnsi="宋体" w:cs="宋体" w:eastAsia="宋体" w:hint="default"/>
                <w:sz w:val="20"/>
                <w:szCs w:val="20"/>
              </w:rPr>
            </w:r>
          </w:p>
        </w:tc>
        <w:tc>
          <w:tcPr>
            <w:tcW w:w="1136" w:type="dxa"/>
            <w:tcBorders>
              <w:top w:val="single" w:sz="6" w:space="0" w:color="000000"/>
              <w:left w:val="single" w:sz="6" w:space="0" w:color="000000"/>
              <w:bottom w:val="single" w:sz="8" w:space="0" w:color="000000"/>
              <w:right w:val="single" w:sz="6" w:space="0" w:color="000000"/>
            </w:tcBorders>
          </w:tcPr>
          <w:p>
            <w:pPr>
              <w:pStyle w:val="TableParagraph"/>
              <w:spacing w:line="285" w:lineRule="auto" w:before="2"/>
              <w:ind w:left="460" w:right="56" w:hanging="401"/>
              <w:jc w:val="left"/>
              <w:rPr>
                <w:rFonts w:ascii="宋体" w:hAnsi="宋体" w:cs="宋体" w:eastAsia="宋体" w:hint="default"/>
                <w:sz w:val="20"/>
                <w:szCs w:val="20"/>
              </w:rPr>
            </w:pPr>
            <w:r>
              <w:rPr>
                <w:rFonts w:ascii="宋体" w:hAnsi="宋体" w:cs="宋体" w:eastAsia="宋体" w:hint="default"/>
                <w:b/>
                <w:bCs/>
                <w:sz w:val="20"/>
                <w:szCs w:val="20"/>
              </w:rPr>
              <w:t>预计投资期</w:t>
            </w:r>
            <w:r>
              <w:rPr>
                <w:rFonts w:ascii="宋体" w:hAnsi="宋体" w:cs="宋体" w:eastAsia="宋体" w:hint="default"/>
                <w:b/>
                <w:bCs/>
                <w:w w:val="99"/>
                <w:sz w:val="20"/>
                <w:szCs w:val="20"/>
              </w:rPr>
              <w:t> </w:t>
            </w:r>
            <w:r>
              <w:rPr>
                <w:rFonts w:ascii="宋体" w:hAnsi="宋体" w:cs="宋体" w:eastAsia="宋体" w:hint="default"/>
                <w:b/>
                <w:bCs/>
                <w:sz w:val="20"/>
                <w:szCs w:val="20"/>
              </w:rPr>
              <w:t>间</w:t>
            </w:r>
            <w:r>
              <w:rPr>
                <w:rFonts w:ascii="宋体" w:hAnsi="宋体" w:cs="宋体" w:eastAsia="宋体" w:hint="default"/>
                <w:sz w:val="20"/>
                <w:szCs w:val="20"/>
              </w:rPr>
            </w:r>
          </w:p>
        </w:tc>
        <w:tc>
          <w:tcPr>
            <w:tcW w:w="485"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2"/>
              <w:ind w:left="35" w:right="0"/>
              <w:jc w:val="left"/>
              <w:rPr>
                <w:rFonts w:ascii="宋体" w:hAnsi="宋体" w:cs="宋体" w:eastAsia="宋体" w:hint="default"/>
                <w:sz w:val="20"/>
                <w:szCs w:val="20"/>
              </w:rPr>
            </w:pPr>
            <w:r>
              <w:rPr>
                <w:rFonts w:ascii="宋体" w:hAnsi="宋体" w:cs="宋体" w:eastAsia="宋体" w:hint="default"/>
                <w:b/>
                <w:bCs/>
                <w:sz w:val="20"/>
                <w:szCs w:val="20"/>
              </w:rPr>
              <w:t>备注</w:t>
            </w:r>
            <w:r>
              <w:rPr>
                <w:rFonts w:ascii="宋体" w:hAnsi="宋体" w:cs="宋体" w:eastAsia="宋体" w:hint="default"/>
                <w:sz w:val="20"/>
                <w:szCs w:val="20"/>
              </w:rPr>
            </w:r>
          </w:p>
        </w:tc>
      </w:tr>
      <w:tr>
        <w:trPr>
          <w:trHeight w:val="658" w:hRule="exact"/>
        </w:trPr>
        <w:tc>
          <w:tcPr>
            <w:tcW w:w="1952" w:type="dxa"/>
            <w:tcBorders>
              <w:top w:val="single" w:sz="8" w:space="0" w:color="000000"/>
              <w:left w:val="single" w:sz="6" w:space="0" w:color="000000"/>
              <w:bottom w:val="single" w:sz="8" w:space="0" w:color="000000"/>
              <w:right w:val="single" w:sz="6" w:space="0" w:color="000000"/>
            </w:tcBorders>
          </w:tcPr>
          <w:p>
            <w:pPr>
              <w:pStyle w:val="TableParagraph"/>
              <w:spacing w:line="271" w:lineRule="auto"/>
              <w:ind w:left="4" w:right="187"/>
              <w:jc w:val="left"/>
              <w:rPr>
                <w:rFonts w:ascii="宋体" w:hAnsi="宋体" w:cs="宋体" w:eastAsia="宋体" w:hint="default"/>
                <w:sz w:val="20"/>
                <w:szCs w:val="20"/>
              </w:rPr>
            </w:pPr>
            <w:r>
              <w:rPr>
                <w:rFonts w:ascii="宋体" w:hAnsi="宋体" w:cs="宋体" w:eastAsia="宋体" w:hint="default"/>
                <w:sz w:val="20"/>
                <w:szCs w:val="20"/>
              </w:rPr>
              <w:t>宝腾互联</w:t>
            </w:r>
            <w:r>
              <w:rPr>
                <w:rFonts w:ascii="Times New Roman" w:hAnsi="Times New Roman" w:cs="Times New Roman" w:eastAsia="Times New Roman" w:hint="default"/>
                <w:sz w:val="20"/>
                <w:szCs w:val="20"/>
              </w:rPr>
              <w:t>IDC</w:t>
            </w:r>
            <w:r>
              <w:rPr>
                <w:rFonts w:ascii="宋体" w:hAnsi="宋体" w:cs="宋体" w:eastAsia="宋体" w:hint="default"/>
                <w:sz w:val="20"/>
                <w:szCs w:val="20"/>
              </w:rPr>
              <w:t>三期项</w:t>
            </w:r>
            <w:r>
              <w:rPr>
                <w:rFonts w:ascii="宋体" w:hAnsi="宋体" w:cs="宋体" w:eastAsia="宋体" w:hint="default"/>
                <w:w w:val="99"/>
                <w:sz w:val="20"/>
                <w:szCs w:val="20"/>
              </w:rPr>
              <w:t> </w:t>
            </w:r>
            <w:r>
              <w:rPr>
                <w:rFonts w:ascii="宋体" w:hAnsi="宋体" w:cs="宋体" w:eastAsia="宋体" w:hint="default"/>
                <w:sz w:val="20"/>
                <w:szCs w:val="20"/>
              </w:rPr>
              <w:t>目</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118,442,232.12</w:t>
            </w:r>
            <w:r>
              <w:rPr>
                <w:rFonts w:ascii="Times New Roman"/>
                <w:sz w:val="20"/>
              </w:rPr>
            </w:r>
          </w:p>
        </w:tc>
        <w:tc>
          <w:tcPr>
            <w:tcW w:w="17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74,682,786.60</w:t>
            </w:r>
            <w:r>
              <w:rPr>
                <w:rFonts w:ascii="Times New Roman"/>
                <w:sz w:val="20"/>
              </w:rPr>
            </w:r>
          </w:p>
        </w:tc>
        <w:tc>
          <w:tcPr>
            <w:tcW w:w="15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43,759,445.52</w:t>
            </w:r>
            <w:r>
              <w:rPr>
                <w:rFonts w:ascii="Times New Roman"/>
                <w:sz w:val="20"/>
              </w:rPr>
            </w:r>
          </w:p>
        </w:tc>
        <w:tc>
          <w:tcPr>
            <w:tcW w:w="1136" w:type="dxa"/>
            <w:tcBorders>
              <w:top w:val="single" w:sz="8" w:space="0" w:color="000000"/>
              <w:left w:val="single" w:sz="6" w:space="0" w:color="000000"/>
              <w:bottom w:val="single" w:sz="8" w:space="0" w:color="000000"/>
              <w:right w:val="single" w:sz="6" w:space="0" w:color="000000"/>
            </w:tcBorders>
          </w:tcPr>
          <w:p>
            <w:pPr>
              <w:pStyle w:val="TableParagraph"/>
              <w:spacing w:line="274" w:lineRule="exact"/>
              <w:ind w:right="-1"/>
              <w:jc w:val="right"/>
              <w:rPr>
                <w:rFonts w:ascii="宋体" w:hAnsi="宋体" w:cs="宋体" w:eastAsia="宋体" w:hint="default"/>
                <w:sz w:val="20"/>
                <w:szCs w:val="20"/>
              </w:rPr>
            </w:pPr>
            <w:r>
              <w:rPr>
                <w:rFonts w:ascii="Times New Roman" w:hAnsi="Times New Roman" w:cs="Times New Roman" w:eastAsia="Times New Roman" w:hint="default"/>
                <w:sz w:val="20"/>
                <w:szCs w:val="20"/>
              </w:rPr>
              <w:t>2020</w:t>
            </w:r>
            <w:r>
              <w:rPr>
                <w:rFonts w:ascii="宋体" w:hAnsi="宋体" w:cs="宋体" w:eastAsia="宋体" w:hint="default"/>
                <w:sz w:val="20"/>
                <w:szCs w:val="20"/>
              </w:rPr>
              <w:t>年</w:t>
            </w:r>
          </w:p>
        </w:tc>
        <w:tc>
          <w:tcPr>
            <w:tcW w:w="485" w:type="dxa"/>
            <w:tcBorders>
              <w:top w:val="single" w:sz="8" w:space="0" w:color="000000"/>
              <w:left w:val="single" w:sz="6" w:space="0" w:color="000000"/>
              <w:bottom w:val="single" w:sz="8" w:space="0" w:color="000000"/>
              <w:right w:val="nil" w:sz="6" w:space="0" w:color="auto"/>
            </w:tcBorders>
          </w:tcPr>
          <w:p>
            <w:pPr/>
          </w:p>
        </w:tc>
      </w:tr>
      <w:tr>
        <w:trPr>
          <w:trHeight w:val="660" w:hRule="exact"/>
        </w:trPr>
        <w:tc>
          <w:tcPr>
            <w:tcW w:w="1952" w:type="dxa"/>
            <w:tcBorders>
              <w:top w:val="single" w:sz="8" w:space="0" w:color="000000"/>
              <w:left w:val="single" w:sz="6" w:space="0" w:color="000000"/>
              <w:bottom w:val="single" w:sz="8" w:space="0" w:color="000000"/>
              <w:right w:val="single" w:sz="6" w:space="0" w:color="000000"/>
            </w:tcBorders>
          </w:tcPr>
          <w:p>
            <w:pPr>
              <w:pStyle w:val="TableParagraph"/>
              <w:spacing w:line="300" w:lineRule="auto" w:before="15"/>
              <w:ind w:left="4" w:right="50"/>
              <w:jc w:val="left"/>
              <w:rPr>
                <w:rFonts w:ascii="宋体" w:hAnsi="宋体" w:cs="宋体" w:eastAsia="宋体" w:hint="default"/>
                <w:sz w:val="18"/>
                <w:szCs w:val="18"/>
              </w:rPr>
            </w:pPr>
            <w:r>
              <w:rPr>
                <w:rFonts w:ascii="宋体" w:hAnsi="宋体" w:cs="宋体" w:eastAsia="宋体" w:hint="default"/>
                <w:sz w:val="18"/>
                <w:szCs w:val="18"/>
              </w:rPr>
              <w:t>北京八达岭水关长城</w:t>
            </w:r>
            <w:r>
              <w:rPr>
                <w:rFonts w:ascii="Times New Roman" w:hAnsi="Times New Roman" w:cs="Times New Roman" w:eastAsia="Times New Roman" w:hint="default"/>
                <w:sz w:val="18"/>
                <w:szCs w:val="18"/>
              </w:rPr>
              <w:t>“</w:t>
            </w:r>
            <w:r>
              <w:rPr>
                <w:rFonts w:ascii="宋体" w:hAnsi="宋体" w:cs="宋体" w:eastAsia="宋体" w:hint="default"/>
                <w:sz w:val="18"/>
                <w:szCs w:val="18"/>
              </w:rPr>
              <w:t>龙 腾九州</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78,049,729.58</w:t>
            </w:r>
            <w:r>
              <w:rPr>
                <w:rFonts w:ascii="Times New Roman"/>
                <w:sz w:val="20"/>
              </w:rPr>
            </w:r>
          </w:p>
        </w:tc>
        <w:tc>
          <w:tcPr>
            <w:tcW w:w="17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66,918,288.62</w:t>
            </w:r>
            <w:r>
              <w:rPr>
                <w:rFonts w:ascii="Times New Roman"/>
                <w:sz w:val="20"/>
              </w:rPr>
            </w:r>
          </w:p>
        </w:tc>
        <w:tc>
          <w:tcPr>
            <w:tcW w:w="15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11,131,440.96</w:t>
            </w:r>
            <w:r>
              <w:rPr>
                <w:rFonts w:ascii="Times New Roman"/>
                <w:sz w:val="20"/>
              </w:rPr>
            </w:r>
          </w:p>
        </w:tc>
        <w:tc>
          <w:tcPr>
            <w:tcW w:w="1136" w:type="dxa"/>
            <w:tcBorders>
              <w:top w:val="single" w:sz="8" w:space="0" w:color="000000"/>
              <w:left w:val="single" w:sz="6" w:space="0" w:color="000000"/>
              <w:bottom w:val="single" w:sz="8" w:space="0" w:color="000000"/>
              <w:right w:val="single" w:sz="6" w:space="0" w:color="000000"/>
            </w:tcBorders>
          </w:tcPr>
          <w:p>
            <w:pPr>
              <w:pStyle w:val="TableParagraph"/>
              <w:spacing w:line="276" w:lineRule="exact"/>
              <w:ind w:right="-1"/>
              <w:jc w:val="right"/>
              <w:rPr>
                <w:rFonts w:ascii="宋体" w:hAnsi="宋体" w:cs="宋体" w:eastAsia="宋体" w:hint="default"/>
                <w:sz w:val="20"/>
                <w:szCs w:val="20"/>
              </w:rPr>
            </w:pPr>
            <w:r>
              <w:rPr>
                <w:rFonts w:ascii="Times New Roman" w:hAnsi="Times New Roman" w:cs="Times New Roman" w:eastAsia="Times New Roman" w:hint="default"/>
                <w:sz w:val="20"/>
                <w:szCs w:val="20"/>
              </w:rPr>
              <w:t>2019</w:t>
            </w:r>
            <w:r>
              <w:rPr>
                <w:rFonts w:ascii="宋体" w:hAnsi="宋体" w:cs="宋体" w:eastAsia="宋体" w:hint="default"/>
                <w:sz w:val="20"/>
                <w:szCs w:val="20"/>
              </w:rPr>
              <w:t>年</w:t>
            </w:r>
          </w:p>
        </w:tc>
        <w:tc>
          <w:tcPr>
            <w:tcW w:w="485" w:type="dxa"/>
            <w:tcBorders>
              <w:top w:val="single" w:sz="8" w:space="0" w:color="000000"/>
              <w:left w:val="single" w:sz="6" w:space="0" w:color="000000"/>
              <w:bottom w:val="single" w:sz="8" w:space="0" w:color="000000"/>
              <w:right w:val="nil" w:sz="6" w:space="0" w:color="auto"/>
            </w:tcBorders>
          </w:tcPr>
          <w:p>
            <w:pPr/>
          </w:p>
        </w:tc>
      </w:tr>
      <w:tr>
        <w:trPr>
          <w:trHeight w:val="346" w:hRule="exact"/>
        </w:trPr>
        <w:tc>
          <w:tcPr>
            <w:tcW w:w="1952"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4" w:right="0"/>
              <w:jc w:val="left"/>
              <w:rPr>
                <w:rFonts w:ascii="宋体" w:hAnsi="宋体" w:cs="宋体" w:eastAsia="宋体" w:hint="default"/>
                <w:sz w:val="20"/>
                <w:szCs w:val="20"/>
              </w:rPr>
            </w:pPr>
            <w:r>
              <w:rPr>
                <w:rFonts w:ascii="宋体" w:hAnsi="宋体" w:cs="宋体" w:eastAsia="宋体" w:hint="default"/>
                <w:sz w:val="20"/>
                <w:szCs w:val="20"/>
              </w:rPr>
              <w:t>凤凰项目</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26,639,275.00</w:t>
            </w:r>
            <w:r>
              <w:rPr>
                <w:rFonts w:ascii="Times New Roman"/>
                <w:sz w:val="20"/>
              </w:rPr>
            </w:r>
          </w:p>
        </w:tc>
        <w:tc>
          <w:tcPr>
            <w:tcW w:w="17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20,128,217.62</w:t>
            </w:r>
            <w:r>
              <w:rPr>
                <w:rFonts w:ascii="Times New Roman"/>
                <w:sz w:val="20"/>
              </w:rPr>
            </w:r>
          </w:p>
        </w:tc>
        <w:tc>
          <w:tcPr>
            <w:tcW w:w="15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6,511,057.38</w:t>
            </w:r>
            <w:r>
              <w:rPr>
                <w:rFonts w:ascii="Times New Roman"/>
                <w:sz w:val="20"/>
              </w:rPr>
            </w:r>
          </w:p>
        </w:tc>
        <w:tc>
          <w:tcPr>
            <w:tcW w:w="1136" w:type="dxa"/>
            <w:tcBorders>
              <w:top w:val="single" w:sz="8" w:space="0" w:color="000000"/>
              <w:left w:val="single" w:sz="6" w:space="0" w:color="000000"/>
              <w:bottom w:val="single" w:sz="8" w:space="0" w:color="000000"/>
              <w:right w:val="single" w:sz="6" w:space="0" w:color="000000"/>
            </w:tcBorders>
          </w:tcPr>
          <w:p>
            <w:pPr>
              <w:pStyle w:val="TableParagraph"/>
              <w:spacing w:line="274" w:lineRule="exact"/>
              <w:ind w:right="-1"/>
              <w:jc w:val="right"/>
              <w:rPr>
                <w:rFonts w:ascii="宋体" w:hAnsi="宋体" w:cs="宋体" w:eastAsia="宋体" w:hint="default"/>
                <w:sz w:val="20"/>
                <w:szCs w:val="20"/>
              </w:rPr>
            </w:pPr>
            <w:r>
              <w:rPr>
                <w:rFonts w:ascii="Times New Roman" w:hAnsi="Times New Roman" w:cs="Times New Roman" w:eastAsia="Times New Roman" w:hint="default"/>
                <w:sz w:val="20"/>
                <w:szCs w:val="20"/>
              </w:rPr>
              <w:t>2019</w:t>
            </w:r>
            <w:r>
              <w:rPr>
                <w:rFonts w:ascii="宋体" w:hAnsi="宋体" w:cs="宋体" w:eastAsia="宋体" w:hint="default"/>
                <w:sz w:val="20"/>
                <w:szCs w:val="20"/>
              </w:rPr>
              <w:t>年</w:t>
            </w:r>
          </w:p>
        </w:tc>
        <w:tc>
          <w:tcPr>
            <w:tcW w:w="485" w:type="dxa"/>
            <w:tcBorders>
              <w:top w:val="single" w:sz="8" w:space="0" w:color="000000"/>
              <w:left w:val="single" w:sz="6" w:space="0" w:color="000000"/>
              <w:bottom w:val="single" w:sz="8" w:space="0" w:color="000000"/>
              <w:right w:val="nil" w:sz="6" w:space="0" w:color="auto"/>
            </w:tcBorders>
          </w:tcPr>
          <w:p>
            <w:pPr/>
          </w:p>
        </w:tc>
      </w:tr>
      <w:tr>
        <w:trPr>
          <w:trHeight w:val="348" w:hRule="exact"/>
        </w:trPr>
        <w:tc>
          <w:tcPr>
            <w:tcW w:w="1952"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b/>
                <w:w w:val="95"/>
                <w:sz w:val="20"/>
              </w:rPr>
              <w:t>223,131,236.70</w:t>
            </w:r>
            <w:r>
              <w:rPr>
                <w:rFonts w:ascii="Times New Roman"/>
                <w:sz w:val="20"/>
              </w:rPr>
            </w:r>
          </w:p>
        </w:tc>
        <w:tc>
          <w:tcPr>
            <w:tcW w:w="17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b/>
                <w:w w:val="95"/>
                <w:sz w:val="20"/>
              </w:rPr>
              <w:t>161,729,292.84</w:t>
            </w:r>
            <w:r>
              <w:rPr>
                <w:rFonts w:ascii="Times New Roman"/>
                <w:sz w:val="20"/>
              </w:rPr>
            </w:r>
          </w:p>
        </w:tc>
        <w:tc>
          <w:tcPr>
            <w:tcW w:w="15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b/>
                <w:w w:val="95"/>
                <w:sz w:val="20"/>
              </w:rPr>
              <w:t>61,401,943.86</w:t>
            </w:r>
            <w:r>
              <w:rPr>
                <w:rFonts w:ascii="Times New Roman"/>
                <w:sz w:val="20"/>
              </w:rPr>
            </w:r>
          </w:p>
        </w:tc>
        <w:tc>
          <w:tcPr>
            <w:tcW w:w="1136" w:type="dxa"/>
            <w:tcBorders>
              <w:top w:val="single" w:sz="8" w:space="0" w:color="000000"/>
              <w:left w:val="single" w:sz="6" w:space="0" w:color="000000"/>
              <w:bottom w:val="single" w:sz="8" w:space="0" w:color="000000"/>
              <w:right w:val="single" w:sz="6" w:space="0" w:color="000000"/>
            </w:tcBorders>
          </w:tcPr>
          <w:p>
            <w:pPr/>
          </w:p>
        </w:tc>
        <w:tc>
          <w:tcPr>
            <w:tcW w:w="485" w:type="dxa"/>
            <w:tcBorders>
              <w:top w:val="single" w:sz="8" w:space="0" w:color="000000"/>
              <w:left w:val="single" w:sz="6" w:space="0" w:color="000000"/>
              <w:bottom w:val="single" w:sz="8" w:space="0" w:color="000000"/>
              <w:right w:val="nil" w:sz="6" w:space="0" w:color="auto"/>
            </w:tcBorders>
          </w:tcPr>
          <w:p>
            <w:pP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、或有事项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sz w:val="21"/>
          <w:szCs w:val="21"/>
        </w:rPr>
      </w:r>
    </w:p>
    <w:p>
      <w:pPr>
        <w:spacing w:line="240" w:lineRule="auto" w:before="11"/>
        <w:rPr>
          <w:rFonts w:ascii="宋体" w:hAnsi="宋体" w:cs="宋体" w:eastAsia="宋体" w:hint="default"/>
          <w:b/>
          <w:bCs/>
          <w:sz w:val="23"/>
          <w:szCs w:val="23"/>
        </w:rPr>
      </w:pPr>
    </w:p>
    <w:p>
      <w:pPr>
        <w:pStyle w:val="BodyText"/>
        <w:spacing w:line="240" w:lineRule="auto"/>
        <w:ind w:left="590" w:right="996"/>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日，本公司无需披露的重大或有事项。</w:t>
      </w:r>
    </w:p>
    <w:p>
      <w:pPr>
        <w:spacing w:line="240" w:lineRule="auto" w:before="3"/>
        <w:rPr>
          <w:rFonts w:ascii="宋体" w:hAnsi="宋体" w:cs="宋体" w:eastAsia="宋体" w:hint="default"/>
          <w:sz w:val="24"/>
          <w:szCs w:val="24"/>
        </w:rPr>
      </w:pPr>
    </w:p>
    <w:p>
      <w:pPr>
        <w:spacing w:before="0"/>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）公司没有需要披露的重要或有事项，也应予以说明</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996"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3"/>
        <w:rPr>
          <w:rFonts w:ascii="宋体" w:hAnsi="宋体" w:cs="宋体" w:eastAsia="宋体" w:hint="default"/>
          <w:sz w:val="25"/>
          <w:szCs w:val="25"/>
        </w:rPr>
      </w:pPr>
    </w:p>
    <w:p>
      <w:pPr>
        <w:pStyle w:val="Heading2"/>
        <w:spacing w:line="240" w:lineRule="auto"/>
        <w:ind w:right="996"/>
        <w:jc w:val="left"/>
        <w:rPr>
          <w:b w:val="0"/>
          <w:bCs w:val="0"/>
        </w:rPr>
      </w:pPr>
      <w:r>
        <w:rPr/>
        <w:t>十五、资产负债表日后事项</w:t>
      </w:r>
      <w:r>
        <w:rPr>
          <w:b w:val="0"/>
          <w:bCs w:val="0"/>
        </w:rPr>
      </w:r>
    </w:p>
    <w:p>
      <w:pPr>
        <w:spacing w:line="240" w:lineRule="auto" w:before="9"/>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、利润分配情况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5,265,386.00</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、其他资产负债表日后事项说明</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p>
    <w:p>
      <w:pPr>
        <w:pStyle w:val="BodyText"/>
        <w:spacing w:line="252" w:lineRule="auto"/>
        <w:ind w:right="1129" w:firstLine="521"/>
        <w:jc w:val="both"/>
      </w:pPr>
      <w:r>
        <w:rPr/>
        <w:t>自新型冠状病毒的传染疫情</w:t>
      </w:r>
      <w:r>
        <w:rPr>
          <w:rFonts w:ascii="Times New Roman" w:hAnsi="Times New Roman" w:cs="Times New Roman" w:eastAsia="Times New Roman" w:hint="default"/>
        </w:rPr>
        <w:t>(“</w:t>
      </w:r>
      <w:r>
        <w:rPr/>
        <w:t>新冠疫情</w:t>
      </w:r>
      <w:r>
        <w:rPr>
          <w:rFonts w:ascii="Times New Roman" w:hAnsi="Times New Roman" w:cs="Times New Roman" w:eastAsia="Times New Roman" w:hint="default"/>
        </w:rPr>
        <w:t>”)</w:t>
      </w:r>
      <w:r>
        <w:rPr/>
        <w:t>从</w:t>
      </w:r>
      <w:r>
        <w:rPr>
          <w:spacing w:val="-30"/>
        </w:rPr>
        <w:t> </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月起在全国爆发以来，本公司积极响应并严</w:t>
      </w:r>
      <w:r>
        <w:rPr>
          <w:w w:val="100"/>
        </w:rPr>
        <w:t> </w:t>
      </w:r>
      <w:r>
        <w:rPr>
          <w:spacing w:val="-2"/>
        </w:rPr>
        <w:t>格执行党和国家各级政府对病毒疫情防控的各项规定和要求，为做到防疫和生产两不误，本公司及各</w:t>
      </w:r>
      <w:r>
        <w:rPr>
          <w:spacing w:val="-70"/>
        </w:rPr>
        <w:t> </w:t>
      </w:r>
      <w:r>
        <w:rPr>
          <w:spacing w:val="-70"/>
        </w:rPr>
      </w:r>
      <w:r>
        <w:rPr/>
        <w:t>子公司自</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17</w:t>
      </w:r>
      <w:r>
        <w:rPr/>
        <w:t>日起陆续开始复工，从供应保障、品牌渠道、社会责任、内部管理等方面多管齐下支</w:t>
      </w:r>
    </w:p>
    <w:p>
      <w:pPr>
        <w:spacing w:after="0" w:line="252" w:lineRule="auto"/>
        <w:jc w:val="both"/>
        <w:sectPr>
          <w:pgSz w:w="11910" w:h="16840"/>
          <w:pgMar w:header="877" w:footer="980" w:top="1060" w:bottom="1160" w:left="980" w:right="0"/>
        </w:sectPr>
      </w:pPr>
    </w:p>
    <w:p>
      <w:pPr>
        <w:spacing w:line="240" w:lineRule="auto" w:before="4"/>
        <w:rPr>
          <w:rFonts w:ascii="宋体" w:hAnsi="宋体" w:cs="宋体" w:eastAsia="宋体" w:hint="default"/>
          <w:sz w:val="24"/>
          <w:szCs w:val="24"/>
        </w:rPr>
      </w:pPr>
    </w:p>
    <w:p>
      <w:pPr>
        <w:pStyle w:val="BodyText"/>
        <w:spacing w:line="240" w:lineRule="auto" w:before="32"/>
        <w:ind w:right="996"/>
        <w:jc w:val="left"/>
      </w:pPr>
      <w:r>
        <w:rPr/>
        <w:t>持国家战疫。</w:t>
      </w:r>
    </w:p>
    <w:p>
      <w:pPr>
        <w:pStyle w:val="BodyText"/>
        <w:spacing w:line="259" w:lineRule="auto" w:before="144"/>
        <w:ind w:right="996" w:firstLine="521"/>
        <w:jc w:val="left"/>
      </w:pPr>
      <w:r>
        <w:rPr/>
        <w:t>公司的游戏业务受疫情影响较小，收入水平较去年同期呈增长态势；云服务业务以协同三大运</w:t>
      </w:r>
      <w:r>
        <w:rPr>
          <w:w w:val="100"/>
        </w:rPr>
        <w:t> </w:t>
      </w:r>
      <w:r>
        <w:rPr>
          <w:spacing w:val="-5"/>
        </w:rPr>
        <w:t>营商为主，数据流量受网络会议、线上教学等应用的增长而增加，受疫情冲击较小。但由于疫情影响，</w:t>
      </w:r>
      <w:r>
        <w:rPr>
          <w:spacing w:val="-43"/>
        </w:rPr>
        <w:t> </w:t>
      </w:r>
      <w:r>
        <w:rPr>
          <w:spacing w:val="-43"/>
        </w:rPr>
      </w:r>
      <w:r>
        <w:rPr>
          <w:spacing w:val="-5"/>
        </w:rPr>
        <w:t>各类企业无法复工，餐饮、商超、旅游、文娱、物流、电商等企业均受到严重的影响，甚至业务停滞，</w:t>
      </w:r>
      <w:r>
        <w:rPr>
          <w:spacing w:val="-51"/>
        </w:rPr>
        <w:t> </w:t>
      </w:r>
      <w:r>
        <w:rPr>
          <w:spacing w:val="-51"/>
        </w:rPr>
      </w:r>
      <w:r>
        <w:rPr/>
        <w:t>从而导致云服务的短信业务量需求下降，营收较去年同期有所下滑。</w:t>
      </w:r>
    </w:p>
    <w:p>
      <w:pPr>
        <w:pStyle w:val="BodyText"/>
        <w:spacing w:line="259" w:lineRule="auto" w:before="6"/>
        <w:ind w:right="1128" w:firstLine="355"/>
        <w:jc w:val="both"/>
      </w:pPr>
      <w:r>
        <w:rPr>
          <w:spacing w:val="-2"/>
        </w:rPr>
        <w:t>本次疫情对公司经营产生的影响有限，后续影响程度将取决于全国疫情防控的情况、持续时间以</w:t>
      </w:r>
      <w:r>
        <w:rPr>
          <w:w w:val="100"/>
        </w:rPr>
        <w:t> </w:t>
      </w:r>
      <w:r>
        <w:rPr>
          <w:spacing w:val="-2"/>
        </w:rPr>
        <w:t>及各项调控政策的实施。公司将继续密切关注新冠病毒疫情发展情况，积极应对其可能对公司财务状</w:t>
      </w:r>
      <w:r>
        <w:rPr>
          <w:spacing w:val="-68"/>
        </w:rPr>
        <w:t> </w:t>
      </w:r>
      <w:r>
        <w:rPr>
          <w:spacing w:val="-68"/>
        </w:rPr>
      </w:r>
      <w:r>
        <w:rPr/>
        <w:t>况、经营成果等方面的影响。</w:t>
      </w:r>
    </w:p>
    <w:p>
      <w:pPr>
        <w:spacing w:line="240" w:lineRule="auto" w:before="2"/>
        <w:rPr>
          <w:rFonts w:ascii="宋体" w:hAnsi="宋体" w:cs="宋体" w:eastAsia="宋体" w:hint="default"/>
          <w:sz w:val="22"/>
          <w:szCs w:val="22"/>
        </w:rPr>
      </w:pPr>
    </w:p>
    <w:p>
      <w:pPr>
        <w:pStyle w:val="Heading2"/>
        <w:spacing w:line="240" w:lineRule="auto"/>
        <w:ind w:right="996"/>
        <w:jc w:val="left"/>
        <w:rPr>
          <w:b w:val="0"/>
          <w:bCs w:val="0"/>
        </w:rPr>
      </w:pPr>
      <w:r>
        <w:rPr/>
        <w:t>十六、其他重要事项</w:t>
      </w:r>
      <w:r>
        <w:rPr>
          <w:b w:val="0"/>
          <w:bCs w:val="0"/>
        </w:rPr>
      </w:r>
    </w:p>
    <w:p>
      <w:pPr>
        <w:spacing w:line="240" w:lineRule="auto" w:before="12"/>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、分部信息</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p>
    <w:p>
      <w:pPr>
        <w:pStyle w:val="BodyText"/>
        <w:spacing w:line="254" w:lineRule="auto"/>
        <w:ind w:right="996" w:firstLine="439"/>
        <w:jc w:val="left"/>
      </w:pPr>
      <w:r>
        <w:rPr>
          <w:spacing w:val="-2"/>
        </w:rPr>
        <w:t>根据本公司的内部组织结构、管理要求及内部报告制度，本公司的经营业务划分为</w:t>
      </w:r>
      <w:r>
        <w:rPr>
          <w:rFonts w:ascii="Times New Roman" w:hAnsi="Times New Roman" w:cs="Times New Roman" w:eastAsia="Times New Roman" w:hint="default"/>
          <w:spacing w:val="-2"/>
        </w:rPr>
        <w:t>3</w:t>
      </w:r>
      <w:r>
        <w:rPr>
          <w:spacing w:val="-2"/>
        </w:rPr>
        <w:t>个报告分部，</w:t>
      </w:r>
      <w:r>
        <w:rPr>
          <w:w w:val="100"/>
        </w:rPr>
        <w:t> </w:t>
      </w:r>
      <w:r>
        <w:rPr/>
        <w:t>这些报告分部是以经营分部为基础确定的。本公司的管理层定期评价这些报告分部的经营成果，以决</w:t>
      </w:r>
      <w:r>
        <w:rPr>
          <w:w w:val="100"/>
        </w:rPr>
        <w:t> </w:t>
      </w:r>
      <w:r>
        <w:rPr/>
        <w:t>定向其分配资源及评价其业绩。本公司各个报告分部经营的主要业务分别为网络游戏业务、云服务业</w:t>
      </w:r>
      <w:r>
        <w:rPr>
          <w:w w:val="100"/>
        </w:rPr>
        <w:t> </w:t>
      </w:r>
      <w:r>
        <w:rPr/>
        <w:t>务和科技文旅业务。</w:t>
      </w:r>
    </w:p>
    <w:p>
      <w:pPr>
        <w:pStyle w:val="BodyText"/>
        <w:spacing w:line="259" w:lineRule="auto" w:before="131"/>
        <w:ind w:right="996" w:firstLine="439"/>
        <w:jc w:val="left"/>
      </w:pPr>
      <w:r>
        <w:rPr>
          <w:spacing w:val="-2"/>
        </w:rPr>
        <w:t>分部报告信息根据各分部向管理层报告时采用的会计政策及计量标准披露，这些计量基础与编制</w:t>
      </w:r>
      <w:r>
        <w:rPr>
          <w:w w:val="100"/>
        </w:rPr>
        <w:t> </w:t>
      </w:r>
      <w:r>
        <w:rPr/>
        <w:t>财务报表时的会计与计量基础保持一致。</w:t>
      </w:r>
    </w:p>
    <w:p>
      <w:pPr>
        <w:spacing w:line="240" w:lineRule="auto" w:before="2"/>
        <w:rPr>
          <w:rFonts w:ascii="宋体" w:hAnsi="宋体" w:cs="宋体" w:eastAsia="宋体" w:hint="default"/>
          <w:sz w:val="24"/>
          <w:szCs w:val="24"/>
        </w:rPr>
      </w:pPr>
    </w:p>
    <w:p>
      <w:pPr>
        <w:spacing w:before="0"/>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）报告分部的财务信息</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5"/>
        <w:gridCol w:w="1596"/>
        <w:gridCol w:w="1594"/>
        <w:gridCol w:w="1594"/>
        <w:gridCol w:w="1594"/>
      </w:tblGrid>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2" w:right="0"/>
              <w:jc w:val="left"/>
              <w:rPr>
                <w:rFonts w:ascii="宋体" w:hAnsi="宋体" w:cs="宋体" w:eastAsia="宋体" w:hint="default"/>
                <w:sz w:val="18"/>
                <w:szCs w:val="18"/>
              </w:rPr>
            </w:pPr>
            <w:r>
              <w:rPr>
                <w:rFonts w:ascii="宋体" w:hAnsi="宋体" w:cs="宋体" w:eastAsia="宋体" w:hint="default"/>
                <w:sz w:val="18"/>
                <w:szCs w:val="18"/>
              </w:rPr>
              <w:t>网络游戏分部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云服务分部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科技文旅分部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279,502,248.82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187,362,609.90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2,643,289.32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-681,834.54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468,826,313.50</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2"/>
                <w:sz w:val="18"/>
                <w:szCs w:val="18"/>
              </w:rPr>
              <w:t>：</w:t>
            </w:r>
            <w:r>
              <w:rPr>
                <w:rFonts w:ascii="宋体" w:hAnsi="宋体" w:cs="宋体" w:eastAsia="宋体" w:hint="default"/>
                <w:sz w:val="18"/>
                <w:szCs w:val="18"/>
              </w:rPr>
              <w:t>对外交易收入</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279,502,248.82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186,680,775.36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2,643,289.32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468,826,313.50</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分部间交易收入</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681,834.54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-681,834.54</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129,706,770.07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112,025,974.21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7,306,500.60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-536,129.25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248,503,115.63</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584,094.74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92,895.07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-21,854.68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655,135.13</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期间费用</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133,991,298.91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6,927,750.95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10,373,870.73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-97,592.08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151,195,328.51</w:t>
            </w:r>
          </w:p>
        </w:tc>
      </w:tr>
      <w:tr>
        <w:trPr>
          <w:trHeight w:val="715"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10"/>
                <w:sz w:val="18"/>
                <w:szCs w:val="18"/>
              </w:rPr>
              <w:t>分部利润总额（亏损</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总额）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14,673,876.39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55,207,444.42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-16,643,739.39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2,636,358.15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55,873,939.57</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1,288,494,165.18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416,886,225.08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552,416,029.00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-818,496,556.84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1,439,299,862.42</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217,972,393.20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132,638,888.77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490,176,933.05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-244,492,182.35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596,296,032.67</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补充信息：</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资本性支出</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42,574,984.79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115,276,369.37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1,614,511.89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159,465,866.05</w:t>
            </w:r>
          </w:p>
        </w:tc>
      </w:tr>
      <w:tr>
        <w:trPr>
          <w:trHeight w:val="71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7"/>
              <w:jc w:val="left"/>
              <w:rPr>
                <w:rFonts w:ascii="宋体" w:hAnsi="宋体" w:cs="宋体" w:eastAsia="宋体" w:hint="default"/>
                <w:sz w:val="18"/>
                <w:szCs w:val="18"/>
              </w:rPr>
            </w:pPr>
            <w:r>
              <w:rPr>
                <w:rFonts w:ascii="宋体" w:hAnsi="宋体" w:cs="宋体" w:eastAsia="宋体" w:hint="default"/>
                <w:sz w:val="18"/>
                <w:szCs w:val="18"/>
              </w:rPr>
              <w:t>当期确认的减值损 失</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9,284,946.04</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-2,482,090.51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6,802,855.53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2"/>
                <w:sz w:val="18"/>
                <w:szCs w:val="18"/>
              </w:rPr>
              <w:t>：</w:t>
            </w:r>
            <w:r>
              <w:rPr>
                <w:rFonts w:ascii="宋体" w:hAnsi="宋体" w:cs="宋体" w:eastAsia="宋体" w:hint="default"/>
                <w:sz w:val="18"/>
                <w:szCs w:val="18"/>
              </w:rPr>
              <w:t>商誉减值分摊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1,244,196.08</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1,244,196.08</w:t>
            </w:r>
          </w:p>
        </w:tc>
      </w:tr>
      <w:tr>
        <w:trPr>
          <w:trHeight w:val="40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折旧和摊销费用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22,609,630.50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27" w:right="0"/>
              <w:jc w:val="left"/>
              <w:rPr>
                <w:rFonts w:ascii="Times New Roman" w:hAnsi="Times New Roman" w:cs="Times New Roman" w:eastAsia="Times New Roman" w:hint="default"/>
                <w:sz w:val="18"/>
                <w:szCs w:val="18"/>
              </w:rPr>
            </w:pPr>
            <w:r>
              <w:rPr>
                <w:rFonts w:ascii="Times New Roman"/>
                <w:sz w:val="18"/>
              </w:rPr>
              <w:t>17,588,679.94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1,256,615.63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91" w:right="0"/>
              <w:jc w:val="left"/>
              <w:rPr>
                <w:rFonts w:ascii="Times New Roman" w:hAnsi="Times New Roman" w:cs="Times New Roman" w:eastAsia="Times New Roman" w:hint="default"/>
                <w:sz w:val="18"/>
                <w:szCs w:val="18"/>
              </w:rPr>
            </w:pPr>
            <w:r>
              <w:rPr>
                <w:rFonts w:ascii="Times New Roman"/>
                <w:sz w:val="18"/>
              </w:rPr>
              <w:t>-484,740.46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40,970,185.61</w:t>
            </w:r>
          </w:p>
        </w:tc>
      </w:tr>
      <w:tr>
        <w:trPr>
          <w:trHeight w:val="1027"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10"/>
                <w:sz w:val="18"/>
                <w:szCs w:val="18"/>
              </w:rPr>
              <w:t>减值损失、折旧和摊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销以外的非现金费 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7,295,699.08</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119,153.18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7,414,852.26</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11"/>
        <w:rPr>
          <w:rFonts w:ascii="宋体" w:hAnsi="宋体" w:cs="宋体" w:eastAsia="宋体" w:hint="default"/>
          <w:b/>
          <w:bCs/>
          <w:sz w:val="23"/>
          <w:szCs w:val="23"/>
        </w:rPr>
      </w:pPr>
    </w:p>
    <w:p>
      <w:pPr>
        <w:pStyle w:val="BodyText"/>
        <w:spacing w:line="240" w:lineRule="auto"/>
        <w:ind w:left="494" w:right="996"/>
        <w:jc w:val="left"/>
      </w:pPr>
      <w:r>
        <w:rPr>
          <w:rFonts w:ascii="Times New Roman" w:hAnsi="Times New Roman" w:cs="Times New Roman" w:eastAsia="Times New Roman" w:hint="default"/>
        </w:rPr>
        <w:t>1)</w:t>
      </w:r>
      <w:r>
        <w:rPr/>
        <w:t>转让成都卓杭股权收益</w:t>
      </w:r>
    </w:p>
    <w:p>
      <w:pPr>
        <w:pStyle w:val="BodyText"/>
        <w:spacing w:line="247" w:lineRule="auto" w:before="127"/>
        <w:ind w:right="1131" w:firstLine="439"/>
        <w:jc w:val="both"/>
      </w:pPr>
      <w:r>
        <w:rPr>
          <w:rFonts w:ascii="Times New Roman" w:hAnsi="Times New Roman" w:cs="Times New Roman" w:eastAsia="Times New Roman" w:hint="default"/>
          <w:spacing w:val="-2"/>
        </w:rPr>
        <w:t>2019</w:t>
      </w:r>
      <w:r>
        <w:rPr>
          <w:spacing w:val="-2"/>
        </w:rPr>
        <w:t>年中青宝子公司游嘻宝与成都卓杭网络科技股份有限公司（以下简称</w:t>
      </w:r>
      <w:r>
        <w:rPr>
          <w:rFonts w:ascii="Times New Roman" w:hAnsi="Times New Roman" w:cs="Times New Roman" w:eastAsia="Times New Roman" w:hint="default"/>
          <w:spacing w:val="-2"/>
        </w:rPr>
        <w:t>“</w:t>
      </w:r>
      <w:r>
        <w:rPr>
          <w:spacing w:val="-2"/>
        </w:rPr>
        <w:t>成都卓杭</w:t>
      </w:r>
      <w:r>
        <w:rPr>
          <w:rFonts w:ascii="Times New Roman" w:hAnsi="Times New Roman" w:cs="Times New Roman" w:eastAsia="Times New Roman" w:hint="default"/>
          <w:spacing w:val="-2"/>
        </w:rPr>
        <w:t>”</w:t>
      </w:r>
      <w:r>
        <w:rPr>
          <w:spacing w:val="-2"/>
        </w:rPr>
        <w:t>）签订股份</w:t>
      </w:r>
      <w:r>
        <w:rPr>
          <w:w w:val="100"/>
        </w:rPr>
        <w:t> </w:t>
      </w:r>
      <w:r>
        <w:rPr>
          <w:spacing w:val="-1"/>
        </w:rPr>
        <w:t>回购协议，协议约定成都卓杭以每股</w:t>
      </w:r>
      <w:r>
        <w:rPr>
          <w:rFonts w:ascii="Times New Roman" w:hAnsi="Times New Roman" w:cs="Times New Roman" w:eastAsia="Times New Roman" w:hint="default"/>
          <w:spacing w:val="-1"/>
        </w:rPr>
        <w:t>45.38</w:t>
      </w:r>
      <w:r>
        <w:rPr>
          <w:spacing w:val="-1"/>
        </w:rPr>
        <w:t>元为回购对价，回购游嘻宝持有的成都卓杭</w:t>
      </w:r>
      <w:r>
        <w:rPr>
          <w:rFonts w:ascii="Times New Roman" w:hAnsi="Times New Roman" w:cs="Times New Roman" w:eastAsia="Times New Roman" w:hint="default"/>
          <w:spacing w:val="-1"/>
        </w:rPr>
        <w:t>7.4747%</w:t>
      </w:r>
      <w:r>
        <w:rPr>
          <w:spacing w:val="-1"/>
        </w:rPr>
        <w:t>股份合</w:t>
      </w:r>
      <w:r>
        <w:rPr>
          <w:spacing w:val="-76"/>
        </w:rPr>
        <w:t> </w:t>
      </w:r>
      <w:r>
        <w:rPr>
          <w:spacing w:val="2"/>
        </w:rPr>
        <w:t>计</w:t>
      </w:r>
      <w:r>
        <w:rPr>
          <w:rFonts w:ascii="Times New Roman" w:hAnsi="Times New Roman" w:cs="Times New Roman" w:eastAsia="Times New Roman" w:hint="default"/>
          <w:spacing w:val="2"/>
        </w:rPr>
        <w:t>1,366,107</w:t>
      </w:r>
      <w:r>
        <w:rPr>
          <w:spacing w:val="2"/>
        </w:rPr>
        <w:t>股股份，回购总价款为</w:t>
      </w:r>
      <w:r>
        <w:rPr>
          <w:rFonts w:ascii="Times New Roman" w:hAnsi="Times New Roman" w:cs="Times New Roman" w:eastAsia="Times New Roman" w:hint="default"/>
          <w:spacing w:val="2"/>
        </w:rPr>
        <w:t>6,200</w:t>
      </w:r>
      <w:r>
        <w:rPr>
          <w:spacing w:val="2"/>
        </w:rPr>
        <w:t>万元，游嘻宝账面股权价值为</w:t>
      </w:r>
      <w:r>
        <w:rPr>
          <w:rFonts w:ascii="Times New Roman" w:hAnsi="Times New Roman" w:cs="Times New Roman" w:eastAsia="Times New Roman" w:hint="default"/>
          <w:spacing w:val="2"/>
        </w:rPr>
        <w:t>1,980.86</w:t>
      </w:r>
      <w:r>
        <w:rPr>
          <w:spacing w:val="2"/>
        </w:rPr>
        <w:t>万元，确认投资收益</w:t>
      </w:r>
      <w:r>
        <w:rPr>
          <w:spacing w:val="-3"/>
        </w:rPr>
        <w:t> </w:t>
      </w:r>
      <w:r>
        <w:rPr>
          <w:spacing w:val="-3"/>
        </w:rPr>
      </w:r>
      <w:r>
        <w:rPr>
          <w:rFonts w:ascii="Times New Roman" w:hAnsi="Times New Roman" w:cs="Times New Roman" w:eastAsia="Times New Roman" w:hint="default"/>
        </w:rPr>
        <w:t>4,219.14</w:t>
      </w:r>
      <w:r>
        <w:rPr/>
        <w:t>万元。</w:t>
      </w:r>
    </w:p>
    <w:p>
      <w:pPr>
        <w:spacing w:line="240" w:lineRule="auto" w:before="5"/>
        <w:rPr>
          <w:rFonts w:ascii="宋体" w:hAnsi="宋体" w:cs="宋体" w:eastAsia="宋体" w:hint="default"/>
          <w:sz w:val="18"/>
          <w:szCs w:val="18"/>
        </w:rPr>
      </w:pPr>
    </w:p>
    <w:p>
      <w:pPr>
        <w:pStyle w:val="BodyText"/>
        <w:spacing w:line="240" w:lineRule="auto"/>
        <w:ind w:left="494" w:right="996"/>
        <w:jc w:val="left"/>
      </w:pPr>
      <w:r>
        <w:rPr>
          <w:rFonts w:ascii="Times New Roman" w:hAnsi="Times New Roman" w:cs="Times New Roman" w:eastAsia="Times New Roman" w:hint="default"/>
        </w:rPr>
        <w:t>2)</w:t>
      </w:r>
      <w:r>
        <w:rPr/>
        <w:t>宝腾互联业绩承诺完成情况</w:t>
      </w:r>
    </w:p>
    <w:p>
      <w:pPr>
        <w:spacing w:line="240" w:lineRule="auto" w:before="12"/>
        <w:rPr>
          <w:rFonts w:ascii="宋体" w:hAnsi="宋体" w:cs="宋体" w:eastAsia="宋体" w:hint="default"/>
          <w:sz w:val="18"/>
          <w:szCs w:val="18"/>
        </w:rPr>
      </w:pPr>
    </w:p>
    <w:p>
      <w:pPr>
        <w:pStyle w:val="BodyText"/>
        <w:spacing w:line="249" w:lineRule="auto"/>
        <w:ind w:left="494" w:right="996"/>
        <w:jc w:val="left"/>
      </w:pPr>
      <w:r>
        <w:rPr/>
        <w:t>根据本公司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16</w:t>
      </w:r>
      <w:r>
        <w:rPr/>
        <w:t>日第一次临时股东大会决议、宝德科技集团股份有限公司（以下简称</w:t>
      </w:r>
      <w:r>
        <w:rPr>
          <w:rFonts w:ascii="Times New Roman" w:hAnsi="Times New Roman" w:cs="Times New Roman" w:eastAsia="Times New Roman" w:hint="default"/>
        </w:rPr>
        <w:t>“</w:t>
      </w:r>
      <w:r>
        <w:rPr/>
        <w:t>宝</w:t>
      </w:r>
      <w:r>
        <w:rPr>
          <w:w w:val="100"/>
        </w:rPr>
        <w:t> </w:t>
      </w:r>
      <w:r>
        <w:rPr>
          <w:spacing w:val="-7"/>
        </w:rPr>
        <w:t>德科技</w:t>
      </w:r>
      <w:r>
        <w:rPr>
          <w:rFonts w:ascii="Times New Roman" w:hAnsi="Times New Roman" w:cs="Times New Roman" w:eastAsia="Times New Roman" w:hint="default"/>
          <w:spacing w:val="-7"/>
        </w:rPr>
        <w:t>”</w:t>
      </w:r>
      <w:r>
        <w:rPr>
          <w:spacing w:val="-7"/>
        </w:rPr>
        <w:t>）</w:t>
      </w:r>
      <w:r>
        <w:rPr>
          <w:rFonts w:ascii="Times New Roman" w:hAnsi="Times New Roman" w:cs="Times New Roman" w:eastAsia="Times New Roman" w:hint="default"/>
          <w:spacing w:val="-7"/>
        </w:rPr>
        <w:t>2017</w:t>
      </w:r>
      <w:r>
        <w:rPr>
          <w:spacing w:val="-7"/>
        </w:rPr>
        <w:t>年</w:t>
      </w:r>
      <w:r>
        <w:rPr>
          <w:rFonts w:ascii="Times New Roman" w:hAnsi="Times New Roman" w:cs="Times New Roman" w:eastAsia="Times New Roman" w:hint="default"/>
          <w:spacing w:val="-7"/>
        </w:rPr>
        <w:t>6</w:t>
      </w:r>
      <w:r>
        <w:rPr>
          <w:spacing w:val="-7"/>
        </w:rPr>
        <w:t>月</w:t>
      </w:r>
      <w:r>
        <w:rPr>
          <w:rFonts w:ascii="Times New Roman" w:hAnsi="Times New Roman" w:cs="Times New Roman" w:eastAsia="Times New Roman" w:hint="default"/>
          <w:spacing w:val="-7"/>
        </w:rPr>
        <w:t>26</w:t>
      </w:r>
      <w:r>
        <w:rPr>
          <w:spacing w:val="-7"/>
        </w:rPr>
        <w:t>日临时股东大会决议、《支付现金购买资产协议》及《盈利预测补偿协议》，</w:t>
      </w:r>
      <w:r>
        <w:rPr>
          <w:spacing w:val="-42"/>
        </w:rPr>
        <w:t> </w:t>
      </w:r>
      <w:r>
        <w:rPr>
          <w:spacing w:val="-42"/>
        </w:rPr>
      </w:r>
      <w:r>
        <w:rPr/>
        <w:t>本公司以</w:t>
      </w:r>
      <w:r>
        <w:rPr>
          <w:rFonts w:ascii="Times New Roman" w:hAnsi="Times New Roman" w:cs="Times New Roman" w:eastAsia="Times New Roman" w:hint="default"/>
        </w:rPr>
        <w:t>50,000.00</w:t>
      </w:r>
      <w:r>
        <w:rPr/>
        <w:t>万元受让宝腾互联原股东宝德科技持有的宝腾互联</w:t>
      </w:r>
      <w:r>
        <w:rPr>
          <w:rFonts w:ascii="Times New Roman" w:hAnsi="Times New Roman" w:cs="Times New Roman" w:eastAsia="Times New Roman" w:hint="default"/>
        </w:rPr>
        <w:t>100.00%</w:t>
      </w:r>
      <w:r>
        <w:rPr/>
        <w:t>股权。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rFonts w:ascii="Times New Roman" w:hAnsi="Times New Roman" w:cs="Times New Roman" w:eastAsia="Times New Roman" w:hint="default"/>
          <w:spacing w:val="-17"/>
        </w:rPr>
        <w:t> </w:t>
      </w:r>
      <w:r>
        <w:rPr/>
        <w:t>日，宝腾互联已办理完成章程变更备案等相关工商登记手续。同时宝德科技承诺宝腾互联盈利补</w:t>
      </w:r>
      <w:r>
        <w:rPr>
          <w:spacing w:val="-53"/>
        </w:rPr>
        <w:t> </w:t>
      </w:r>
      <w:r>
        <w:rPr>
          <w:spacing w:val="-53"/>
        </w:rPr>
      </w:r>
      <w:r>
        <w:rPr/>
        <w:t>偿期间（</w:t>
      </w:r>
      <w:r>
        <w:rPr>
          <w:rFonts w:ascii="Times New Roman" w:hAnsi="Times New Roman" w:cs="Times New Roman" w:eastAsia="Times New Roman" w:hint="default"/>
        </w:rPr>
        <w:t>2017</w:t>
      </w:r>
      <w:r>
        <w:rPr/>
        <w:t>年度、</w:t>
      </w:r>
      <w:r>
        <w:rPr>
          <w:rFonts w:ascii="Times New Roman" w:hAnsi="Times New Roman" w:cs="Times New Roman" w:eastAsia="Times New Roman" w:hint="default"/>
        </w:rPr>
        <w:t>2018</w:t>
      </w:r>
      <w:r>
        <w:rPr/>
        <w:t>年度、</w:t>
      </w:r>
      <w:r>
        <w:rPr>
          <w:rFonts w:ascii="Times New Roman" w:hAnsi="Times New Roman" w:cs="Times New Roman" w:eastAsia="Times New Roman" w:hint="default"/>
        </w:rPr>
        <w:t>2019</w:t>
      </w:r>
      <w:r>
        <w:rPr/>
        <w:t>年度）业绩为</w:t>
      </w:r>
      <w:r>
        <w:rPr>
          <w:rFonts w:ascii="Times New Roman" w:hAnsi="Times New Roman" w:cs="Times New Roman" w:eastAsia="Times New Roman" w:hint="default"/>
        </w:rPr>
        <w:t>110,361,605.80</w:t>
      </w:r>
      <w:r>
        <w:rPr/>
        <w:t>元，如宝腾互联在盈利补偿期间</w:t>
      </w:r>
      <w:r>
        <w:rPr>
          <w:w w:val="100"/>
        </w:rPr>
        <w:t> </w:t>
      </w:r>
      <w:r>
        <w:rPr/>
        <w:t>最终结束后的实际净利润数未能达到承诺的净利润预测数，宝德科技将以现金形式对本公司进行</w:t>
      </w:r>
      <w:r>
        <w:rPr>
          <w:spacing w:val="-53"/>
        </w:rPr>
        <w:t> </w:t>
      </w:r>
      <w:r>
        <w:rPr>
          <w:spacing w:val="-53"/>
        </w:rPr>
      </w:r>
      <w:r>
        <w:rPr>
          <w:spacing w:val="-3"/>
        </w:rPr>
        <w:t>补偿。补偿的现金价款的计算公式如下：盈利补偿期间最终结束后需补偿的现金价款</w:t>
      </w:r>
      <w:r>
        <w:rPr>
          <w:rFonts w:ascii="Times New Roman" w:hAnsi="Times New Roman" w:cs="Times New Roman" w:eastAsia="Times New Roman" w:hint="default"/>
          <w:spacing w:val="-3"/>
        </w:rPr>
        <w:t>=</w:t>
      </w:r>
      <w:r>
        <w:rPr>
          <w:spacing w:val="-3"/>
        </w:rPr>
        <w:t>（盈利补偿</w:t>
      </w:r>
      <w:r>
        <w:rPr>
          <w:spacing w:val="-53"/>
        </w:rPr>
        <w:t> </w:t>
      </w:r>
      <w:r>
        <w:rPr>
          <w:spacing w:val="-53"/>
        </w:rPr>
      </w:r>
      <w:r>
        <w:rPr>
          <w:spacing w:val="-3"/>
        </w:rPr>
        <w:t>期间的净利润预测数－截至盈利补偿期间期末累积实现净利润数）</w:t>
      </w:r>
      <w:r>
        <w:rPr>
          <w:rFonts w:ascii="Times New Roman" w:hAnsi="Times New Roman" w:cs="Times New Roman" w:eastAsia="Times New Roman" w:hint="default"/>
          <w:spacing w:val="-3"/>
        </w:rPr>
        <w:t>÷</w:t>
      </w:r>
      <w:r>
        <w:rPr>
          <w:spacing w:val="-3"/>
        </w:rPr>
        <w:t>盈利补偿期间的净利润预测数</w:t>
      </w:r>
    </w:p>
    <w:p>
      <w:pPr>
        <w:pStyle w:val="BodyText"/>
        <w:spacing w:line="303" w:lineRule="exact"/>
        <w:ind w:left="496" w:right="996"/>
        <w:jc w:val="left"/>
      </w:pPr>
      <w:r>
        <w:rPr>
          <w:rFonts w:ascii="Times New Roman" w:hAnsi="Times New Roman" w:cs="Times New Roman" w:eastAsia="Times New Roman" w:hint="default"/>
        </w:rPr>
        <w:t>×</w:t>
      </w:r>
      <w:r>
        <w:rPr/>
        <w:t>交易价格</w:t>
      </w:r>
    </w:p>
    <w:p>
      <w:pPr>
        <w:spacing w:line="240" w:lineRule="auto" w:before="12"/>
        <w:rPr>
          <w:rFonts w:ascii="宋体" w:hAnsi="宋体" w:cs="宋体" w:eastAsia="宋体" w:hint="default"/>
          <w:sz w:val="18"/>
          <w:szCs w:val="18"/>
        </w:rPr>
      </w:pPr>
    </w:p>
    <w:p>
      <w:pPr>
        <w:pStyle w:val="BodyText"/>
        <w:spacing w:line="244" w:lineRule="auto"/>
        <w:ind w:left="494" w:right="996"/>
        <w:jc w:val="left"/>
      </w:pPr>
      <w:r>
        <w:rPr/>
        <w:t>宝腾互联盈利补偿期间（</w:t>
      </w:r>
      <w:r>
        <w:rPr>
          <w:rFonts w:ascii="Times New Roman" w:hAnsi="Times New Roman" w:cs="Times New Roman" w:eastAsia="Times New Roman" w:hint="default"/>
        </w:rPr>
        <w:t>2017</w:t>
      </w:r>
      <w:r>
        <w:rPr/>
        <w:t>年度、</w:t>
      </w:r>
      <w:r>
        <w:rPr>
          <w:rFonts w:ascii="Times New Roman" w:hAnsi="Times New Roman" w:cs="Times New Roman" w:eastAsia="Times New Roman" w:hint="default"/>
        </w:rPr>
        <w:t>2018</w:t>
      </w:r>
      <w:r>
        <w:rPr/>
        <w:t>年度、</w:t>
      </w:r>
      <w:r>
        <w:rPr>
          <w:rFonts w:ascii="Times New Roman" w:hAnsi="Times New Roman" w:cs="Times New Roman" w:eastAsia="Times New Roman" w:hint="default"/>
        </w:rPr>
        <w:t>2019</w:t>
      </w:r>
      <w:r>
        <w:rPr/>
        <w:t>年度）经审计的累计实现的扣非后净利润为</w:t>
      </w:r>
      <w:r>
        <w:rPr>
          <w:spacing w:val="-56"/>
        </w:rPr>
        <w:t> </w:t>
      </w:r>
      <w:r>
        <w:rPr>
          <w:spacing w:val="-56"/>
        </w:rPr>
      </w:r>
      <w:r>
        <w:rPr>
          <w:rFonts w:ascii="Times New Roman" w:hAnsi="Times New Roman" w:cs="Times New Roman" w:eastAsia="Times New Roman" w:hint="default"/>
          <w:spacing w:val="-4"/>
        </w:rPr>
        <w:t>102,809,871.60</w:t>
      </w:r>
      <w:r>
        <w:rPr>
          <w:spacing w:val="-4"/>
        </w:rPr>
        <w:t>元，与承诺业绩</w:t>
      </w:r>
      <w:r>
        <w:rPr>
          <w:rFonts w:ascii="Times New Roman" w:hAnsi="Times New Roman" w:cs="Times New Roman" w:eastAsia="Times New Roman" w:hint="default"/>
          <w:spacing w:val="-4"/>
        </w:rPr>
        <w:t>110,361,605.80</w:t>
      </w:r>
      <w:r>
        <w:rPr>
          <w:spacing w:val="-4"/>
        </w:rPr>
        <w:t>元的差异为</w:t>
      </w:r>
      <w:r>
        <w:rPr>
          <w:rFonts w:ascii="Times New Roman" w:hAnsi="Times New Roman" w:cs="Times New Roman" w:eastAsia="Times New Roman" w:hint="default"/>
          <w:spacing w:val="-4"/>
        </w:rPr>
        <w:t>7,551,734.20</w:t>
      </w:r>
      <w:r>
        <w:rPr>
          <w:spacing w:val="-4"/>
        </w:rPr>
        <w:t>元。根据《盈利预测补偿协议》</w:t>
      </w:r>
      <w:r>
        <w:rPr>
          <w:spacing w:val="-70"/>
        </w:rPr>
        <w:t> </w:t>
      </w:r>
      <w:r>
        <w:rPr>
          <w:spacing w:val="-70"/>
        </w:rPr>
      </w:r>
      <w:r>
        <w:rPr>
          <w:spacing w:val="-4"/>
        </w:rPr>
        <w:t>计算，宝德科技应补偿中青宝</w:t>
      </w:r>
      <w:r>
        <w:rPr>
          <w:rFonts w:ascii="Times New Roman" w:hAnsi="Times New Roman" w:cs="Times New Roman" w:eastAsia="Times New Roman" w:hint="default"/>
          <w:spacing w:val="-4"/>
        </w:rPr>
        <w:t>34,213,593.35</w:t>
      </w:r>
      <w:r>
        <w:rPr>
          <w:spacing w:val="-4"/>
        </w:rPr>
        <w:t>元。本公司实际应付股权转让款余款为</w:t>
      </w:r>
      <w:r>
        <w:rPr>
          <w:rFonts w:ascii="Times New Roman" w:hAnsi="Times New Roman" w:cs="Times New Roman" w:eastAsia="Times New Roman" w:hint="default"/>
          <w:spacing w:val="-4"/>
        </w:rPr>
        <w:t>88,137,512.49</w:t>
      </w:r>
      <w:r>
        <w:rPr>
          <w:spacing w:val="-4"/>
        </w:rPr>
        <w:t>元。</w:t>
      </w:r>
      <w:r>
        <w:rPr/>
      </w:r>
    </w:p>
    <w:p>
      <w:pPr>
        <w:spacing w:line="240" w:lineRule="auto" w:before="7"/>
        <w:rPr>
          <w:rFonts w:ascii="宋体" w:hAnsi="宋体" w:cs="宋体" w:eastAsia="宋体" w:hint="default"/>
          <w:sz w:val="18"/>
          <w:szCs w:val="18"/>
        </w:rPr>
      </w:pPr>
    </w:p>
    <w:p>
      <w:pPr>
        <w:pStyle w:val="BodyText"/>
        <w:spacing w:line="244" w:lineRule="auto"/>
        <w:ind w:left="494" w:right="1126"/>
        <w:jc w:val="both"/>
      </w:pPr>
      <w:r>
        <w:rPr/>
        <w:t>本</w:t>
      </w:r>
      <w:r>
        <w:rPr>
          <w:spacing w:val="-77"/>
        </w:rPr>
        <w:t> </w:t>
      </w:r>
      <w:r>
        <w:rPr/>
        <w:t>公</w:t>
      </w:r>
      <w:r>
        <w:rPr>
          <w:spacing w:val="-80"/>
        </w:rPr>
        <w:t> </w:t>
      </w:r>
      <w:r>
        <w:rPr/>
        <w:t>司</w:t>
      </w:r>
      <w:r>
        <w:rPr>
          <w:spacing w:val="-80"/>
        </w:rPr>
        <w:t> </w:t>
      </w:r>
      <w:r>
        <w:rPr/>
        <w:t>已</w:t>
      </w:r>
      <w:r>
        <w:rPr>
          <w:spacing w:val="-77"/>
        </w:rPr>
        <w:t> </w:t>
      </w:r>
      <w:r>
        <w:rPr/>
        <w:t>根</w:t>
      </w:r>
      <w:r>
        <w:rPr>
          <w:spacing w:val="-80"/>
        </w:rPr>
        <w:t> </w:t>
      </w:r>
      <w:r>
        <w:rPr/>
        <w:t>据</w:t>
      </w:r>
      <w:r>
        <w:rPr>
          <w:spacing w:val="-80"/>
        </w:rPr>
        <w:t> </w:t>
      </w:r>
      <w:r>
        <w:rPr/>
        <w:t>信</w:t>
      </w:r>
      <w:r>
        <w:rPr>
          <w:spacing w:val="-77"/>
        </w:rPr>
        <w:t> </w:t>
      </w:r>
      <w:r>
        <w:rPr/>
        <w:t>永</w:t>
      </w:r>
      <w:r>
        <w:rPr>
          <w:spacing w:val="-80"/>
        </w:rPr>
        <w:t> </w:t>
      </w:r>
      <w:r>
        <w:rPr/>
        <w:t>中</w:t>
      </w:r>
      <w:r>
        <w:rPr>
          <w:spacing w:val="-80"/>
        </w:rPr>
        <w:t> </w:t>
      </w:r>
      <w:r>
        <w:rPr/>
        <w:t>和</w:t>
      </w:r>
      <w:r>
        <w:rPr>
          <w:spacing w:val="-77"/>
        </w:rPr>
        <w:t> </w:t>
      </w:r>
      <w:r>
        <w:rPr/>
        <w:t>会</w:t>
      </w:r>
      <w:r>
        <w:rPr>
          <w:spacing w:val="-80"/>
        </w:rPr>
        <w:t> </w:t>
      </w:r>
      <w:r>
        <w:rPr/>
        <w:t>计</w:t>
      </w:r>
      <w:r>
        <w:rPr>
          <w:spacing w:val="-80"/>
        </w:rPr>
        <w:t> </w:t>
      </w:r>
      <w:r>
        <w:rPr/>
        <w:t>师</w:t>
      </w:r>
      <w:r>
        <w:rPr>
          <w:spacing w:val="-77"/>
        </w:rPr>
        <w:t> </w:t>
      </w:r>
      <w:r>
        <w:rPr/>
        <w:t>事</w:t>
      </w:r>
      <w:r>
        <w:rPr>
          <w:spacing w:val="-80"/>
        </w:rPr>
        <w:t> </w:t>
      </w:r>
      <w:r>
        <w:rPr/>
        <w:t>务</w:t>
      </w:r>
      <w:r>
        <w:rPr>
          <w:spacing w:val="-80"/>
        </w:rPr>
        <w:t> </w:t>
      </w:r>
      <w:r>
        <w:rPr/>
        <w:t>所</w:t>
      </w:r>
      <w:r>
        <w:rPr>
          <w:spacing w:val="-77"/>
        </w:rPr>
        <w:t> </w:t>
      </w:r>
      <w:r>
        <w:rPr/>
        <w:t>（</w:t>
      </w:r>
      <w:r>
        <w:rPr>
          <w:spacing w:val="-80"/>
        </w:rPr>
        <w:t> </w:t>
      </w:r>
      <w:r>
        <w:rPr/>
        <w:t>特</w:t>
      </w:r>
      <w:r>
        <w:rPr>
          <w:spacing w:val="-80"/>
        </w:rPr>
        <w:t> </w:t>
      </w:r>
      <w:r>
        <w:rPr/>
        <w:t>殊</w:t>
      </w:r>
      <w:r>
        <w:rPr>
          <w:spacing w:val="-77"/>
        </w:rPr>
        <w:t> </w:t>
      </w:r>
      <w:r>
        <w:rPr/>
        <w:t>普</w:t>
      </w:r>
      <w:r>
        <w:rPr>
          <w:spacing w:val="-80"/>
        </w:rPr>
        <w:t> </w:t>
      </w:r>
      <w:r>
        <w:rPr/>
        <w:t>通</w:t>
      </w:r>
      <w:r>
        <w:rPr>
          <w:spacing w:val="-80"/>
        </w:rPr>
        <w:t> </w:t>
      </w:r>
      <w:r>
        <w:rPr/>
        <w:t>合</w:t>
      </w:r>
      <w:r>
        <w:rPr>
          <w:spacing w:val="-77"/>
        </w:rPr>
        <w:t> </w:t>
      </w:r>
      <w:r>
        <w:rPr/>
        <w:t>伙</w:t>
      </w:r>
      <w:r>
        <w:rPr>
          <w:spacing w:val="-80"/>
        </w:rPr>
        <w:t> </w:t>
      </w:r>
      <w:r>
        <w:rPr/>
        <w:t>）</w:t>
      </w:r>
      <w:r>
        <w:rPr>
          <w:spacing w:val="-80"/>
        </w:rPr>
        <w:t> </w:t>
      </w:r>
      <w:r>
        <w:rPr/>
        <w:t>于</w:t>
      </w:r>
      <w:r>
        <w:rPr>
          <w:spacing w:val="53"/>
        </w:rPr>
        <w:t> </w:t>
      </w:r>
      <w:r>
        <w:rPr>
          <w:rFonts w:ascii="Times New Roman" w:hAnsi="Times New Roman" w:cs="Times New Roman" w:eastAsia="Times New Roman" w:hint="default"/>
        </w:rPr>
        <w:t>2020</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月</w:t>
      </w:r>
      <w:r>
        <w:rPr>
          <w:spacing w:val="45"/>
        </w:rPr>
        <w:t> </w:t>
      </w:r>
      <w:r>
        <w:rPr>
          <w:rFonts w:ascii="Times New Roman" w:hAnsi="Times New Roman" w:cs="Times New Roman" w:eastAsia="Times New Roman" w:hint="default"/>
        </w:rPr>
        <w:t>15</w:t>
      </w:r>
      <w:r>
        <w:rPr>
          <w:rFonts w:ascii="Times New Roman" w:hAnsi="Times New Roman" w:cs="Times New Roman" w:eastAsia="Times New Roman" w:hint="default"/>
          <w:spacing w:val="11"/>
        </w:rPr>
        <w:t> </w:t>
      </w:r>
      <w:r>
        <w:rPr/>
        <w:t>日</w:t>
      </w:r>
      <w:r>
        <w:rPr>
          <w:spacing w:val="-80"/>
        </w:rPr>
        <w:t> </w:t>
      </w:r>
      <w:r>
        <w:rPr/>
        <w:t>出</w:t>
      </w:r>
      <w:r>
        <w:rPr>
          <w:spacing w:val="-77"/>
        </w:rPr>
        <w:t> </w:t>
      </w:r>
      <w:r>
        <w:rPr/>
        <w:t>具</w:t>
      </w:r>
      <w:r>
        <w:rPr>
          <w:spacing w:val="-80"/>
        </w:rPr>
        <w:t> </w:t>
      </w:r>
      <w:r>
        <w:rPr/>
        <w:t>的</w:t>
      </w:r>
      <w:r>
        <w:rPr>
          <w:w w:val="100"/>
        </w:rPr>
        <w:t> </w:t>
      </w:r>
      <w:r>
        <w:rPr>
          <w:rFonts w:ascii="Times New Roman" w:hAnsi="Times New Roman" w:cs="Times New Roman" w:eastAsia="Times New Roman" w:hint="default"/>
        </w:rPr>
        <w:t>XYZH/2020SZA30019 </w:t>
      </w:r>
      <w:r>
        <w:rPr/>
        <w:t>号《关于深圳市宝腾互联科技有限公司 </w:t>
      </w:r>
      <w:r>
        <w:rPr>
          <w:rFonts w:ascii="Times New Roman" w:hAnsi="Times New Roman" w:cs="Times New Roman" w:eastAsia="Times New Roman" w:hint="default"/>
        </w:rPr>
        <w:t>2019 </w:t>
      </w:r>
      <w:r>
        <w:rPr/>
        <w:t>年度实际净</w:t>
      </w:r>
      <w:r>
        <w:rPr>
          <w:spacing w:val="-50"/>
        </w:rPr>
        <w:t> </w:t>
      </w:r>
      <w:r>
        <w:rPr/>
        <w:t>利润的专项审核</w:t>
      </w:r>
      <w:r>
        <w:rPr>
          <w:w w:val="100"/>
        </w:rPr>
        <w:t> </w:t>
      </w:r>
      <w:r>
        <w:rPr>
          <w:spacing w:val="-3"/>
        </w:rPr>
        <w:t>报告》，本公司已于</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1</w:t>
      </w:r>
      <w:r>
        <w:rPr>
          <w:spacing w:val="-3"/>
        </w:rPr>
        <w:t>月向宝德科技支付股权转让款余款</w:t>
      </w:r>
      <w:r>
        <w:rPr>
          <w:rFonts w:ascii="Times New Roman" w:hAnsi="Times New Roman" w:cs="Times New Roman" w:eastAsia="Times New Roman" w:hint="default"/>
          <w:spacing w:val="-3"/>
        </w:rPr>
        <w:t>88,137,512.49</w:t>
      </w:r>
      <w:r>
        <w:rPr>
          <w:spacing w:val="-3"/>
        </w:rPr>
        <w:t>元。截止</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28</w:t>
      </w:r>
      <w:r>
        <w:rPr>
          <w:rFonts w:ascii="Times New Roman" w:hAnsi="Times New Roman" w:cs="Times New Roman" w:eastAsia="Times New Roman" w:hint="default"/>
          <w:spacing w:val="3"/>
        </w:rPr>
        <w:t> </w:t>
      </w:r>
      <w:r>
        <w:rPr/>
        <w:t>日，本公司已向宝德科技累计支付股权转让款</w:t>
      </w:r>
      <w:r>
        <w:rPr>
          <w:rFonts w:ascii="Times New Roman" w:hAnsi="Times New Roman" w:cs="Times New Roman" w:eastAsia="Times New Roman" w:hint="default"/>
        </w:rPr>
        <w:t>465,648,894.16</w:t>
      </w:r>
      <w:r>
        <w:rPr>
          <w:rFonts w:ascii="Times New Roman" w:hAnsi="Times New Roman" w:cs="Times New Roman" w:eastAsia="Times New Roman" w:hint="default"/>
          <w:spacing w:val="26"/>
        </w:rPr>
        <w:t> </w:t>
      </w:r>
      <w:r>
        <w:rPr/>
        <w:t>元，股转转让款已支付完毕。</w:t>
      </w:r>
    </w:p>
    <w:p>
      <w:pPr>
        <w:spacing w:line="240" w:lineRule="auto" w:before="7"/>
        <w:rPr>
          <w:rFonts w:ascii="宋体" w:hAnsi="宋体" w:cs="宋体" w:eastAsia="宋体" w:hint="default"/>
          <w:sz w:val="18"/>
          <w:szCs w:val="18"/>
        </w:rPr>
      </w:pPr>
    </w:p>
    <w:p>
      <w:pPr>
        <w:pStyle w:val="BodyText"/>
        <w:spacing w:line="249" w:lineRule="auto"/>
        <w:ind w:left="494" w:right="996"/>
        <w:jc w:val="left"/>
      </w:pPr>
      <w:r>
        <w:rPr/>
        <w:t>根据本公司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16</w:t>
      </w:r>
      <w:r>
        <w:rPr/>
        <w:t>日第一次临时股东大会决议、宝德科技集团股份有限公司（以下简称</w:t>
      </w:r>
      <w:r>
        <w:rPr>
          <w:rFonts w:ascii="Times New Roman" w:hAnsi="Times New Roman" w:cs="Times New Roman" w:eastAsia="Times New Roman" w:hint="default"/>
        </w:rPr>
        <w:t>“</w:t>
      </w:r>
      <w:r>
        <w:rPr/>
        <w:t>宝</w:t>
      </w:r>
      <w:r>
        <w:rPr>
          <w:w w:val="100"/>
        </w:rPr>
        <w:t> </w:t>
      </w:r>
      <w:r>
        <w:rPr>
          <w:spacing w:val="-7"/>
        </w:rPr>
        <w:t>德科技</w:t>
      </w:r>
      <w:r>
        <w:rPr>
          <w:rFonts w:ascii="Times New Roman" w:hAnsi="Times New Roman" w:cs="Times New Roman" w:eastAsia="Times New Roman" w:hint="default"/>
          <w:spacing w:val="-7"/>
        </w:rPr>
        <w:t>”</w:t>
      </w:r>
      <w:r>
        <w:rPr>
          <w:spacing w:val="-7"/>
        </w:rPr>
        <w:t>）</w:t>
      </w:r>
      <w:r>
        <w:rPr>
          <w:rFonts w:ascii="Times New Roman" w:hAnsi="Times New Roman" w:cs="Times New Roman" w:eastAsia="Times New Roman" w:hint="default"/>
          <w:spacing w:val="-7"/>
        </w:rPr>
        <w:t>2017</w:t>
      </w:r>
      <w:r>
        <w:rPr>
          <w:spacing w:val="-7"/>
        </w:rPr>
        <w:t>年</w:t>
      </w:r>
      <w:r>
        <w:rPr>
          <w:rFonts w:ascii="Times New Roman" w:hAnsi="Times New Roman" w:cs="Times New Roman" w:eastAsia="Times New Roman" w:hint="default"/>
          <w:spacing w:val="-7"/>
        </w:rPr>
        <w:t>6</w:t>
      </w:r>
      <w:r>
        <w:rPr>
          <w:spacing w:val="-7"/>
        </w:rPr>
        <w:t>月</w:t>
      </w:r>
      <w:r>
        <w:rPr>
          <w:rFonts w:ascii="Times New Roman" w:hAnsi="Times New Roman" w:cs="Times New Roman" w:eastAsia="Times New Roman" w:hint="default"/>
          <w:spacing w:val="-7"/>
        </w:rPr>
        <w:t>26</w:t>
      </w:r>
      <w:r>
        <w:rPr>
          <w:spacing w:val="-7"/>
        </w:rPr>
        <w:t>日临时股东大会决议、《支付现金购买资产协议》及《盈利预测补偿协议》，</w:t>
      </w:r>
      <w:r>
        <w:rPr>
          <w:spacing w:val="-42"/>
        </w:rPr>
        <w:t> </w:t>
      </w:r>
      <w:r>
        <w:rPr>
          <w:spacing w:val="-42"/>
        </w:rPr>
      </w:r>
      <w:r>
        <w:rPr/>
        <w:t>本公司以</w:t>
      </w:r>
      <w:r>
        <w:rPr>
          <w:rFonts w:ascii="Times New Roman" w:hAnsi="Times New Roman" w:cs="Times New Roman" w:eastAsia="Times New Roman" w:hint="default"/>
        </w:rPr>
        <w:t>50,000.00</w:t>
      </w:r>
      <w:r>
        <w:rPr/>
        <w:t>万元受让宝腾互联原股东宝德科技持有的宝腾互联</w:t>
      </w:r>
      <w:r>
        <w:rPr>
          <w:rFonts w:ascii="Times New Roman" w:hAnsi="Times New Roman" w:cs="Times New Roman" w:eastAsia="Times New Roman" w:hint="default"/>
        </w:rPr>
        <w:t>100.00%</w:t>
      </w:r>
      <w:r>
        <w:rPr/>
        <w:t>股权。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rFonts w:ascii="Times New Roman" w:hAnsi="Times New Roman" w:cs="Times New Roman" w:eastAsia="Times New Roman" w:hint="default"/>
          <w:spacing w:val="-17"/>
        </w:rPr>
        <w:t> </w:t>
      </w:r>
      <w:r>
        <w:rPr/>
        <w:t>日，宝腾互联已办理完成章程变更备案等相关工商登记手续。同时宝德科技承诺宝腾互联盈利补</w:t>
      </w:r>
      <w:r>
        <w:rPr>
          <w:spacing w:val="-53"/>
        </w:rPr>
        <w:t> </w:t>
      </w:r>
      <w:r>
        <w:rPr>
          <w:spacing w:val="-53"/>
        </w:rPr>
      </w:r>
      <w:r>
        <w:rPr/>
        <w:t>偿期间（</w:t>
      </w:r>
      <w:r>
        <w:rPr>
          <w:rFonts w:ascii="Times New Roman" w:hAnsi="Times New Roman" w:cs="Times New Roman" w:eastAsia="Times New Roman" w:hint="default"/>
        </w:rPr>
        <w:t>2017</w:t>
      </w:r>
      <w:r>
        <w:rPr/>
        <w:t>年度、</w:t>
      </w:r>
      <w:r>
        <w:rPr>
          <w:rFonts w:ascii="Times New Roman" w:hAnsi="Times New Roman" w:cs="Times New Roman" w:eastAsia="Times New Roman" w:hint="default"/>
        </w:rPr>
        <w:t>2018</w:t>
      </w:r>
      <w:r>
        <w:rPr/>
        <w:t>年度、</w:t>
      </w:r>
      <w:r>
        <w:rPr>
          <w:rFonts w:ascii="Times New Roman" w:hAnsi="Times New Roman" w:cs="Times New Roman" w:eastAsia="Times New Roman" w:hint="default"/>
        </w:rPr>
        <w:t>2019</w:t>
      </w:r>
      <w:r>
        <w:rPr/>
        <w:t>年度）业绩为</w:t>
      </w:r>
      <w:r>
        <w:rPr>
          <w:rFonts w:ascii="Times New Roman" w:hAnsi="Times New Roman" w:cs="Times New Roman" w:eastAsia="Times New Roman" w:hint="default"/>
        </w:rPr>
        <w:t>110,361,605.80</w:t>
      </w:r>
      <w:r>
        <w:rPr/>
        <w:t>元，如宝腾互联在盈利补偿期间</w:t>
      </w:r>
      <w:r>
        <w:rPr>
          <w:w w:val="100"/>
        </w:rPr>
        <w:t> </w:t>
      </w:r>
      <w:r>
        <w:rPr/>
        <w:t>最终结束后的实际净利润数未能达到承诺的净利润预测数，宝德科技将以现金形式对本公司进行</w:t>
      </w:r>
      <w:r>
        <w:rPr>
          <w:spacing w:val="-53"/>
        </w:rPr>
        <w:t> </w:t>
      </w:r>
      <w:r>
        <w:rPr>
          <w:spacing w:val="-53"/>
        </w:rPr>
      </w:r>
      <w:r>
        <w:rPr>
          <w:spacing w:val="-3"/>
        </w:rPr>
        <w:t>补偿。补偿的现金价款的计算公式如下：盈利补偿期间最终结束后需补偿的现金价款</w:t>
      </w:r>
      <w:r>
        <w:rPr>
          <w:rFonts w:ascii="Times New Roman" w:hAnsi="Times New Roman" w:cs="Times New Roman" w:eastAsia="Times New Roman" w:hint="default"/>
          <w:spacing w:val="-3"/>
        </w:rPr>
        <w:t>=</w:t>
      </w:r>
      <w:r>
        <w:rPr>
          <w:spacing w:val="-3"/>
        </w:rPr>
        <w:t>（盈利补偿</w:t>
      </w:r>
      <w:r>
        <w:rPr>
          <w:spacing w:val="-53"/>
        </w:rPr>
        <w:t> </w:t>
      </w:r>
      <w:r>
        <w:rPr>
          <w:spacing w:val="-53"/>
        </w:rPr>
      </w:r>
      <w:r>
        <w:rPr>
          <w:spacing w:val="-3"/>
        </w:rPr>
        <w:t>期间的净利润预测数－截至盈利补偿期间期末累积实现净利润数）</w:t>
      </w:r>
      <w:r>
        <w:rPr>
          <w:rFonts w:ascii="Times New Roman" w:hAnsi="Times New Roman" w:cs="Times New Roman" w:eastAsia="Times New Roman" w:hint="default"/>
          <w:spacing w:val="-3"/>
        </w:rPr>
        <w:t>÷</w:t>
      </w:r>
      <w:r>
        <w:rPr>
          <w:spacing w:val="-3"/>
        </w:rPr>
        <w:t>盈利补偿期间的净利润预测数</w:t>
      </w:r>
    </w:p>
    <w:p>
      <w:pPr>
        <w:pStyle w:val="BodyText"/>
        <w:spacing w:line="302" w:lineRule="exact"/>
        <w:ind w:left="496" w:right="996"/>
        <w:jc w:val="left"/>
      </w:pPr>
      <w:r>
        <w:rPr>
          <w:rFonts w:ascii="Times New Roman" w:hAnsi="Times New Roman" w:cs="Times New Roman" w:eastAsia="Times New Roman" w:hint="default"/>
        </w:rPr>
        <w:t>×</w:t>
      </w:r>
      <w:r>
        <w:rPr/>
        <w:t>交易价格</w:t>
      </w:r>
    </w:p>
    <w:p>
      <w:pPr>
        <w:spacing w:after="0" w:line="302" w:lineRule="exact"/>
        <w:jc w:val="left"/>
        <w:sectPr>
          <w:pgSz w:w="11910" w:h="16840"/>
          <w:pgMar w:header="877" w:footer="980" w:top="1060" w:bottom="1160" w:left="980" w:right="0"/>
        </w:sectPr>
      </w:pPr>
    </w:p>
    <w:p>
      <w:pPr>
        <w:spacing w:line="240" w:lineRule="auto" w:before="4"/>
        <w:rPr>
          <w:rFonts w:ascii="宋体" w:hAnsi="宋体" w:cs="宋体" w:eastAsia="宋体" w:hint="default"/>
          <w:sz w:val="24"/>
          <w:szCs w:val="24"/>
        </w:rPr>
      </w:pPr>
    </w:p>
    <w:p>
      <w:pPr>
        <w:pStyle w:val="BodyText"/>
        <w:spacing w:line="247" w:lineRule="auto" w:before="32"/>
        <w:ind w:left="494" w:right="996"/>
        <w:jc w:val="left"/>
      </w:pPr>
      <w:r>
        <w:rPr/>
        <w:t>宝腾互联盈利补偿期间（</w:t>
      </w:r>
      <w:r>
        <w:rPr>
          <w:rFonts w:ascii="Times New Roman" w:hAnsi="Times New Roman" w:cs="Times New Roman" w:eastAsia="Times New Roman" w:hint="default"/>
        </w:rPr>
        <w:t>2017</w:t>
      </w:r>
      <w:r>
        <w:rPr/>
        <w:t>年度、</w:t>
      </w:r>
      <w:r>
        <w:rPr>
          <w:rFonts w:ascii="Times New Roman" w:hAnsi="Times New Roman" w:cs="Times New Roman" w:eastAsia="Times New Roman" w:hint="default"/>
        </w:rPr>
        <w:t>2018</w:t>
      </w:r>
      <w:r>
        <w:rPr/>
        <w:t>年度、</w:t>
      </w:r>
      <w:r>
        <w:rPr>
          <w:rFonts w:ascii="Times New Roman" w:hAnsi="Times New Roman" w:cs="Times New Roman" w:eastAsia="Times New Roman" w:hint="default"/>
        </w:rPr>
        <w:t>2019</w:t>
      </w:r>
      <w:r>
        <w:rPr/>
        <w:t>年度）经审计的累计实现的扣非后净利润为</w:t>
      </w:r>
      <w:r>
        <w:rPr>
          <w:spacing w:val="-56"/>
        </w:rPr>
        <w:t> </w:t>
      </w:r>
      <w:r>
        <w:rPr>
          <w:spacing w:val="-56"/>
        </w:rPr>
      </w:r>
      <w:r>
        <w:rPr>
          <w:rFonts w:ascii="Times New Roman" w:hAnsi="Times New Roman" w:cs="Times New Roman" w:eastAsia="Times New Roman" w:hint="default"/>
          <w:spacing w:val="-4"/>
        </w:rPr>
        <w:t>102,809,871.60</w:t>
      </w:r>
      <w:r>
        <w:rPr>
          <w:spacing w:val="-4"/>
        </w:rPr>
        <w:t>元，与承诺业绩</w:t>
      </w:r>
      <w:r>
        <w:rPr>
          <w:rFonts w:ascii="Times New Roman" w:hAnsi="Times New Roman" w:cs="Times New Roman" w:eastAsia="Times New Roman" w:hint="default"/>
          <w:spacing w:val="-4"/>
        </w:rPr>
        <w:t>110,361,605.80</w:t>
      </w:r>
      <w:r>
        <w:rPr>
          <w:spacing w:val="-4"/>
        </w:rPr>
        <w:t>元的差异为</w:t>
      </w:r>
      <w:r>
        <w:rPr>
          <w:rFonts w:ascii="Times New Roman" w:hAnsi="Times New Roman" w:cs="Times New Roman" w:eastAsia="Times New Roman" w:hint="default"/>
          <w:spacing w:val="-4"/>
        </w:rPr>
        <w:t>7,551,734.20</w:t>
      </w:r>
      <w:r>
        <w:rPr>
          <w:spacing w:val="-4"/>
        </w:rPr>
        <w:t>元。根据《盈利预测补偿协议》</w:t>
      </w:r>
      <w:r>
        <w:rPr>
          <w:spacing w:val="-70"/>
        </w:rPr>
        <w:t> </w:t>
      </w:r>
      <w:r>
        <w:rPr>
          <w:spacing w:val="-70"/>
        </w:rPr>
      </w:r>
      <w:r>
        <w:rPr>
          <w:spacing w:val="-4"/>
        </w:rPr>
        <w:t>计算，宝德科技应补偿中青宝</w:t>
      </w:r>
      <w:r>
        <w:rPr>
          <w:rFonts w:ascii="Times New Roman" w:hAnsi="Times New Roman" w:cs="Times New Roman" w:eastAsia="Times New Roman" w:hint="default"/>
          <w:spacing w:val="-4"/>
        </w:rPr>
        <w:t>34,213,593.35</w:t>
      </w:r>
      <w:r>
        <w:rPr>
          <w:spacing w:val="-4"/>
        </w:rPr>
        <w:t>元。本公司实际应付股权转让款余款为</w:t>
      </w:r>
      <w:r>
        <w:rPr>
          <w:rFonts w:ascii="Times New Roman" w:hAnsi="Times New Roman" w:cs="Times New Roman" w:eastAsia="Times New Roman" w:hint="default"/>
          <w:spacing w:val="-4"/>
        </w:rPr>
        <w:t>88,137,512.49</w:t>
      </w:r>
      <w:r>
        <w:rPr>
          <w:spacing w:val="-4"/>
        </w:rPr>
        <w:t>元。</w:t>
      </w:r>
      <w:r>
        <w:rPr/>
      </w:r>
    </w:p>
    <w:p>
      <w:pPr>
        <w:spacing w:line="240" w:lineRule="auto" w:before="5"/>
        <w:rPr>
          <w:rFonts w:ascii="宋体" w:hAnsi="宋体" w:cs="宋体" w:eastAsia="宋体" w:hint="default"/>
          <w:sz w:val="18"/>
          <w:szCs w:val="18"/>
        </w:rPr>
      </w:pPr>
    </w:p>
    <w:p>
      <w:pPr>
        <w:pStyle w:val="BodyText"/>
        <w:spacing w:line="244" w:lineRule="auto"/>
        <w:ind w:right="1129" w:firstLine="437"/>
        <w:jc w:val="both"/>
      </w:pPr>
      <w:r>
        <w:rPr/>
        <w:t>本</w:t>
      </w:r>
      <w:r>
        <w:rPr>
          <w:spacing w:val="-82"/>
        </w:rPr>
        <w:t> </w:t>
      </w:r>
      <w:r>
        <w:rPr/>
        <w:t>公</w:t>
      </w:r>
      <w:r>
        <w:rPr>
          <w:spacing w:val="-80"/>
        </w:rPr>
        <w:t> </w:t>
      </w:r>
      <w:r>
        <w:rPr/>
        <w:t>司</w:t>
      </w:r>
      <w:r>
        <w:rPr>
          <w:spacing w:val="-82"/>
        </w:rPr>
        <w:t> </w:t>
      </w:r>
      <w:r>
        <w:rPr/>
        <w:t>已</w:t>
      </w:r>
      <w:r>
        <w:rPr>
          <w:spacing w:val="-82"/>
        </w:rPr>
        <w:t> </w:t>
      </w:r>
      <w:r>
        <w:rPr/>
        <w:t>根</w:t>
      </w:r>
      <w:r>
        <w:rPr>
          <w:spacing w:val="-82"/>
        </w:rPr>
        <w:t> </w:t>
      </w:r>
      <w:r>
        <w:rPr/>
        <w:t>据</w:t>
      </w:r>
      <w:r>
        <w:rPr>
          <w:spacing w:val="-82"/>
        </w:rPr>
        <w:t> </w:t>
      </w:r>
      <w:r>
        <w:rPr/>
        <w:t>信</w:t>
      </w:r>
      <w:r>
        <w:rPr>
          <w:spacing w:val="-80"/>
        </w:rPr>
        <w:t> </w:t>
      </w:r>
      <w:r>
        <w:rPr/>
        <w:t>永</w:t>
      </w:r>
      <w:r>
        <w:rPr>
          <w:spacing w:val="-82"/>
        </w:rPr>
        <w:t> </w:t>
      </w:r>
      <w:r>
        <w:rPr/>
        <w:t>中</w:t>
      </w:r>
      <w:r>
        <w:rPr>
          <w:spacing w:val="-82"/>
        </w:rPr>
        <w:t> </w:t>
      </w:r>
      <w:r>
        <w:rPr/>
        <w:t>和</w:t>
      </w:r>
      <w:r>
        <w:rPr>
          <w:spacing w:val="-82"/>
        </w:rPr>
        <w:t> </w:t>
      </w:r>
      <w:r>
        <w:rPr/>
        <w:t>会</w:t>
      </w:r>
      <w:r>
        <w:rPr>
          <w:spacing w:val="-80"/>
        </w:rPr>
        <w:t> </w:t>
      </w:r>
      <w:r>
        <w:rPr/>
        <w:t>计</w:t>
      </w:r>
      <w:r>
        <w:rPr>
          <w:spacing w:val="-82"/>
        </w:rPr>
        <w:t> </w:t>
      </w:r>
      <w:r>
        <w:rPr/>
        <w:t>师</w:t>
      </w:r>
      <w:r>
        <w:rPr>
          <w:spacing w:val="-82"/>
        </w:rPr>
        <w:t> </w:t>
      </w:r>
      <w:r>
        <w:rPr/>
        <w:t>事</w:t>
      </w:r>
      <w:r>
        <w:rPr>
          <w:spacing w:val="-82"/>
        </w:rPr>
        <w:t> </w:t>
      </w:r>
      <w:r>
        <w:rPr/>
        <w:t>务</w:t>
      </w:r>
      <w:r>
        <w:rPr>
          <w:spacing w:val="-82"/>
        </w:rPr>
        <w:t> </w:t>
      </w:r>
      <w:r>
        <w:rPr/>
        <w:t>所</w:t>
      </w:r>
      <w:r>
        <w:rPr>
          <w:spacing w:val="-80"/>
        </w:rPr>
        <w:t> </w:t>
      </w:r>
      <w:r>
        <w:rPr/>
        <w:t>（</w:t>
      </w:r>
      <w:r>
        <w:rPr>
          <w:spacing w:val="-82"/>
        </w:rPr>
        <w:t> </w:t>
      </w:r>
      <w:r>
        <w:rPr/>
        <w:t>特</w:t>
      </w:r>
      <w:r>
        <w:rPr>
          <w:spacing w:val="-82"/>
        </w:rPr>
        <w:t> </w:t>
      </w:r>
      <w:r>
        <w:rPr/>
        <w:t>殊</w:t>
      </w:r>
      <w:r>
        <w:rPr>
          <w:spacing w:val="-82"/>
        </w:rPr>
        <w:t> </w:t>
      </w:r>
      <w:r>
        <w:rPr/>
        <w:t>普</w:t>
      </w:r>
      <w:r>
        <w:rPr>
          <w:spacing w:val="-80"/>
        </w:rPr>
        <w:t> </w:t>
      </w:r>
      <w:r>
        <w:rPr/>
        <w:t>通</w:t>
      </w:r>
      <w:r>
        <w:rPr>
          <w:spacing w:val="-82"/>
        </w:rPr>
        <w:t> </w:t>
      </w:r>
      <w:r>
        <w:rPr/>
        <w:t>合</w:t>
      </w:r>
      <w:r>
        <w:rPr>
          <w:spacing w:val="-82"/>
        </w:rPr>
        <w:t> </w:t>
      </w:r>
      <w:r>
        <w:rPr/>
        <w:t>伙</w:t>
      </w:r>
      <w:r>
        <w:rPr>
          <w:spacing w:val="-82"/>
        </w:rPr>
        <w:t> </w:t>
      </w:r>
      <w:r>
        <w:rPr/>
        <w:t>）</w:t>
      </w:r>
      <w:r>
        <w:rPr>
          <w:spacing w:val="-82"/>
        </w:rPr>
        <w:t> </w:t>
      </w:r>
      <w:r>
        <w:rPr/>
        <w:t>于</w:t>
      </w:r>
      <w:r>
        <w:rPr>
          <w:spacing w:val="49"/>
        </w:rPr>
        <w:t> </w:t>
      </w:r>
      <w:r>
        <w:rPr>
          <w:rFonts w:ascii="Times New Roman" w:hAnsi="Times New Roman" w:cs="Times New Roman" w:eastAsia="Times New Roman" w:hint="default"/>
        </w:rPr>
        <w:t>2020</w:t>
      </w:r>
      <w:r>
        <w:rPr>
          <w:rFonts w:ascii="Times New Roman" w:hAnsi="Times New Roman" w:cs="Times New Roman" w:eastAsia="Times New Roman" w:hint="default"/>
          <w:spacing w:val="7"/>
        </w:rPr>
        <w:t> </w:t>
      </w:r>
      <w:r>
        <w:rPr/>
        <w:t>年</w:t>
      </w:r>
      <w:r>
        <w:rPr>
          <w:spacing w:val="41"/>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月</w:t>
      </w:r>
      <w:r>
        <w:rPr>
          <w:spacing w:val="40"/>
        </w:rPr>
        <w:t> </w:t>
      </w:r>
      <w:r>
        <w:rPr>
          <w:rFonts w:ascii="Times New Roman" w:hAnsi="Times New Roman" w:cs="Times New Roman" w:eastAsia="Times New Roman" w:hint="default"/>
        </w:rPr>
        <w:t>15</w:t>
      </w:r>
      <w:r>
        <w:rPr>
          <w:rFonts w:ascii="Times New Roman" w:hAnsi="Times New Roman" w:cs="Times New Roman" w:eastAsia="Times New Roman" w:hint="default"/>
          <w:spacing w:val="7"/>
        </w:rPr>
        <w:t> </w:t>
      </w:r>
      <w:r>
        <w:rPr/>
        <w:t>日</w:t>
      </w:r>
      <w:r>
        <w:rPr>
          <w:spacing w:val="-82"/>
        </w:rPr>
        <w:t> </w:t>
      </w:r>
      <w:r>
        <w:rPr/>
        <w:t>出</w:t>
      </w:r>
      <w:r>
        <w:rPr>
          <w:spacing w:val="-80"/>
        </w:rPr>
        <w:t> </w:t>
      </w:r>
      <w:r>
        <w:rPr/>
        <w:t>具</w:t>
      </w:r>
      <w:r>
        <w:rPr>
          <w:spacing w:val="-82"/>
        </w:rPr>
        <w:t> </w:t>
      </w:r>
      <w:r>
        <w:rPr/>
        <w:t>的</w:t>
      </w:r>
      <w:r>
        <w:rPr>
          <w:w w:val="100"/>
        </w:rPr>
        <w:t> </w:t>
      </w:r>
      <w:r>
        <w:rPr>
          <w:rFonts w:ascii="Times New Roman" w:hAnsi="Times New Roman" w:cs="Times New Roman" w:eastAsia="Times New Roman" w:hint="default"/>
        </w:rPr>
        <w:t>XYZH/2020SZA30019 </w:t>
      </w:r>
      <w:r>
        <w:rPr>
          <w:spacing w:val="2"/>
        </w:rPr>
        <w:t>号《关于深圳市宝腾互联科技有限公司 </w:t>
      </w:r>
      <w:r>
        <w:rPr>
          <w:rFonts w:ascii="Times New Roman" w:hAnsi="Times New Roman" w:cs="Times New Roman" w:eastAsia="Times New Roman" w:hint="default"/>
        </w:rPr>
        <w:t>2019 </w:t>
      </w:r>
      <w:r>
        <w:rPr/>
        <w:t>年度实际净 </w:t>
      </w:r>
      <w:r>
        <w:rPr>
          <w:spacing w:val="2"/>
        </w:rPr>
        <w:t>利润的专项审核报</w:t>
      </w:r>
      <w:r>
        <w:rPr>
          <w:spacing w:val="-103"/>
        </w:rPr>
        <w:t> </w:t>
      </w:r>
      <w:r>
        <w:rPr>
          <w:spacing w:val="-103"/>
        </w:rPr>
      </w:r>
      <w:r>
        <w:rPr>
          <w:spacing w:val="-1"/>
        </w:rPr>
        <w:t>告》，本公司已于</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1</w:t>
      </w:r>
      <w:r>
        <w:rPr>
          <w:spacing w:val="-1"/>
        </w:rPr>
        <w:t>月向宝德科技支付股权转让款余款</w:t>
      </w:r>
      <w:r>
        <w:rPr>
          <w:rFonts w:ascii="Times New Roman" w:hAnsi="Times New Roman" w:cs="Times New Roman" w:eastAsia="Times New Roman" w:hint="default"/>
          <w:spacing w:val="-1"/>
        </w:rPr>
        <w:t>88,137,512.49</w:t>
      </w:r>
      <w:r>
        <w:rPr>
          <w:spacing w:val="-1"/>
        </w:rPr>
        <w:t>元。截止</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28</w:t>
      </w:r>
      <w:r>
        <w:rPr>
          <w:spacing w:val="-1"/>
        </w:rPr>
        <w:t>日，</w:t>
      </w:r>
      <w:r>
        <w:rPr>
          <w:spacing w:val="-46"/>
        </w:rPr>
        <w:t> </w:t>
      </w:r>
      <w:r>
        <w:rPr/>
        <w:t>本公司已向宝德科技累计支付股权转让款</w:t>
      </w:r>
      <w:r>
        <w:rPr>
          <w:rFonts w:ascii="Times New Roman" w:hAnsi="Times New Roman" w:cs="Times New Roman" w:eastAsia="Times New Roman" w:hint="default"/>
        </w:rPr>
        <w:t>465,786,406.65</w:t>
      </w:r>
      <w:r>
        <w:rPr/>
        <w:t>元，股转转让款已支付完毕。</w:t>
      </w:r>
    </w:p>
    <w:p>
      <w:pPr>
        <w:spacing w:line="240" w:lineRule="auto" w:before="7"/>
        <w:rPr>
          <w:rFonts w:ascii="宋体" w:hAnsi="宋体" w:cs="宋体" w:eastAsia="宋体" w:hint="default"/>
          <w:sz w:val="18"/>
          <w:szCs w:val="18"/>
        </w:rPr>
      </w:pPr>
    </w:p>
    <w:p>
      <w:pPr>
        <w:pStyle w:val="BodyText"/>
        <w:spacing w:line="240" w:lineRule="auto"/>
        <w:ind w:left="494" w:right="996"/>
        <w:jc w:val="left"/>
      </w:pPr>
      <w:r>
        <w:rPr>
          <w:rFonts w:ascii="Times New Roman" w:hAnsi="Times New Roman" w:cs="Times New Roman" w:eastAsia="Times New Roman" w:hint="default"/>
        </w:rPr>
        <w:t>3)</w:t>
      </w:r>
      <w:r>
        <w:rPr/>
        <w:t>上海美峰已完成工商变更登记</w:t>
      </w:r>
    </w:p>
    <w:p>
      <w:pPr>
        <w:pStyle w:val="BodyText"/>
        <w:spacing w:line="247" w:lineRule="auto" w:before="127"/>
        <w:ind w:right="996" w:firstLine="439"/>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日本公司将持有的上海美峰</w:t>
      </w:r>
      <w:r>
        <w:rPr>
          <w:rFonts w:ascii="Times New Roman" w:hAnsi="Times New Roman" w:cs="Times New Roman" w:eastAsia="Times New Roman" w:hint="default"/>
        </w:rPr>
        <w:t>71.6334%</w:t>
      </w:r>
      <w:r>
        <w:rPr/>
        <w:t>的股权、本公司应收上海美峰原股东李杰等的</w:t>
      </w:r>
      <w:r>
        <w:rPr>
          <w:w w:val="100"/>
        </w:rPr>
        <w:t> </w:t>
      </w:r>
      <w:r>
        <w:rPr>
          <w:spacing w:val="-4"/>
        </w:rPr>
        <w:t>业绩补偿款以及上海美峰的债权一并转让给前海宝德，转让价款为</w:t>
      </w:r>
      <w:r>
        <w:rPr>
          <w:rFonts w:ascii="Times New Roman" w:hAnsi="Times New Roman" w:cs="Times New Roman" w:eastAsia="Times New Roman" w:hint="default"/>
          <w:spacing w:val="-4"/>
        </w:rPr>
        <w:t>2.50</w:t>
      </w:r>
      <w:r>
        <w:rPr>
          <w:spacing w:val="-4"/>
        </w:rPr>
        <w:t>亿元。截止本财务报告批准日，</w:t>
      </w:r>
      <w:r>
        <w:rPr>
          <w:spacing w:val="-29"/>
        </w:rPr>
        <w:t> </w:t>
      </w:r>
      <w:r>
        <w:rPr>
          <w:spacing w:val="-29"/>
        </w:rPr>
      </w:r>
      <w:r>
        <w:rPr/>
        <w:t>本公司已收到前海宝德全部股权及债权转让款</w:t>
      </w:r>
      <w:r>
        <w:rPr>
          <w:rFonts w:ascii="Times New Roman" w:hAnsi="Times New Roman" w:cs="Times New Roman" w:eastAsia="Times New Roman" w:hint="default"/>
        </w:rPr>
        <w:t>2.50</w:t>
      </w:r>
      <w:r>
        <w:rPr/>
        <w:t>亿元，</w:t>
      </w:r>
      <w:r>
        <w:rPr>
          <w:spacing w:val="-46"/>
        </w:rPr>
        <w:t> </w:t>
      </w:r>
      <w:r>
        <w:rPr>
          <w:rFonts w:ascii="Times New Roman" w:hAnsi="Times New Roman" w:cs="Times New Roman" w:eastAsia="Times New Roman" w:hint="default"/>
        </w:rPr>
        <w:t>2020</w:t>
      </w:r>
      <w:r>
        <w:rPr/>
        <w:t>年</w:t>
      </w:r>
      <w:r>
        <w:rPr>
          <w:spacing w:val="-18"/>
        </w:rPr>
        <w:t> </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10</w:t>
      </w:r>
      <w:r>
        <w:rPr>
          <w:spacing w:val="-3"/>
        </w:rPr>
        <w:t>日，上海美峰已完成工商变更</w:t>
      </w:r>
      <w:r>
        <w:rPr>
          <w:spacing w:val="-101"/>
        </w:rPr>
        <w:t> </w:t>
      </w:r>
      <w:r>
        <w:rPr>
          <w:spacing w:val="-101"/>
        </w:rPr>
      </w:r>
      <w:r>
        <w:rPr/>
        <w:t>登记。</w:t>
      </w:r>
    </w:p>
    <w:p>
      <w:pPr>
        <w:spacing w:line="240" w:lineRule="auto" w:before="9"/>
        <w:rPr>
          <w:rFonts w:ascii="宋体" w:hAnsi="宋体" w:cs="宋体" w:eastAsia="宋体" w:hint="default"/>
          <w:sz w:val="19"/>
          <w:szCs w:val="19"/>
        </w:rPr>
      </w:pPr>
    </w:p>
    <w:p>
      <w:pPr>
        <w:pStyle w:val="BodyText"/>
        <w:spacing w:line="240" w:lineRule="auto"/>
        <w:ind w:left="508" w:right="996"/>
        <w:jc w:val="left"/>
      </w:pPr>
      <w:r>
        <w:rPr>
          <w:rFonts w:ascii="Times New Roman" w:hAnsi="Times New Roman" w:cs="Times New Roman" w:eastAsia="Times New Roman" w:hint="default"/>
        </w:rPr>
        <w:t>4)</w:t>
      </w:r>
      <w:r>
        <w:rPr/>
        <w:t>收购深圳苏摩少数股东股权</w:t>
      </w:r>
    </w:p>
    <w:p>
      <w:pPr>
        <w:pStyle w:val="BodyText"/>
        <w:spacing w:line="244" w:lineRule="auto" w:before="127"/>
        <w:ind w:right="1128" w:firstLine="439"/>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8</w:t>
      </w:r>
      <w:r>
        <w:rPr/>
        <w:t>日，本公司与陈雷、郝聃、姚君林、深圳市腾讯计算机系统有限公司签订《股权转</w:t>
      </w:r>
      <w:r>
        <w:rPr>
          <w:w w:val="100"/>
        </w:rPr>
        <w:t> </w:t>
      </w:r>
      <w:r>
        <w:rPr>
          <w:spacing w:val="-2"/>
        </w:rPr>
        <w:t>让协议》，以</w:t>
      </w:r>
      <w:r>
        <w:rPr>
          <w:rFonts w:ascii="Times New Roman" w:hAnsi="Times New Roman" w:cs="Times New Roman" w:eastAsia="Times New Roman" w:hint="default"/>
          <w:spacing w:val="-2"/>
        </w:rPr>
        <w:t>4,900.00</w:t>
      </w:r>
      <w:r>
        <w:rPr>
          <w:spacing w:val="-2"/>
        </w:rPr>
        <w:t>万元收购深圳苏摩</w:t>
      </w:r>
      <w:r>
        <w:rPr>
          <w:rFonts w:ascii="Times New Roman" w:hAnsi="Times New Roman" w:cs="Times New Roman" w:eastAsia="Times New Roman" w:hint="default"/>
          <w:spacing w:val="-2"/>
        </w:rPr>
        <w:t>49%</w:t>
      </w:r>
      <w:r>
        <w:rPr>
          <w:spacing w:val="-2"/>
        </w:rPr>
        <w:t>的股权，其中陈雷转让</w:t>
      </w:r>
      <w:r>
        <w:rPr>
          <w:rFonts w:ascii="Times New Roman" w:hAnsi="Times New Roman" w:cs="Times New Roman" w:eastAsia="Times New Roman" w:hint="default"/>
          <w:spacing w:val="-2"/>
        </w:rPr>
        <w:t>36.24%</w:t>
      </w:r>
      <w:r>
        <w:rPr>
          <w:spacing w:val="-2"/>
        </w:rPr>
        <w:t>，价款</w:t>
      </w:r>
      <w:r>
        <w:rPr>
          <w:rFonts w:ascii="Times New Roman" w:hAnsi="Times New Roman" w:cs="Times New Roman" w:eastAsia="Times New Roman" w:hint="default"/>
          <w:spacing w:val="-2"/>
        </w:rPr>
        <w:t>3,624.00</w:t>
      </w:r>
      <w:r>
        <w:rPr>
          <w:spacing w:val="-2"/>
        </w:rPr>
        <w:t>万元；郝聃</w:t>
      </w:r>
      <w:r>
        <w:rPr>
          <w:spacing w:val="-26"/>
        </w:rPr>
        <w:t> </w:t>
      </w:r>
      <w:r>
        <w:rPr>
          <w:spacing w:val="-26"/>
        </w:rPr>
      </w:r>
      <w:r>
        <w:rPr/>
        <w:t>转让</w:t>
      </w:r>
      <w:r>
        <w:rPr>
          <w:rFonts w:ascii="Times New Roman" w:hAnsi="Times New Roman" w:cs="Times New Roman" w:eastAsia="Times New Roman" w:hint="default"/>
        </w:rPr>
        <w:t>4.16%</w:t>
      </w:r>
      <w:r>
        <w:rPr/>
        <w:t>，价款</w:t>
      </w:r>
      <w:r>
        <w:rPr>
          <w:rFonts w:ascii="Times New Roman" w:hAnsi="Times New Roman" w:cs="Times New Roman" w:eastAsia="Times New Roman" w:hint="default"/>
        </w:rPr>
        <w:t>416.00</w:t>
      </w:r>
      <w:r>
        <w:rPr/>
        <w:t>万元；姚君林转让</w:t>
      </w:r>
      <w:r>
        <w:rPr>
          <w:rFonts w:ascii="Times New Roman" w:hAnsi="Times New Roman" w:cs="Times New Roman" w:eastAsia="Times New Roman" w:hint="default"/>
        </w:rPr>
        <w:t>1.25%</w:t>
      </w:r>
      <w:r>
        <w:rPr/>
        <w:t>，价款</w:t>
      </w:r>
      <w:r>
        <w:rPr>
          <w:rFonts w:ascii="Times New Roman" w:hAnsi="Times New Roman" w:cs="Times New Roman" w:eastAsia="Times New Roman" w:hint="default"/>
        </w:rPr>
        <w:t>125</w:t>
      </w:r>
      <w:r>
        <w:rPr/>
        <w:t>万元；深圳市腾讯计算机系统有限公司转</w:t>
      </w:r>
      <w:r>
        <w:rPr>
          <w:spacing w:val="-36"/>
        </w:rPr>
        <w:t> </w:t>
      </w:r>
      <w:r>
        <w:rPr>
          <w:spacing w:val="-36"/>
        </w:rPr>
      </w:r>
      <w:r>
        <w:rPr/>
        <w:t>让</w:t>
      </w:r>
      <w:r>
        <w:rPr>
          <w:rFonts w:ascii="Times New Roman" w:hAnsi="Times New Roman" w:cs="Times New Roman" w:eastAsia="Times New Roman" w:hint="default"/>
        </w:rPr>
        <w:t>7.35%</w:t>
      </w:r>
      <w:r>
        <w:rPr/>
        <w:t>，价款</w:t>
      </w:r>
      <w:r>
        <w:rPr>
          <w:rFonts w:ascii="Times New Roman" w:hAnsi="Times New Roman" w:cs="Times New Roman" w:eastAsia="Times New Roman" w:hint="default"/>
        </w:rPr>
        <w:t>735.00</w:t>
      </w:r>
      <w:r>
        <w:rPr/>
        <w:t>万元。股权转让后，本公司持有深圳苏摩</w:t>
      </w:r>
      <w:r>
        <w:rPr>
          <w:rFonts w:ascii="Times New Roman" w:hAnsi="Times New Roman" w:cs="Times New Roman" w:eastAsia="Times New Roman" w:hint="default"/>
        </w:rPr>
        <w:t>100%</w:t>
      </w:r>
      <w:r>
        <w:rPr/>
        <w:t>股权</w:t>
      </w:r>
    </w:p>
    <w:p>
      <w:pPr>
        <w:pStyle w:val="BodyText"/>
        <w:spacing w:line="249" w:lineRule="auto" w:before="122"/>
        <w:ind w:right="1128" w:firstLine="439"/>
        <w:jc w:val="both"/>
      </w:pPr>
      <w:r>
        <w:rPr>
          <w:spacing w:val="-2"/>
        </w:rPr>
        <w:t>《股权转让协议》约定，创始股东承诺目标公司</w:t>
      </w:r>
      <w:r>
        <w:rPr>
          <w:rFonts w:ascii="Times New Roman" w:hAnsi="Times New Roman" w:cs="Times New Roman" w:eastAsia="Times New Roman" w:hint="default"/>
          <w:spacing w:val="-2"/>
        </w:rPr>
        <w:t>2018</w:t>
      </w:r>
      <w:r>
        <w:rPr>
          <w:spacing w:val="-2"/>
        </w:rPr>
        <w:t>、</w:t>
      </w:r>
      <w:r>
        <w:rPr>
          <w:rFonts w:ascii="Times New Roman" w:hAnsi="Times New Roman" w:cs="Times New Roman" w:eastAsia="Times New Roman" w:hint="default"/>
          <w:spacing w:val="-2"/>
        </w:rPr>
        <w:t>2019</w:t>
      </w:r>
      <w:r>
        <w:rPr>
          <w:spacing w:val="-2"/>
        </w:rPr>
        <w:t>、</w:t>
      </w:r>
      <w:r>
        <w:rPr>
          <w:rFonts w:ascii="Times New Roman" w:hAnsi="Times New Roman" w:cs="Times New Roman" w:eastAsia="Times New Roman" w:hint="default"/>
          <w:spacing w:val="-2"/>
        </w:rPr>
        <w:t>2020</w:t>
      </w:r>
      <w:r>
        <w:rPr>
          <w:spacing w:val="-2"/>
        </w:rPr>
        <w:t>年度扣除非经营性损益后净利</w:t>
      </w:r>
      <w:r>
        <w:rPr>
          <w:w w:val="100"/>
        </w:rPr>
        <w:t> </w:t>
      </w:r>
      <w:r>
        <w:rPr>
          <w:spacing w:val="-2"/>
        </w:rPr>
        <w:t>润分别不低于人民币</w:t>
      </w:r>
      <w:r>
        <w:rPr>
          <w:rFonts w:ascii="Times New Roman" w:hAnsi="Times New Roman" w:cs="Times New Roman" w:eastAsia="Times New Roman" w:hint="default"/>
          <w:spacing w:val="-2"/>
        </w:rPr>
        <w:t>600</w:t>
      </w:r>
      <w:r>
        <w:rPr>
          <w:spacing w:val="-2"/>
        </w:rPr>
        <w:t>万元、</w:t>
      </w:r>
      <w:r>
        <w:rPr>
          <w:rFonts w:ascii="Times New Roman" w:hAnsi="Times New Roman" w:cs="Times New Roman" w:eastAsia="Times New Roman" w:hint="default"/>
          <w:spacing w:val="-2"/>
        </w:rPr>
        <w:t>950</w:t>
      </w:r>
      <w:r>
        <w:rPr>
          <w:spacing w:val="-2"/>
        </w:rPr>
        <w:t>万元、</w:t>
      </w:r>
      <w:r>
        <w:rPr>
          <w:rFonts w:ascii="Times New Roman" w:hAnsi="Times New Roman" w:cs="Times New Roman" w:eastAsia="Times New Roman" w:hint="default"/>
          <w:spacing w:val="-2"/>
        </w:rPr>
        <w:t>1100</w:t>
      </w:r>
      <w:r>
        <w:rPr>
          <w:spacing w:val="-2"/>
        </w:rPr>
        <w:t>万元。同时约定若创始股东中任何一方在业绩补偿期内</w:t>
      </w:r>
      <w:r>
        <w:rPr>
          <w:spacing w:val="-60"/>
        </w:rPr>
        <w:t> </w:t>
      </w:r>
      <w:r>
        <w:rPr>
          <w:spacing w:val="-60"/>
        </w:rPr>
      </w:r>
      <w:r>
        <w:rPr>
          <w:spacing w:val="-2"/>
        </w:rPr>
        <w:t>离开公司，受让方无需向创始股东支付剩余股权转让款，并提前结束对赌约定，但标的股权仍归本公</w:t>
      </w:r>
      <w:r>
        <w:rPr>
          <w:spacing w:val="-67"/>
        </w:rPr>
        <w:t> </w:t>
      </w:r>
      <w:r>
        <w:rPr>
          <w:spacing w:val="-67"/>
        </w:rPr>
      </w:r>
      <w:r>
        <w:rPr/>
        <w:t>司所有，无需返还给创始股东，创始股东已获得的股权转让款亦无需退回。</w:t>
      </w:r>
    </w:p>
    <w:p>
      <w:pPr>
        <w:pStyle w:val="BodyText"/>
        <w:spacing w:line="244" w:lineRule="auto" w:before="135"/>
        <w:ind w:right="996" w:firstLine="439"/>
        <w:jc w:val="left"/>
      </w:pPr>
      <w:r>
        <w:rPr>
          <w:spacing w:val="-5"/>
          <w:w w:val="100"/>
        </w:rPr>
        <w:t>根据协议，中青宝已于</w:t>
      </w:r>
      <w:r>
        <w:rPr>
          <w:rFonts w:ascii="Times New Roman" w:hAnsi="Times New Roman" w:cs="Times New Roman" w:eastAsia="Times New Roman" w:hint="default"/>
          <w:spacing w:val="-5"/>
          <w:w w:val="100"/>
        </w:rPr>
        <w:t>2018</w:t>
      </w:r>
      <w:r>
        <w:rPr>
          <w:spacing w:val="-5"/>
          <w:w w:val="100"/>
        </w:rPr>
        <w:t>年</w:t>
      </w:r>
      <w:r>
        <w:rPr>
          <w:rFonts w:ascii="Times New Roman" w:hAnsi="Times New Roman" w:cs="Times New Roman" w:eastAsia="Times New Roman" w:hint="default"/>
          <w:spacing w:val="-5"/>
          <w:w w:val="100"/>
        </w:rPr>
        <w:t>12</w:t>
      </w:r>
      <w:r>
        <w:rPr>
          <w:spacing w:val="-5"/>
          <w:w w:val="100"/>
        </w:rPr>
        <w:t>月支付创始股东第一期转让款合计</w:t>
      </w:r>
      <w:r>
        <w:rPr>
          <w:rFonts w:ascii="Times New Roman" w:hAnsi="Times New Roman" w:cs="Times New Roman" w:eastAsia="Times New Roman" w:hint="default"/>
          <w:spacing w:val="-5"/>
          <w:w w:val="100"/>
        </w:rPr>
        <w:t>1,470</w:t>
      </w:r>
      <w:r>
        <w:rPr>
          <w:spacing w:val="-5"/>
          <w:w w:val="100"/>
        </w:rPr>
        <w:t>万元，深圳苏摩</w:t>
      </w:r>
      <w:r>
        <w:rPr>
          <w:rFonts w:ascii="Times New Roman" w:hAnsi="Times New Roman" w:cs="Times New Roman" w:eastAsia="Times New Roman" w:hint="default"/>
          <w:spacing w:val="-5"/>
          <w:w w:val="100"/>
        </w:rPr>
        <w:t>2018</w:t>
      </w:r>
      <w:r>
        <w:rPr>
          <w:spacing w:val="-5"/>
          <w:w w:val="100"/>
        </w:rPr>
        <w:t>年度、</w:t>
      </w:r>
      <w:r>
        <w:rPr>
          <w:w w:val="100"/>
        </w:rPr>
        <w:t> </w:t>
      </w:r>
      <w:r>
        <w:rPr>
          <w:rFonts w:ascii="Times New Roman" w:hAnsi="Times New Roman" w:cs="Times New Roman" w:eastAsia="Times New Roman" w:hint="default"/>
        </w:rPr>
        <w:t>2019</w:t>
      </w:r>
      <w:r>
        <w:rPr/>
        <w:t>年度经有证券期货从业资格的会计师事务所所审计的扣非后净利润分别为</w:t>
      </w:r>
      <w:r>
        <w:rPr>
          <w:rFonts w:ascii="Times New Roman" w:hAnsi="Times New Roman" w:cs="Times New Roman" w:eastAsia="Times New Roman" w:hint="default"/>
        </w:rPr>
        <w:t>378.18</w:t>
      </w:r>
      <w:r>
        <w:rPr/>
        <w:t>万元及</w:t>
      </w:r>
      <w:r>
        <w:rPr>
          <w:rFonts w:ascii="Times New Roman" w:hAnsi="Times New Roman" w:cs="Times New Roman" w:eastAsia="Times New Roman" w:hint="default"/>
        </w:rPr>
        <w:t>319.54</w:t>
      </w:r>
      <w:r>
        <w:rPr/>
        <w:t>万</w:t>
      </w:r>
      <w:r>
        <w:rPr>
          <w:spacing w:val="-42"/>
        </w:rPr>
        <w:t> </w:t>
      </w:r>
      <w:r>
        <w:rPr/>
        <w:t>元，未达到业绩承诺，同时</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日，创始股东陈雷离职，根据协议，股权转让余款</w:t>
      </w:r>
      <w:r>
        <w:rPr>
          <w:rFonts w:ascii="Times New Roman" w:hAnsi="Times New Roman" w:cs="Times New Roman" w:eastAsia="Times New Roman" w:hint="default"/>
        </w:rPr>
        <w:t>3,430</w:t>
      </w:r>
      <w:r>
        <w:rPr/>
        <w:t>万元</w:t>
      </w:r>
      <w:r>
        <w:rPr>
          <w:spacing w:val="-100"/>
        </w:rPr>
        <w:t> </w:t>
      </w:r>
      <w:r>
        <w:rPr/>
        <w:t>无需支付。</w:t>
      </w:r>
    </w:p>
    <w:p>
      <w:pPr>
        <w:spacing w:line="240" w:lineRule="auto" w:before="11"/>
        <w:rPr>
          <w:rFonts w:ascii="宋体" w:hAnsi="宋体" w:cs="宋体" w:eastAsia="宋体" w:hint="default"/>
          <w:sz w:val="19"/>
          <w:szCs w:val="19"/>
        </w:rPr>
      </w:pPr>
    </w:p>
    <w:p>
      <w:pPr>
        <w:pStyle w:val="BodyText"/>
        <w:spacing w:line="240" w:lineRule="auto"/>
        <w:ind w:left="419" w:right="996"/>
        <w:jc w:val="left"/>
      </w:pPr>
      <w:r>
        <w:rPr>
          <w:rFonts w:ascii="Times New Roman" w:hAnsi="Times New Roman" w:cs="Times New Roman" w:eastAsia="Times New Roman" w:hint="default"/>
        </w:rPr>
        <w:t>5)</w:t>
      </w:r>
      <w:r>
        <w:rPr/>
        <w:t>除上述重要事项外，截至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日，本公司无需披露的其他重要事项。</w:t>
      </w:r>
    </w:p>
    <w:p>
      <w:pPr>
        <w:spacing w:line="240" w:lineRule="auto" w:before="3"/>
        <w:rPr>
          <w:rFonts w:ascii="宋体" w:hAnsi="宋体" w:cs="宋体" w:eastAsia="宋体" w:hint="default"/>
          <w:sz w:val="22"/>
          <w:szCs w:val="22"/>
        </w:rPr>
      </w:pPr>
    </w:p>
    <w:p>
      <w:pPr>
        <w:pStyle w:val="Heading2"/>
        <w:spacing w:line="240" w:lineRule="auto"/>
        <w:ind w:right="996"/>
        <w:jc w:val="left"/>
        <w:rPr>
          <w:b w:val="0"/>
          <w:bCs w:val="0"/>
        </w:rPr>
      </w:pPr>
      <w:r>
        <w:rPr/>
        <w:t>十七、母公司财务报表主要项目注释</w:t>
      </w:r>
      <w:r>
        <w:rPr>
          <w:b w:val="0"/>
          <w:bCs w:val="0"/>
        </w:rPr>
      </w:r>
    </w:p>
    <w:p>
      <w:pPr>
        <w:spacing w:line="240" w:lineRule="auto" w:before="12"/>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4"/>
        <w:gridCol w:w="761"/>
        <w:gridCol w:w="763"/>
        <w:gridCol w:w="790"/>
        <w:gridCol w:w="775"/>
        <w:gridCol w:w="797"/>
        <w:gridCol w:w="800"/>
        <w:gridCol w:w="790"/>
        <w:gridCol w:w="931"/>
      </w:tblGrid>
      <w:tr>
        <w:trPr>
          <w:trHeight w:val="403"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634"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left="93" w:right="0"/>
              <w:jc w:val="left"/>
              <w:rPr>
                <w:rFonts w:ascii="Times New Roman" w:hAnsi="Times New Roman" w:cs="Times New Roman" w:eastAsia="Times New Roman" w:hint="default"/>
                <w:sz w:val="18"/>
                <w:szCs w:val="18"/>
              </w:rPr>
            </w:pPr>
            <w:r>
              <w:rPr>
                <w:rFonts w:ascii="Times New Roman"/>
                <w:sz w:val="18"/>
              </w:rPr>
              <w:t>60,436,7</w:t>
            </w:r>
          </w:p>
          <w:p>
            <w:pPr>
              <w:pStyle w:val="TableParagraph"/>
              <w:spacing w:line="240" w:lineRule="auto" w:before="102"/>
              <w:ind w:left="319" w:right="0"/>
              <w:jc w:val="left"/>
              <w:rPr>
                <w:rFonts w:ascii="Times New Roman" w:hAnsi="Times New Roman" w:cs="Times New Roman" w:eastAsia="Times New Roman" w:hint="default"/>
                <w:sz w:val="18"/>
                <w:szCs w:val="18"/>
              </w:rPr>
            </w:pPr>
            <w:r>
              <w:rPr>
                <w:rFonts w:ascii="Times New Roman"/>
                <w:sz w:val="18"/>
              </w:rPr>
              <w:t>52.49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8" w:right="0"/>
              <w:jc w:val="left"/>
              <w:rPr>
                <w:rFonts w:ascii="Times New Roman" w:hAnsi="Times New Roman" w:cs="Times New Roman" w:eastAsia="Times New Roman" w:hint="default"/>
                <w:sz w:val="18"/>
                <w:szCs w:val="18"/>
              </w:rPr>
            </w:pPr>
            <w:r>
              <w:rPr>
                <w:rFonts w:ascii="Times New Roman"/>
                <w:sz w:val="18"/>
              </w:rPr>
              <w:t>7,434,89</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7.10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12.30%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5" w:right="0"/>
              <w:jc w:val="left"/>
              <w:rPr>
                <w:rFonts w:ascii="Times New Roman" w:hAnsi="Times New Roman" w:cs="Times New Roman" w:eastAsia="Times New Roman" w:hint="default"/>
                <w:sz w:val="18"/>
                <w:szCs w:val="18"/>
              </w:rPr>
            </w:pPr>
            <w:r>
              <w:rPr>
                <w:rFonts w:ascii="Times New Roman"/>
                <w:sz w:val="18"/>
              </w:rPr>
              <w:t>53,001,85</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5.39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62,971,82</w:t>
            </w:r>
          </w:p>
          <w:p>
            <w:pPr>
              <w:pStyle w:val="TableParagraph"/>
              <w:spacing w:line="240" w:lineRule="auto" w:before="102"/>
              <w:ind w:left="429" w:right="0"/>
              <w:jc w:val="left"/>
              <w:rPr>
                <w:rFonts w:ascii="Times New Roman" w:hAnsi="Times New Roman" w:cs="Times New Roman" w:eastAsia="Times New Roman" w:hint="default"/>
                <w:sz w:val="18"/>
                <w:szCs w:val="18"/>
              </w:rPr>
            </w:pPr>
            <w:r>
              <w:rPr>
                <w:rFonts w:ascii="Times New Roman"/>
                <w:sz w:val="18"/>
              </w:rPr>
              <w:t>8.10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6,172,183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.63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56,799,644.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47</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58,956,9</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05.89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97.55%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7,434,89</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7.10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12.61%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51,522,00</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8.79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61,491,98</w:t>
            </w:r>
          </w:p>
          <w:p>
            <w:pPr>
              <w:pStyle w:val="TableParagraph"/>
              <w:spacing w:line="240" w:lineRule="auto" w:before="102"/>
              <w:ind w:left="429" w:right="0"/>
              <w:jc w:val="left"/>
              <w:rPr>
                <w:rFonts w:ascii="Times New Roman" w:hAnsi="Times New Roman" w:cs="Times New Roman" w:eastAsia="Times New Roman" w:hint="default"/>
                <w:sz w:val="18"/>
                <w:szCs w:val="18"/>
              </w:rPr>
            </w:pPr>
            <w:r>
              <w:rPr>
                <w:rFonts w:ascii="Times New Roman"/>
                <w:sz w:val="18"/>
              </w:rPr>
              <w:t>1.50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97.65%</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6,172,183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.63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55,319,797.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87</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1,479,84</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6.60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2.45%</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1,479,846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1,479,846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2.35%</w:t>
            </w: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1,479,846.6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60,436,7</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52.49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7,434,89</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7.10</w:t>
            </w: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53,001,85</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5.39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62,971,82</w:t>
            </w:r>
          </w:p>
          <w:p>
            <w:pPr>
              <w:pStyle w:val="TableParagraph"/>
              <w:spacing w:line="240" w:lineRule="auto" w:before="102"/>
              <w:ind w:left="429" w:right="0"/>
              <w:jc w:val="left"/>
              <w:rPr>
                <w:rFonts w:ascii="Times New Roman" w:hAnsi="Times New Roman" w:cs="Times New Roman" w:eastAsia="Times New Roman" w:hint="default"/>
                <w:sz w:val="18"/>
                <w:szCs w:val="18"/>
              </w:rPr>
            </w:pPr>
            <w:r>
              <w:rPr>
                <w:rFonts w:ascii="Times New Roman"/>
                <w:sz w:val="18"/>
              </w:rPr>
              <w:t>8.10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6,172,183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.63</w:t>
            </w: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56,799,644.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47</w:t>
            </w:r>
          </w:p>
        </w:tc>
      </w:tr>
    </w:tbl>
    <w:p>
      <w:pPr>
        <w:spacing w:before="49"/>
        <w:ind w:left="152" w:right="996"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51,450,011.95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990,201.54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1,513,199.62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620,411.84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1,210,075.71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1,040,665.11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86.00%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4,783,618.61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4,783,618.61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58,956,905.89</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7,434,897.10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996" w:firstLine="0"/>
        <w:jc w:val="left"/>
        <w:rPr>
          <w:rFonts w:ascii="宋体" w:hAnsi="宋体" w:cs="宋体" w:eastAsia="宋体" w:hint="default"/>
          <w:sz w:val="18"/>
          <w:szCs w:val="18"/>
        </w:rPr>
      </w:pPr>
      <w:r>
        <w:rPr>
          <w:rFonts w:ascii="宋体" w:hAnsi="宋体" w:cs="宋体" w:eastAsia="宋体" w:hint="default"/>
          <w:sz w:val="18"/>
          <w:szCs w:val="18"/>
        </w:rPr>
        <w:t>如是按照预期信用损失一般模型计提应收账款坏账准备，请参照其他应收款的披露方式披露坏账准备的相关信息：</w:t>
      </w:r>
    </w:p>
    <w:p>
      <w:pPr>
        <w:spacing w:line="360" w:lineRule="auto" w:before="115"/>
        <w:ind w:left="152" w:right="9221"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按账龄披露</w:t>
      </w:r>
    </w:p>
    <w:p>
      <w:pPr>
        <w:spacing w:before="2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51,450,011.95</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2,993,046.22</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1,210,075.71</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4,783,618.61</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60,436,752.49</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996"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3"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78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594"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按信用风险特征组 合计提坏账准备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6,172,183.63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1,262,713.47</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7,434,897.10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6,172,183.63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1,262,713.47</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7,434,897.10</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）按欠款方归集的期末余额前五名的应收账款情况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921" w:right="111"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成都四方互娱科技有限公司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13,643,800.00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409,314.00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大庆鑫讯捷科技有限公司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14,000,458.20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23.17%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420,013.75</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上海旺翔文化传媒股份有限 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15,570,000.00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25.76%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杭州烈焰网络技术有限公司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6,123,298.78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3,871,592.80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深圳市掌娱炫动信息技术有 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2,497,324.77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74,919.74</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51,834,881.75</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z w:val="18"/>
              </w:rPr>
              <w:t>85.77%</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408,826,499.65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221,459,051.34</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408,826,499.65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221,459,051.34</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内部资金往来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393,200,957.28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214,400,360.38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13,501,056.69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520,866.69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3,159,877.88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3,599,894.92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广告框架押金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2,779,600.98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113,798.90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预付分成款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694,853.10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个人借款</w:t>
            </w:r>
            <w:r>
              <w:rPr>
                <w:rFonts w:ascii="Times New Roman" w:hAnsi="Times New Roman" w:cs="Times New Roman" w:eastAsia="Times New Roman" w:hint="default"/>
                <w:sz w:val="18"/>
                <w:szCs w:val="18"/>
              </w:rPr>
              <w:t>+</w:t>
            </w: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640,963.47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1,533,036.74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1,067,186.79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679,351.97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待退回游戏版权金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242,718.45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代付款项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74,947.57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118,800.41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418,362,162.21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223,966,110.01</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）坏账准备计提情况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63"/>
        <w:gridCol w:w="2098"/>
        <w:gridCol w:w="2101"/>
        <w:gridCol w:w="1805"/>
      </w:tblGrid>
      <w:tr>
        <w:trPr>
          <w:trHeight w:val="403"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3"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5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560"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71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0"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2,507,058.67</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2,507,058.67</w:t>
            </w:r>
          </w:p>
        </w:tc>
      </w:tr>
      <w:tr>
        <w:trPr>
          <w:trHeight w:val="161" w:hRule="exact"/>
        </w:trPr>
        <w:tc>
          <w:tcPr>
            <w:tcW w:w="189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893"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7,028,603.89</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7,028,603.89</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9,535,662.56</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9,535,662.56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340" w:lineRule="auto" w:before="115"/>
        <w:ind w:left="152" w:right="1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933" w:space="489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351,787,874.46</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33,793,299.53</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27,974,447.37</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4,806,540.85</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418,362,162.21</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996"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89"/>
        <w:gridCol w:w="1304"/>
        <w:gridCol w:w="1591"/>
        <w:gridCol w:w="1594"/>
        <w:gridCol w:w="1304"/>
        <w:gridCol w:w="1889"/>
      </w:tblGrid>
      <w:tr>
        <w:trPr>
          <w:trHeight w:val="403" w:hRule="exact"/>
        </w:trPr>
        <w:tc>
          <w:tcPr>
            <w:tcW w:w="18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4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8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8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vMerge/>
            <w:tcBorders>
              <w:left w:val="single" w:sz="4" w:space="0" w:color="000000"/>
              <w:bottom w:val="single" w:sz="4" w:space="0" w:color="000000"/>
              <w:right w:val="single" w:sz="4" w:space="0" w:color="000000"/>
            </w:tcBorders>
            <w:shd w:val="clear" w:color="auto" w:fill="D2D2D2"/>
          </w:tcPr>
          <w:p>
            <w:pPr/>
          </w:p>
        </w:tc>
        <w:tc>
          <w:tcPr>
            <w:tcW w:w="1304" w:type="dxa"/>
            <w:vMerge/>
            <w:tcBorders>
              <w:left w:val="single" w:sz="4" w:space="0" w:color="000000"/>
              <w:bottom w:val="single" w:sz="4" w:space="0" w:color="000000"/>
              <w:right w:val="single" w:sz="4" w:space="0" w:color="000000"/>
            </w:tcBorders>
            <w:shd w:val="clear" w:color="auto" w:fill="D2D2D2"/>
          </w:tcPr>
          <w:p>
            <w:pP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11"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889"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按信用风险特征组合计 提坏账准备</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2,507,058.67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7,028,603.89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9,535,662.56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2,507,058.67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4" w:right="0"/>
              <w:jc w:val="left"/>
              <w:rPr>
                <w:rFonts w:ascii="Times New Roman" w:hAnsi="Times New Roman" w:cs="Times New Roman" w:eastAsia="Times New Roman" w:hint="default"/>
                <w:sz w:val="18"/>
                <w:szCs w:val="18"/>
              </w:rPr>
            </w:pPr>
            <w:r>
              <w:rPr>
                <w:rFonts w:ascii="Times New Roman"/>
                <w:sz w:val="18"/>
              </w:rPr>
              <w:t>7,028,603.89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9,535,662.56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5"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深圳时代首游互动科 技有限公司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内部资金往来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128,815,128.41</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30.79%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深圳市创想时空科技 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内部资金往来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28,105,362.13</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深圳中青宝文化科技 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内部资金往来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167,573,338.42</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40.05%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68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24" w:right="29"/>
              <w:jc w:val="left"/>
              <w:rPr>
                <w:rFonts w:ascii="宋体" w:hAnsi="宋体" w:cs="宋体" w:eastAsia="宋体" w:hint="default"/>
                <w:sz w:val="18"/>
                <w:szCs w:val="18"/>
              </w:rPr>
            </w:pPr>
            <w:r>
              <w:rPr>
                <w:rFonts w:ascii="宋体" w:hAnsi="宋体" w:cs="宋体" w:eastAsia="宋体" w:hint="default"/>
                <w:sz w:val="18"/>
                <w:szCs w:val="18"/>
              </w:rPr>
              <w:t>深圳中青聚宝信息技 术有限公司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内部资金往来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5" w:type="dxa"/>
            <w:vMerge/>
            <w:tcBorders>
              <w:left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内部资金往来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11,572,419.35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616" w:type="dxa"/>
            <w:vMerge/>
            <w:tcBorders>
              <w:left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vMerge/>
            <w:tcBorders>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内部资金往来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19,723,745.65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616" w:type="dxa"/>
            <w:vMerge/>
            <w:tcBorders>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316" w:lineRule="auto"/>
              <w:ind w:left="24" w:right="29"/>
              <w:jc w:val="left"/>
              <w:rPr>
                <w:rFonts w:ascii="宋体" w:hAnsi="宋体" w:cs="宋体" w:eastAsia="宋体" w:hint="default"/>
                <w:sz w:val="18"/>
                <w:szCs w:val="18"/>
              </w:rPr>
            </w:pPr>
            <w:r>
              <w:rPr>
                <w:rFonts w:ascii="宋体" w:hAnsi="宋体" w:cs="宋体" w:eastAsia="宋体" w:hint="default"/>
                <w:sz w:val="18"/>
                <w:szCs w:val="18"/>
              </w:rPr>
              <w:t>北京中青宝长城文化 科技有限公司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内部资金往来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2,649,000.00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vMerge/>
            <w:tcBorders>
              <w:left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内部资金往来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20,150,000.00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616" w:type="dxa"/>
            <w:vMerge/>
            <w:tcBorders>
              <w:left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5" w:type="dxa"/>
            <w:vMerge/>
            <w:tcBorders>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内部资金往来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616" w:type="dxa"/>
            <w:vMerge/>
            <w:tcBorders>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384,738,993.96</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91.96%</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613,090,300.35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85,936,158.27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527,154,142.08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649,368,000.35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82,209,871.68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567,158,128.67</w:t>
            </w:r>
          </w:p>
        </w:tc>
      </w:tr>
      <w:tr>
        <w:trPr>
          <w:trHeight w:val="71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6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5,220,685.31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931,714.42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4,288,970.89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5,923,520.79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5,923,520.79</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618,310,985.66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86,867,872.69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531,443,112.97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655,291,521.14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82,209,871.68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573,081,649.46</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）对子公司投资</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403"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5"/>
              <w:ind w:left="278" w:right="96"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47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5"/>
              <w:ind w:left="391" w:right="29"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12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422" w:right="60"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2"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9"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0"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14"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深圳宝腾互联</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189,870,365.2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189,870,365.24</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深圳苏摩</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100,219,708.0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34,300,000.00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65,919,708.00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36,245,292.00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深圳中青聚宝</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84,050,141.99</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84,050,141.99</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15,949,858.01</w:t>
            </w:r>
          </w:p>
        </w:tc>
      </w:tr>
      <w:tr>
        <w:trPr>
          <w:trHeight w:val="404"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深圳游嘻宝</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61,209,969.91</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17,500,000.00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78,709,969.91</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中青宝文化</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苏州华娱</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36,746,059.07</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36,746,059.07</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753,940.93</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深圳卓页</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994,219.26</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994,219.26</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19,005,780.74</w:t>
            </w: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苏州中青宝</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老友互动</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前海数据服务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3,726,286.59</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4,773,713.41</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3,726,286.59</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CU </w:t>
            </w:r>
            <w:r>
              <w:rPr>
                <w:rFonts w:ascii="Times New Roman"/>
                <w:spacing w:val="-5"/>
                <w:sz w:val="18"/>
              </w:rPr>
              <w:t>PLAY</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5,989,965.20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5,989,965.20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福州卓越</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255,000.00</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深圳五秒</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北京中青宝</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19,500,000.00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567,158,128.6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17,522,300.00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3,726,286.59</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53,800,000.00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527,154,142.08</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85,936,158.27</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）对联营、合营企业投资</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7"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7"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贵州国信 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5,923,520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-702,835.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931,714.4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4,288,970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931,714.4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5,923,520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-702,835.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931,714.4</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4,288,970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.89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931,714.4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5,923,520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-702,835.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931,714.4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4,288,970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931,714.4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4"/>
        <w:gridCol w:w="1835"/>
        <w:gridCol w:w="1914"/>
        <w:gridCol w:w="1912"/>
        <w:gridCol w:w="1915"/>
      </w:tblGrid>
      <w:tr>
        <w:trPr>
          <w:trHeight w:val="206" w:hRule="exact"/>
        </w:trPr>
        <w:tc>
          <w:tcPr>
            <w:tcW w:w="1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0" w:hRule="exact"/>
        </w:trPr>
        <w:tc>
          <w:tcPr>
            <w:tcW w:w="19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84"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2"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672" w:right="0"/>
              <w:jc w:val="left"/>
              <w:rPr>
                <w:rFonts w:ascii="Times New Roman" w:hAnsi="Times New Roman" w:cs="Times New Roman" w:eastAsia="Times New Roman" w:hint="default"/>
                <w:sz w:val="18"/>
                <w:szCs w:val="18"/>
              </w:rPr>
            </w:pPr>
            <w:r>
              <w:rPr>
                <w:rFonts w:ascii="Times New Roman"/>
                <w:sz w:val="18"/>
              </w:rPr>
              <w:t>120,257,500.28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49,839,752.54</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84,859,052.81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27,320,181.31</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5"/>
      </w:tblGrid>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21,717,928.70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10,747,126.60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13,897,909.35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10,174,424.35</w:t>
            </w:r>
          </w:p>
        </w:tc>
      </w:tr>
      <w:tr>
        <w:trPr>
          <w:trHeight w:val="404"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141,975,428.98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60,586,879.14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98,756,962.16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37,494,605.66</w:t>
            </w:r>
          </w:p>
        </w:tc>
      </w:tr>
    </w:tbl>
    <w:p>
      <w:pPr>
        <w:spacing w:before="49"/>
        <w:ind w:left="152" w:right="996"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line="340" w:lineRule="auto" w:before="115"/>
        <w:ind w:left="152" w:right="98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其他说明：</w:t>
      </w:r>
    </w:p>
    <w:p>
      <w:pPr>
        <w:pStyle w:val="BodyText"/>
        <w:spacing w:line="240" w:lineRule="auto" w:before="93"/>
        <w:ind w:left="592" w:right="996"/>
        <w:jc w:val="left"/>
      </w:pPr>
      <w:r>
        <w:rPr/>
        <w:t>（</w:t>
      </w:r>
      <w:r>
        <w:rPr>
          <w:rFonts w:ascii="Times New Roman" w:hAnsi="Times New Roman" w:cs="Times New Roman" w:eastAsia="Times New Roman" w:hint="default"/>
        </w:rPr>
        <w:t>1</w:t>
      </w:r>
      <w:r>
        <w:rPr/>
        <w:t>）主营业务（分运营模式）</w:t>
      </w:r>
    </w:p>
    <w:p>
      <w:pPr>
        <w:spacing w:line="240" w:lineRule="auto" w:before="3"/>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2117"/>
        <w:gridCol w:w="1736"/>
        <w:gridCol w:w="1618"/>
        <w:gridCol w:w="1618"/>
        <w:gridCol w:w="1637"/>
      </w:tblGrid>
      <w:tr>
        <w:trPr>
          <w:trHeight w:val="343" w:hRule="exact"/>
        </w:trPr>
        <w:tc>
          <w:tcPr>
            <w:tcW w:w="2117" w:type="dxa"/>
            <w:vMerge w:val="restart"/>
            <w:tcBorders>
              <w:top w:val="single" w:sz="4" w:space="0" w:color="000000"/>
              <w:left w:val="single" w:sz="4" w:space="0" w:color="000000"/>
              <w:right w:val="single" w:sz="4" w:space="0" w:color="000000"/>
            </w:tcBorders>
          </w:tcPr>
          <w:p>
            <w:pPr>
              <w:pStyle w:val="TableParagraph"/>
              <w:spacing w:line="240" w:lineRule="auto" w:before="1"/>
              <w:ind w:left="653" w:right="0"/>
              <w:jc w:val="left"/>
              <w:rPr>
                <w:rFonts w:ascii="宋体" w:hAnsi="宋体" w:cs="宋体" w:eastAsia="宋体" w:hint="default"/>
                <w:sz w:val="20"/>
                <w:szCs w:val="20"/>
              </w:rPr>
            </w:pPr>
            <w:r>
              <w:rPr>
                <w:rFonts w:ascii="宋体" w:hAnsi="宋体" w:cs="宋体" w:eastAsia="宋体" w:hint="default"/>
                <w:b/>
                <w:bCs/>
                <w:sz w:val="20"/>
                <w:szCs w:val="20"/>
              </w:rPr>
              <w:t>运营模式</w:t>
            </w:r>
            <w:r>
              <w:rPr>
                <w:rFonts w:ascii="宋体" w:hAnsi="宋体" w:cs="宋体" w:eastAsia="宋体" w:hint="default"/>
                <w:sz w:val="20"/>
                <w:szCs w:val="20"/>
              </w:rPr>
            </w:r>
          </w:p>
        </w:tc>
        <w:tc>
          <w:tcPr>
            <w:tcW w:w="3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 w:right="0"/>
              <w:jc w:val="center"/>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32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341" w:hRule="exact"/>
        </w:trPr>
        <w:tc>
          <w:tcPr>
            <w:tcW w:w="2117" w:type="dxa"/>
            <w:vMerge/>
            <w:tcBorders>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63"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03"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03"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12"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r>
      <w:tr>
        <w:trPr>
          <w:trHeight w:val="343"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官方运营</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68,517,739.97</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6"/>
              <w:jc w:val="right"/>
              <w:rPr>
                <w:rFonts w:ascii="Times New Roman" w:hAnsi="Times New Roman" w:cs="Times New Roman" w:eastAsia="Times New Roman" w:hint="default"/>
                <w:sz w:val="20"/>
                <w:szCs w:val="20"/>
              </w:rPr>
            </w:pPr>
            <w:r>
              <w:rPr>
                <w:rFonts w:ascii="Times New Roman"/>
                <w:w w:val="95"/>
                <w:sz w:val="20"/>
              </w:rPr>
              <w:t>16,736,692.80</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
              <w:jc w:val="right"/>
              <w:rPr>
                <w:rFonts w:ascii="Times New Roman" w:hAnsi="Times New Roman" w:cs="Times New Roman" w:eastAsia="Times New Roman" w:hint="default"/>
                <w:sz w:val="20"/>
                <w:szCs w:val="20"/>
              </w:rPr>
            </w:pPr>
            <w:r>
              <w:rPr>
                <w:rFonts w:ascii="Times New Roman"/>
                <w:w w:val="95"/>
                <w:sz w:val="20"/>
              </w:rPr>
              <w:t>81,438,126.38</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
              <w:jc w:val="right"/>
              <w:rPr>
                <w:rFonts w:ascii="Times New Roman" w:hAnsi="Times New Roman" w:cs="Times New Roman" w:eastAsia="Times New Roman" w:hint="default"/>
                <w:sz w:val="20"/>
                <w:szCs w:val="20"/>
              </w:rPr>
            </w:pPr>
            <w:r>
              <w:rPr>
                <w:rFonts w:ascii="Times New Roman"/>
                <w:w w:val="95"/>
                <w:sz w:val="20"/>
              </w:rPr>
              <w:t>27,121,652.26</w:t>
            </w:r>
            <w:r>
              <w:rPr>
                <w:rFonts w:ascii="Times New Roman"/>
                <w:sz w:val="20"/>
              </w:rPr>
            </w:r>
          </w:p>
        </w:tc>
      </w:tr>
      <w:tr>
        <w:trPr>
          <w:trHeight w:val="341"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其中：公司自主运营</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43,532,524.51</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6"/>
              <w:jc w:val="right"/>
              <w:rPr>
                <w:rFonts w:ascii="Times New Roman" w:hAnsi="Times New Roman" w:cs="Times New Roman" w:eastAsia="Times New Roman" w:hint="default"/>
                <w:sz w:val="20"/>
                <w:szCs w:val="20"/>
              </w:rPr>
            </w:pPr>
            <w:r>
              <w:rPr>
                <w:rFonts w:ascii="Times New Roman"/>
                <w:w w:val="95"/>
                <w:sz w:val="20"/>
              </w:rPr>
              <w:t>12,731,201.72</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
              <w:jc w:val="right"/>
              <w:rPr>
                <w:rFonts w:ascii="Times New Roman" w:hAnsi="Times New Roman" w:cs="Times New Roman" w:eastAsia="Times New Roman" w:hint="default"/>
                <w:sz w:val="20"/>
                <w:szCs w:val="20"/>
              </w:rPr>
            </w:pPr>
            <w:r>
              <w:rPr>
                <w:rFonts w:ascii="Times New Roman"/>
                <w:w w:val="95"/>
                <w:sz w:val="20"/>
              </w:rPr>
              <w:t>46,961,757.19</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
              <w:jc w:val="right"/>
              <w:rPr>
                <w:rFonts w:ascii="Times New Roman" w:hAnsi="Times New Roman" w:cs="Times New Roman" w:eastAsia="Times New Roman" w:hint="default"/>
                <w:sz w:val="20"/>
                <w:szCs w:val="20"/>
              </w:rPr>
            </w:pPr>
            <w:r>
              <w:rPr>
                <w:rFonts w:ascii="Times New Roman"/>
                <w:w w:val="95"/>
                <w:sz w:val="20"/>
              </w:rPr>
              <w:t>13,393,282.92</w:t>
            </w:r>
            <w:r>
              <w:rPr>
                <w:rFonts w:ascii="Times New Roman"/>
                <w:sz w:val="20"/>
              </w:rPr>
            </w:r>
          </w:p>
        </w:tc>
      </w:tr>
      <w:tr>
        <w:trPr>
          <w:trHeight w:val="344"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607" w:right="0"/>
              <w:jc w:val="left"/>
              <w:rPr>
                <w:rFonts w:ascii="宋体" w:hAnsi="宋体" w:cs="宋体" w:eastAsia="宋体" w:hint="default"/>
                <w:sz w:val="20"/>
                <w:szCs w:val="20"/>
              </w:rPr>
            </w:pPr>
            <w:r>
              <w:rPr>
                <w:rFonts w:ascii="宋体" w:hAnsi="宋体" w:cs="宋体" w:eastAsia="宋体" w:hint="default"/>
                <w:sz w:val="20"/>
                <w:szCs w:val="20"/>
              </w:rPr>
              <w:t>与平台联合运营</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24,985,215.46</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4,005,491.08</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
              <w:jc w:val="right"/>
              <w:rPr>
                <w:rFonts w:ascii="Times New Roman" w:hAnsi="Times New Roman" w:cs="Times New Roman" w:eastAsia="Times New Roman" w:hint="default"/>
                <w:sz w:val="20"/>
                <w:szCs w:val="20"/>
              </w:rPr>
            </w:pPr>
            <w:r>
              <w:rPr>
                <w:rFonts w:ascii="Times New Roman"/>
                <w:w w:val="95"/>
                <w:sz w:val="20"/>
              </w:rPr>
              <w:t>34,476,369.19</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
              <w:jc w:val="right"/>
              <w:rPr>
                <w:rFonts w:ascii="Times New Roman" w:hAnsi="Times New Roman" w:cs="Times New Roman" w:eastAsia="Times New Roman" w:hint="default"/>
                <w:sz w:val="20"/>
                <w:szCs w:val="20"/>
              </w:rPr>
            </w:pPr>
            <w:r>
              <w:rPr>
                <w:rFonts w:ascii="Times New Roman"/>
                <w:w w:val="95"/>
                <w:sz w:val="20"/>
              </w:rPr>
              <w:t>13,728,369.34</w:t>
            </w:r>
            <w:r>
              <w:rPr>
                <w:rFonts w:ascii="Times New Roman"/>
                <w:sz w:val="20"/>
              </w:rPr>
            </w:r>
          </w:p>
        </w:tc>
      </w:tr>
      <w:tr>
        <w:trPr>
          <w:trHeight w:val="341"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分服运营</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1,274,190.03</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1,256,183.08</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3"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广告代理业务</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34,198,510.11</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6"/>
              <w:jc w:val="right"/>
              <w:rPr>
                <w:rFonts w:ascii="Times New Roman" w:hAnsi="Times New Roman" w:cs="Times New Roman" w:eastAsia="Times New Roman" w:hint="default"/>
                <w:sz w:val="20"/>
                <w:szCs w:val="20"/>
              </w:rPr>
            </w:pPr>
            <w:r>
              <w:rPr>
                <w:rFonts w:ascii="Times New Roman"/>
                <w:w w:val="95"/>
                <w:sz w:val="20"/>
              </w:rPr>
              <w:t>33,061,091.81</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1"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权属转让收入</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14,547,169.81</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3"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1,719,890.36</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
              <w:jc w:val="right"/>
              <w:rPr>
                <w:rFonts w:ascii="Times New Roman" w:hAnsi="Times New Roman" w:cs="Times New Roman" w:eastAsia="Times New Roman" w:hint="default"/>
                <w:sz w:val="20"/>
                <w:szCs w:val="20"/>
              </w:rPr>
            </w:pPr>
            <w:r>
              <w:rPr>
                <w:rFonts w:ascii="Times New Roman"/>
                <w:w w:val="95"/>
                <w:sz w:val="20"/>
              </w:rPr>
              <w:t>41,967.93</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2,164,743.35</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198,529.05</w:t>
            </w:r>
            <w:r>
              <w:rPr>
                <w:rFonts w:ascii="Times New Roman"/>
                <w:sz w:val="20"/>
              </w:rPr>
            </w:r>
          </w:p>
        </w:tc>
      </w:tr>
      <w:tr>
        <w:trPr>
          <w:trHeight w:val="341"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b/>
                <w:w w:val="95"/>
                <w:sz w:val="20"/>
              </w:rPr>
              <w:t>120,257,500.28</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
              <w:jc w:val="right"/>
              <w:rPr>
                <w:rFonts w:ascii="Times New Roman" w:hAnsi="Times New Roman" w:cs="Times New Roman" w:eastAsia="Times New Roman" w:hint="default"/>
                <w:sz w:val="20"/>
                <w:szCs w:val="20"/>
              </w:rPr>
            </w:pPr>
            <w:r>
              <w:rPr>
                <w:rFonts w:ascii="Times New Roman"/>
                <w:b/>
                <w:w w:val="95"/>
                <w:sz w:val="20"/>
              </w:rPr>
              <w:t>49,839,752.54</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right"/>
              <w:rPr>
                <w:rFonts w:ascii="Times New Roman" w:hAnsi="Times New Roman" w:cs="Times New Roman" w:eastAsia="Times New Roman" w:hint="default"/>
                <w:sz w:val="20"/>
                <w:szCs w:val="20"/>
              </w:rPr>
            </w:pPr>
            <w:r>
              <w:rPr>
                <w:rFonts w:ascii="Times New Roman"/>
                <w:b/>
                <w:w w:val="95"/>
                <w:sz w:val="20"/>
              </w:rPr>
              <w:t>84,859,052.81</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right"/>
              <w:rPr>
                <w:rFonts w:ascii="Times New Roman" w:hAnsi="Times New Roman" w:cs="Times New Roman" w:eastAsia="Times New Roman" w:hint="default"/>
                <w:sz w:val="20"/>
                <w:szCs w:val="20"/>
              </w:rPr>
            </w:pPr>
            <w:r>
              <w:rPr>
                <w:rFonts w:ascii="Times New Roman"/>
                <w:b/>
                <w:w w:val="95"/>
                <w:sz w:val="20"/>
              </w:rPr>
              <w:t>27,320,181.31</w:t>
            </w:r>
            <w:r>
              <w:rPr>
                <w:rFonts w:ascii="Times New Roman"/>
                <w:sz w:val="20"/>
              </w:rPr>
            </w:r>
          </w:p>
        </w:tc>
      </w:tr>
    </w:tbl>
    <w:p>
      <w:pPr>
        <w:spacing w:line="240" w:lineRule="auto" w:before="0"/>
        <w:rPr>
          <w:rFonts w:ascii="宋体" w:hAnsi="宋体" w:cs="宋体" w:eastAsia="宋体" w:hint="default"/>
          <w:sz w:val="5"/>
          <w:szCs w:val="5"/>
        </w:rPr>
      </w:pPr>
    </w:p>
    <w:p>
      <w:pPr>
        <w:pStyle w:val="BodyText"/>
        <w:spacing w:line="240" w:lineRule="auto" w:before="32"/>
        <w:ind w:left="592" w:right="996"/>
        <w:jc w:val="left"/>
      </w:pPr>
      <w:r>
        <w:rPr/>
        <w:t>（</w:t>
      </w:r>
      <w:r>
        <w:rPr>
          <w:rFonts w:ascii="Times New Roman" w:hAnsi="Times New Roman" w:cs="Times New Roman" w:eastAsia="Times New Roman" w:hint="default"/>
        </w:rPr>
        <w:t>2</w:t>
      </w:r>
      <w:r>
        <w:rPr/>
        <w:t>）主营业务（分游戏类型）</w:t>
      </w:r>
    </w:p>
    <w:p>
      <w:pPr>
        <w:spacing w:line="240" w:lineRule="auto" w:before="5"/>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2117"/>
        <w:gridCol w:w="1736"/>
        <w:gridCol w:w="1618"/>
        <w:gridCol w:w="1618"/>
        <w:gridCol w:w="1637"/>
      </w:tblGrid>
      <w:tr>
        <w:trPr>
          <w:trHeight w:val="343" w:hRule="exact"/>
        </w:trPr>
        <w:tc>
          <w:tcPr>
            <w:tcW w:w="2117" w:type="dxa"/>
            <w:vMerge w:val="restart"/>
            <w:tcBorders>
              <w:top w:val="single" w:sz="4" w:space="0" w:color="000000"/>
              <w:left w:val="single" w:sz="4" w:space="0" w:color="000000"/>
              <w:right w:val="single" w:sz="4" w:space="0" w:color="000000"/>
            </w:tcBorders>
          </w:tcPr>
          <w:p>
            <w:pPr>
              <w:pStyle w:val="TableParagraph"/>
              <w:spacing w:line="240" w:lineRule="auto" w:before="4"/>
              <w:ind w:left="653" w:right="0"/>
              <w:jc w:val="left"/>
              <w:rPr>
                <w:rFonts w:ascii="宋体" w:hAnsi="宋体" w:cs="宋体" w:eastAsia="宋体" w:hint="default"/>
                <w:sz w:val="20"/>
                <w:szCs w:val="20"/>
              </w:rPr>
            </w:pPr>
            <w:r>
              <w:rPr>
                <w:rFonts w:ascii="宋体" w:hAnsi="宋体" w:cs="宋体" w:eastAsia="宋体" w:hint="default"/>
                <w:b/>
                <w:bCs/>
                <w:sz w:val="20"/>
                <w:szCs w:val="20"/>
              </w:rPr>
              <w:t>产品名称</w:t>
            </w:r>
            <w:r>
              <w:rPr>
                <w:rFonts w:ascii="宋体" w:hAnsi="宋体" w:cs="宋体" w:eastAsia="宋体" w:hint="default"/>
                <w:sz w:val="20"/>
                <w:szCs w:val="20"/>
              </w:rPr>
            </w:r>
          </w:p>
        </w:tc>
        <w:tc>
          <w:tcPr>
            <w:tcW w:w="3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32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341" w:hRule="exact"/>
        </w:trPr>
        <w:tc>
          <w:tcPr>
            <w:tcW w:w="2117" w:type="dxa"/>
            <w:vMerge/>
            <w:tcBorders>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63"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03"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03"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12"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r>
      <w:tr>
        <w:trPr>
          <w:trHeight w:val="343"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MMO</w:t>
            </w:r>
            <w:r>
              <w:rPr>
                <w:rFonts w:ascii="宋体" w:hAnsi="宋体" w:cs="宋体" w:eastAsia="宋体" w:hint="default"/>
                <w:sz w:val="20"/>
                <w:szCs w:val="20"/>
              </w:rPr>
              <w:t>游戏</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43,372,626.18</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
              <w:jc w:val="right"/>
              <w:rPr>
                <w:rFonts w:ascii="Times New Roman" w:hAnsi="Times New Roman" w:cs="Times New Roman" w:eastAsia="Times New Roman" w:hint="default"/>
                <w:sz w:val="20"/>
                <w:szCs w:val="20"/>
              </w:rPr>
            </w:pPr>
            <w:r>
              <w:rPr>
                <w:rFonts w:ascii="Times New Roman"/>
                <w:w w:val="95"/>
                <w:sz w:val="20"/>
              </w:rPr>
              <w:t>12,778,008.38</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right"/>
              <w:rPr>
                <w:rFonts w:ascii="Times New Roman" w:hAnsi="Times New Roman" w:cs="Times New Roman" w:eastAsia="Times New Roman" w:hint="default"/>
                <w:sz w:val="20"/>
                <w:szCs w:val="20"/>
              </w:rPr>
            </w:pPr>
            <w:r>
              <w:rPr>
                <w:rFonts w:ascii="Times New Roman"/>
                <w:w w:val="95"/>
                <w:sz w:val="20"/>
              </w:rPr>
              <w:t>47,532,406.88</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right"/>
              <w:rPr>
                <w:rFonts w:ascii="Times New Roman" w:hAnsi="Times New Roman" w:cs="Times New Roman" w:eastAsia="Times New Roman" w:hint="default"/>
                <w:sz w:val="20"/>
                <w:szCs w:val="20"/>
              </w:rPr>
            </w:pPr>
            <w:r>
              <w:rPr>
                <w:rFonts w:ascii="Times New Roman"/>
                <w:w w:val="95"/>
                <w:sz w:val="20"/>
              </w:rPr>
              <w:t>14,203,227.37</w:t>
            </w:r>
            <w:r>
              <w:rPr>
                <w:rFonts w:ascii="Times New Roman"/>
                <w:sz w:val="20"/>
              </w:rPr>
            </w:r>
          </w:p>
        </w:tc>
      </w:tr>
      <w:tr>
        <w:trPr>
          <w:trHeight w:val="341"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网页游戏</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1,358,220.73</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3,053,078.88</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
              <w:jc w:val="right"/>
              <w:rPr>
                <w:rFonts w:ascii="Times New Roman" w:hAnsi="Times New Roman" w:cs="Times New Roman" w:eastAsia="Times New Roman" w:hint="default"/>
                <w:sz w:val="20"/>
                <w:szCs w:val="20"/>
              </w:rPr>
            </w:pPr>
            <w:r>
              <w:rPr>
                <w:rFonts w:ascii="Times New Roman"/>
                <w:w w:val="95"/>
                <w:sz w:val="20"/>
              </w:rPr>
              <w:t>13,116,284.87</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
              <w:jc w:val="right"/>
              <w:rPr>
                <w:rFonts w:ascii="Times New Roman" w:hAnsi="Times New Roman" w:cs="Times New Roman" w:eastAsia="Times New Roman" w:hint="default"/>
                <w:sz w:val="20"/>
                <w:szCs w:val="20"/>
              </w:rPr>
            </w:pPr>
            <w:r>
              <w:rPr>
                <w:rFonts w:ascii="Times New Roman"/>
                <w:w w:val="95"/>
                <w:sz w:val="20"/>
              </w:rPr>
              <w:t>11,982,914.33</w:t>
            </w:r>
            <w:r>
              <w:rPr>
                <w:rFonts w:ascii="Times New Roman"/>
                <w:sz w:val="20"/>
              </w:rPr>
            </w:r>
          </w:p>
        </w:tc>
      </w:tr>
      <w:tr>
        <w:trPr>
          <w:trHeight w:val="344"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宋体" w:hAnsi="宋体" w:cs="宋体" w:eastAsia="宋体" w:hint="default"/>
                <w:sz w:val="20"/>
                <w:szCs w:val="20"/>
              </w:rPr>
              <w:t>手机游戏</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39,719,573.52</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905,605.54</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right"/>
              <w:rPr>
                <w:rFonts w:ascii="Times New Roman" w:hAnsi="Times New Roman" w:cs="Times New Roman" w:eastAsia="Times New Roman" w:hint="default"/>
                <w:sz w:val="20"/>
                <w:szCs w:val="20"/>
              </w:rPr>
            </w:pPr>
            <w:r>
              <w:rPr>
                <w:rFonts w:ascii="Times New Roman"/>
                <w:w w:val="95"/>
                <w:sz w:val="20"/>
              </w:rPr>
              <w:t>22,045,617.71</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935,510.56</w:t>
            </w:r>
            <w:r>
              <w:rPr>
                <w:rFonts w:ascii="Times New Roman"/>
                <w:sz w:val="20"/>
              </w:rPr>
            </w:r>
          </w:p>
        </w:tc>
      </w:tr>
      <w:tr>
        <w:trPr>
          <w:trHeight w:val="341"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其他服务</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1,608,569.74</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
              <w:jc w:val="right"/>
              <w:rPr>
                <w:rFonts w:ascii="Times New Roman" w:hAnsi="Times New Roman" w:cs="Times New Roman" w:eastAsia="Times New Roman" w:hint="default"/>
                <w:sz w:val="20"/>
                <w:szCs w:val="20"/>
              </w:rPr>
            </w:pPr>
            <w:r>
              <w:rPr>
                <w:rFonts w:ascii="Times New Roman"/>
                <w:w w:val="95"/>
                <w:sz w:val="20"/>
              </w:rPr>
              <w:t>41,967.93</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2,164,743.35</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198,529.05</w:t>
            </w:r>
            <w:r>
              <w:rPr>
                <w:rFonts w:ascii="Times New Roman"/>
                <w:sz w:val="20"/>
              </w:rPr>
            </w:r>
          </w:p>
        </w:tc>
      </w:tr>
      <w:tr>
        <w:trPr>
          <w:trHeight w:val="343"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宋体" w:hAnsi="宋体" w:cs="宋体" w:eastAsia="宋体" w:hint="default"/>
                <w:sz w:val="20"/>
                <w:szCs w:val="20"/>
              </w:rPr>
              <w:t>广告代理业务</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34,198,510.11</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
              <w:jc w:val="right"/>
              <w:rPr>
                <w:rFonts w:ascii="Times New Roman" w:hAnsi="Times New Roman" w:cs="Times New Roman" w:eastAsia="Times New Roman" w:hint="default"/>
                <w:sz w:val="20"/>
                <w:szCs w:val="20"/>
              </w:rPr>
            </w:pPr>
            <w:r>
              <w:rPr>
                <w:rFonts w:ascii="Times New Roman"/>
                <w:w w:val="95"/>
                <w:sz w:val="20"/>
              </w:rPr>
              <w:t>33,061,091.81</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3"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b/>
                <w:w w:val="95"/>
                <w:sz w:val="20"/>
              </w:rPr>
              <w:t>120,257,500.28</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
              <w:jc w:val="right"/>
              <w:rPr>
                <w:rFonts w:ascii="Times New Roman" w:hAnsi="Times New Roman" w:cs="Times New Roman" w:eastAsia="Times New Roman" w:hint="default"/>
                <w:sz w:val="20"/>
                <w:szCs w:val="20"/>
              </w:rPr>
            </w:pPr>
            <w:r>
              <w:rPr>
                <w:rFonts w:ascii="Times New Roman"/>
                <w:b/>
                <w:w w:val="95"/>
                <w:sz w:val="20"/>
              </w:rPr>
              <w:t>49,839,752.54</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right"/>
              <w:rPr>
                <w:rFonts w:ascii="Times New Roman" w:hAnsi="Times New Roman" w:cs="Times New Roman" w:eastAsia="Times New Roman" w:hint="default"/>
                <w:sz w:val="20"/>
                <w:szCs w:val="20"/>
              </w:rPr>
            </w:pPr>
            <w:r>
              <w:rPr>
                <w:rFonts w:ascii="Times New Roman"/>
                <w:b/>
                <w:w w:val="95"/>
                <w:sz w:val="20"/>
              </w:rPr>
              <w:t>84,859,052.81</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right"/>
              <w:rPr>
                <w:rFonts w:ascii="Times New Roman" w:hAnsi="Times New Roman" w:cs="Times New Roman" w:eastAsia="Times New Roman" w:hint="default"/>
                <w:sz w:val="20"/>
                <w:szCs w:val="20"/>
              </w:rPr>
            </w:pPr>
            <w:r>
              <w:rPr>
                <w:rFonts w:ascii="Times New Roman"/>
                <w:b/>
                <w:w w:val="95"/>
                <w:sz w:val="20"/>
              </w:rPr>
              <w:t>27,320,181.31</w:t>
            </w:r>
            <w:r>
              <w:rPr>
                <w:rFonts w:ascii="Times New Roman"/>
                <w:sz w:val="20"/>
              </w:rPr>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-702,835.48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-2,046,490.36</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60"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11,144,000.00</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487,413.70</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-702,835.48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9,584,923.34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996"/>
        <w:jc w:val="left"/>
        <w:rPr>
          <w:b w:val="0"/>
          <w:bCs w:val="0"/>
        </w:rPr>
      </w:pPr>
      <w:r>
        <w:rPr/>
        <w:t>十八、补充资料</w:t>
      </w:r>
      <w:r>
        <w:rPr>
          <w:b w:val="0"/>
          <w:bCs w:val="0"/>
        </w:rPr>
      </w:r>
    </w:p>
    <w:p>
      <w:pPr>
        <w:spacing w:line="240" w:lineRule="auto" w:before="12"/>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152" w:right="9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-125,343.89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8,146,514.13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38"/>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774,776.73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财务性投资利息收入</w:t>
            </w:r>
          </w:p>
        </w:tc>
      </w:tr>
      <w:tr>
        <w:trPr>
          <w:trHeight w:val="227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51,197,453.50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-1,515,098.16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1,291,581.82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9,972,010.24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-26,964.96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49,824,838.85</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996"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0"/>
        <w:ind w:left="152" w:right="111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2"/>
        <w:ind w:left="152" w:right="9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3"/>
        <w:gridCol w:w="3082"/>
        <w:gridCol w:w="1913"/>
        <w:gridCol w:w="1913"/>
      </w:tblGrid>
      <w:tr>
        <w:trPr>
          <w:trHeight w:val="206" w:hRule="exact"/>
        </w:trPr>
        <w:tc>
          <w:tcPr>
            <w:tcW w:w="2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63"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4" w:hRule="exact"/>
        </w:trPr>
        <w:tc>
          <w:tcPr>
            <w:tcW w:w="2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0.20</w:t>
            </w:r>
          </w:p>
        </w:tc>
      </w:tr>
      <w:tr>
        <w:trPr>
          <w:trHeight w:val="715"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0.0072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b/>
          <w:bCs/>
          <w:sz w:val="24"/>
          <w:szCs w:val="24"/>
        </w:rPr>
      </w:pPr>
    </w:p>
    <w:p>
      <w:pPr>
        <w:spacing w:before="36"/>
        <w:ind w:left="152" w:right="9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、境内外会计准则下会计数据差异</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）同时按照国际会计准则与按中国会计准则披露的财务报告中净利润和净资产差异情况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9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）同时按照境外会计准则与按中国会计准则披露的财务报告中净利润和净资产差异情况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9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365" w:right="996"/>
        <w:jc w:val="left"/>
        <w:rPr>
          <w:b w:val="0"/>
          <w:bCs w:val="0"/>
        </w:rPr>
      </w:pPr>
      <w:bookmarkStart w:name="_bookmark12" w:id="13"/>
      <w:bookmarkEnd w:id="13"/>
      <w:r>
        <w:rPr>
          <w:b w:val="0"/>
          <w:bCs w:val="0"/>
        </w:rPr>
      </w:r>
      <w:r>
        <w:rPr/>
        <w:t>第十三节备查文件目录</w:t>
      </w:r>
      <w:r>
        <w:rPr>
          <w:b w:val="0"/>
          <w:bCs w:val="0"/>
        </w:rPr>
      </w:r>
    </w:p>
    <w:p>
      <w:pPr>
        <w:spacing w:line="240" w:lineRule="auto" w:before="9"/>
        <w:rPr>
          <w:rFonts w:ascii="宋体" w:hAnsi="宋体" w:cs="宋体" w:eastAsia="宋体" w:hint="default"/>
          <w:b/>
          <w:bCs/>
          <w:sz w:val="42"/>
          <w:szCs w:val="42"/>
        </w:rPr>
      </w:pPr>
    </w:p>
    <w:p>
      <w:pPr>
        <w:spacing w:line="314" w:lineRule="auto" w:before="0"/>
        <w:ind w:left="152" w:right="3194" w:firstLine="0"/>
        <w:jc w:val="left"/>
        <w:rPr>
          <w:rFonts w:ascii="宋体" w:hAnsi="宋体" w:cs="宋体" w:eastAsia="宋体" w:hint="default"/>
          <w:sz w:val="18"/>
          <w:szCs w:val="18"/>
        </w:rPr>
      </w:pPr>
      <w:r>
        <w:rPr>
          <w:rFonts w:ascii="宋体" w:hAnsi="宋体" w:cs="宋体" w:eastAsia="宋体" w:hint="default"/>
          <w:sz w:val="18"/>
          <w:szCs w:val="18"/>
        </w:rPr>
        <w:t>一、载有公司盖章、法定代表人、主管会计工作负责人、会计主管人员签名并盖章的财务报表。 二、载有会计师事务所盖章、注册会计师签名并盖章的审计报告原件。 三、报告期内在中国证监会指定网站上公开披露过的所有公司文件的正本及公告的原稿。 四、载有董事长签名的</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年度报告文本原件。 以上备查文件的备置地点：公司董事会秘书办公室</w:t>
      </w:r>
    </w:p>
    <w:sectPr>
      <w:pgSz w:w="11910" w:h="16840"/>
      <w:pgMar w:header="877" w:footer="980"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S Gothic">
    <w:altName w:val="MS Gothic"/>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45184" type="#_x0000_t75" stroked="false">
          <v:imagedata r:id="rId1" o:title=""/>
        </v:shape>
      </w:pict>
    </w:r>
    <w:r>
      <w:rPr/>
      <w:pict>
        <v:shape style="position:absolute;margin-left:533.099976pt;margin-top:795.613892pt;width:6.5pt;height:11pt;mso-position-horizontal-relative:page;mso-position-vertical-relative:page;z-index:-124516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44896" type="#_x0000_t75" stroked="false">
          <v:imagedata r:id="rId1" o:title=""/>
        </v:shape>
      </w:pict>
    </w:r>
    <w:r>
      <w:rPr/>
      <w:pict>
        <v:shape style="position:absolute;margin-left:527.659973pt;margin-top:781.933899pt;width:13.15pt;height:11pt;mso-position-horizontal-relative:page;mso-position-vertical-relative:page;z-index:-12448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53</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244824" type="#_x0000_t75" stroked="false">
          <v:imagedata r:id="rId1" o:title=""/>
        </v:shape>
      </w:pict>
    </w:r>
    <w:r>
      <w:rPr/>
      <w:pict>
        <v:shape style="position:absolute;margin-left:759.02002pt;margin-top:535.333923pt;width:13.15pt;height:11pt;mso-position-horizontal-relative:page;mso-position-vertical-relative:page;z-index:-12448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63</w:t>
                </w:r>
                <w:r>
                  <w:rPr/>
                  <w:fldChar w:fldCharType="end"/>
                </w:r>
                <w:r>
                  <w:rPr>
                    <w:rFonts w:ascii="Times New Roman"/>
                    <w:spacing w:val="1"/>
                    <w:sz w:val="18"/>
                  </w:rPr>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44728" type="#_x0000_t75" stroked="false">
          <v:imagedata r:id="rId1" o:title=""/>
        </v:shape>
      </w:pict>
    </w:r>
    <w:r>
      <w:rPr/>
      <w:pict>
        <v:shape style="position:absolute;margin-left:527.659973pt;margin-top:781.933899pt;width:13.15pt;height:11pt;mso-position-horizontal-relative:page;mso-position-vertical-relative:page;z-index:-12447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65</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44680" type="#_x0000_t75" stroked="false">
          <v:imagedata r:id="rId1" o:title=""/>
        </v:shape>
      </w:pict>
    </w:r>
    <w:r>
      <w:rPr/>
      <w:pict>
        <v:shape style="position:absolute;margin-left:524.099976pt;margin-top:781.933899pt;width:15.7pt;height:11pt;mso-position-horizontal-relative:page;mso-position-vertical-relative:page;z-index:-124465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44632" type="#_x0000_t75" stroked="false">
          <v:imagedata r:id="rId1" o:title=""/>
        </v:shape>
      </w:pict>
    </w:r>
    <w:r>
      <w:rPr/>
      <w:pict>
        <v:shape style="position:absolute;margin-left:523.099976pt;margin-top:781.933899pt;width:17.7pt;height:11pt;mso-position-horizontal-relative:page;mso-position-vertical-relative:page;z-index:-12446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102</w:t>
                </w:r>
                <w:r>
                  <w:rPr/>
                  <w:fldChar w:fldCharType="end"/>
                </w:r>
                <w:r>
                  <w:rPr>
                    <w:rFonts w:ascii="Times New Roman"/>
                    <w:spacing w:val="1"/>
                    <w:sz w:val="18"/>
                  </w:rPr>
                </w:r>
                <w:r>
                  <w:rPr>
                    <w:rFonts w:ascii="Times New Roman"/>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44584" type="#_x0000_t75" stroked="false">
          <v:imagedata r:id="rId1" o:title=""/>
        </v:shape>
      </w:pict>
    </w:r>
    <w:r>
      <w:rPr/>
      <w:pict>
        <v:shape style="position:absolute;margin-left:523.460022pt;margin-top:781.933899pt;width:17.3pt;height:11pt;mso-position-horizontal-relative:page;mso-position-vertical-relative:page;z-index:-12445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44536" type="#_x0000_t75" stroked="false">
          <v:imagedata r:id="rId1" o:title=""/>
        </v:shape>
      </w:pict>
    </w:r>
    <w:r>
      <w:rPr/>
      <w:pict>
        <v:shape style="position:absolute;margin-left:523.099976pt;margin-top:781.933899pt;width:17.7pt;height:11pt;mso-position-horizontal-relative:page;mso-position-vertical-relative:page;z-index:-12445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44488" type="#_x0000_t75" stroked="false">
          <v:imagedata r:id="rId1" o:title=""/>
        </v:shape>
      </w:pict>
    </w:r>
    <w:r>
      <w:rPr/>
      <w:pict>
        <v:shape style="position:absolute;margin-left:524.099976pt;margin-top:781.933899pt;width:15.7pt;height:11pt;mso-position-horizontal-relative:page;mso-position-vertical-relative:page;z-index:-124446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44440" type="#_x0000_t75" stroked="false">
          <v:imagedata r:id="rId1" o:title=""/>
        </v:shape>
      </w:pict>
    </w:r>
    <w:r>
      <w:rPr/>
      <w:pict>
        <v:shape style="position:absolute;margin-left:523.099976pt;margin-top:781.933899pt;width:17.7pt;height:11pt;mso-position-horizontal-relative:page;mso-position-vertical-relative:page;z-index:-12444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45136" type="#_x0000_t75" stroked="false">
          <v:imagedata r:id="rId1" o:title=""/>
        </v:shape>
      </w:pict>
    </w:r>
    <w:r>
      <w:rPr/>
      <w:pict>
        <v:shape style="position:absolute;margin-left:527.659973pt;margin-top:781.933899pt;width:13.15pt;height:11pt;mso-position-horizontal-relative:page;mso-position-vertical-relative:page;z-index:-12451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r>
      <w:rPr/>
      <w:pict>
        <v:shape style="position:absolute;margin-left:533.219971pt;margin-top:781.933899pt;width:6.6pt;height:11pt;mso-position-horizontal-relative:page;mso-position-vertical-relative:page;z-index:-124508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pacing w:val="1"/>
                    <w:sz w:val="18"/>
                  </w:rPr>
                  <w:t>6</w:t>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r>
      <w:rPr/>
      <w:pict>
        <v:shape style="position:absolute;margin-left:528.659973pt;margin-top:781.933899pt;width:11.15pt;height:11pt;mso-position-horizontal-relative:page;mso-position-vertical-relative:page;z-index:-124506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47</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r>
      <w:rPr/>
      <w:pict>
        <v:shape style="position:absolute;margin-left:533.219971pt;margin-top:781.933899pt;width:6.6pt;height:11pt;mso-position-horizontal-relative:page;mso-position-vertical-relative:page;z-index:-124504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pacing w:val="1"/>
                    <w:sz w:val="18"/>
                  </w:rPr>
                  <w:t>8</w:t>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r>
      <w:rPr/>
      <w:pict>
        <v:shape style="position:absolute;margin-left:528.659973pt;margin-top:781.933899pt;width:11.15pt;height:11pt;mso-position-horizontal-relative:page;mso-position-vertical-relative:page;z-index:-124501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49</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44992" type="#_x0000_t75" stroked="false">
          <v:imagedata r:id="rId1" o:title=""/>
        </v:shape>
      </w:pict>
    </w:r>
    <w:r>
      <w:rPr/>
      <w:pict>
        <v:shape style="position:absolute;margin-left:528.659973pt;margin-top:781.933899pt;width:11.15pt;height:11pt;mso-position-horizontal-relative:page;mso-position-vertical-relative:page;z-index:-124496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50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r>
      <w:rPr/>
      <w:pict>
        <v:shape style="position:absolute;margin-left:533.219971pt;margin-top:781.933899pt;width:6.6pt;height:11pt;mso-position-horizontal-relative:page;mso-position-vertical-relative:page;z-index:-124494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pacing w:val="1"/>
                    <w:sz w:val="18"/>
                  </w:rPr>
                  <w:t>1</w:t>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r>
      <w:rPr/>
      <w:pict>
        <v:shape style="position:absolute;margin-left:528.659973pt;margin-top:781.933899pt;width:11.15pt;height:11pt;mso-position-horizontal-relative:page;mso-position-vertical-relative:page;z-index:-124492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52</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17.070007pt;margin-top:36.265610pt;width:222.75pt;height:11.5pt;mso-position-horizontal-relative:page;mso-position-vertical-relative:page;z-index:-12452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深圳中青宝互动网络股份有限公司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8.429993pt;margin-top:42.865631pt;width:222.75pt;height:11.5pt;mso-position-horizontal-relative:page;mso-position-vertical-relative:page;z-index:-12448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深圳中青宝互动网络股份有限公司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24477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17.070007pt;margin-top:42.865608pt;width:222.75pt;height:11.5pt;mso-position-horizontal-relative:page;mso-position-vertical-relative:page;z-index:-12447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深圳中青宝互动网络股份有限公司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3"/>
      <w:ind w:left="152"/>
    </w:pPr>
    <w:rPr>
      <w:rFonts w:ascii="宋体" w:hAnsi="宋体" w:eastAsia="宋体"/>
      <w:b/>
      <w:bCs/>
      <w:sz w:val="18"/>
      <w:szCs w:val="18"/>
    </w:rPr>
  </w:style>
  <w:style w:styleId="BodyText" w:type="paragraph">
    <w:name w:val="Body Text"/>
    <w:basedOn w:val="Normal"/>
    <w:uiPriority w:val="1"/>
    <w:qFormat/>
    <w:pPr>
      <w:ind w:left="152"/>
    </w:pPr>
    <w:rPr>
      <w:rFonts w:ascii="宋体" w:hAnsi="宋体" w:eastAsia="宋体"/>
      <w:sz w:val="22"/>
      <w:szCs w:val="22"/>
    </w:rPr>
  </w:style>
  <w:style w:styleId="Heading1" w:type="paragraph">
    <w:name w:val="Heading 1"/>
    <w:basedOn w:val="Normal"/>
    <w:uiPriority w:val="1"/>
    <w:qFormat/>
    <w:pPr>
      <w:ind w:left="127"/>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spacing w:before="36"/>
      <w:ind w:left="152"/>
      <w:outlineLvl w:val="3"/>
    </w:pPr>
    <w:rPr>
      <w:rFonts w:ascii="宋体" w:hAnsi="宋体" w:eastAsia="宋体"/>
      <w:sz w:val="24"/>
      <w:szCs w:val="24"/>
    </w:rPr>
  </w:style>
  <w:style w:styleId="Heading4" w:type="paragraph">
    <w:name w:val="Heading 4"/>
    <w:basedOn w:val="Normal"/>
    <w:uiPriority w:val="1"/>
    <w:qFormat/>
    <w:pPr>
      <w:ind w:left="152"/>
      <w:outlineLvl w:val="4"/>
    </w:pPr>
    <w:rPr>
      <w:rFonts w:ascii="宋体" w:hAnsi="宋体" w:eastAsia="宋体"/>
      <w:i/>
      <w:sz w:val="23"/>
      <w:szCs w:val="23"/>
    </w:rPr>
  </w:style>
  <w:style w:styleId="Heading5" w:type="paragraph">
    <w:name w:val="Heading 5"/>
    <w:basedOn w:val="Normal"/>
    <w:uiPriority w:val="1"/>
    <w:qFormat/>
    <w:pPr>
      <w:spacing w:before="32"/>
      <w:ind w:left="508" w:hanging="356"/>
      <w:outlineLvl w:val="5"/>
    </w:pPr>
    <w:rPr>
      <w:rFonts w:ascii="宋体" w:hAnsi="宋体" w:eastAsia="宋体"/>
      <w:b/>
      <w:bCs/>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zqgame.com/" TargetMode="External"/><Relationship Id="rId9" Type="http://schemas.openxmlformats.org/officeDocument/2006/relationships/hyperlink" Target="mailto:ir@zqgame.com" TargetMode="External"/><Relationship Id="rId10" Type="http://schemas.openxmlformats.org/officeDocument/2006/relationships/hyperlink" Target="http://www.cninfo.com.cn/" TargetMode="External"/><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png"/><Relationship Id="rId14" Type="http://schemas.openxmlformats.org/officeDocument/2006/relationships/footer" Target="footer3.xml"/><Relationship Id="rId15" Type="http://schemas.openxmlformats.org/officeDocument/2006/relationships/image" Target="media/image1.jpeg"/><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header" Target="header2.xml"/><Relationship Id="rId24" Type="http://schemas.openxmlformats.org/officeDocument/2006/relationships/footer" Target="footer11.xml"/><Relationship Id="rId25" Type="http://schemas.openxmlformats.org/officeDocument/2006/relationships/header" Target="header3.xml"/><Relationship Id="rId26" Type="http://schemas.openxmlformats.org/officeDocument/2006/relationships/footer" Target="footer12.xml"/><Relationship Id="rId27" Type="http://schemas.openxmlformats.org/officeDocument/2006/relationships/image" Target="media/image5.jpeg"/><Relationship Id="rId28" Type="http://schemas.openxmlformats.org/officeDocument/2006/relationships/footer" Target="footer13.xml"/><Relationship Id="rId29" Type="http://schemas.openxmlformats.org/officeDocument/2006/relationships/footer" Target="footer14.xml"/><Relationship Id="rId30" Type="http://schemas.openxmlformats.org/officeDocument/2006/relationships/footer" Target="footer15.xml"/><Relationship Id="rId31" Type="http://schemas.openxmlformats.org/officeDocument/2006/relationships/footer" Target="footer16.xml"/><Relationship Id="rId32" Type="http://schemas.openxmlformats.org/officeDocument/2006/relationships/image" Target="media/image6.jpeg"/><Relationship Id="rId33" Type="http://schemas.openxmlformats.org/officeDocument/2006/relationships/image" Target="media/image7.jpeg"/><Relationship Id="rId34" Type="http://schemas.openxmlformats.org/officeDocument/2006/relationships/image" Target="media/image8.jpeg"/><Relationship Id="rId35" Type="http://schemas.openxmlformats.org/officeDocument/2006/relationships/footer" Target="footer17.xml"/><Relationship Id="rId36" Type="http://schemas.openxmlformats.org/officeDocument/2006/relationships/footer" Target="footer18.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16.xml.rels><?xml version="1.0" encoding="UTF-8" standalone="yes"?>
<Relationships xmlns="http://schemas.openxmlformats.org/package/2006/relationships"><Relationship Id="rId1" Type="http://schemas.openxmlformats.org/officeDocument/2006/relationships/image" Target="media/image1.jpeg"/></Relationships>

</file>

<file path=word/_rels/footer17.xml.rels><?xml version="1.0" encoding="UTF-8" standalone="yes"?>
<Relationships xmlns="http://schemas.openxmlformats.org/package/2006/relationships"><Relationship Id="rId1" Type="http://schemas.openxmlformats.org/officeDocument/2006/relationships/image" Target="media/image1.jpeg"/></Relationships>

</file>

<file path=word/_rels/footer18.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深圳中青宝互动网络股份有限公司</dc:creator>
  <dc:title>深圳中青宝互动网络股份有限公司2019年年度报告全文</dc:title>
  <dcterms:created xsi:type="dcterms:W3CDTF">2020-05-19T01:06:45Z</dcterms:created>
  <dcterms:modified xsi:type="dcterms:W3CDTF">2020-05-19T01:06:45Z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2020-03-26T00:00:00Z</vt:filetime>
  </property>
  <property fmtid="{D5CDD505-2E9C-101B-9397-08002B2CF9AE}" pid="3" name="Creator">
    <vt:lpwstr>Microsoft® Office Word 2007</vt:lpwstr>
  </property>
  <property fmtid="{D5CDD505-2E9C-101B-9397-08002B2CF9AE}" pid="4" name="LastSaved">
    <vt:filetime>2020-05-18T00:00:00Z</vt:filetime>
  </property>
</Properties>
</file>