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深圳中青宝互动网络股份有限公司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br/>
      </w:r>
      <w:r>
        <w:rPr>
          <w:b/>
          <w:bCs/>
          <w:color w:val="000000"/>
          <w:spacing w:val="0"/>
          <w:w w:val="100"/>
          <w:position w:val="0"/>
          <w:sz w:val="32"/>
          <w:szCs w:val="32"/>
        </w:rPr>
        <w:t>2021-024</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62" w:right="970" w:bottom="2862" w:left="1104"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after="80" w:line="629" w:lineRule="exact"/>
        <w:ind w:left="0" w:right="0" w:firstLine="58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after="80" w:line="629" w:lineRule="exact"/>
        <w:ind w:left="0" w:right="0" w:firstLine="580"/>
        <w:jc w:val="both"/>
      </w:pPr>
      <w:r>
        <w:rPr>
          <w:color w:val="000000"/>
          <w:spacing w:val="0"/>
          <w:w w:val="100"/>
          <w:position w:val="0"/>
        </w:rPr>
        <w:t>公司负责人李瑞杰、主管会计工作负责人张思群及会计机构负责人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朱丹平声明：保证本年度报告中财务报告的真实、准确、完整。</w:t>
      </w:r>
    </w:p>
    <w:p>
      <w:pPr>
        <w:pStyle w:val="Style13"/>
        <w:keepNext w:val="0"/>
        <w:keepLines w:val="0"/>
        <w:widowControl w:val="0"/>
        <w:shd w:val="clear" w:color="auto" w:fill="auto"/>
        <w:bidi w:val="0"/>
        <w:spacing w:before="0" w:after="80" w:line="623" w:lineRule="exact"/>
        <w:ind w:left="0" w:right="0" w:firstLine="58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80" w:line="623" w:lineRule="exact"/>
        <w:ind w:left="0" w:right="0" w:firstLine="860"/>
        <w:jc w:val="both"/>
      </w:pPr>
      <w:r>
        <w:rPr>
          <w:color w:val="000000"/>
          <w:spacing w:val="0"/>
          <w:w w:val="100"/>
          <w:position w:val="0"/>
        </w:rPr>
        <w:t>业绩大幅下滑或亏损的风险提示</w:t>
      </w:r>
    </w:p>
    <w:p>
      <w:pPr>
        <w:pStyle w:val="Style13"/>
        <w:keepNext w:val="0"/>
        <w:keepLines w:val="0"/>
        <w:widowControl w:val="0"/>
        <w:shd w:val="clear" w:color="auto" w:fill="auto"/>
        <w:tabs>
          <w:tab w:pos="7087" w:val="left"/>
        </w:tabs>
        <w:bidi w:val="0"/>
        <w:spacing w:before="0" w:after="0" w:line="623" w:lineRule="exact"/>
        <w:ind w:left="1140" w:right="0" w:firstLine="0"/>
        <w:jc w:val="both"/>
      </w:pPr>
      <w:r>
        <w:rPr>
          <w:color w:val="000000"/>
          <w:spacing w:val="0"/>
          <w:w w:val="100"/>
          <w:position w:val="0"/>
        </w:rPr>
        <w:t>（一）业绩大幅下滑或者亏损的具体原因</w:t>
        <w:tab/>
      </w:r>
      <w:r>
        <w:rPr>
          <w:rFonts w:ascii="Times New Roman" w:eastAsia="Times New Roman" w:hAnsi="Times New Roman" w:cs="Times New Roman"/>
          <w:color w:val="000000"/>
          <w:spacing w:val="0"/>
          <w:w w:val="100"/>
          <w:position w:val="0"/>
        </w:rPr>
        <w:t>1</w:t>
      </w:r>
      <w:r>
        <w:rPr>
          <w:color w:val="000000"/>
          <w:spacing w:val="0"/>
          <w:w w:val="100"/>
          <w:position w:val="0"/>
        </w:rPr>
        <w:t>、为紧跟游戏行业</w:t>
      </w:r>
    </w:p>
    <w:p>
      <w:pPr>
        <w:pStyle w:val="Style13"/>
        <w:keepNext w:val="0"/>
        <w:keepLines w:val="0"/>
        <w:widowControl w:val="0"/>
        <w:shd w:val="clear" w:color="auto" w:fill="auto"/>
        <w:tabs>
          <w:tab w:pos="5218" w:val="left"/>
        </w:tabs>
        <w:bidi w:val="0"/>
        <w:spacing w:before="0" w:after="0" w:line="623" w:lineRule="exact"/>
        <w:ind w:left="0" w:right="0" w:firstLine="0"/>
        <w:jc w:val="both"/>
      </w:pPr>
      <w:r>
        <w:rPr>
          <w:color w:val="000000"/>
          <w:spacing w:val="0"/>
          <w:w w:val="100"/>
          <w:position w:val="0"/>
        </w:rPr>
        <w:t>发展趋势打造精品手游，本年度加大了对移动端游戏的投入，报告期内游戏定 制费用大幅增加。同时由于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月正式上线的《街头足球》业绩不及预期, 导致公司手游业务产生较大亏损。</w:t>
        <w:tab/>
      </w:r>
      <w:r>
        <w:rPr>
          <w:rFonts w:ascii="Times New Roman" w:eastAsia="Times New Roman" w:hAnsi="Times New Roman" w:cs="Times New Roman"/>
          <w:color w:val="000000"/>
          <w:spacing w:val="0"/>
          <w:w w:val="100"/>
          <w:position w:val="0"/>
        </w:rPr>
        <w:t>2</w:t>
      </w:r>
      <w:r>
        <w:rPr>
          <w:color w:val="000000"/>
          <w:spacing w:val="0"/>
          <w:w w:val="100"/>
          <w:position w:val="0"/>
        </w:rPr>
        <w:t>、为了更加真实、准确地反映公司</w:t>
      </w:r>
    </w:p>
    <w:p>
      <w:pPr>
        <w:pStyle w:val="Style13"/>
        <w:keepNext w:val="0"/>
        <w:keepLines w:val="0"/>
        <w:widowControl w:val="0"/>
        <w:shd w:val="clear" w:color="auto" w:fill="auto"/>
        <w:tabs>
          <w:tab w:pos="4666" w:val="left"/>
        </w:tabs>
        <w:bidi w:val="0"/>
        <w:spacing w:before="0" w:after="0" w:line="62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日的资产和财务状况，根据《企业会计准则》和公司相关会 计政策的规定，公司对</w:t>
      </w:r>
      <w:r>
        <w:rPr>
          <w:rFonts w:ascii="Times New Roman" w:eastAsia="Times New Roman" w:hAnsi="Times New Roman" w:cs="Times New Roman"/>
          <w:color w:val="000000"/>
          <w:spacing w:val="0"/>
          <w:w w:val="100"/>
          <w:position w:val="0"/>
        </w:rPr>
        <w:t>2020</w:t>
      </w:r>
      <w:r>
        <w:rPr>
          <w:color w:val="000000"/>
          <w:spacing w:val="0"/>
          <w:w w:val="100"/>
          <w:position w:val="0"/>
        </w:rPr>
        <w:t>年末应收账款及其他应收款收回可能性，进行了充 分的分析和评估，对账期超过</w:t>
      </w:r>
      <w:r>
        <w:rPr>
          <w:rFonts w:ascii="Times New Roman" w:eastAsia="Times New Roman" w:hAnsi="Times New Roman" w:cs="Times New Roman"/>
          <w:color w:val="000000"/>
          <w:spacing w:val="0"/>
          <w:w w:val="100"/>
          <w:position w:val="0"/>
        </w:rPr>
        <w:t>3</w:t>
      </w:r>
      <w:r>
        <w:rPr>
          <w:color w:val="000000"/>
          <w:spacing w:val="0"/>
          <w:w w:val="100"/>
          <w:position w:val="0"/>
        </w:rPr>
        <w:t>年的往来款项全额计提信用减值损失，信用减 值损失金额较上年增长较大。</w:t>
        <w:tab/>
      </w:r>
      <w:r>
        <w:rPr>
          <w:rFonts w:ascii="Times New Roman" w:eastAsia="Times New Roman" w:hAnsi="Times New Roman" w:cs="Times New Roman"/>
          <w:color w:val="000000"/>
          <w:spacing w:val="0"/>
          <w:w w:val="100"/>
          <w:position w:val="0"/>
        </w:rPr>
        <w:t>3</w:t>
      </w:r>
      <w:r>
        <w:rPr>
          <w:color w:val="000000"/>
          <w:spacing w:val="0"/>
          <w:w w:val="100"/>
          <w:position w:val="0"/>
        </w:rPr>
        <w:t>、报告期内受疫情影响，公司子公司深</w:t>
      </w:r>
    </w:p>
    <w:p>
      <w:pPr>
        <w:pStyle w:val="Style13"/>
        <w:keepNext w:val="0"/>
        <w:keepLines w:val="0"/>
        <w:widowControl w:val="0"/>
        <w:shd w:val="clear" w:color="auto" w:fill="auto"/>
        <w:bidi w:val="0"/>
        <w:spacing w:before="0" w:after="80" w:line="623" w:lineRule="exact"/>
        <w:ind w:left="0" w:right="0" w:firstLine="0"/>
        <w:jc w:val="both"/>
      </w:pPr>
      <w:r>
        <w:rPr>
          <w:color w:val="000000"/>
          <w:spacing w:val="0"/>
          <w:w w:val="100"/>
          <w:position w:val="0"/>
        </w:rPr>
        <w:t>圳市苏摩科技有限公司、北京中青宝长城文化科技有限公司以及联营企业均出 现减值迹象。基于谨慎性考虑，公司根据《企业会计准则第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 及相关会计政策规定，并聘请评估师对深圳苏摩和北京中青文化分别进行了商 誉减值测试和固定资产组现金流现值评估，同时公司运用永续增长模型对所持</w:t>
      </w:r>
    </w:p>
    <w:p>
      <w:pPr>
        <w:pStyle w:val="Style13"/>
        <w:keepNext w:val="0"/>
        <w:keepLines w:val="0"/>
        <w:widowControl w:val="0"/>
        <w:shd w:val="clear" w:color="auto" w:fill="auto"/>
        <w:tabs>
          <w:tab w:pos="5842" w:val="left"/>
        </w:tabs>
        <w:bidi w:val="0"/>
        <w:spacing w:before="0" w:after="0" w:line="622" w:lineRule="exact"/>
        <w:ind w:left="0" w:right="0" w:firstLine="0"/>
        <w:jc w:val="both"/>
      </w:pPr>
      <w:r>
        <w:rPr>
          <w:color w:val="000000"/>
          <w:spacing w:val="0"/>
          <w:w w:val="100"/>
          <w:position w:val="0"/>
        </w:rPr>
        <w:t>股权的价值进行了估值。根据评估及估值结果，公司对深圳苏摩的商誉、北京 中青文化的固定资产及联营企业的长期股权投资均计提了资产减值损失，报告 期内公司的资产减值损失金额大幅增加。</w:t>
        <w:tab/>
        <w:t>（二）主营业务、核心竞争力、</w:t>
      </w:r>
    </w:p>
    <w:p>
      <w:pPr>
        <w:pStyle w:val="Style13"/>
        <w:keepNext w:val="0"/>
        <w:keepLines w:val="0"/>
        <w:widowControl w:val="0"/>
        <w:shd w:val="clear" w:color="auto" w:fill="auto"/>
        <w:tabs>
          <w:tab w:pos="5333" w:val="left"/>
        </w:tabs>
        <w:bidi w:val="0"/>
        <w:spacing w:before="0" w:after="0" w:line="622" w:lineRule="exact"/>
        <w:ind w:left="0" w:right="0" w:firstLine="0"/>
        <w:jc w:val="both"/>
      </w:pPr>
      <w:r>
        <w:rPr>
          <w:color w:val="000000"/>
          <w:spacing w:val="0"/>
          <w:w w:val="100"/>
          <w:position w:val="0"/>
        </w:rPr>
        <w:t>主要财务指标是否发生重大不利变化</w:t>
        <w:tab/>
        <w:t>报告期内公司坚持以游戏和云服务</w:t>
      </w:r>
    </w:p>
    <w:p>
      <w:pPr>
        <w:pStyle w:val="Style13"/>
        <w:keepNext w:val="0"/>
        <w:keepLines w:val="0"/>
        <w:widowControl w:val="0"/>
        <w:shd w:val="clear" w:color="auto" w:fill="auto"/>
        <w:tabs>
          <w:tab w:pos="4474" w:val="left"/>
        </w:tabs>
        <w:bidi w:val="0"/>
        <w:spacing w:before="0" w:after="0" w:line="622" w:lineRule="exact"/>
        <w:ind w:left="0" w:right="0" w:firstLine="0"/>
        <w:jc w:val="both"/>
      </w:pPr>
      <w:r>
        <w:rPr>
          <w:color w:val="000000"/>
          <w:spacing w:val="0"/>
          <w:w w:val="100"/>
          <w:position w:val="0"/>
        </w:rPr>
        <w:t>业务为主的双轮驱动模式，主营业务及核心竞争力未发生重大不利变化。主要 财务指标重大不利变化如下：</w:t>
        <w:tab/>
      </w:r>
      <w:r>
        <w:rPr>
          <w:rFonts w:ascii="Times New Roman" w:eastAsia="Times New Roman" w:hAnsi="Times New Roman" w:cs="Times New Roman"/>
          <w:color w:val="000000"/>
          <w:spacing w:val="0"/>
          <w:w w:val="100"/>
          <w:position w:val="0"/>
        </w:rPr>
        <w:t>1</w:t>
      </w:r>
      <w:r>
        <w:rPr>
          <w:color w:val="000000"/>
          <w:spacing w:val="0"/>
          <w:w w:val="100"/>
          <w:position w:val="0"/>
        </w:rPr>
        <w:t>、公司实现营业收入</w:t>
      </w:r>
      <w:r>
        <w:rPr>
          <w:rFonts w:ascii="Times New Roman" w:eastAsia="Times New Roman" w:hAnsi="Times New Roman" w:cs="Times New Roman"/>
          <w:color w:val="000000"/>
          <w:spacing w:val="0"/>
          <w:w w:val="100"/>
          <w:position w:val="0"/>
        </w:rPr>
        <w:t>29,384.39</w:t>
      </w:r>
      <w:r>
        <w:rPr>
          <w:color w:val="000000"/>
          <w:spacing w:val="0"/>
          <w:w w:val="100"/>
          <w:position w:val="0"/>
        </w:rPr>
        <w:t>万元，同</w:t>
      </w:r>
    </w:p>
    <w:p>
      <w:pPr>
        <w:pStyle w:val="Style2"/>
        <w:keepNext w:val="0"/>
        <w:keepLines w:val="0"/>
        <w:widowControl w:val="0"/>
        <w:shd w:val="clear" w:color="auto" w:fill="auto"/>
        <w:tabs>
          <w:tab w:pos="2861" w:val="left"/>
        </w:tabs>
        <w:bidi w:val="0"/>
        <w:spacing w:before="0" w:after="300" w:line="622" w:lineRule="exact"/>
        <w:ind w:left="0" w:right="0" w:firstLine="0"/>
        <w:jc w:val="both"/>
        <w:rPr>
          <w:sz w:val="28"/>
          <w:szCs w:val="28"/>
        </w:rPr>
      </w:pPr>
      <w:r>
        <w:rPr>
          <w:rFonts w:ascii="SimSun" w:eastAsia="SimSun" w:hAnsi="SimSun" w:cs="SimSun"/>
          <w:b/>
          <w:bCs/>
          <w:color w:val="000000"/>
          <w:spacing w:val="0"/>
          <w:w w:val="100"/>
          <w:position w:val="0"/>
          <w:sz w:val="28"/>
          <w:szCs w:val="28"/>
        </w:rPr>
        <w:t>比下降</w:t>
      </w:r>
      <w:r>
        <w:rPr>
          <w:b/>
          <w:bCs/>
          <w:color w:val="000000"/>
          <w:spacing w:val="0"/>
          <w:w w:val="100"/>
          <w:position w:val="0"/>
          <w:sz w:val="28"/>
          <w:szCs w:val="28"/>
        </w:rPr>
        <w:t>37.32%</w:t>
      </w:r>
      <w:r>
        <w:rPr>
          <w:rFonts w:ascii="SimSun" w:eastAsia="SimSun" w:hAnsi="SimSun" w:cs="SimSun"/>
          <w:b/>
          <w:bCs/>
          <w:color w:val="000000"/>
          <w:spacing w:val="0"/>
          <w:w w:val="100"/>
          <w:position w:val="0"/>
          <w:sz w:val="28"/>
          <w:szCs w:val="28"/>
        </w:rPr>
        <w:t>；</w:t>
        <w:tab/>
      </w:r>
      <w:r>
        <w:rPr>
          <w:b/>
          <w:bCs/>
          <w:color w:val="000000"/>
          <w:spacing w:val="0"/>
          <w:w w:val="100"/>
          <w:position w:val="0"/>
          <w:sz w:val="28"/>
          <w:szCs w:val="28"/>
        </w:rPr>
        <w:t>2</w:t>
      </w:r>
      <w:r>
        <w:rPr>
          <w:rFonts w:ascii="SimSun" w:eastAsia="SimSun" w:hAnsi="SimSun" w:cs="SimSun"/>
          <w:b/>
          <w:bCs/>
          <w:color w:val="000000"/>
          <w:spacing w:val="0"/>
          <w:w w:val="100"/>
          <w:position w:val="0"/>
          <w:sz w:val="28"/>
          <w:szCs w:val="28"/>
        </w:rPr>
        <w:t>、实现利润总额</w:t>
      </w:r>
      <w:r>
        <w:rPr>
          <w:b/>
          <w:bCs/>
          <w:color w:val="000000"/>
          <w:spacing w:val="0"/>
          <w:w w:val="100"/>
          <w:position w:val="0"/>
          <w:sz w:val="28"/>
          <w:szCs w:val="28"/>
        </w:rPr>
        <w:t>-12,813.06</w:t>
      </w:r>
      <w:r>
        <w:rPr>
          <w:rFonts w:ascii="SimSun" w:eastAsia="SimSun" w:hAnsi="SimSun" w:cs="SimSun"/>
          <w:b/>
          <w:bCs/>
          <w:color w:val="000000"/>
          <w:spacing w:val="0"/>
          <w:w w:val="100"/>
          <w:position w:val="0"/>
          <w:sz w:val="28"/>
          <w:szCs w:val="28"/>
        </w:rPr>
        <w:t>万元，同比下降</w:t>
      </w:r>
      <w:r>
        <w:rPr>
          <w:b/>
          <w:bCs/>
          <w:color w:val="000000"/>
          <w:spacing w:val="0"/>
          <w:w w:val="100"/>
          <w:position w:val="0"/>
          <w:sz w:val="28"/>
          <w:szCs w:val="28"/>
        </w:rPr>
        <w:t>330.06%</w:t>
      </w:r>
      <w:r>
        <w:rPr>
          <w:rFonts w:ascii="SimSun" w:eastAsia="SimSun" w:hAnsi="SimSun" w:cs="SimSun"/>
          <w:b/>
          <w:bCs/>
          <w:color w:val="000000"/>
          <w:spacing w:val="0"/>
          <w:w w:val="100"/>
          <w:position w:val="0"/>
          <w:sz w:val="28"/>
          <w:szCs w:val="28"/>
        </w:rPr>
        <w:t>；</w:t>
      </w:r>
    </w:p>
    <w:p>
      <w:pPr>
        <w:pStyle w:val="Style13"/>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、公司归属于母公司所有者的净利润</w:t>
      </w:r>
      <w:r>
        <w:rPr>
          <w:rFonts w:ascii="Times New Roman" w:eastAsia="Times New Roman" w:hAnsi="Times New Roman" w:cs="Times New Roman"/>
          <w:color w:val="000000"/>
          <w:spacing w:val="0"/>
          <w:w w:val="100"/>
          <w:position w:val="0"/>
        </w:rPr>
        <w:t>-13,495.84</w:t>
      </w:r>
      <w:r>
        <w:rPr>
          <w:color w:val="000000"/>
          <w:spacing w:val="0"/>
          <w:w w:val="100"/>
          <w:position w:val="0"/>
        </w:rPr>
        <w:t>万元，同比下降</w:t>
      </w:r>
      <w:r>
        <w:rPr>
          <w:rFonts w:ascii="Times New Roman" w:eastAsia="Times New Roman" w:hAnsi="Times New Roman" w:cs="Times New Roman"/>
          <w:color w:val="000000"/>
          <w:spacing w:val="0"/>
          <w:w w:val="100"/>
          <w:position w:val="0"/>
        </w:rPr>
        <w:t>360.93%</w:t>
      </w:r>
      <w:r>
        <w:rPr>
          <w:color w:val="000000"/>
          <w:spacing w:val="0"/>
          <w:w w:val="100"/>
          <w:position w:val="0"/>
        </w:rPr>
        <w:t>。</w:t>
      </w:r>
    </w:p>
    <w:p>
      <w:pPr>
        <w:pStyle w:val="Style13"/>
        <w:keepNext w:val="0"/>
        <w:keepLines w:val="0"/>
        <w:widowControl w:val="0"/>
        <w:shd w:val="clear" w:color="auto" w:fill="auto"/>
        <w:tabs>
          <w:tab w:pos="7670" w:val="left"/>
        </w:tabs>
        <w:bidi w:val="0"/>
        <w:spacing w:before="0" w:after="0" w:line="622" w:lineRule="exact"/>
        <w:ind w:left="0" w:right="0" w:firstLine="0"/>
        <w:jc w:val="both"/>
      </w:pPr>
      <w:r>
        <w:rPr>
          <w:color w:val="000000"/>
          <w:spacing w:val="0"/>
          <w:w w:val="100"/>
          <w:position w:val="0"/>
        </w:rPr>
        <w:t xml:space="preserve">（三）所处行业景气情况，是否存在产能过剩、持续衰退或者技术替代等情形 </w:t>
      </w:r>
      <w:r>
        <w:rPr>
          <w:rFonts w:ascii="Times New Roman" w:eastAsia="Times New Roman" w:hAnsi="Times New Roman" w:cs="Times New Roman"/>
          <w:color w:val="000000"/>
          <w:spacing w:val="0"/>
          <w:w w:val="100"/>
          <w:position w:val="0"/>
        </w:rPr>
        <w:t>1</w:t>
      </w:r>
      <w:r>
        <w:rPr>
          <w:color w:val="000000"/>
          <w:spacing w:val="0"/>
          <w:w w:val="100"/>
          <w:position w:val="0"/>
        </w:rPr>
        <w:t>、游戏行业：游戏产业作为社会主义文化事业的重要组成部分，在今年一系列 的产业政策扶持和指导下，抵御住了疫情的冲击，稳中有升，为新时期高质量 发展奠定了坚实基础。随着技术的发展，以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云计算、人工智能为代表的技 术创新，不断推动游戏产业生态变革，为游戏企业创造了更多的发展机会。根 据《</w:t>
      </w:r>
      <w:r>
        <w:rPr>
          <w:rFonts w:ascii="Times New Roman" w:eastAsia="Times New Roman" w:hAnsi="Times New Roman" w:cs="Times New Roman"/>
          <w:color w:val="000000"/>
          <w:spacing w:val="0"/>
          <w:w w:val="100"/>
          <w:position w:val="0"/>
        </w:rPr>
        <w:t>2020</w:t>
      </w:r>
      <w:r>
        <w:rPr>
          <w:color w:val="000000"/>
          <w:spacing w:val="0"/>
          <w:w w:val="100"/>
          <w:position w:val="0"/>
        </w:rPr>
        <w:t>年中国游戏产业报告》统计，</w:t>
      </w:r>
      <w:r>
        <w:rPr>
          <w:rFonts w:ascii="Times New Roman" w:eastAsia="Times New Roman" w:hAnsi="Times New Roman" w:cs="Times New Roman"/>
          <w:color w:val="000000"/>
          <w:spacing w:val="0"/>
          <w:w w:val="100"/>
          <w:position w:val="0"/>
        </w:rPr>
        <w:t>2020</w:t>
      </w:r>
      <w:r>
        <w:rPr>
          <w:color w:val="000000"/>
          <w:spacing w:val="0"/>
          <w:w w:val="100"/>
          <w:position w:val="0"/>
        </w:rPr>
        <w:t>年我国游戏用户规模逾</w:t>
      </w:r>
      <w:r>
        <w:rPr>
          <w:rFonts w:ascii="Times New Roman" w:eastAsia="Times New Roman" w:hAnsi="Times New Roman" w:cs="Times New Roman"/>
          <w:color w:val="000000"/>
          <w:spacing w:val="0"/>
          <w:w w:val="100"/>
          <w:position w:val="0"/>
        </w:rPr>
        <w:t>6.6</w:t>
      </w:r>
      <w:r>
        <w:rPr>
          <w:color w:val="000000"/>
          <w:spacing w:val="0"/>
          <w:w w:val="100"/>
          <w:position w:val="0"/>
        </w:rPr>
        <w:t>亿人， 中国游戏市场实际销售收入</w:t>
      </w:r>
      <w:r>
        <w:rPr>
          <w:rFonts w:ascii="Times New Roman" w:eastAsia="Times New Roman" w:hAnsi="Times New Roman" w:cs="Times New Roman"/>
          <w:color w:val="000000"/>
          <w:spacing w:val="0"/>
          <w:w w:val="100"/>
          <w:position w:val="0"/>
        </w:rPr>
        <w:t>2,786.87</w:t>
      </w:r>
      <w:r>
        <w:rPr>
          <w:color w:val="000000"/>
          <w:spacing w:val="0"/>
          <w:w w:val="100"/>
          <w:position w:val="0"/>
        </w:rPr>
        <w:t>亿元，同比增长</w:t>
      </w:r>
      <w:r>
        <w:rPr>
          <w:rFonts w:ascii="Times New Roman" w:eastAsia="Times New Roman" w:hAnsi="Times New Roman" w:cs="Times New Roman"/>
          <w:color w:val="000000"/>
          <w:spacing w:val="0"/>
          <w:w w:val="100"/>
          <w:position w:val="0"/>
        </w:rPr>
        <w:t>20.71%</w:t>
      </w:r>
      <w:r>
        <w:rPr>
          <w:color w:val="000000"/>
          <w:spacing w:val="0"/>
          <w:w w:val="100"/>
          <w:position w:val="0"/>
        </w:rPr>
        <w:t xml:space="preserve">增速同比提高 </w:t>
      </w:r>
      <w:r>
        <w:rPr>
          <w:rFonts w:ascii="Times New Roman" w:eastAsia="Times New Roman" w:hAnsi="Times New Roman" w:cs="Times New Roman"/>
          <w:color w:val="000000"/>
          <w:spacing w:val="0"/>
          <w:w w:val="100"/>
          <w:position w:val="0"/>
        </w:rPr>
        <w:t>13.05%</w:t>
      </w:r>
      <w:r>
        <w:rPr>
          <w:color w:val="000000"/>
          <w:spacing w:val="0"/>
          <w:w w:val="100"/>
          <w:position w:val="0"/>
        </w:rPr>
        <w:t>，游戏行业不存在产能过剩、持续衰退等情形。</w:t>
        <w:tab/>
      </w:r>
      <w:r>
        <w:rPr>
          <w:rFonts w:ascii="Times New Roman" w:eastAsia="Times New Roman" w:hAnsi="Times New Roman" w:cs="Times New Roman"/>
          <w:color w:val="000000"/>
          <w:spacing w:val="0"/>
          <w:w w:val="100"/>
          <w:position w:val="0"/>
        </w:rPr>
        <w:t>2</w:t>
      </w:r>
      <w:r>
        <w:rPr>
          <w:color w:val="000000"/>
          <w:spacing w:val="0"/>
          <w:w w:val="100"/>
          <w:position w:val="0"/>
        </w:rPr>
        <w:t>、云服务行业:</w:t>
      </w:r>
    </w:p>
    <w:p>
      <w:pPr>
        <w:pStyle w:val="Style13"/>
        <w:keepNext w:val="0"/>
        <w:keepLines w:val="0"/>
        <w:widowControl w:val="0"/>
        <w:shd w:val="clear" w:color="auto" w:fill="auto"/>
        <w:tabs>
          <w:tab w:pos="1430" w:val="left"/>
          <w:tab w:pos="7066" w:val="left"/>
        </w:tabs>
        <w:bidi w:val="0"/>
        <w:spacing w:before="0" w:after="160" w:line="622" w:lineRule="exact"/>
        <w:ind w:left="0" w:right="0" w:firstLine="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工业互联网和人工智能等信息技术逐渐应用于社会各行业领域，中共 中央政治局常务委员会、工业和信息化部、中国广电等政府和企事业单位加强 数据中心建设，及网络资源业务整合，推动中国</w:t>
      </w:r>
      <w:r>
        <w:rPr>
          <w:rFonts w:ascii="Times New Roman" w:eastAsia="Times New Roman" w:hAnsi="Times New Roman" w:cs="Times New Roman"/>
          <w:color w:val="000000"/>
          <w:spacing w:val="0"/>
          <w:w w:val="100"/>
          <w:position w:val="0"/>
        </w:rPr>
        <w:t>IDC</w:t>
      </w:r>
      <w:r>
        <w:rPr>
          <w:color w:val="000000"/>
          <w:spacing w:val="0"/>
          <w:w w:val="100"/>
          <w:position w:val="0"/>
        </w:rPr>
        <w:t>行业客户需求充分释放， 拉升</w:t>
      </w:r>
      <w:r>
        <w:rPr>
          <w:rFonts w:ascii="Times New Roman" w:eastAsia="Times New Roman" w:hAnsi="Times New Roman" w:cs="Times New Roman"/>
          <w:color w:val="000000"/>
          <w:spacing w:val="0"/>
          <w:w w:val="100"/>
          <w:position w:val="0"/>
        </w:rPr>
        <w:t>IDC</w:t>
      </w:r>
      <w:r>
        <w:rPr>
          <w:color w:val="000000"/>
          <w:spacing w:val="0"/>
          <w:w w:val="100"/>
          <w:position w:val="0"/>
        </w:rPr>
        <w:t>业务市场规模增长。根据</w:t>
      </w:r>
      <w:r>
        <w:rPr>
          <w:rFonts w:ascii="Times New Roman" w:eastAsia="Times New Roman" w:hAnsi="Times New Roman" w:cs="Times New Roman"/>
          <w:color w:val="000000"/>
          <w:spacing w:val="0"/>
          <w:w w:val="100"/>
          <w:position w:val="0"/>
        </w:rPr>
        <w:t>IDC</w:t>
      </w:r>
      <w:r>
        <w:rPr>
          <w:color w:val="000000"/>
          <w:spacing w:val="0"/>
          <w:w w:val="100"/>
          <w:position w:val="0"/>
        </w:rPr>
        <w:t>圈的数据，预计</w:t>
      </w:r>
      <w:r>
        <w:rPr>
          <w:rFonts w:ascii="Times New Roman" w:eastAsia="Times New Roman" w:hAnsi="Times New Roman" w:cs="Times New Roman"/>
          <w:color w:val="000000"/>
          <w:spacing w:val="0"/>
          <w:w w:val="100"/>
          <w:position w:val="0"/>
        </w:rPr>
        <w:t>2019-2022</w:t>
      </w:r>
      <w:r>
        <w:rPr>
          <w:color w:val="000000"/>
          <w:spacing w:val="0"/>
          <w:w w:val="100"/>
          <w:position w:val="0"/>
        </w:rPr>
        <w:t>年中国</w:t>
      </w:r>
      <w:r>
        <w:rPr>
          <w:rFonts w:ascii="Times New Roman" w:eastAsia="Times New Roman" w:hAnsi="Times New Roman" w:cs="Times New Roman"/>
          <w:color w:val="000000"/>
          <w:spacing w:val="0"/>
          <w:w w:val="100"/>
          <w:position w:val="0"/>
        </w:rPr>
        <w:t xml:space="preserve">IDC </w:t>
      </w:r>
      <w:r>
        <w:rPr>
          <w:color w:val="000000"/>
          <w:spacing w:val="0"/>
          <w:w w:val="100"/>
          <w:position w:val="0"/>
        </w:rPr>
        <w:t>业务市场规模复合增长率为</w:t>
      </w:r>
      <w:r>
        <w:rPr>
          <w:rFonts w:ascii="Times New Roman" w:eastAsia="Times New Roman" w:hAnsi="Times New Roman" w:cs="Times New Roman"/>
          <w:color w:val="000000"/>
          <w:spacing w:val="0"/>
          <w:w w:val="100"/>
          <w:position w:val="0"/>
        </w:rPr>
        <w:t>26.9%</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行业不存在产能过剩、持续衰退等情 形。</w:t>
        <w:tab/>
        <w:t>（四）持续经营能力是否存在重大风险</w:t>
        <w:tab/>
        <w:t>报告期内，公司积极</w:t>
      </w:r>
    </w:p>
    <w:p>
      <w:pPr>
        <w:pStyle w:val="Style13"/>
        <w:keepNext w:val="0"/>
        <w:keepLines w:val="0"/>
        <w:widowControl w:val="0"/>
        <w:shd w:val="clear" w:color="auto" w:fill="auto"/>
        <w:tabs>
          <w:tab w:pos="8645" w:val="left"/>
        </w:tabs>
        <w:bidi w:val="0"/>
        <w:spacing w:before="0" w:after="0" w:line="617" w:lineRule="exact"/>
        <w:ind w:left="0" w:right="0" w:firstLine="0"/>
        <w:jc w:val="both"/>
      </w:pPr>
      <w:r>
        <w:rPr>
          <w:color w:val="000000"/>
          <w:spacing w:val="0"/>
          <w:w w:val="100"/>
          <w:position w:val="0"/>
        </w:rPr>
        <w:t>拥抱行业趋势，统筹各业务板块优质资源，不断推进各业务板块的融合发展， 抢抓机遇努力扩大业务规模。本期所出现的营业收入及净利润下滑，对公司及 其子公司持续开展经营业务的能力不存在重大不利影响及风险。</w:t>
        <w:tab/>
        <w:t>（五）公</w:t>
      </w:r>
    </w:p>
    <w:p>
      <w:pPr>
        <w:pStyle w:val="Style13"/>
        <w:keepNext w:val="0"/>
        <w:keepLines w:val="0"/>
        <w:widowControl w:val="0"/>
        <w:shd w:val="clear" w:color="auto" w:fill="auto"/>
        <w:tabs>
          <w:tab w:pos="4296" w:val="left"/>
        </w:tabs>
        <w:bidi w:val="0"/>
        <w:spacing w:before="0" w:after="300" w:line="617" w:lineRule="exact"/>
        <w:ind w:left="0" w:right="0" w:firstLine="0"/>
        <w:jc w:val="both"/>
      </w:pPr>
      <w:r>
        <w:rPr>
          <w:color w:val="000000"/>
          <w:spacing w:val="0"/>
          <w:w w:val="100"/>
          <w:position w:val="0"/>
        </w:rPr>
        <w:t>司改善盈利能力的各项措施</w:t>
        <w:tab/>
      </w:r>
      <w:r>
        <w:rPr>
          <w:rFonts w:ascii="Times New Roman" w:eastAsia="Times New Roman" w:hAnsi="Times New Roman" w:cs="Times New Roman"/>
          <w:color w:val="000000"/>
          <w:spacing w:val="0"/>
          <w:w w:val="100"/>
          <w:position w:val="0"/>
        </w:rPr>
        <w:t>1</w:t>
      </w:r>
      <w:r>
        <w:rPr>
          <w:color w:val="000000"/>
          <w:spacing w:val="0"/>
          <w:w w:val="100"/>
          <w:position w:val="0"/>
        </w:rPr>
        <w:t>、强化公司往来款管理，减少信用减值损失;</w:t>
      </w:r>
    </w:p>
    <w:p>
      <w:pPr>
        <w:pStyle w:val="Style13"/>
        <w:keepNext w:val="0"/>
        <w:keepLines w:val="0"/>
        <w:widowControl w:val="0"/>
        <w:shd w:val="clear" w:color="auto" w:fill="auto"/>
        <w:tabs>
          <w:tab w:pos="8030" w:val="left"/>
        </w:tabs>
        <w:bidi w:val="0"/>
        <w:spacing w:before="0" w:after="0" w:line="461"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、加强对被投企业管控，做好投前尽调及投后退出工作；</w:t>
        <w:tab/>
      </w:r>
      <w:r>
        <w:rPr>
          <w:rFonts w:ascii="Times New Roman" w:eastAsia="Times New Roman" w:hAnsi="Times New Roman" w:cs="Times New Roman"/>
          <w:color w:val="000000"/>
          <w:spacing w:val="0"/>
          <w:w w:val="100"/>
          <w:position w:val="0"/>
        </w:rPr>
        <w:t>3</w:t>
      </w:r>
      <w:r>
        <w:rPr>
          <w:color w:val="000000"/>
          <w:spacing w:val="0"/>
          <w:w w:val="100"/>
          <w:position w:val="0"/>
        </w:rPr>
        <w:t>、紧跟行业</w:t>
      </w:r>
    </w:p>
    <w:p>
      <w:pPr>
        <w:pStyle w:val="Style13"/>
        <w:keepNext w:val="0"/>
        <w:keepLines w:val="0"/>
        <w:widowControl w:val="0"/>
        <w:shd w:val="clear" w:color="auto" w:fill="auto"/>
        <w:bidi w:val="0"/>
        <w:spacing w:before="0" w:after="80" w:line="624" w:lineRule="exact"/>
        <w:ind w:left="0" w:right="0" w:firstLine="0"/>
        <w:jc w:val="both"/>
      </w:pPr>
      <w:r>
        <w:rPr>
          <w:color w:val="000000"/>
          <w:spacing w:val="0"/>
          <w:w w:val="100"/>
          <w:position w:val="0"/>
        </w:rPr>
        <w:t>趋势，加强市场开拓力度。</w:t>
      </w:r>
    </w:p>
    <w:p>
      <w:pPr>
        <w:pStyle w:val="Style13"/>
        <w:keepNext w:val="0"/>
        <w:keepLines w:val="0"/>
        <w:widowControl w:val="0"/>
        <w:shd w:val="clear" w:color="auto" w:fill="auto"/>
        <w:bidi w:val="0"/>
        <w:spacing w:before="0" w:after="80" w:line="634" w:lineRule="exact"/>
        <w:ind w:left="0" w:right="0" w:firstLine="58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 司从事从事互联网游戏业务》的披露要求</w:t>
      </w:r>
    </w:p>
    <w:p>
      <w:pPr>
        <w:pStyle w:val="Style13"/>
        <w:keepNext w:val="0"/>
        <w:keepLines w:val="0"/>
        <w:widowControl w:val="0"/>
        <w:shd w:val="clear" w:color="auto" w:fill="auto"/>
        <w:tabs>
          <w:tab w:pos="4296" w:val="left"/>
        </w:tabs>
        <w:bidi w:val="0"/>
        <w:spacing w:before="0" w:after="0" w:line="624" w:lineRule="exact"/>
        <w:ind w:left="1560" w:right="0" w:firstLine="0"/>
        <w:jc w:val="left"/>
      </w:pPr>
      <w:r>
        <w:rPr>
          <w:color w:val="000000"/>
          <w:spacing w:val="0"/>
          <w:w w:val="100"/>
          <w:position w:val="0"/>
        </w:rPr>
        <w:t>（一）市场风险</w:t>
        <w:tab/>
        <w:t>随着游戏行业的迅速发展以及游戏对玩家</w:t>
      </w:r>
    </w:p>
    <w:p>
      <w:pPr>
        <w:pStyle w:val="Style13"/>
        <w:keepNext w:val="0"/>
        <w:keepLines w:val="0"/>
        <w:widowControl w:val="0"/>
        <w:shd w:val="clear" w:color="auto" w:fill="auto"/>
        <w:tabs>
          <w:tab w:pos="1963" w:val="left"/>
        </w:tabs>
        <w:bidi w:val="0"/>
        <w:spacing w:before="0" w:after="0" w:line="624" w:lineRule="exact"/>
        <w:ind w:left="0" w:right="0" w:firstLine="0"/>
        <w:jc w:val="both"/>
      </w:pPr>
      <w:r>
        <w:rPr>
          <w:color w:val="000000"/>
          <w:spacing w:val="0"/>
          <w:w w:val="100"/>
          <w:position w:val="0"/>
        </w:rPr>
        <w:t>体验的提升，游戏玩家对游戏质量的要求越来越高，玩家爱好的转变以及对于 热点游戏的切换速度也越来越快，而新游戏开发和测试需要大量前期投入，试 错成本高，若未能准确把握玩家喜好，顺应市场需求，则会影响公司的经营业 绩。此外游戏行业的迅速发展，也带来了日趋激烈的行业内部竞争环境，而网 络游戏以外的互联网娱乐行业也在加剧外部竞争，给公司带来了一定的市场竞 争风险。</w:t>
        <w:tab/>
        <w:t>针对该风险，一方面公司将不断致力于提升管理水平和创新能</w:t>
      </w:r>
    </w:p>
    <w:p>
      <w:pPr>
        <w:pStyle w:val="Style13"/>
        <w:keepNext w:val="0"/>
        <w:keepLines w:val="0"/>
        <w:widowControl w:val="0"/>
        <w:shd w:val="clear" w:color="auto" w:fill="auto"/>
        <w:tabs>
          <w:tab w:pos="1963" w:val="left"/>
          <w:tab w:pos="5573" w:val="left"/>
        </w:tabs>
        <w:bidi w:val="0"/>
        <w:spacing w:before="0" w:after="0" w:line="624" w:lineRule="exact"/>
        <w:ind w:left="0" w:right="0" w:firstLine="0"/>
        <w:jc w:val="both"/>
      </w:pPr>
      <w:r>
        <w:rPr>
          <w:color w:val="000000"/>
          <w:spacing w:val="0"/>
          <w:w w:val="100"/>
          <w:position w:val="0"/>
        </w:rPr>
        <w:t>力，加强用户的游戏体验，增加用户的粘性，保持竞争优势；另一方面：公司 将通过加大投入，持续开发出新的精品游戏，不断强化自身核心优势，扩大市 场份额。</w:t>
        <w:tab/>
        <w:t>（二）行业和政策风险</w:t>
        <w:tab/>
        <w:t>网络游戏行业受文化和新闻出版、</w:t>
      </w:r>
    </w:p>
    <w:p>
      <w:pPr>
        <w:pStyle w:val="Style13"/>
        <w:keepNext w:val="0"/>
        <w:keepLines w:val="0"/>
        <w:widowControl w:val="0"/>
        <w:shd w:val="clear" w:color="auto" w:fill="auto"/>
        <w:bidi w:val="0"/>
        <w:spacing w:before="0" w:after="100" w:line="624" w:lineRule="exact"/>
        <w:ind w:left="0" w:right="0" w:firstLine="0"/>
        <w:jc w:val="both"/>
      </w:pPr>
      <w:r>
        <w:rPr>
          <w:color w:val="000000"/>
          <w:spacing w:val="0"/>
          <w:w w:val="100"/>
          <w:position w:val="0"/>
        </w:rPr>
        <w:t xml:space="preserve">工业信息等部门监管，在中国境内从事移动网络游戏运营的，需要取得许可， 存在不通过的风险。新开发的游戏需要在相关部门备案并通过出版行政部门审 批，存在无法上线的风险。游戏内虚拟货币经营业务需取得额外批准或许可， </w:t>
      </w:r>
      <w:r>
        <w:rPr>
          <w:color w:val="000000"/>
          <w:spacing w:val="0"/>
          <w:w w:val="100"/>
          <w:position w:val="0"/>
        </w:rPr>
        <w:t xml:space="preserve">我国尚未出台虚拟资产产权监管的法律法规，因此政策上存在不确定性。 </w:t>
      </w:r>
      <w:r>
        <w:rPr>
          <w:color w:val="000000"/>
          <w:spacing w:val="0"/>
          <w:w w:val="100"/>
          <w:position w:val="0"/>
        </w:rPr>
        <w:t xml:space="preserve">针对该风险，公司全力配合政府和管理机构的工作，确保业务和经营的合法合 规，尽可能降低潜在的政策风险。同时对行业最新的法律法规保持关注，及时 更新避免违规风险。 （三）核心人员流失风险 稳定、高素质的游 戏研发、运营和管理人才队伍是公司保持核心竞争优势的重要保障。如果公司 不能有效建设核心人才队伍，对核心人员进行合理的激励和管理，保持人才队 伍的创造力与活力，则会对公司的核心竞争力带来不利影响。针对该风险，公 司不断完善管理体系建设，注重人才引进和人才培养，建立了吸引人才、保留 人才和激励员工的薪酬管理体系，此外，公司还实施股权激励计划，充分调动 员工积极性，增强公司凝聚力。 （四）投资风险 由于互联网行业和 智能手机技术的飞速发展，手机游戏市场面临多方面的挑战。在这个快速发展 灵活多变的市场中生存，除了加强自身研发能力之外，收购整合及资产重组同 行业或上下游企业是公司的重要战略规划之一，但资产重组或兼并将带来不确 定性风险或者投资失败的风险。 针对该风险，首先，收购前对自身实力 进行充分评估，避免高估自身资金实力；其次，明确收购标的是否符合公司属 性，收购完成后对公司的发展是否有推进作用，做好充分的可行性分析及经济 效益分析；最后，公司对收购标的进行详细的资产评估并通过审计、券商等中 介机构对收购项目进行尽职调查，制定适宜且可行的收购方案，增加收购兼并 成功的可能性。 （五）新业务开拓风险 </w:t>
      </w:r>
      <w:r>
        <w:rPr>
          <w:rFonts w:ascii="Times New Roman" w:eastAsia="Times New Roman" w:hAnsi="Times New Roman" w:cs="Times New Roman"/>
          <w:color w:val="000000"/>
          <w:spacing w:val="0"/>
          <w:w w:val="100"/>
          <w:position w:val="0"/>
        </w:rPr>
        <w:t>2020</w:t>
      </w:r>
      <w:r>
        <w:rPr>
          <w:color w:val="000000"/>
          <w:spacing w:val="0"/>
          <w:w w:val="100"/>
          <w:position w:val="0"/>
        </w:rPr>
        <w:t>年上半年公司尝试开拓 百度营销推广服务业务，该业务对公司广告服务收入造成了较大影响，由于推 广服务业务成本高，需要交纳的保证金及预付款数额较大，对公司毛利和现金 流产生不利影响；</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年下半年公司重新对该业务的经营情况进行评估后终止 了该业务，以减轻资金占用过大的风险。 针对该风险，公司将加强对新 </w:t>
      </w:r>
      <w:r>
        <w:rPr>
          <w:color w:val="000000"/>
          <w:spacing w:val="0"/>
          <w:w w:val="100"/>
          <w:position w:val="0"/>
        </w:rPr>
        <w:t>业务的调研和评估，全方位考察和把握新业务开发的可行性和市场适应性，对 新业务的成本，投资回报率，风险程度等方面严格把关，控制业务规模，最大 限度降低新业务开拓的风险。</w:t>
      </w:r>
    </w:p>
    <w:p>
      <w:pPr>
        <w:pStyle w:val="Style13"/>
        <w:keepNext w:val="0"/>
        <w:keepLines w:val="0"/>
        <w:widowControl w:val="0"/>
        <w:shd w:val="clear" w:color="auto" w:fill="auto"/>
        <w:bidi w:val="0"/>
        <w:spacing w:before="0" w:after="0" w:line="626" w:lineRule="exact"/>
        <w:ind w:left="0" w:right="0" w:firstLine="580"/>
        <w:jc w:val="both"/>
        <w:sectPr>
          <w:headerReference w:type="default" r:id="rId7"/>
          <w:footerReference w:type="default" r:id="rId8"/>
          <w:footnotePr>
            <w:pos w:val="pageBottom"/>
            <w:numFmt w:val="decimal"/>
            <w:numRestart w:val="continuous"/>
          </w:footnotePr>
          <w:pgSz w:w="11900" w:h="16840"/>
          <w:pgMar w:top="1292" w:right="997" w:bottom="1609" w:left="107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85"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271"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4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0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0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0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4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2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3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151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本公司、公司、中青宝、中青宝网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深圳中青宝互动网络股份有限公司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母公司、宝德控股、控股股东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深圳市宝德投资控股有限公司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李瑞杰、张云霞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宝德科技集团股份有限公司（宝德科技集团股份有限公司已于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日更名为深圳市宝德科技有限公司）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速必拓、信息披露义务人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深圳市速必拓网络科技有限公司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深圳中青宝互动网络股份有限公司章程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PC</w:t>
            </w:r>
            <w:r>
              <w:rPr>
                <w:rFonts w:ascii="SimSun" w:eastAsia="SimSun" w:hAnsi="SimSun" w:cs="SimSun"/>
                <w:color w:val="000000"/>
                <w:spacing w:val="0"/>
                <w:w w:val="100"/>
                <w:position w:val="0"/>
                <w:sz w:val="17"/>
                <w:szCs w:val="17"/>
              </w:rPr>
              <w:t>端游戏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以计算机为操作平台，通过人机互动形式运行的游戏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MMO</w:t>
            </w:r>
            <w:r>
              <w:rPr>
                <w:rFonts w:ascii="SimSun" w:eastAsia="SimSun" w:hAnsi="SimSun" w:cs="SimSun"/>
                <w:color w:val="000000"/>
                <w:spacing w:val="0"/>
                <w:w w:val="100"/>
                <w:position w:val="0"/>
                <w:sz w:val="17"/>
                <w:szCs w:val="17"/>
              </w:rPr>
              <w:t>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大型多人在线游戏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客户端游戏</w:t>
            </w:r>
            <w:r>
              <w:rPr>
                <w:color w:val="000000"/>
                <w:spacing w:val="0"/>
                <w:w w:val="100"/>
                <w:position w:val="0"/>
                <w:sz w:val="18"/>
                <w:szCs w:val="18"/>
              </w:rPr>
              <w:t>/</w:t>
            </w:r>
            <w:r>
              <w:rPr>
                <w:rFonts w:ascii="SimSun" w:eastAsia="SimSun" w:hAnsi="SimSun" w:cs="SimSun"/>
                <w:color w:val="000000"/>
                <w:spacing w:val="0"/>
                <w:w w:val="100"/>
                <w:position w:val="0"/>
                <w:sz w:val="17"/>
                <w:szCs w:val="17"/>
              </w:rPr>
              <w:t>端游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客户端，是指与游戏服务器相对应，为客户提供本地服务的程式。一 般安装在普通的用户电脑上，需要与游戏伺服端互相配合运行。客户 端游戏是指需下载客户端，在电脑上进行的网络游戏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网页游戏</w:t>
            </w:r>
            <w:r>
              <w:rPr>
                <w:color w:val="000000"/>
                <w:spacing w:val="0"/>
                <w:w w:val="100"/>
                <w:position w:val="0"/>
                <w:sz w:val="18"/>
                <w:szCs w:val="18"/>
              </w:rPr>
              <w:t>/</w:t>
            </w:r>
            <w:r>
              <w:rPr>
                <w:rFonts w:ascii="SimSun" w:eastAsia="SimSun" w:hAnsi="SimSun" w:cs="SimSun"/>
                <w:color w:val="000000"/>
                <w:spacing w:val="0"/>
                <w:w w:val="100"/>
                <w:position w:val="0"/>
                <w:sz w:val="17"/>
                <w:szCs w:val="17"/>
              </w:rPr>
              <w:t>页游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又称无端网游，基于网站开发技术，以标准协议为基础传输形式，无 客户端或基于浏览器内核的微客户端游戏，游戏用户可以直接通过互 联网浏览器玩网页游戏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移动端游戏</w:t>
            </w:r>
            <w:r>
              <w:rPr>
                <w:color w:val="000000"/>
                <w:spacing w:val="0"/>
                <w:w w:val="100"/>
                <w:position w:val="0"/>
                <w:sz w:val="18"/>
                <w:szCs w:val="18"/>
              </w:rPr>
              <w:t>/</w:t>
            </w:r>
            <w:r>
              <w:rPr>
                <w:rFonts w:ascii="SimSun" w:eastAsia="SimSun" w:hAnsi="SimSun" w:cs="SimSun"/>
                <w:color w:val="000000"/>
                <w:spacing w:val="0"/>
                <w:w w:val="100"/>
                <w:position w:val="0"/>
                <w:sz w:val="17"/>
                <w:szCs w:val="17"/>
              </w:rPr>
              <w:t>手机游戏</w:t>
            </w:r>
            <w:r>
              <w:rPr>
                <w:color w:val="000000"/>
                <w:spacing w:val="0"/>
                <w:w w:val="100"/>
                <w:position w:val="0"/>
                <w:sz w:val="18"/>
                <w:szCs w:val="18"/>
              </w:rPr>
              <w:t>/</w:t>
            </w: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通过移动网络下载，并运行于手机或其他移动终端上的游戏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MOBA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多人在线战术竞技游戏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ARPG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互动角色扮演类游戏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虚拟现实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知识产权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Android</w:t>
            </w:r>
            <w:r>
              <w:rPr>
                <w:rFonts w:ascii="SimSun" w:eastAsia="SimSun" w:hAnsi="SimSun" w:cs="SimSun"/>
                <w:color w:val="000000"/>
                <w:spacing w:val="0"/>
                <w:w w:val="100"/>
                <w:position w:val="0"/>
                <w:sz w:val="17"/>
                <w:szCs w:val="17"/>
              </w:rPr>
              <w:t>、安卓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是一种基于</w:t>
            </w:r>
            <w:r>
              <w:rPr>
                <w:color w:val="000000"/>
                <w:spacing w:val="0"/>
                <w:w w:val="100"/>
                <w:position w:val="0"/>
                <w:sz w:val="18"/>
                <w:szCs w:val="18"/>
              </w:rPr>
              <w:t>Linux</w:t>
            </w:r>
            <w:r>
              <w:rPr>
                <w:rFonts w:ascii="SimSun" w:eastAsia="SimSun" w:hAnsi="SimSun" w:cs="SimSun"/>
                <w:color w:val="000000"/>
                <w:spacing w:val="0"/>
                <w:w w:val="100"/>
                <w:position w:val="0"/>
                <w:sz w:val="17"/>
                <w:szCs w:val="17"/>
              </w:rPr>
              <w:t>的自由及开放源代码的操作系统，主要使用于移动 设备，如智能手机和平板电脑，由</w:t>
            </w:r>
            <w:r>
              <w:rPr>
                <w:color w:val="000000"/>
                <w:spacing w:val="0"/>
                <w:w w:val="100"/>
                <w:position w:val="0"/>
                <w:sz w:val="18"/>
                <w:szCs w:val="18"/>
              </w:rPr>
              <w:t>Google</w:t>
            </w:r>
            <w:r>
              <w:rPr>
                <w:rFonts w:ascii="SimSun" w:eastAsia="SimSun" w:hAnsi="SimSun" w:cs="SimSun"/>
                <w:color w:val="000000"/>
                <w:spacing w:val="0"/>
                <w:w w:val="100"/>
                <w:position w:val="0"/>
                <w:sz w:val="17"/>
                <w:szCs w:val="17"/>
              </w:rPr>
              <w:t>公司和开放手机联盟领导 及开发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 Store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由美国苹果公司开发的在线应用程序商店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凤凰县政府</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湖南省湘西土家族苗族自治州凤凰县人民政府</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主题公园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凤凰科技旅游主题公园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深圳苏摩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深圳市苏摩科技有限公司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深圳宝腾互联、宝腾互联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深圳市宝腾互联科技有限公司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前海宝德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深圳前海宝德资产管理有限公司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互联网数据中心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CLOUD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云服务平台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DCOO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数据中心运维服务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即信息和通讯技术，是电信服务、信息服务、</w:t>
            </w:r>
            <w:r>
              <w:rPr>
                <w:color w:val="000000"/>
                <w:spacing w:val="0"/>
                <w:w w:val="100"/>
                <w:position w:val="0"/>
                <w:sz w:val="18"/>
                <w:szCs w:val="18"/>
              </w:rPr>
              <w:t>IT</w:t>
            </w:r>
            <w:r>
              <w:rPr>
                <w:rFonts w:ascii="SimSun" w:eastAsia="SimSun" w:hAnsi="SimSun" w:cs="SimSun"/>
                <w:color w:val="000000"/>
                <w:spacing w:val="0"/>
                <w:w w:val="100"/>
                <w:position w:val="0"/>
                <w:sz w:val="17"/>
                <w:szCs w:val="17"/>
              </w:rPr>
              <w:t>服务及应用的有机 结合</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无线射频技术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1441" w:right="1142" w:bottom="1710" w:left="1085" w:header="0" w:footer="3" w:gutter="0"/>
          <w:cols w:space="720"/>
          <w:noEndnote/>
          <w:rtlGutter w:val="0"/>
          <w:docGrid w:linePitch="360"/>
        </w:sectPr>
      </w:pPr>
    </w:p>
    <w:p>
      <w:pPr>
        <w:pStyle w:val="Style11"/>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中青宝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中青宝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ZQGAME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ZQGAME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深圳市福田区深南中路电子科技大厦</w:t>
            </w:r>
            <w:r>
              <w:rPr>
                <w:color w:val="000000"/>
                <w:spacing w:val="0"/>
                <w:w w:val="100"/>
                <w:position w:val="0"/>
              </w:rPr>
              <w:t>C</w:t>
            </w:r>
            <w:r>
              <w:rPr>
                <w:rFonts w:ascii="SimSun" w:eastAsia="SimSun" w:hAnsi="SimSun" w:cs="SimSun"/>
                <w:color w:val="000000"/>
                <w:spacing w:val="0"/>
                <w:w w:val="100"/>
                <w:position w:val="0"/>
                <w:sz w:val="17"/>
                <w:szCs w:val="17"/>
              </w:rPr>
              <w:t>座</w:t>
            </w:r>
            <w:r>
              <w:rPr>
                <w:color w:val="000000"/>
                <w:spacing w:val="0"/>
                <w:w w:val="100"/>
                <w:position w:val="0"/>
              </w:rPr>
              <w:t>43</w:t>
            </w:r>
            <w:r>
              <w:rPr>
                <w:rFonts w:ascii="SimSun" w:eastAsia="SimSun" w:hAnsi="SimSun" w:cs="SimSun"/>
                <w:color w:val="000000"/>
                <w:spacing w:val="0"/>
                <w:w w:val="100"/>
                <w:position w:val="0"/>
                <w:sz w:val="17"/>
                <w:szCs w:val="17"/>
              </w:rPr>
              <w:t>层</w:t>
            </w:r>
            <w:r>
              <w:rPr>
                <w:color w:val="000000"/>
                <w:spacing w:val="0"/>
                <w:w w:val="100"/>
                <w:position w:val="0"/>
              </w:rPr>
              <w:t>A1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深圳市南山区深圳湾科技生态园</w:t>
            </w:r>
            <w:r>
              <w:rPr>
                <w:color w:val="000000"/>
                <w:spacing w:val="0"/>
                <w:w w:val="100"/>
                <w:position w:val="0"/>
                <w:sz w:val="18"/>
                <w:szCs w:val="18"/>
              </w:rPr>
              <w:t>10A</w:t>
            </w:r>
            <w:r>
              <w:rPr>
                <w:rFonts w:ascii="SimSun" w:eastAsia="SimSun" w:hAnsi="SimSun" w:cs="SimSun"/>
                <w:color w:val="000000"/>
                <w:spacing w:val="0"/>
                <w:w w:val="100"/>
                <w:position w:val="0"/>
                <w:sz w:val="17"/>
                <w:szCs w:val="17"/>
              </w:rPr>
              <w:t>栋</w:t>
            </w:r>
            <w:r>
              <w:rPr>
                <w:color w:val="000000"/>
                <w:spacing w:val="0"/>
                <w:w w:val="100"/>
                <w:position w:val="0"/>
                <w:sz w:val="18"/>
                <w:szCs w:val="18"/>
              </w:rPr>
              <w:t>21-23</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"https://www.zqgame.com/" </w:instrText>
            </w:r>
            <w:r>
              <w:fldChar w:fldCharType="separate"/>
            </w:r>
            <w:r>
              <w:rPr>
                <w:color w:val="000000"/>
                <w:spacing w:val="0"/>
                <w:w w:val="100"/>
                <w:position w:val="0"/>
              </w:rPr>
              <w:t>https://www.zqgame.com/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高国舟（代行）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熊俊杰</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深圳市南山区深圳湾科技生态园三期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10A</w:t>
            </w:r>
            <w:r>
              <w:rPr>
                <w:rFonts w:ascii="SimSun" w:eastAsia="SimSun" w:hAnsi="SimSun" w:cs="SimSun"/>
                <w:color w:val="000000"/>
                <w:spacing w:val="0"/>
                <w:w w:val="100"/>
                <w:position w:val="0"/>
                <w:sz w:val="17"/>
                <w:szCs w:val="17"/>
              </w:rPr>
              <w:t>栋</w:t>
            </w:r>
            <w:r>
              <w:rPr>
                <w:color w:val="000000"/>
                <w:spacing w:val="0"/>
                <w:w w:val="100"/>
                <w:position w:val="0"/>
                <w:sz w:val="18"/>
                <w:szCs w:val="18"/>
              </w:rPr>
              <w:t>23</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深圳市南山区深圳湾科技生态园三期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10A</w:t>
            </w:r>
            <w:r>
              <w:rPr>
                <w:rFonts w:ascii="SimSun" w:eastAsia="SimSun" w:hAnsi="SimSun" w:cs="SimSun"/>
                <w:color w:val="000000"/>
                <w:spacing w:val="0"/>
                <w:w w:val="100"/>
                <w:position w:val="0"/>
                <w:sz w:val="17"/>
                <w:szCs w:val="17"/>
              </w:rPr>
              <w:t>栋</w:t>
            </w:r>
            <w:r>
              <w:rPr>
                <w:color w:val="000000"/>
                <w:spacing w:val="0"/>
                <w:w w:val="100"/>
                <w:position w:val="0"/>
                <w:sz w:val="18"/>
                <w:szCs w:val="18"/>
              </w:rPr>
              <w:t>23</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0755-26733925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0755-26733925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0755-26000524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0755-26000524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深圳市南山区深圳湾科技生态园三期</w:t>
            </w:r>
            <w:r>
              <w:rPr>
                <w:color w:val="000000"/>
                <w:spacing w:val="0"/>
                <w:w w:val="100"/>
                <w:position w:val="0"/>
                <w:sz w:val="18"/>
                <w:szCs w:val="18"/>
              </w:rPr>
              <w:t>10A</w:t>
            </w:r>
            <w:r>
              <w:rPr>
                <w:rFonts w:ascii="SimSun" w:eastAsia="SimSun" w:hAnsi="SimSun" w:cs="SimSun"/>
                <w:color w:val="000000"/>
                <w:spacing w:val="0"/>
                <w:w w:val="100"/>
                <w:position w:val="0"/>
                <w:sz w:val="17"/>
                <w:szCs w:val="17"/>
              </w:rPr>
              <w:t>栋</w:t>
            </w:r>
            <w:r>
              <w:rPr>
                <w:color w:val="000000"/>
                <w:spacing w:val="0"/>
                <w:w w:val="100"/>
                <w:position w:val="0"/>
                <w:sz w:val="18"/>
                <w:szCs w:val="18"/>
              </w:rPr>
              <w:t>23</w:t>
            </w:r>
            <w:r>
              <w:rPr>
                <w:rFonts w:ascii="SimSun" w:eastAsia="SimSun" w:hAnsi="SimSun" w:cs="SimSun"/>
                <w:color w:val="000000"/>
                <w:spacing w:val="0"/>
                <w:w w:val="100"/>
                <w:position w:val="0"/>
                <w:sz w:val="17"/>
                <w:szCs w:val="17"/>
              </w:rPr>
              <w:t>层董事会秘书办公室</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深圳市福田区联合广场</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郭晋龙、邓畅</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293,843,947.62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468,826,313.50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334,005,440.88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-134,958,387.66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51,723,043.25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36,361,863.23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-144,767,828.08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1,898,204.40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27,978,159.78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36,168,560.45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3,072,912.19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-5,467,977.03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1,054,418,691.45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1,227,887,863.96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696,528,257.00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834,144,421.73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749,629,104.19</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293,843,947.62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468,826,313.50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48,645,809.39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283,650,993.45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420,180,504.11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r>
        <w:br w:type="page"/>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-0.5126</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66,399,829.54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64,873,524.22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68,980,431.19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93,590,162.67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5,088,055.82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3,773,378.97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-7,227,441.66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-136,592,380.79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1,396,208.99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-9,177,226.18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-136,719,119.87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-12,617,906.10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4,063,053.90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-7,048,935.49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51,772,348.13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1"/>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-125,343.89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-659,904.14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6,989,141.35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8,146,514.13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7,168,035.66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774,776.73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2,307,275.18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51,197,453.50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131,506.85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-1,515,098.16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267,266.76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5,051,017.60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1,291,581.82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1,138,393.13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1,490,389.84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9,972,010.24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1,520,294.23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448,575.76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9,809,440.42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49,824,838.85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8,383,703.45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41"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20" w:after="56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2"/>
        <w:keepNext/>
        <w:keepLines/>
        <w:widowControl w:val="0"/>
        <w:shd w:val="clear" w:color="auto" w:fill="auto"/>
        <w:bidi w:val="0"/>
        <w:spacing w:before="0" w:after="2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公司通过多年来对所处游戏行业的深度探索、研发、运营经验的不断积累及产业链上下游的广泛布局，自主创新和建立 了一系列可持续发展生态业务模式。报告期内，公司在保持传统游戏业务稳步前进的前提下，大力发展云服务业务，实现了 游戏业务和云服务业务两大板块的双轮驱动模式。</w:t>
      </w:r>
    </w:p>
    <w:p>
      <w:pPr>
        <w:pStyle w:val="Style24"/>
        <w:keepNext w:val="0"/>
        <w:keepLines w:val="0"/>
        <w:widowControl w:val="0"/>
        <w:shd w:val="clear" w:color="auto" w:fill="auto"/>
        <w:bidi w:val="0"/>
        <w:spacing w:before="0" w:after="0" w:line="315" w:lineRule="exact"/>
        <w:ind w:left="0" w:right="0" w:firstLine="300"/>
        <w:jc w:val="left"/>
      </w:pPr>
      <w:r>
        <w:rPr>
          <w:color w:val="000000"/>
          <w:spacing w:val="0"/>
          <w:w w:val="100"/>
          <w:position w:val="0"/>
        </w:rPr>
        <w:t>具体业务情况如下：</w:t>
      </w:r>
    </w:p>
    <w:p>
      <w:pPr>
        <w:pStyle w:val="Style24"/>
        <w:keepNext w:val="0"/>
        <w:keepLines w:val="0"/>
        <w:widowControl w:val="0"/>
        <w:shd w:val="clear" w:color="auto" w:fill="auto"/>
        <w:tabs>
          <w:tab w:pos="894" w:val="left"/>
        </w:tabs>
        <w:bidi w:val="0"/>
        <w:spacing w:before="0" w:after="0" w:line="315" w:lineRule="exact"/>
        <w:ind w:left="0" w:right="0" w:firstLine="380"/>
        <w:jc w:val="both"/>
      </w:pPr>
      <w:bookmarkStart w:id="53" w:name="bookmark53"/>
      <w:r>
        <w:rPr>
          <w:color w:val="000000"/>
          <w:spacing w:val="0"/>
          <w:w w:val="100"/>
          <w:position w:val="0"/>
        </w:rPr>
        <w:t>（</w:t>
      </w:r>
      <w:bookmarkEnd w:id="53"/>
      <w:r>
        <w:rPr>
          <w:color w:val="000000"/>
          <w:spacing w:val="0"/>
          <w:w w:val="100"/>
          <w:position w:val="0"/>
        </w:rPr>
        <w:t>一）</w:t>
        <w:tab/>
        <w:t>游戏业务</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公司自成立以来，一直专注从事网络游戏的研发和运营，经过多年发展，公司已经积累了丰富的经验及技术，能够较好 的把握市场需求、玩家心理和游戏行业动向，持续推出精品游戏。</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报告期内，中青宝红色网游系列产品《抗战》、《亮剑》、《兵王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》、《最后一炮》以及国战类网游产品《天道》、 《新战国英雄》在线用户数、盈利能力都保持稳定。</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手游方面: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年手机游戏行业进入白热化竞争阶段，中青宝凭借麦迪代言的《街球艺术》一举打入国内体育品类游戏 市场，凭借公司多年累积的用户基础，为首发阶段的用户爆发提供了由量变到质变的动力；公司签下的《街头足球》在测试 阶段就已受行业内及广大玩家的好评，进一步夯实公司布局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重竞技，高留存，高活跃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的基础，一举打入游戏体育品类的决 赛圈。</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页游方面：《大话女儿国》上线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年仍然表现良好，在线用户和收入保持稳定水平。页游产品《裂天之刃》拥有一批忠 实用户，持续维持着良好游戏生态和稳定的付费水平。</w:t>
      </w:r>
    </w:p>
    <w:p>
      <w:pPr>
        <w:pStyle w:val="Style24"/>
        <w:keepNext w:val="0"/>
        <w:keepLines w:val="0"/>
        <w:widowControl w:val="0"/>
        <w:shd w:val="clear" w:color="auto" w:fill="auto"/>
        <w:tabs>
          <w:tab w:pos="894" w:val="left"/>
        </w:tabs>
        <w:bidi w:val="0"/>
        <w:spacing w:before="0" w:after="0" w:line="315" w:lineRule="exact"/>
        <w:ind w:left="0" w:right="0" w:firstLine="380"/>
        <w:jc w:val="both"/>
      </w:pPr>
      <w:bookmarkStart w:id="54" w:name="bookmark54"/>
      <w:r>
        <w:rPr>
          <w:color w:val="000000"/>
          <w:spacing w:val="0"/>
          <w:w w:val="100"/>
          <w:position w:val="0"/>
        </w:rPr>
        <w:t>（</w:t>
      </w:r>
      <w:bookmarkEnd w:id="54"/>
      <w:r>
        <w:rPr>
          <w:color w:val="000000"/>
          <w:spacing w:val="0"/>
          <w:w w:val="100"/>
          <w:position w:val="0"/>
        </w:rPr>
        <w:t>二）</w:t>
        <w:tab/>
        <w:t>云服务业务</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报告期内，公司子公司宝腾互联专注于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云计算，同时以</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层服务为基础，积极寻求业务突破与创新，继续围 绕各项云增值业务进行产品设计和平台整合，致力于为全行业客户提供全维度的数字化运维服务。</w:t>
      </w:r>
    </w:p>
    <w:p>
      <w:pPr>
        <w:pStyle w:val="Style24"/>
        <w:keepNext w:val="0"/>
        <w:keepLines w:val="0"/>
        <w:widowControl w:val="0"/>
        <w:shd w:val="clear" w:color="auto" w:fill="auto"/>
        <w:bidi w:val="0"/>
        <w:spacing w:before="0" w:after="0" w:line="315" w:lineRule="exact"/>
        <w:ind w:left="0" w:right="0" w:firstLine="380"/>
        <w:jc w:val="both"/>
      </w:pPr>
      <w:bookmarkStart w:id="55" w:name="bookmark55"/>
      <w:r>
        <w:rPr>
          <w:rFonts w:ascii="Times New Roman" w:eastAsia="Times New Roman" w:hAnsi="Times New Roman" w:cs="Times New Roman"/>
          <w:color w:val="000000"/>
          <w:spacing w:val="0"/>
          <w:w w:val="100"/>
          <w:position w:val="0"/>
          <w:sz w:val="18"/>
          <w:szCs w:val="18"/>
        </w:rPr>
        <w:t>1</w:t>
      </w:r>
      <w:bookmarkEnd w:id="55"/>
      <w:r>
        <w:rPr>
          <w:color w:val="000000"/>
          <w:spacing w:val="0"/>
          <w:w w:val="100"/>
          <w:position w:val="0"/>
        </w:rPr>
        <w:t>、数据中心业务：宝腾互联在深圳观澜拥有自建高等级数据中心（</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w:t>
      </w:r>
      <w:r>
        <w:rPr>
          <w:color w:val="000000"/>
          <w:spacing w:val="0"/>
          <w:w w:val="100"/>
          <w:position w:val="0"/>
        </w:rPr>
        <w:t>，拥有专业高效的数据中心运维团队，三期 机房于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月投产运营，协同三大运营商为众多优质客户提供安全、稳定、高效的</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层云服务。</w:t>
      </w:r>
    </w:p>
    <w:p>
      <w:pPr>
        <w:pStyle w:val="Style24"/>
        <w:keepNext w:val="0"/>
        <w:keepLines w:val="0"/>
        <w:widowControl w:val="0"/>
        <w:shd w:val="clear" w:color="auto" w:fill="auto"/>
        <w:tabs>
          <w:tab w:pos="687" w:val="left"/>
        </w:tabs>
        <w:bidi w:val="0"/>
        <w:spacing w:before="0" w:after="0" w:line="315" w:lineRule="exact"/>
        <w:ind w:left="0" w:right="0" w:firstLine="380"/>
        <w:jc w:val="both"/>
      </w:pPr>
      <w:bookmarkStart w:id="56" w:name="bookmark56"/>
      <w:r>
        <w:rPr>
          <w:rFonts w:ascii="Times New Roman" w:eastAsia="Times New Roman" w:hAnsi="Times New Roman" w:cs="Times New Roman"/>
          <w:color w:val="000000"/>
          <w:spacing w:val="0"/>
          <w:w w:val="100"/>
          <w:position w:val="0"/>
          <w:sz w:val="18"/>
          <w:szCs w:val="18"/>
        </w:rPr>
        <w:t>2</w:t>
      </w:r>
      <w:bookmarkEnd w:id="56"/>
      <w:r>
        <w:rPr>
          <w:color w:val="000000"/>
          <w:spacing w:val="0"/>
          <w:w w:val="100"/>
          <w:position w:val="0"/>
        </w:rPr>
        <w:t>、</w:t>
        <w:tab/>
        <w:t>数据中心运维外包业务方面：宝腾互联承接了泸州城市政务云数据中心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国家工程实验室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盐田政务服务中心等多个 数据中心的运维外包项目，并在稳定运维服务的基础上展开运营合作。</w:t>
      </w:r>
    </w:p>
    <w:p>
      <w:pPr>
        <w:pStyle w:val="Style24"/>
        <w:keepNext w:val="0"/>
        <w:keepLines w:val="0"/>
        <w:widowControl w:val="0"/>
        <w:shd w:val="clear" w:color="auto" w:fill="auto"/>
        <w:bidi w:val="0"/>
        <w:spacing w:before="0" w:after="0" w:line="315" w:lineRule="exact"/>
        <w:ind w:left="0" w:right="0" w:firstLine="380"/>
        <w:jc w:val="both"/>
      </w:pPr>
      <w:bookmarkStart w:id="57" w:name="bookmark57"/>
      <w:r>
        <w:rPr>
          <w:rFonts w:ascii="Times New Roman" w:eastAsia="Times New Roman" w:hAnsi="Times New Roman" w:cs="Times New Roman"/>
          <w:color w:val="000000"/>
          <w:spacing w:val="0"/>
          <w:w w:val="100"/>
          <w:position w:val="0"/>
          <w:sz w:val="18"/>
          <w:szCs w:val="18"/>
        </w:rPr>
        <w:t>3</w:t>
      </w:r>
      <w:bookmarkEnd w:id="57"/>
      <w:r>
        <w:rPr>
          <w:color w:val="000000"/>
          <w:spacing w:val="0"/>
          <w:w w:val="100"/>
          <w:position w:val="0"/>
        </w:rPr>
        <w:t>、 云增值业务方面：以宝腾互联自建数据中心及公有云平台作为基础支撑，持续专注于打造宝腾互联的优质集成品牌, 已完成在中国移动集团层面的移动云市场合作落地。其主要有以下四个方面：</w:t>
      </w:r>
    </w:p>
    <w:p>
      <w:pPr>
        <w:pStyle w:val="Style24"/>
        <w:keepNext w:val="0"/>
        <w:keepLines w:val="0"/>
        <w:widowControl w:val="0"/>
        <w:shd w:val="clear" w:color="auto" w:fill="auto"/>
        <w:tabs>
          <w:tab w:pos="740" w:val="left"/>
        </w:tabs>
        <w:bidi w:val="0"/>
        <w:spacing w:before="0" w:after="0" w:line="315" w:lineRule="exact"/>
        <w:ind w:left="0" w:right="0" w:firstLine="240"/>
        <w:jc w:val="left"/>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云安全方面：已完成与第一梯队安全厂商的战略合作，丰富宝腾互联在安全方面的产品和技术能力，结合网络安全 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新的政策指导，在云安全资源池、云安全平台运维等业务方向发力；</w:t>
      </w:r>
    </w:p>
    <w:p>
      <w:pPr>
        <w:pStyle w:val="Style24"/>
        <w:keepNext w:val="0"/>
        <w:keepLines w:val="0"/>
        <w:widowControl w:val="0"/>
        <w:shd w:val="clear" w:color="auto" w:fill="auto"/>
        <w:tabs>
          <w:tab w:pos="740" w:val="left"/>
        </w:tabs>
        <w:bidi w:val="0"/>
        <w:spacing w:before="0" w:after="0" w:line="315" w:lineRule="exact"/>
        <w:ind w:left="0" w:right="0" w:firstLine="240"/>
        <w:jc w:val="left"/>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云通信方面：已完成宝腾自有智能呼叫中心平台的研发，面向金融服务业，政府或各局委办各部门热线，初期将围 绕乐山智慧城市类项目进行落地达产；</w:t>
      </w:r>
    </w:p>
    <w:p>
      <w:pPr>
        <w:pStyle w:val="Style24"/>
        <w:keepNext w:val="0"/>
        <w:keepLines w:val="0"/>
        <w:widowControl w:val="0"/>
        <w:shd w:val="clear" w:color="auto" w:fill="auto"/>
        <w:tabs>
          <w:tab w:pos="668" w:val="left"/>
        </w:tabs>
        <w:bidi w:val="0"/>
        <w:spacing w:before="0" w:after="0" w:line="315" w:lineRule="exact"/>
        <w:ind w:left="0" w:right="0" w:firstLine="240"/>
        <w:jc w:val="left"/>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云融合、云存储和云迁移等其他方面：产品已完成云市场上架，通过运营商建立生态，全国推广落地。</w:t>
      </w:r>
    </w:p>
    <w:p>
      <w:pPr>
        <w:pStyle w:val="Style24"/>
        <w:keepNext w:val="0"/>
        <w:keepLines w:val="0"/>
        <w:widowControl w:val="0"/>
        <w:shd w:val="clear" w:color="auto" w:fill="auto"/>
        <w:bidi w:val="0"/>
        <w:spacing w:before="0" w:after="0" w:line="319" w:lineRule="exact"/>
        <w:ind w:left="0" w:right="0" w:firstLine="240"/>
        <w:jc w:val="left"/>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增值服务：面向具体企业应用的方向，已完成与移动云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平台的对接，涉及电子合同、智慧党建、区块链、 云通信平台等多个产品的对接上架，初步构造出宝腾互联自有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云增值业务资源池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的产品生态，并在全国范围内开展营销推 广工作。</w:t>
      </w:r>
    </w:p>
    <w:p>
      <w:pPr>
        <w:pStyle w:val="Style22"/>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、主要资产重大变化情况</w:t>
      </w:r>
      <w:bookmarkEnd w:id="62"/>
      <w:bookmarkEnd w:id="63"/>
      <w:bookmarkEnd w:id="65"/>
    </w:p>
    <w:p>
      <w:pPr>
        <w:pStyle w:val="Style31"/>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46.00%</w:t>
            </w:r>
            <w:r>
              <w:rPr>
                <w:rFonts w:ascii="SimSun" w:eastAsia="SimSun" w:hAnsi="SimSun" w:cs="SimSun"/>
                <w:color w:val="000000"/>
                <w:spacing w:val="0"/>
                <w:w w:val="100"/>
                <w:position w:val="0"/>
                <w:sz w:val="17"/>
                <w:szCs w:val="17"/>
              </w:rPr>
              <w:t>，主要系本期宝德观澜数据中心三期机房完工转入固定资产所 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，主要系本期宝德观澜数据中心三期机房完工转入固定资产所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59.49%</w:t>
            </w:r>
            <w:r>
              <w:rPr>
                <w:rFonts w:ascii="SimSun" w:eastAsia="SimSun" w:hAnsi="SimSun" w:cs="SimSun"/>
                <w:color w:val="000000"/>
                <w:spacing w:val="0"/>
                <w:w w:val="100"/>
                <w:position w:val="0"/>
                <w:sz w:val="17"/>
                <w:szCs w:val="17"/>
              </w:rPr>
              <w:t>，主要系本期归还流动资金借款、支付股权收购款、工程、软件、 带宽款所致；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28.99%</w:t>
            </w:r>
            <w:r>
              <w:rPr>
                <w:rFonts w:ascii="SimSun" w:eastAsia="SimSun" w:hAnsi="SimSun" w:cs="SimSun"/>
                <w:color w:val="000000"/>
                <w:spacing w:val="0"/>
                <w:w w:val="100"/>
                <w:position w:val="0"/>
                <w:sz w:val="17"/>
                <w:szCs w:val="17"/>
              </w:rPr>
              <w:t>，主要系本期销售回款所致；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58.52%</w:t>
            </w:r>
            <w:r>
              <w:rPr>
                <w:rFonts w:ascii="SimSun" w:eastAsia="SimSun" w:hAnsi="SimSun" w:cs="SimSun"/>
                <w:color w:val="000000"/>
                <w:spacing w:val="0"/>
                <w:w w:val="100"/>
                <w:position w:val="0"/>
                <w:sz w:val="17"/>
                <w:szCs w:val="17"/>
              </w:rPr>
              <w:t>，主要系本期定制游戏验收结转、预付广告费所致；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152.62%</w:t>
            </w:r>
            <w:r>
              <w:rPr>
                <w:rFonts w:ascii="SimSun" w:eastAsia="SimSun" w:hAnsi="SimSun" w:cs="SimSun"/>
                <w:color w:val="000000"/>
                <w:spacing w:val="0"/>
                <w:w w:val="100"/>
                <w:position w:val="0"/>
                <w:sz w:val="17"/>
                <w:szCs w:val="17"/>
              </w:rPr>
              <w:t>，主要系本期将百度待退回广告充值款及待退回游戏分成款转 入所致；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44.73%</w:t>
            </w:r>
            <w:r>
              <w:rPr>
                <w:rFonts w:ascii="SimSun" w:eastAsia="SimSun" w:hAnsi="SimSun" w:cs="SimSun"/>
                <w:color w:val="000000"/>
                <w:spacing w:val="0"/>
                <w:w w:val="100"/>
                <w:position w:val="0"/>
                <w:sz w:val="17"/>
                <w:szCs w:val="17"/>
              </w:rPr>
              <w:t>，主要系本期被投资公司业绩未达预期计提减值准备所致；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51.08%</w:t>
            </w:r>
            <w:r>
              <w:rPr>
                <w:rFonts w:ascii="SimSun" w:eastAsia="SimSun" w:hAnsi="SimSun" w:cs="SimSun"/>
                <w:color w:val="000000"/>
                <w:spacing w:val="0"/>
                <w:w w:val="100"/>
                <w:position w:val="0"/>
                <w:sz w:val="17"/>
                <w:szCs w:val="17"/>
              </w:rPr>
              <w:t>，主要系本期深圳苏摩业绩未达预期计提减值准备所致；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28.08%</w:t>
            </w:r>
            <w:r>
              <w:rPr>
                <w:rFonts w:ascii="SimSun" w:eastAsia="SimSun" w:hAnsi="SimSun" w:cs="SimSun"/>
                <w:color w:val="000000"/>
                <w:spacing w:val="0"/>
                <w:w w:val="100"/>
                <w:position w:val="0"/>
                <w:sz w:val="17"/>
                <w:szCs w:val="17"/>
              </w:rPr>
              <w:t>，主要系版权金代理费、装修费摊销所致；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99.58%</w:t>
            </w:r>
            <w:r>
              <w:rPr>
                <w:rFonts w:ascii="SimSun" w:eastAsia="SimSun" w:hAnsi="SimSun" w:cs="SimSun"/>
                <w:color w:val="000000"/>
                <w:spacing w:val="0"/>
                <w:w w:val="100"/>
                <w:position w:val="0"/>
                <w:sz w:val="17"/>
                <w:szCs w:val="17"/>
              </w:rPr>
              <w:t>，主要系本期新游戏上线定制费转出所致。</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（一）游戏业务</w:t>
      </w:r>
    </w:p>
    <w:p>
      <w:pPr>
        <w:pStyle w:val="Style24"/>
        <w:keepNext w:val="0"/>
        <w:keepLines w:val="0"/>
        <w:widowControl w:val="0"/>
        <w:shd w:val="clear" w:color="auto" w:fill="auto"/>
        <w:tabs>
          <w:tab w:pos="714" w:val="left"/>
        </w:tabs>
        <w:bidi w:val="0"/>
        <w:spacing w:before="0" w:after="0" w:line="312" w:lineRule="exact"/>
        <w:ind w:left="0" w:right="0" w:firstLine="380"/>
        <w:jc w:val="both"/>
      </w:pPr>
      <w:bookmarkStart w:id="78" w:name="bookmark78"/>
      <w:r>
        <w:rPr>
          <w:rFonts w:ascii="Times New Roman" w:eastAsia="Times New Roman" w:hAnsi="Times New Roman" w:cs="Times New Roman"/>
          <w:color w:val="000000"/>
          <w:spacing w:val="0"/>
          <w:w w:val="100"/>
          <w:position w:val="0"/>
          <w:sz w:val="18"/>
          <w:szCs w:val="18"/>
        </w:rPr>
        <w:t>1</w:t>
      </w:r>
      <w:bookmarkEnd w:id="78"/>
      <w:r>
        <w:rPr>
          <w:color w:val="000000"/>
          <w:spacing w:val="0"/>
          <w:w w:val="100"/>
          <w:position w:val="0"/>
        </w:rPr>
        <w:t>、</w:t>
        <w:tab/>
        <w:t>市场经验丰富</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公司自成立以来，一直专注从事网络游戏的研发和运营，经过多年发展，公司已经积累了丰富的经验及技术，能够较好 的把握市场需求、玩家心理和游戏行业动向，持续推出精品游戏。此外，凭借多年来在资本市场的积累以及对行业和市场的 深入挖掘，公司已投资布局多家有潜力的中早期公司，并持续加强公司在行业上下游的部署，以保证公司在整个市场中的战 略优势。</w:t>
      </w:r>
    </w:p>
    <w:p>
      <w:pPr>
        <w:pStyle w:val="Style24"/>
        <w:keepNext w:val="0"/>
        <w:keepLines w:val="0"/>
        <w:widowControl w:val="0"/>
        <w:shd w:val="clear" w:color="auto" w:fill="auto"/>
        <w:tabs>
          <w:tab w:pos="734" w:val="left"/>
        </w:tabs>
        <w:bidi w:val="0"/>
        <w:spacing w:before="0" w:after="0" w:line="312" w:lineRule="exact"/>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rPr>
        <w:t>、</w:t>
        <w:tab/>
        <w:t>紧跟行业趋势，拥抱行业变更</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随着游戏行业人口红利逐步消失，互联网游戏行业挑战加剧，游戏行业的产品价值正在被不断地放大，研发能力成为 考量企业实力的重点。公司注重优秀产品的引进与开发，发行和代理了多款热门游戏，市场反应良好。</w:t>
      </w:r>
    </w:p>
    <w:p>
      <w:pPr>
        <w:pStyle w:val="Style24"/>
        <w:keepNext w:val="0"/>
        <w:keepLines w:val="0"/>
        <w:widowControl w:val="0"/>
        <w:shd w:val="clear" w:color="auto" w:fill="auto"/>
        <w:tabs>
          <w:tab w:pos="724" w:val="left"/>
        </w:tabs>
        <w:bidi w:val="0"/>
        <w:spacing w:before="0" w:after="0" w:line="312" w:lineRule="exact"/>
        <w:ind w:left="0" w:right="0" w:firstLine="380"/>
        <w:jc w:val="both"/>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实行股权激励，提高员工积极性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公司通过外部引进与内部培养相结合的方式组建了一支强大的管理团队，以适应公司业务快速增长的需要。公司通过不 断完善、优化用人机制，特别是强化激励机制来吸引优秀经营管理人才、营销人才和科技人才，建立科学的人力资源管理体 系，进一步增强公司持续发展能力。同时，公司于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年实施了股权激励计划，于报告期内授予了预留部分限制性股票，可 有效调动公司高级管理人员、中层管理人员、核心员工与骨干员工的工作积极性，将股东利益、公司利益和员工个人利益结 </w:t>
      </w:r>
      <w:r>
        <w:rPr>
          <w:color w:val="000000"/>
          <w:spacing w:val="0"/>
          <w:w w:val="100"/>
          <w:position w:val="0"/>
        </w:rPr>
        <w:t>合在一起，提高公司的经营管理水平，促进公司经营业绩平稳快速提升。</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（二）云服务业务</w:t>
      </w:r>
    </w:p>
    <w:p>
      <w:pPr>
        <w:pStyle w:val="Style24"/>
        <w:keepNext w:val="0"/>
        <w:keepLines w:val="0"/>
        <w:widowControl w:val="0"/>
        <w:shd w:val="clear" w:color="auto" w:fill="auto"/>
        <w:tabs>
          <w:tab w:pos="600" w:val="left"/>
        </w:tabs>
        <w:bidi w:val="0"/>
        <w:spacing w:before="0" w:after="0" w:line="360" w:lineRule="auto"/>
        <w:ind w:left="0" w:right="0" w:firstLine="30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资源利用高效化，增强盈利能力</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目前深圳宝腾互联在深圳观澜拥有自建高等级数据中心，同时在泸州代运维数据中心，在管理方面，深圳宝腾互联具有 专业高效的数据中心运维团队，卓越的资源整合能力，可利用深圳宝腾互联闲置的存储资源、计算资源、承包电力和非峰值 冗余带宽资源，为客户提供安全、稳定、信息不可篡改的云服务。此外，深圳宝腾互联自主研发的易维通运维管理平台，采 用数字化运维管理，基于二维码与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射频识别技术，配合移动终端及后台管理系统对数据进行高效分析，助力用户提升 数据中心运维管理水平。</w:t>
      </w:r>
    </w:p>
    <w:p>
      <w:pPr>
        <w:pStyle w:val="Style24"/>
        <w:keepNext w:val="0"/>
        <w:keepLines w:val="0"/>
        <w:widowControl w:val="0"/>
        <w:shd w:val="clear" w:color="auto" w:fill="auto"/>
        <w:tabs>
          <w:tab w:pos="620" w:val="left"/>
        </w:tabs>
        <w:bidi w:val="0"/>
        <w:spacing w:before="0" w:after="0" w:line="360" w:lineRule="auto"/>
        <w:ind w:left="0" w:right="0" w:firstLine="30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具有自主研发能力</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公司作为国家级高新技术企业，拥有独立的研发团队，并建立了较为完善的研发体系。此外，公司通过内部培养及与科 研院所签订战略合作协议等多种渠道，不断扩充研发队伍。</w:t>
      </w:r>
    </w:p>
    <w:p>
      <w:pPr>
        <w:pStyle w:val="Style24"/>
        <w:keepNext w:val="0"/>
        <w:keepLines w:val="0"/>
        <w:widowControl w:val="0"/>
        <w:shd w:val="clear" w:color="auto" w:fill="auto"/>
        <w:bidi w:val="0"/>
        <w:spacing w:before="0" w:after="0" w:line="360" w:lineRule="auto"/>
        <w:ind w:left="0" w:right="0" w:firstLine="600"/>
        <w:jc w:val="both"/>
      </w:pPr>
      <w:bookmarkStart w:id="83" w:name="bookmark83"/>
      <w:r>
        <w:rPr>
          <w:rFonts w:ascii="Times New Roman" w:eastAsia="Times New Roman" w:hAnsi="Times New Roman" w:cs="Times New Roman"/>
          <w:color w:val="000000"/>
          <w:spacing w:val="0"/>
          <w:w w:val="100"/>
          <w:position w:val="0"/>
          <w:sz w:val="18"/>
          <w:szCs w:val="18"/>
        </w:rPr>
        <w:t>3</w:t>
      </w:r>
      <w:bookmarkEnd w:id="83"/>
      <w:r>
        <w:rPr>
          <w:color w:val="000000"/>
          <w:spacing w:val="0"/>
          <w:w w:val="100"/>
          <w:position w:val="0"/>
        </w:rPr>
        <w:t>、管理团队及人才优势</w:t>
      </w:r>
    </w:p>
    <w:p>
      <w:pPr>
        <w:pStyle w:val="Style24"/>
        <w:keepNext w:val="0"/>
        <w:keepLines w:val="0"/>
        <w:widowControl w:val="0"/>
        <w:shd w:val="clear" w:color="auto" w:fill="auto"/>
        <w:bidi w:val="0"/>
        <w:spacing w:before="0" w:after="140" w:line="310" w:lineRule="exact"/>
        <w:ind w:left="0" w:right="0" w:firstLine="600"/>
        <w:jc w:val="both"/>
        <w:sectPr>
          <w:footnotePr>
            <w:pos w:val="pageBottom"/>
            <w:numFmt w:val="decimal"/>
            <w:numRestart w:val="continuous"/>
          </w:footnotePr>
          <w:pgSz w:w="11900" w:h="16840"/>
          <w:pgMar w:top="1388" w:right="1052" w:bottom="1662" w:left="1076" w:header="0" w:footer="3" w:gutter="0"/>
          <w:cols w:space="720"/>
          <w:noEndnote/>
          <w:rtlGutter w:val="0"/>
          <w:docGrid w:linePitch="360"/>
        </w:sectPr>
      </w:pPr>
      <w:r>
        <w:rPr>
          <w:color w:val="000000"/>
          <w:spacing w:val="0"/>
          <w:w w:val="100"/>
          <w:position w:val="0"/>
        </w:rPr>
        <w:t>公司拥有优质的自建和代维的数据中心，专业的运维团队和强大的后台技术支持团队是公司成为全国数据中心运营 管理专家的信心来源。公司团队能够及时响应客户提出的需求，提供全生命周期的服务与管理，保证客户业务的安全、稳定 运行。公司始终把人才培养作为发展战略的重要组成部分，报告期内通过内部培养和外部引进，公司进一步扩充了管理团队 和核心技术团队，为公司持续发展奠定了基础。</w:t>
      </w:r>
    </w:p>
    <w:p>
      <w:pPr>
        <w:pStyle w:val="Style11"/>
        <w:keepNext/>
        <w:keepLines/>
        <w:widowControl w:val="0"/>
        <w:shd w:val="clear" w:color="auto" w:fill="auto"/>
        <w:bidi w:val="0"/>
        <w:spacing w:before="58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2"/>
        <w:keepNext/>
        <w:keepLines/>
        <w:widowControl w:val="0"/>
        <w:shd w:val="clear" w:color="auto" w:fill="auto"/>
        <w:bidi w:val="0"/>
        <w:spacing w:before="0" w:after="24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p>
    <w:p>
      <w:pPr>
        <w:pStyle w:val="Style24"/>
        <w:keepNext w:val="0"/>
        <w:keepLines w:val="0"/>
        <w:widowControl w:val="0"/>
        <w:shd w:val="clear" w:color="auto" w:fill="auto"/>
        <w:bidi w:val="0"/>
        <w:spacing w:before="0" w:after="120" w:line="316" w:lineRule="exact"/>
        <w:ind w:left="0" w:right="0" w:firstLine="300"/>
        <w:jc w:val="both"/>
      </w:pPr>
      <w:r>
        <w:rPr>
          <w:color w:val="000000"/>
          <w:spacing w:val="0"/>
          <w:w w:val="100"/>
          <w:position w:val="0"/>
        </w:rPr>
        <w:t>公司通过多年来对所处游戏行业的深度探索、研发、运营经验的不断积累及产业链上下游的广泛布局，自主创新和建立 了一系列可持续发展生态业务模式。报告期内，公司在保持传统游戏业务稳步前进的前提下，大力发展云服务业务，实现了 游戏业务和云服务业务两大板块的双轮驱动模式。具体业务情况如下：</w:t>
      </w:r>
    </w:p>
    <w:p>
      <w:pPr>
        <w:pStyle w:val="Style24"/>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、游戏业务</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公司自成立以来，一直专注从事网络游戏的研发和运营，经过多年发展，公司已经积累了丰富的经验及技术，能够较好 的把握市场需求、玩家心理和游戏行业动向，持续推出精品游戏。</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报告期内，中青宝红色网游系列产品《抗战》、《亮剑》、《兵王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》、《最后一炮》以及国战类网游产品《天道》、 《新战国英雄》在线用户数、盈利能力都保持稳定。</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手游方面: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年手机游戏行业进入白热化竞争阶段，中青宝凭借麦迪代言的《街球艺术》一举打入国内体育品类游戏 市场，凭借公司多年累积的用户基础，为首发阶段的用户爆发提供了由量变到质变的动力；公司签下的《街头足球》在测试 阶段就已受行业内及广大玩家的好评，进一步夯实公司布局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重竞技，高留存，高活跃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的基础，一举打入游戏体育品类的决 赛圈。</w:t>
      </w:r>
    </w:p>
    <w:p>
      <w:pPr>
        <w:pStyle w:val="Style24"/>
        <w:keepNext w:val="0"/>
        <w:keepLines w:val="0"/>
        <w:widowControl w:val="0"/>
        <w:shd w:val="clear" w:color="auto" w:fill="auto"/>
        <w:bidi w:val="0"/>
        <w:spacing w:before="0" w:after="60" w:line="316" w:lineRule="exact"/>
        <w:ind w:left="0" w:right="0" w:firstLine="380"/>
        <w:jc w:val="both"/>
      </w:pPr>
      <w:r>
        <w:rPr>
          <w:color w:val="000000"/>
          <w:spacing w:val="0"/>
          <w:w w:val="100"/>
          <w:position w:val="0"/>
        </w:rPr>
        <w:t>页游方面：《大话女儿国》上线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年仍然表现良好，在线用户和收入保持稳定水平。页游产品《裂天之刃》拥有一批忠 实用户，持续维持着良好游戏生态和稳定的付费水平。</w:t>
      </w:r>
    </w:p>
    <w:p>
      <w:pPr>
        <w:pStyle w:val="Style2"/>
        <w:keepNext w:val="0"/>
        <w:keepLines w:val="0"/>
        <w:widowControl w:val="0"/>
        <w:shd w:val="clear" w:color="auto" w:fill="auto"/>
        <w:bidi w:val="0"/>
        <w:spacing w:before="0" w:after="380" w:line="240" w:lineRule="auto"/>
        <w:ind w:left="0" w:right="0" w:firstLine="380"/>
        <w:jc w:val="left"/>
        <w:rPr>
          <w:sz w:val="22"/>
          <w:szCs w:val="22"/>
        </w:rPr>
      </w:pPr>
      <w:r>
        <w:rPr>
          <w:rFonts w:ascii="SimSun" w:eastAsia="SimSun" w:hAnsi="SimSun" w:cs="SimSun"/>
          <w:color w:val="000000"/>
          <w:spacing w:val="0"/>
          <w:w w:val="100"/>
          <w:position w:val="0"/>
          <w:sz w:val="22"/>
          <w:szCs w:val="22"/>
        </w:rPr>
        <w:t>报告期内，公司游戏平台新增运营的游戏有</w:t>
      </w:r>
      <w:r>
        <w:rPr>
          <w:color w:val="000000"/>
          <w:spacing w:val="0"/>
          <w:w w:val="100"/>
          <w:position w:val="0"/>
          <w:sz w:val="24"/>
          <w:szCs w:val="24"/>
        </w:rPr>
        <w:t>10</w:t>
      </w:r>
      <w:r>
        <w:rPr>
          <w:rFonts w:ascii="SimSun" w:eastAsia="SimSun" w:hAnsi="SimSun" w:cs="SimSun"/>
          <w:color w:val="000000"/>
          <w:spacing w:val="0"/>
          <w:w w:val="100"/>
          <w:position w:val="0"/>
          <w:sz w:val="22"/>
          <w:szCs w:val="22"/>
        </w:rPr>
        <w:t>余款，报告期末运营的游戏总计</w:t>
      </w:r>
      <w:r>
        <w:rPr>
          <w:color w:val="000000"/>
          <w:spacing w:val="0"/>
          <w:w w:val="100"/>
          <w:position w:val="0"/>
          <w:sz w:val="24"/>
          <w:szCs w:val="24"/>
        </w:rPr>
        <w:t>50</w:t>
      </w:r>
      <w:r>
        <w:rPr>
          <w:rFonts w:ascii="SimSun" w:eastAsia="SimSun" w:hAnsi="SimSun" w:cs="SimSun"/>
          <w:color w:val="000000"/>
          <w:spacing w:val="0"/>
          <w:w w:val="100"/>
          <w:position w:val="0"/>
          <w:sz w:val="22"/>
          <w:szCs w:val="22"/>
        </w:rPr>
        <w:t>余款。</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、云服务业务</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报告期内，公司子公司宝腾互联专注于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云计算，同时以</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层服务为基础，积极寻求业务突破与创新，继续围 绕各项云增值业务进行产品设计和平台整合，致力于为全行业客户提供全维度的数字化运维服务。</w:t>
      </w:r>
    </w:p>
    <w:p>
      <w:pPr>
        <w:pStyle w:val="Style24"/>
        <w:keepNext w:val="0"/>
        <w:keepLines w:val="0"/>
        <w:widowControl w:val="0"/>
        <w:numPr>
          <w:ilvl w:val="0"/>
          <w:numId w:val="1"/>
        </w:numPr>
        <w:shd w:val="clear" w:color="auto" w:fill="auto"/>
        <w:bidi w:val="0"/>
        <w:spacing w:before="0" w:after="0" w:line="314" w:lineRule="exact"/>
        <w:ind w:left="0" w:right="0" w:firstLine="300"/>
        <w:jc w:val="both"/>
      </w:pPr>
      <w:bookmarkStart w:id="91" w:name="bookmark91"/>
      <w:bookmarkEnd w:id="91"/>
      <w:r>
        <w:rPr>
          <w:color w:val="000000"/>
          <w:spacing w:val="0"/>
          <w:w w:val="100"/>
          <w:position w:val="0"/>
        </w:rPr>
        <w:t>数据中心业务：宝腾互联在深圳观澜拥有自建高等级数据中心(</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w:t>
      </w:r>
      <w:r>
        <w:rPr>
          <w:color w:val="000000"/>
          <w:spacing w:val="0"/>
          <w:w w:val="100"/>
          <w:position w:val="0"/>
        </w:rPr>
        <w:t>，拥有专业高效的数据中心运维团队，三期 机房于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月投产运营，协同三大运营商为众多优质客户提供安全、稳定、高效的</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层云服务。</w:t>
      </w:r>
    </w:p>
    <w:p>
      <w:pPr>
        <w:pStyle w:val="Style24"/>
        <w:keepNext w:val="0"/>
        <w:keepLines w:val="0"/>
        <w:widowControl w:val="0"/>
        <w:numPr>
          <w:ilvl w:val="0"/>
          <w:numId w:val="1"/>
        </w:numPr>
        <w:shd w:val="clear" w:color="auto" w:fill="auto"/>
        <w:tabs>
          <w:tab w:pos="892" w:val="left"/>
        </w:tabs>
        <w:bidi w:val="0"/>
        <w:spacing w:before="0" w:after="0" w:line="314" w:lineRule="exact"/>
        <w:ind w:left="0" w:right="0" w:firstLine="380"/>
        <w:jc w:val="left"/>
      </w:pPr>
      <w:bookmarkStart w:id="92" w:name="bookmark92"/>
      <w:bookmarkEnd w:id="92"/>
      <w:r>
        <w:rPr>
          <w:color w:val="000000"/>
          <w:spacing w:val="0"/>
          <w:w w:val="100"/>
          <w:position w:val="0"/>
        </w:rPr>
        <w:t>数据中心运维外包业务方面：宝腾互联承接了泸州城市政务云数据中心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国家工程实验室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盐田政务服务中心等多 个数据中心的运维外包项目，并在稳定运维服务的基础上展开运营合作。</w:t>
      </w:r>
    </w:p>
    <w:p>
      <w:pPr>
        <w:pStyle w:val="Style24"/>
        <w:keepNext w:val="0"/>
        <w:keepLines w:val="0"/>
        <w:widowControl w:val="0"/>
        <w:numPr>
          <w:ilvl w:val="0"/>
          <w:numId w:val="1"/>
        </w:numPr>
        <w:shd w:val="clear" w:color="auto" w:fill="auto"/>
        <w:tabs>
          <w:tab w:pos="892" w:val="left"/>
        </w:tabs>
        <w:bidi w:val="0"/>
        <w:spacing w:before="0" w:after="0" w:line="314" w:lineRule="exact"/>
        <w:ind w:left="0" w:right="0" w:firstLine="380"/>
        <w:jc w:val="left"/>
      </w:pPr>
      <w:bookmarkStart w:id="93" w:name="bookmark93"/>
      <w:bookmarkEnd w:id="93"/>
      <w:r>
        <w:rPr>
          <w:color w:val="000000"/>
          <w:spacing w:val="0"/>
          <w:w w:val="100"/>
          <w:position w:val="0"/>
        </w:rPr>
        <w:t>云增值业务方面：以宝腾互联自建数据中心及公有云平台作为基础支撑，持续专注于打造宝腾互联的优质集成品 牌，已完成在中国移动集团层面的移动云云市场合作落地。其主要有以下四个方面：</w:t>
      </w:r>
    </w:p>
    <w:p>
      <w:pPr>
        <w:pStyle w:val="Style24"/>
        <w:keepNext w:val="0"/>
        <w:keepLines w:val="0"/>
        <w:widowControl w:val="0"/>
        <w:numPr>
          <w:ilvl w:val="0"/>
          <w:numId w:val="3"/>
        </w:numPr>
        <w:shd w:val="clear" w:color="auto" w:fill="auto"/>
        <w:bidi w:val="0"/>
        <w:spacing w:before="0" w:after="0" w:line="314" w:lineRule="exact"/>
        <w:ind w:left="0" w:right="0" w:firstLine="380"/>
        <w:jc w:val="left"/>
      </w:pPr>
      <w:bookmarkStart w:id="94" w:name="bookmark94"/>
      <w:bookmarkEnd w:id="94"/>
      <w:r>
        <w:rPr>
          <w:color w:val="000000"/>
          <w:spacing w:val="0"/>
          <w:w w:val="100"/>
          <w:position w:val="0"/>
        </w:rPr>
        <w:t>云安全方面：已完成与第一梯队安全厂商的战略合作，丰富宝腾互联在安全方面的产品和技术能力，结合网络安全 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新的政策指导，在云安全资源池、云安全平台运维等业务方向发力；</w:t>
      </w:r>
    </w:p>
    <w:p>
      <w:pPr>
        <w:pStyle w:val="Style24"/>
        <w:keepNext w:val="0"/>
        <w:keepLines w:val="0"/>
        <w:widowControl w:val="0"/>
        <w:numPr>
          <w:ilvl w:val="0"/>
          <w:numId w:val="3"/>
        </w:numPr>
        <w:shd w:val="clear" w:color="auto" w:fill="auto"/>
        <w:tabs>
          <w:tab w:pos="715" w:val="left"/>
        </w:tabs>
        <w:bidi w:val="0"/>
        <w:spacing w:before="0" w:after="0" w:line="314" w:lineRule="exact"/>
        <w:ind w:left="0" w:right="0" w:firstLine="380"/>
        <w:jc w:val="left"/>
      </w:pPr>
      <w:bookmarkStart w:id="95" w:name="bookmark95"/>
      <w:bookmarkEnd w:id="95"/>
      <w:r>
        <w:rPr>
          <w:color w:val="000000"/>
          <w:spacing w:val="0"/>
          <w:w w:val="100"/>
          <w:position w:val="0"/>
        </w:rPr>
        <w:t>云通信方面：已完成宝腾自有智能呼叫中心平台的研发，面向金融服务业，政府或各局委办各部门热线，初期将围绕 乐山智慧城市类项目进行落地达产；</w:t>
      </w:r>
    </w:p>
    <w:p>
      <w:pPr>
        <w:pStyle w:val="Style24"/>
        <w:keepNext w:val="0"/>
        <w:keepLines w:val="0"/>
        <w:widowControl w:val="0"/>
        <w:numPr>
          <w:ilvl w:val="0"/>
          <w:numId w:val="3"/>
        </w:numPr>
        <w:shd w:val="clear" w:color="auto" w:fill="auto"/>
        <w:tabs>
          <w:tab w:pos="744" w:val="left"/>
        </w:tabs>
        <w:bidi w:val="0"/>
        <w:spacing w:before="0" w:after="0" w:line="314" w:lineRule="exact"/>
        <w:ind w:left="0" w:right="0" w:firstLine="380"/>
        <w:jc w:val="left"/>
      </w:pPr>
      <w:bookmarkStart w:id="96" w:name="bookmark96"/>
      <w:bookmarkEnd w:id="96"/>
      <w:r>
        <w:rPr>
          <w:color w:val="000000"/>
          <w:spacing w:val="0"/>
          <w:w w:val="100"/>
          <w:position w:val="0"/>
        </w:rPr>
        <w:t>云融合、云存储和云迁移等其他方面：产品已完成云市场上架，通过运营商建立生态，全国推广落地。</w:t>
      </w:r>
    </w:p>
    <w:p>
      <w:pPr>
        <w:pStyle w:val="Style24"/>
        <w:keepNext w:val="0"/>
        <w:keepLines w:val="0"/>
        <w:widowControl w:val="0"/>
        <w:numPr>
          <w:ilvl w:val="0"/>
          <w:numId w:val="3"/>
        </w:numPr>
        <w:shd w:val="clear" w:color="auto" w:fill="auto"/>
        <w:tabs>
          <w:tab w:pos="719" w:val="left"/>
        </w:tabs>
        <w:bidi w:val="0"/>
        <w:spacing w:before="0" w:after="380" w:line="319" w:lineRule="exact"/>
        <w:ind w:left="0" w:right="0" w:firstLine="380"/>
        <w:jc w:val="left"/>
      </w:pPr>
      <w:bookmarkStart w:id="97" w:name="bookmark97"/>
      <w:bookmarkEnd w:id="97"/>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增值服务：面向具体企业应用的方向，已完成与移动云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平台的对接，涉及电子合同、智慧党建、区块链、 云通信平台等多个产品的对接上架，初步构造出宝腾互联自有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云增值业务资源池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的产品生态，并在全国范围内开展营销推 广工作。</w:t>
      </w:r>
    </w:p>
    <w:p>
      <w:pPr>
        <w:pStyle w:val="Style24"/>
        <w:keepNext w:val="0"/>
        <w:keepLines w:val="0"/>
        <w:widowControl w:val="0"/>
        <w:shd w:val="clear" w:color="auto" w:fill="auto"/>
        <w:bidi w:val="0"/>
        <w:spacing w:before="0" w:after="180" w:line="316"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2"/>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31"/>
        <w:keepNext/>
        <w:keepLines/>
        <w:widowControl w:val="0"/>
        <w:shd w:val="clear" w:color="auto" w:fill="auto"/>
        <w:tabs>
          <w:tab w:pos="368" w:val="left"/>
        </w:tabs>
        <w:bidi w:val="0"/>
        <w:spacing w:before="0" w:after="38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37"/>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293,843,947.62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468,826,313.50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分运营模式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官方运营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42,720,835.71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75,288,911.82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95,183,111.19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145,205,431.55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765,295.84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1,274,190.03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5,806,057.52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35,116,692.06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权属转让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7,547,169.81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1,237,179.38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186,680,775.36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816,217.54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2,643,289.32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4,386,896.65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14,447,299.28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分游戏类型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MMO</w:t>
            </w:r>
            <w:r>
              <w:rPr>
                <w:rFonts w:ascii="SimSun" w:eastAsia="SimSun" w:hAnsi="SimSun" w:cs="SimSun"/>
                <w:color w:val="000000"/>
                <w:spacing w:val="0"/>
                <w:w w:val="100"/>
                <w:position w:val="0"/>
                <w:sz w:val="17"/>
                <w:szCs w:val="17"/>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15,756,941.39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43,372,626.18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661,534.72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4,331,585.94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122,250,766.63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181,722,811.71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5,806,057.52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35,116,692.06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1,237,179.38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186,680,775.36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816,217.54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2,643,289.32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4,386,896.65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14,447,299.28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分业务类型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145,712,479.64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265,054,949.54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142,928,353.79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186,680,775.36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2,643,289.32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4,386,896.65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14,447,299.28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主要游戏基本情况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版号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对应运营 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游戏分发 渠道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收入占游 戏业务收 入的比例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推广营销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推广营销 费用占游 戏推广营 销费用总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推广营销 费用占主 要游戏收 入总额的 比例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978-7-79</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79-9973</w:t>
              <w:softHyphen/>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杭州网易 雷火科技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安卓市场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41,659,99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978-7-79</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79-8491</w:t>
              <w:softHyphen/>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深圳市卓 页互动网 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安卓市场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20,793,02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978-7-49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8-06027</w:t>
              <w:softHyphen/>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自主运 营、联合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上海瑞酷 数码科技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APPstore; </w:t>
            </w:r>
            <w:r>
              <w:rPr>
                <w:rFonts w:ascii="SimSun" w:eastAsia="SimSun" w:hAnsi="SimSun" w:cs="SimSun"/>
                <w:color w:val="000000"/>
                <w:spacing w:val="0"/>
                <w:w w:val="100"/>
                <w:position w:val="0"/>
                <w:sz w:val="17"/>
                <w:szCs w:val="17"/>
              </w:rPr>
              <w:t>安卓市场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9,077,150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4,646,120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978-7-49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8-06927</w:t>
              <w:softHyphen/>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自主运 营、联合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成都德意 扬帆科技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APPstore; </w:t>
            </w:r>
            <w:r>
              <w:rPr>
                <w:rFonts w:ascii="SimSun" w:eastAsia="SimSun" w:hAnsi="SimSun" w:cs="SimSun"/>
                <w:color w:val="000000"/>
                <w:spacing w:val="0"/>
                <w:w w:val="100"/>
                <w:position w:val="0"/>
                <w:sz w:val="17"/>
                <w:szCs w:val="17"/>
              </w:rPr>
              <w:t>安卓市场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7,231,138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27,560,91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978-7-89</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989-155</w:t>
              <w:softHyphen/>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端游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自主运营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深圳中青 宝互动网 络股份有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6,823,036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3,485,912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32,982,570.00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456,409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22,334,100.00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224,167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460,150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138,286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27,997,896.00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17,755,722.00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1,741,275.00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7,570,063.00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9,175,146.00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11,350,918.00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7,269,479.00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3,053,095.00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1,290,037.00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572,883.00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380,371.00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7,463,206.00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2,257,766.00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2,038,557.00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2,079,180.00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2,140,576.00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1,455,226.00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145,712,479.64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107,289,195.93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142,928,353.79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82,952,364.58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8"/>
      <w:bookmarkEnd w:id="119"/>
      <w:bookmarkEnd w:id="12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numPr>
          <w:ilvl w:val="0"/>
          <w:numId w:val="5"/>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营业成本构成</w:t>
      </w:r>
      <w:bookmarkEnd w:id="126"/>
      <w:bookmarkEnd w:id="127"/>
      <w:bookmarkEnd w:id="12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官方运营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其中：公司自主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7,889,771.48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14,052,978.32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96,544,289.95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70,193,809.96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33,073,613.10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2,855,134.50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82,952,364.58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111,997,333.43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7,821,566.92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7,306,500.60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3,985,286.00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11,820,112.51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MMO</w:t>
            </w:r>
            <w:r>
              <w:rPr>
                <w:rFonts w:ascii="SimSun" w:eastAsia="SimSun" w:hAnsi="SimSun" w:cs="SimSun"/>
                <w:color w:val="000000"/>
                <w:spacing w:val="0"/>
                <w:w w:val="100"/>
                <w:position w:val="0"/>
                <w:sz w:val="17"/>
                <w:szCs w:val="17"/>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5,211,183.18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11,987,248.99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704,644.30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4,739,290.54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98,518,233.95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67,520,248.75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33,073,613.10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2,855,134.50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82,952,364.58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111,997,333.43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7,821,566.92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7,306,500.60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3,985,286.00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11,820,112.51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w:t>
            </w:r>
          </w:p>
        </w:tc>
      </w:tr>
    </w:tbl>
    <w:p>
      <w:pPr>
        <w:widowControl w:val="0"/>
        <w:spacing w:after="299" w:line="1" w:lineRule="exact"/>
      </w:pPr>
    </w:p>
    <w:p>
      <w:pPr>
        <w:pStyle w:val="Style37"/>
        <w:keepNext/>
        <w:keepLines/>
        <w:widowControl w:val="0"/>
        <w:numPr>
          <w:ilvl w:val="0"/>
          <w:numId w:val="5"/>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报告期内合并范围是否发生变动</w:t>
      </w:r>
      <w:bookmarkEnd w:id="130"/>
      <w:bookmarkEnd w:id="131"/>
      <w:bookmarkEnd w:id="133"/>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
        <w:keepNext w:val="0"/>
        <w:keepLines w:val="0"/>
        <w:widowControl w:val="0"/>
        <w:shd w:val="clear" w:color="auto" w:fill="auto"/>
        <w:bidi w:val="0"/>
        <w:spacing w:before="0" w:after="300" w:line="240" w:lineRule="auto"/>
        <w:ind w:left="0" w:right="0" w:firstLine="0"/>
        <w:jc w:val="left"/>
        <w:rPr>
          <w:sz w:val="22"/>
          <w:szCs w:val="22"/>
        </w:rPr>
      </w:pPr>
      <w:r>
        <w:rPr>
          <w:rFonts w:ascii="SimSun" w:eastAsia="SimSun" w:hAnsi="SimSun" w:cs="SimSun"/>
          <w:color w:val="000000"/>
          <w:spacing w:val="0"/>
          <w:w w:val="100"/>
          <w:position w:val="0"/>
          <w:sz w:val="22"/>
          <w:szCs w:val="22"/>
        </w:rPr>
        <w:t>其他原因的合并范围变动</w:t>
      </w:r>
    </w:p>
    <w:p>
      <w:pPr>
        <w:pStyle w:val="Style2"/>
        <w:keepNext w:val="0"/>
        <w:keepLines w:val="0"/>
        <w:widowControl w:val="0"/>
        <w:numPr>
          <w:ilvl w:val="0"/>
          <w:numId w:val="7"/>
        </w:numPr>
        <w:shd w:val="clear" w:color="auto" w:fill="auto"/>
        <w:bidi w:val="0"/>
        <w:spacing w:before="0" w:after="120" w:line="240" w:lineRule="auto"/>
        <w:ind w:left="0" w:right="0" w:firstLine="860"/>
        <w:jc w:val="left"/>
        <w:rPr>
          <w:sz w:val="22"/>
          <w:szCs w:val="22"/>
        </w:rPr>
      </w:pPr>
      <w:bookmarkStart w:id="134" w:name="bookmark134"/>
      <w:bookmarkEnd w:id="134"/>
      <w:r>
        <w:rPr>
          <w:rFonts w:ascii="SimSun" w:eastAsia="SimSun" w:hAnsi="SimSun" w:cs="SimSun"/>
          <w:color w:val="000000"/>
          <w:spacing w:val="0"/>
          <w:w w:val="100"/>
          <w:position w:val="0"/>
          <w:sz w:val="22"/>
          <w:szCs w:val="22"/>
        </w:rPr>
        <w:t>新设子公司</w:t>
      </w:r>
    </w:p>
    <w:tbl>
      <w:tblPr>
        <w:tblOverlap w:val="never"/>
        <w:jc w:val="left"/>
        <w:tblLayout w:type="fixed"/>
      </w:tblPr>
      <w:tblGrid>
        <w:gridCol w:w="5419"/>
        <w:gridCol w:w="333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设立时间</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掌心烈焰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5</w:t>
            </w:r>
            <w:r>
              <w:rPr>
                <w:rFonts w:ascii="SimSun" w:eastAsia="SimSun" w:hAnsi="SimSun" w:cs="SimSun"/>
                <w:color w:val="000000"/>
                <w:spacing w:val="0"/>
                <w:w w:val="100"/>
                <w:position w:val="0"/>
                <w:sz w:val="19"/>
                <w:szCs w:val="19"/>
              </w:rPr>
              <w:t>月</w:t>
            </w:r>
            <w:r>
              <w:rPr>
                <w:color w:val="000000"/>
                <w:spacing w:val="0"/>
                <w:w w:val="100"/>
                <w:position w:val="0"/>
                <w:sz w:val="20"/>
                <w:szCs w:val="20"/>
              </w:rPr>
              <w:t>26</w:t>
            </w:r>
            <w:r>
              <w:rPr>
                <w:rFonts w:ascii="SimSun" w:eastAsia="SimSun" w:hAnsi="SimSun" w:cs="SimSun"/>
                <w:color w:val="000000"/>
                <w:spacing w:val="0"/>
                <w:w w:val="100"/>
                <w:position w:val="0"/>
                <w:sz w:val="19"/>
                <w:szCs w:val="19"/>
              </w:rPr>
              <w:t>日</w:t>
            </w:r>
          </w:p>
        </w:tc>
      </w:tr>
    </w:tbl>
    <w:p>
      <w:pPr>
        <w:spacing w:lineRule="exact" w:line="1"/>
        <w:rPr>
          <w:sz w:val="2"/>
          <w:szCs w:val="2"/>
        </w:rPr>
      </w:pPr>
      <w:r>
        <w:br w:type="page"/>
      </w:r>
    </w:p>
    <w:tbl>
      <w:tblPr>
        <w:tblOverlap w:val="never"/>
        <w:jc w:val="left"/>
        <w:tblLayout w:type="fixed"/>
      </w:tblPr>
      <w:tblGrid>
        <w:gridCol w:w="5419"/>
        <w:gridCol w:w="33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4</w:t>
            </w:r>
            <w:r>
              <w:rPr>
                <w:rFonts w:ascii="SimSun" w:eastAsia="SimSun" w:hAnsi="SimSun" w:cs="SimSun"/>
                <w:color w:val="000000"/>
                <w:spacing w:val="0"/>
                <w:w w:val="100"/>
                <w:position w:val="0"/>
                <w:sz w:val="19"/>
                <w:szCs w:val="19"/>
              </w:rPr>
              <w:t xml:space="preserve">月 </w:t>
            </w:r>
            <w:r>
              <w:rPr>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w:t>
            </w:r>
            <w:r>
              <w:rPr>
                <w:rFonts w:ascii="SimSun" w:eastAsia="SimSun" w:hAnsi="SimSun" w:cs="SimSun"/>
                <w:color w:val="000000"/>
                <w:spacing w:val="0"/>
                <w:w w:val="100"/>
                <w:position w:val="0"/>
                <w:sz w:val="19"/>
                <w:szCs w:val="19"/>
              </w:rPr>
              <w:t>月</w:t>
            </w:r>
            <w:r>
              <w:rPr>
                <w:color w:val="000000"/>
                <w:spacing w:val="0"/>
                <w:w w:val="100"/>
                <w:position w:val="0"/>
                <w:sz w:val="20"/>
                <w:szCs w:val="20"/>
              </w:rPr>
              <w:t>20</w:t>
            </w:r>
            <w:r>
              <w:rPr>
                <w:rFonts w:ascii="SimSun" w:eastAsia="SimSun" w:hAnsi="SimSun" w:cs="SimSun"/>
                <w:color w:val="000000"/>
                <w:spacing w:val="0"/>
                <w:w w:val="100"/>
                <w:position w:val="0"/>
                <w:sz w:val="19"/>
                <w:szCs w:val="19"/>
              </w:rPr>
              <w:t>日</w:t>
            </w:r>
          </w:p>
        </w:tc>
      </w:tr>
    </w:tbl>
    <w:p>
      <w:pPr>
        <w:widowControl w:val="0"/>
        <w:spacing w:after="239" w:line="1" w:lineRule="exact"/>
      </w:pPr>
    </w:p>
    <w:p>
      <w:pPr>
        <w:pStyle w:val="Style2"/>
        <w:keepNext w:val="0"/>
        <w:keepLines w:val="0"/>
        <w:widowControl w:val="0"/>
        <w:shd w:val="clear" w:color="auto" w:fill="auto"/>
        <w:bidi w:val="0"/>
        <w:spacing w:before="0" w:after="240" w:line="240" w:lineRule="auto"/>
        <w:ind w:left="0" w:right="0" w:firstLine="620"/>
        <w:jc w:val="left"/>
        <w:rPr>
          <w:sz w:val="22"/>
          <w:szCs w:val="22"/>
        </w:rPr>
      </w:pPr>
      <w:bookmarkStart w:id="135" w:name="bookmark135"/>
      <w:r>
        <w:rPr>
          <w:color w:val="000000"/>
          <w:spacing w:val="0"/>
          <w:w w:val="100"/>
          <w:position w:val="0"/>
          <w:sz w:val="22"/>
          <w:szCs w:val="22"/>
        </w:rPr>
        <w:t>（</w:t>
      </w:r>
      <w:bookmarkEnd w:id="135"/>
      <w:r>
        <w:rPr>
          <w:color w:val="000000"/>
          <w:spacing w:val="0"/>
          <w:w w:val="100"/>
          <w:position w:val="0"/>
          <w:sz w:val="22"/>
          <w:szCs w:val="22"/>
        </w:rPr>
        <w:t>2</w:t>
      </w:r>
      <w:r>
        <w:rPr>
          <w:rFonts w:ascii="SimSun" w:eastAsia="SimSun" w:hAnsi="SimSun" w:cs="SimSun"/>
          <w:color w:val="000000"/>
          <w:spacing w:val="0"/>
          <w:w w:val="100"/>
          <w:position w:val="0"/>
          <w:sz w:val="22"/>
          <w:szCs w:val="22"/>
        </w:rPr>
        <w:t>）注销子公司</w:t>
      </w:r>
    </w:p>
    <w:tbl>
      <w:tblPr>
        <w:tblOverlap w:val="never"/>
        <w:jc w:val="left"/>
        <w:tblLayout w:type="fixed"/>
      </w:tblPr>
      <w:tblGrid>
        <w:gridCol w:w="5419"/>
        <w:gridCol w:w="333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注销时间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9</w:t>
            </w:r>
            <w:r>
              <w:rPr>
                <w:rFonts w:ascii="SimSun" w:eastAsia="SimSun" w:hAnsi="SimSun" w:cs="SimSun"/>
                <w:color w:val="000000"/>
                <w:spacing w:val="0"/>
                <w:w w:val="100"/>
                <w:position w:val="0"/>
                <w:sz w:val="19"/>
                <w:szCs w:val="19"/>
              </w:rPr>
              <w:t>月</w:t>
            </w:r>
            <w:r>
              <w:rPr>
                <w:color w:val="000000"/>
                <w:spacing w:val="0"/>
                <w:w w:val="100"/>
                <w:position w:val="0"/>
                <w:sz w:val="20"/>
                <w:szCs w:val="20"/>
              </w:rPr>
              <w:t>24</w:t>
            </w:r>
            <w:r>
              <w:rPr>
                <w:rFonts w:ascii="SimSun" w:eastAsia="SimSun" w:hAnsi="SimSun" w:cs="SimSun"/>
                <w:color w:val="000000"/>
                <w:spacing w:val="0"/>
                <w:w w:val="100"/>
                <w:position w:val="0"/>
                <w:sz w:val="19"/>
                <w:szCs w:val="19"/>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山东科讯达恒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11</w:t>
            </w:r>
            <w:r>
              <w:rPr>
                <w:rFonts w:ascii="SimSun" w:eastAsia="SimSun" w:hAnsi="SimSun" w:cs="SimSun"/>
                <w:color w:val="000000"/>
                <w:spacing w:val="0"/>
                <w:w w:val="100"/>
                <w:position w:val="0"/>
                <w:sz w:val="19"/>
                <w:szCs w:val="19"/>
              </w:rPr>
              <w:t>月</w:t>
            </w:r>
            <w:r>
              <w:rPr>
                <w:color w:val="000000"/>
                <w:spacing w:val="0"/>
                <w:w w:val="100"/>
                <w:position w:val="0"/>
                <w:sz w:val="20"/>
                <w:szCs w:val="20"/>
              </w:rPr>
              <w:t>25</w:t>
            </w:r>
            <w:r>
              <w:rPr>
                <w:rFonts w:ascii="SimSun" w:eastAsia="SimSun" w:hAnsi="SimSun" w:cs="SimSun"/>
                <w:color w:val="000000"/>
                <w:spacing w:val="0"/>
                <w:w w:val="100"/>
                <w:position w:val="0"/>
                <w:sz w:val="19"/>
                <w:szCs w:val="19"/>
              </w:rPr>
              <w:t>日</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3</w:t>
            </w:r>
            <w:r>
              <w:rPr>
                <w:rFonts w:ascii="SimSun" w:eastAsia="SimSun" w:hAnsi="SimSun" w:cs="SimSun"/>
                <w:color w:val="000000"/>
                <w:spacing w:val="0"/>
                <w:w w:val="100"/>
                <w:position w:val="0"/>
                <w:sz w:val="19"/>
                <w:szCs w:val="19"/>
              </w:rPr>
              <w:t xml:space="preserve">月 </w:t>
            </w:r>
            <w:r>
              <w:rPr>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r>
    </w:tbl>
    <w:p>
      <w:pPr>
        <w:widowControl w:val="0"/>
        <w:spacing w:after="63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177,388,525.10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55,206,959.40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43,685,827.69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31,817,637.66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28,353,268.38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18,324,831.98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177,388,525.10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60.38%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110,039,388.94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36,148,822.23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23,551,410.12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16,864,175.97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15,474,980.63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110,039,388.94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83,410,679.37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101,373,805.62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销售费用较上年同期减少</w:t>
            </w:r>
            <w:r>
              <w:rPr>
                <w:color w:val="000000"/>
                <w:spacing w:val="0"/>
                <w:w w:val="100"/>
                <w:position w:val="0"/>
                <w:sz w:val="18"/>
                <w:szCs w:val="18"/>
              </w:rPr>
              <w:t>17.72%</w:t>
            </w:r>
            <w:r>
              <w:rPr>
                <w:rFonts w:ascii="SimSun" w:eastAsia="SimSun" w:hAnsi="SimSun" w:cs="SimSun"/>
                <w:color w:val="000000"/>
                <w:spacing w:val="0"/>
                <w:w w:val="100"/>
                <w:position w:val="0"/>
                <w:sz w:val="17"/>
                <w:szCs w:val="17"/>
              </w:rPr>
              <w:t>，主 要系报告期游戏产品投入的广告推 广费减少所致；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27,274,854.63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39,664,241.26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管理费用较上年同期减少</w:t>
            </w:r>
            <w:r>
              <w:rPr>
                <w:color w:val="000000"/>
                <w:spacing w:val="0"/>
                <w:w w:val="100"/>
                <w:position w:val="0"/>
                <w:sz w:val="18"/>
                <w:szCs w:val="18"/>
              </w:rPr>
              <w:t>31.24%</w:t>
            </w:r>
            <w:r>
              <w:rPr>
                <w:rFonts w:ascii="SimSun" w:eastAsia="SimSun" w:hAnsi="SimSun" w:cs="SimSun"/>
                <w:color w:val="000000"/>
                <w:spacing w:val="0"/>
                <w:w w:val="100"/>
                <w:position w:val="0"/>
                <w:sz w:val="17"/>
                <w:szCs w:val="17"/>
              </w:rPr>
              <w:t>，主 要系报告期期权费减少及各项费用 持续优化所致；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11,534,407.33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10,157,281.63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35,906,392.53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42,488,546.37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研发费用较上年同期减少</w:t>
            </w:r>
            <w:r>
              <w:rPr>
                <w:color w:val="000000"/>
                <w:spacing w:val="0"/>
                <w:w w:val="100"/>
                <w:position w:val="0"/>
                <w:sz w:val="18"/>
                <w:szCs w:val="18"/>
              </w:rPr>
              <w:t>15.49%</w:t>
            </w:r>
            <w:r>
              <w:rPr>
                <w:rFonts w:ascii="SimSun" w:eastAsia="SimSun" w:hAnsi="SimSun" w:cs="SimSun"/>
                <w:color w:val="000000"/>
                <w:spacing w:val="0"/>
                <w:w w:val="100"/>
                <w:position w:val="0"/>
                <w:sz w:val="17"/>
                <w:szCs w:val="17"/>
              </w:rPr>
              <w:t>，主 要系报告期研发投入减少所致；</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shd w:val="clear" w:color="auto" w:fill="auto"/>
        <w:bidi w:val="0"/>
        <w:spacing w:before="0" w:after="380" w:line="240" w:lineRule="auto"/>
        <w:ind w:left="0" w:right="0" w:firstLine="0"/>
        <w:jc w:val="left"/>
        <w:rPr>
          <w:sz w:val="22"/>
          <w:szCs w:val="22"/>
        </w:rPr>
      </w:pPr>
      <w:r>
        <w:rPr>
          <w:rFonts w:ascii="SimSun" w:eastAsia="SimSun" w:hAnsi="SimSun" w:cs="SimSun"/>
          <w:color w:val="000000"/>
          <w:spacing w:val="0"/>
          <w:w w:val="100"/>
          <w:position w:val="0"/>
          <w:sz w:val="22"/>
          <w:szCs w:val="22"/>
        </w:rPr>
        <w:t>报告期内，公司在研项目主要以手机游戏为主。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35,906,392.53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42,488,546.37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44,814,450.52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379,857,267.51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461,549,698.72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343,688,707.06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458,476,786.53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36,168,560.45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3,072,912.19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129,341,460.39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210,347,352.96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46,232,950.87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321,897,338.16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83,108,509.52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-111,549,985.20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336,167,906.00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331,540,890.90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288,510,965.64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-187,540,890.90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47,656,940.36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-68,355,093.79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-60,858,418.84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r>
    </w:tbl>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sz w:val="18"/>
          <w:szCs w:val="18"/>
        </w:rPr>
        <w:t>1,077.01%</w:t>
      </w:r>
      <w:r>
        <w:rPr>
          <w:color w:val="000000"/>
          <w:spacing w:val="0"/>
          <w:w w:val="100"/>
          <w:position w:val="0"/>
        </w:rPr>
        <w:t>，主要系报告期游戏产品投入的广告推广费及各项支出持续优化减 少所致；</w:t>
      </w:r>
    </w:p>
    <w:p>
      <w:pPr>
        <w:pStyle w:val="Style24"/>
        <w:keepNext w:val="0"/>
        <w:keepLines w:val="0"/>
        <w:widowControl w:val="0"/>
        <w:shd w:val="clear" w:color="auto" w:fill="auto"/>
        <w:bidi w:val="0"/>
        <w:spacing w:before="0" w:after="140" w:line="338" w:lineRule="exact"/>
        <w:ind w:left="0" w:right="0" w:firstLine="0"/>
        <w:jc w:val="left"/>
      </w:pPr>
      <w:r>
        <w:rPr>
          <w:color w:val="000000"/>
          <w:spacing w:val="0"/>
          <w:w w:val="100"/>
          <w:position w:val="0"/>
        </w:rPr>
        <w:t>投资活动产生的现金流量净额较上年同期增加</w:t>
      </w:r>
      <w:r>
        <w:rPr>
          <w:rFonts w:ascii="Times New Roman" w:eastAsia="Times New Roman" w:hAnsi="Times New Roman" w:cs="Times New Roman"/>
          <w:color w:val="000000"/>
          <w:spacing w:val="0"/>
          <w:w w:val="100"/>
          <w:position w:val="0"/>
          <w:sz w:val="18"/>
          <w:szCs w:val="18"/>
        </w:rPr>
        <w:t>174.50%</w:t>
      </w:r>
      <w:r>
        <w:rPr>
          <w:color w:val="000000"/>
          <w:spacing w:val="0"/>
          <w:w w:val="100"/>
          <w:position w:val="0"/>
        </w:rPr>
        <w:t>，主要系报告期理财产品到期收回、长期资产支出减少所致； 筹资活动产生的现金流量净额用较上年同期减少</w:t>
      </w:r>
      <w:r>
        <w:rPr>
          <w:rFonts w:ascii="Times New Roman" w:eastAsia="Times New Roman" w:hAnsi="Times New Roman" w:cs="Times New Roman"/>
          <w:color w:val="000000"/>
          <w:spacing w:val="0"/>
          <w:w w:val="100"/>
          <w:position w:val="0"/>
          <w:sz w:val="18"/>
          <w:szCs w:val="18"/>
        </w:rPr>
        <w:t>493.52%</w:t>
      </w:r>
      <w:r>
        <w:rPr>
          <w:color w:val="000000"/>
          <w:spacing w:val="0"/>
          <w:w w:val="100"/>
          <w:position w:val="0"/>
        </w:rPr>
        <w:t>，主要系报告期减少流动资金借款并归还流动资金借款所致； 报告期内公司经营活动产生的现金净流量与本年度净利润存在重大差异的原因说明</w:t>
      </w:r>
    </w:p>
    <w:p>
      <w:pPr>
        <w:pStyle w:val="Style24"/>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报告期内公司经营活动产生的现金净流量</w:t>
      </w:r>
      <w:r>
        <w:rPr>
          <w:color w:val="000000"/>
          <w:spacing w:val="0"/>
          <w:w w:val="100"/>
          <w:position w:val="0"/>
          <w:sz w:val="20"/>
          <w:szCs w:val="20"/>
        </w:rPr>
        <w:t>36,168,560.45</w:t>
      </w:r>
      <w:r>
        <w:rPr>
          <w:rFonts w:ascii="SimSun" w:eastAsia="SimSun" w:hAnsi="SimSun" w:cs="SimSun"/>
          <w:color w:val="000000"/>
          <w:spacing w:val="0"/>
          <w:w w:val="100"/>
          <w:position w:val="0"/>
          <w:sz w:val="19"/>
          <w:szCs w:val="19"/>
        </w:rPr>
        <w:t>元，本年度净利润</w:t>
      </w:r>
      <w:r>
        <w:rPr>
          <w:color w:val="000000"/>
          <w:spacing w:val="0"/>
          <w:w w:val="100"/>
          <w:position w:val="0"/>
          <w:sz w:val="20"/>
          <w:szCs w:val="20"/>
        </w:rPr>
        <w:t>-137,328,659.09</w:t>
      </w:r>
      <w:r>
        <w:rPr>
          <w:rFonts w:ascii="SimSun" w:eastAsia="SimSun" w:hAnsi="SimSun" w:cs="SimSun"/>
          <w:color w:val="000000"/>
          <w:spacing w:val="0"/>
          <w:w w:val="100"/>
          <w:position w:val="0"/>
          <w:sz w:val="19"/>
          <w:szCs w:val="19"/>
        </w:rPr>
        <w:t>元，差异原因主要是</w:t>
      </w:r>
    </w:p>
    <w:p>
      <w:pPr>
        <w:pStyle w:val="Style2"/>
        <w:keepNext w:val="0"/>
        <w:keepLines w:val="0"/>
        <w:widowControl w:val="0"/>
        <w:shd w:val="clear" w:color="auto" w:fill="auto"/>
        <w:tabs>
          <w:tab w:pos="349" w:val="left"/>
        </w:tabs>
        <w:bidi w:val="0"/>
        <w:spacing w:before="0" w:after="0" w:line="330" w:lineRule="exact"/>
        <w:ind w:left="0" w:right="0" w:firstLine="0"/>
        <w:jc w:val="left"/>
        <w:rPr>
          <w:sz w:val="19"/>
          <w:szCs w:val="19"/>
        </w:rPr>
      </w:pPr>
      <w:bookmarkStart w:id="156" w:name="bookmark156"/>
      <w:r>
        <w:rPr>
          <w:color w:val="000000"/>
          <w:spacing w:val="0"/>
          <w:w w:val="100"/>
          <w:position w:val="0"/>
          <w:sz w:val="20"/>
          <w:szCs w:val="20"/>
        </w:rPr>
        <w:t>1</w:t>
      </w:r>
      <w:bookmarkEnd w:id="156"/>
      <w:r>
        <w:rPr>
          <w:rFonts w:ascii="SimSun" w:eastAsia="SimSun" w:hAnsi="SimSun" w:cs="SimSun"/>
          <w:color w:val="000000"/>
          <w:spacing w:val="0"/>
          <w:w w:val="100"/>
          <w:position w:val="0"/>
          <w:sz w:val="19"/>
          <w:szCs w:val="19"/>
        </w:rPr>
        <w:t>、</w:t>
        <w:tab/>
        <w:t>本期计提资产减值损失</w:t>
      </w:r>
      <w:r>
        <w:rPr>
          <w:color w:val="000000"/>
          <w:spacing w:val="0"/>
          <w:w w:val="100"/>
          <w:position w:val="0"/>
          <w:sz w:val="20"/>
          <w:szCs w:val="20"/>
        </w:rPr>
        <w:t>83,805,032.30</w:t>
      </w:r>
      <w:r>
        <w:rPr>
          <w:rFonts w:ascii="SimSun" w:eastAsia="SimSun" w:hAnsi="SimSun" w:cs="SimSun"/>
          <w:color w:val="000000"/>
          <w:spacing w:val="0"/>
          <w:w w:val="100"/>
          <w:position w:val="0"/>
          <w:sz w:val="19"/>
          <w:szCs w:val="19"/>
        </w:rPr>
        <w:t>元</w:t>
      </w:r>
    </w:p>
    <w:p>
      <w:pPr>
        <w:pStyle w:val="Style2"/>
        <w:keepNext w:val="0"/>
        <w:keepLines w:val="0"/>
        <w:widowControl w:val="0"/>
        <w:shd w:val="clear" w:color="auto" w:fill="auto"/>
        <w:tabs>
          <w:tab w:pos="368" w:val="left"/>
        </w:tabs>
        <w:bidi w:val="0"/>
        <w:spacing w:before="0" w:after="60" w:line="330" w:lineRule="exact"/>
        <w:ind w:left="0" w:right="0" w:firstLine="0"/>
        <w:jc w:val="left"/>
        <w:rPr>
          <w:sz w:val="19"/>
          <w:szCs w:val="19"/>
        </w:rPr>
      </w:pPr>
      <w:bookmarkStart w:id="157" w:name="bookmark157"/>
      <w:r>
        <w:rPr>
          <w:color w:val="000000"/>
          <w:spacing w:val="0"/>
          <w:w w:val="100"/>
          <w:position w:val="0"/>
          <w:sz w:val="20"/>
          <w:szCs w:val="20"/>
        </w:rPr>
        <w:t>2</w:t>
      </w:r>
      <w:bookmarkEnd w:id="157"/>
      <w:r>
        <w:rPr>
          <w:rFonts w:ascii="SimSun" w:eastAsia="SimSun" w:hAnsi="SimSun" w:cs="SimSun"/>
          <w:color w:val="000000"/>
          <w:spacing w:val="0"/>
          <w:w w:val="100"/>
          <w:position w:val="0"/>
          <w:sz w:val="19"/>
          <w:szCs w:val="19"/>
        </w:rPr>
        <w:t>、</w:t>
        <w:tab/>
        <w:t>本期资产折旧、摊销</w:t>
      </w:r>
      <w:r>
        <w:rPr>
          <w:color w:val="000000"/>
          <w:spacing w:val="0"/>
          <w:w w:val="100"/>
          <w:position w:val="0"/>
          <w:sz w:val="20"/>
          <w:szCs w:val="20"/>
        </w:rPr>
        <w:t>53,234,628.10</w:t>
      </w:r>
      <w:r>
        <w:rPr>
          <w:rFonts w:ascii="SimSun" w:eastAsia="SimSun" w:hAnsi="SimSun" w:cs="SimSun"/>
          <w:color w:val="000000"/>
          <w:spacing w:val="0"/>
          <w:w w:val="100"/>
          <w:position w:val="0"/>
          <w:sz w:val="19"/>
          <w:szCs w:val="19"/>
        </w:rPr>
        <w:t>元</w:t>
      </w:r>
    </w:p>
    <w:p>
      <w:pPr>
        <w:pStyle w:val="Style2"/>
        <w:keepNext w:val="0"/>
        <w:keepLines w:val="0"/>
        <w:widowControl w:val="0"/>
        <w:shd w:val="clear" w:color="auto" w:fill="auto"/>
        <w:tabs>
          <w:tab w:pos="368" w:val="left"/>
        </w:tabs>
        <w:bidi w:val="0"/>
        <w:spacing w:before="0" w:after="140" w:line="240" w:lineRule="auto"/>
        <w:ind w:left="0" w:right="0" w:firstLine="0"/>
        <w:jc w:val="left"/>
        <w:rPr>
          <w:sz w:val="22"/>
          <w:szCs w:val="22"/>
        </w:rPr>
      </w:pPr>
      <w:bookmarkStart w:id="158" w:name="bookmark158"/>
      <w:r>
        <w:rPr>
          <w:color w:val="000000"/>
          <w:spacing w:val="0"/>
          <w:w w:val="100"/>
          <w:position w:val="0"/>
          <w:sz w:val="20"/>
          <w:szCs w:val="20"/>
        </w:rPr>
        <w:t>3</w:t>
      </w:r>
      <w:bookmarkEnd w:id="158"/>
      <w:r>
        <w:rPr>
          <w:rFonts w:ascii="SimSun" w:eastAsia="SimSun" w:hAnsi="SimSun" w:cs="SimSun"/>
          <w:color w:val="000000"/>
          <w:spacing w:val="0"/>
          <w:w w:val="100"/>
          <w:position w:val="0"/>
          <w:sz w:val="19"/>
          <w:szCs w:val="19"/>
        </w:rPr>
        <w:t>、</w:t>
        <w:tab/>
        <w:t>经营性应收应付项目净额减少</w:t>
      </w:r>
      <w:r>
        <w:rPr>
          <w:color w:val="000000"/>
          <w:spacing w:val="0"/>
          <w:w w:val="100"/>
          <w:position w:val="0"/>
          <w:sz w:val="24"/>
          <w:szCs w:val="24"/>
        </w:rPr>
        <w:t>38,595,487.99</w:t>
      </w:r>
      <w:r>
        <w:rPr>
          <w:rFonts w:ascii="SimSun" w:eastAsia="SimSun" w:hAnsi="SimSun" w:cs="SimSun"/>
          <w:color w:val="000000"/>
          <w:spacing w:val="0"/>
          <w:w w:val="100"/>
          <w:position w:val="0"/>
          <w:sz w:val="22"/>
          <w:szCs w:val="22"/>
        </w:rPr>
        <w:t>元</w:t>
      </w:r>
      <w:r>
        <w:br w:type="page"/>
      </w:r>
    </w:p>
    <w:p>
      <w:pPr>
        <w:pStyle w:val="Style22"/>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三</w:t>
      </w:r>
      <w:bookmarkEnd w:id="161"/>
      <w:r>
        <w:rPr>
          <w:color w:val="000000"/>
          <w:spacing w:val="0"/>
          <w:w w:val="100"/>
          <w:position w:val="0"/>
          <w:sz w:val="24"/>
          <w:szCs w:val="24"/>
        </w:rPr>
        <w:t>、非主营业务情况</w:t>
      </w:r>
      <w:bookmarkEnd w:id="159"/>
      <w:bookmarkEnd w:id="160"/>
      <w:bookmarkEnd w:id="16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10,803,044.86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本期确认权益法核算的长 期股权投资收益 </w:t>
            </w:r>
            <w:r>
              <w:rPr>
                <w:color w:val="000000"/>
                <w:spacing w:val="0"/>
                <w:w w:val="100"/>
                <w:position w:val="0"/>
                <w:sz w:val="18"/>
                <w:szCs w:val="18"/>
              </w:rPr>
              <w:t>4,128,031.34</w:t>
            </w:r>
            <w:r>
              <w:rPr>
                <w:rFonts w:ascii="SimSun" w:eastAsia="SimSun" w:hAnsi="SimSun" w:cs="SimSun"/>
                <w:color w:val="000000"/>
                <w:spacing w:val="0"/>
                <w:w w:val="100"/>
                <w:position w:val="0"/>
                <w:sz w:val="17"/>
                <w:szCs w:val="17"/>
              </w:rPr>
              <w:t>元、投资公司</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分红 </w:t>
            </w:r>
            <w:r>
              <w:rPr>
                <w:color w:val="000000"/>
                <w:spacing w:val="0"/>
                <w:w w:val="100"/>
                <w:position w:val="0"/>
                <w:sz w:val="18"/>
                <w:szCs w:val="18"/>
              </w:rPr>
              <w:t xml:space="preserve">6,675,000.00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46,423,299.59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 xml:space="preserve">本期计提长期股权投资减 值损失 </w:t>
            </w:r>
            <w:r>
              <w:rPr>
                <w:color w:val="000000"/>
                <w:spacing w:val="0"/>
                <w:w w:val="100"/>
                <w:position w:val="0"/>
              </w:rPr>
              <w:t xml:space="preserve">24,692,383.43 </w:t>
            </w:r>
            <w:r>
              <w:rPr>
                <w:rFonts w:ascii="SimSun" w:eastAsia="SimSun" w:hAnsi="SimSun" w:cs="SimSun"/>
                <w:color w:val="000000"/>
                <w:spacing w:val="0"/>
                <w:w w:val="100"/>
                <w:position w:val="0"/>
                <w:sz w:val="17"/>
                <w:szCs w:val="17"/>
              </w:rPr>
              <w:t xml:space="preserve">元、 商誉减值损失 </w:t>
            </w:r>
            <w:r>
              <w:rPr>
                <w:color w:val="000000"/>
                <w:spacing w:val="0"/>
                <w:w w:val="100"/>
                <w:position w:val="0"/>
              </w:rPr>
              <w:t xml:space="preserve">12,513,243.80 </w:t>
            </w:r>
            <w:r>
              <w:rPr>
                <w:rFonts w:ascii="SimSun" w:eastAsia="SimSun" w:hAnsi="SimSun" w:cs="SimSun"/>
                <w:color w:val="000000"/>
                <w:spacing w:val="0"/>
                <w:w w:val="100"/>
                <w:position w:val="0"/>
                <w:sz w:val="17"/>
                <w:szCs w:val="17"/>
              </w:rPr>
              <w:t>元、固定资 产减值损失</w:t>
            </w:r>
            <w:r>
              <w:rPr>
                <w:color w:val="000000"/>
                <w:spacing w:val="0"/>
                <w:w w:val="100"/>
                <w:position w:val="0"/>
              </w:rPr>
              <w:t>9,217,672.36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5,198,102.15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本期确认与收益相关的政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府补助</w:t>
            </w:r>
            <w:r>
              <w:rPr>
                <w:color w:val="000000"/>
                <w:spacing w:val="0"/>
                <w:w w:val="100"/>
                <w:position w:val="0"/>
                <w:sz w:val="18"/>
                <w:szCs w:val="18"/>
              </w:rPr>
              <w:t>5,081,032.16</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751,803.11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本期确认固定资产处置损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失 </w:t>
            </w:r>
            <w:r>
              <w:rPr>
                <w:color w:val="000000"/>
                <w:spacing w:val="0"/>
                <w:w w:val="100"/>
                <w:position w:val="0"/>
                <w:sz w:val="18"/>
                <w:szCs w:val="18"/>
              </w:rPr>
              <w:t xml:space="preserve">666,363.81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37,381,732.71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本期计提应收款项坏账损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失 </w:t>
            </w:r>
            <w:r>
              <w:rPr>
                <w:color w:val="000000"/>
                <w:spacing w:val="0"/>
                <w:w w:val="100"/>
                <w:position w:val="0"/>
                <w:sz w:val="18"/>
                <w:szCs w:val="18"/>
              </w:rPr>
              <w:t xml:space="preserve">37,381,732.71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7,162,035.36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本期确认政府补助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2,111,017.76</w:t>
            </w:r>
            <w:r>
              <w:rPr>
                <w:rFonts w:ascii="SimSun" w:eastAsia="SimSun" w:hAnsi="SimSun" w:cs="SimSun"/>
                <w:color w:val="000000"/>
                <w:spacing w:val="0"/>
                <w:w w:val="100"/>
                <w:position w:val="0"/>
                <w:sz w:val="17"/>
                <w:szCs w:val="17"/>
              </w:rPr>
              <w:t>元、进项税加</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计扣除</w:t>
            </w:r>
            <w:r>
              <w:rPr>
                <w:color w:val="000000"/>
                <w:spacing w:val="0"/>
                <w:w w:val="100"/>
                <w:position w:val="0"/>
                <w:sz w:val="18"/>
                <w:szCs w:val="18"/>
              </w:rPr>
              <w:t>4,887,428.49</w:t>
            </w:r>
            <w:r>
              <w:rPr>
                <w:rFonts w:ascii="SimSun" w:eastAsia="SimSun" w:hAnsi="SimSun" w:cs="SimSun"/>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四</w:t>
      </w:r>
      <w:bookmarkEnd w:id="165"/>
      <w:r>
        <w:rPr>
          <w:color w:val="000000"/>
          <w:spacing w:val="0"/>
          <w:w w:val="100"/>
          <w:position w:val="0"/>
          <w:sz w:val="24"/>
          <w:szCs w:val="24"/>
        </w:rPr>
        <w:t>、资产及负债状况分析</w:t>
      </w:r>
      <w:bookmarkEnd w:id="163"/>
      <w:bookmarkEnd w:id="164"/>
      <w:bookmarkEnd w:id="166"/>
    </w:p>
    <w:p>
      <w:pPr>
        <w:pStyle w:val="Style31"/>
        <w:keepNext/>
        <w:keepLines/>
        <w:widowControl w:val="0"/>
        <w:shd w:val="clear" w:color="auto" w:fill="auto"/>
        <w:bidi w:val="0"/>
        <w:spacing w:before="0" w:after="22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109,621,446.7</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270,570,112.20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146,069,424.5</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205,710,510.33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1,989,380.53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25,414,131.20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45,978,483.29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245,740,133.7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168,312,258.65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110,697,164.66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132,638,692.3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215,887,305.31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304,430,155.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-33,768,277.55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295,338,069.15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316,980,155.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-33,768,277.55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307,888,069.15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316,980,155.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-33,768,277.55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307,898,069.15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tbl>
      <w:tblPr>
        <w:tblOverlap w:val="never"/>
        <w:jc w:val="left"/>
        <w:tblLayout w:type="fixed"/>
      </w:tblPr>
      <w:tblGrid>
        <w:gridCol w:w="2246"/>
        <w:gridCol w:w="3115"/>
        <w:gridCol w:w="33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8,980,221.41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深圳人才住房，只有使用权没有处置权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8,860,371.00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专用账户使用受限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17,840,592.41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2"/>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、投资状况分析</w:t>
      </w:r>
      <w:bookmarkEnd w:id="179"/>
      <w:bookmarkEnd w:id="180"/>
      <w:bookmarkEnd w:id="182"/>
    </w:p>
    <w:p>
      <w:pPr>
        <w:pStyle w:val="Style31"/>
        <w:keepNext/>
        <w:keepLines/>
        <w:widowControl w:val="0"/>
        <w:shd w:val="clear" w:color="auto" w:fill="auto"/>
        <w:tabs>
          <w:tab w:pos="368" w:val="left"/>
        </w:tabs>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w:t>
        <w:tab/>
        <w:t>总体情况</w:t>
      </w:r>
      <w:bookmarkEnd w:id="183"/>
      <w:bookmarkEnd w:id="184"/>
      <w:bookmarkEnd w:id="18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以公允价值计量的金融资产</w:t>
      </w:r>
      <w:bookmarkEnd w:id="195"/>
      <w:bookmarkEnd w:id="196"/>
      <w:bookmarkEnd w:id="198"/>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316,980,15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-33,768,277.55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307,898,069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316,980,15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-33,768,277.55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307,898,069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3"/>
      <w:bookmarkEnd w:id="204"/>
      <w:bookmarkEnd w:id="206"/>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专户存放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1"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[2010]94</w:t>
      </w:r>
      <w:r>
        <w:rPr>
          <w:color w:val="000000"/>
          <w:spacing w:val="0"/>
          <w:w w:val="100"/>
          <w:position w:val="0"/>
        </w:rPr>
        <w:t>号文核准，并经深圳证券交易所同意，深圳中青宝互动网络股份有限公司（以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日止，本公司共募集资金人民币</w:t>
      </w:r>
      <w:r>
        <w:rPr>
          <w:rFonts w:ascii="Times New Roman" w:eastAsia="Times New Roman" w:hAnsi="Times New Roman" w:cs="Times New Roman"/>
          <w:color w:val="000000"/>
          <w:spacing w:val="0"/>
          <w:w w:val="100"/>
          <w:position w:val="0"/>
          <w:sz w:val="18"/>
          <w:szCs w:val="18"/>
        </w:rPr>
        <w:t>750,000,000.00</w:t>
      </w:r>
      <w:r>
        <w:rPr>
          <w:color w:val="000000"/>
          <w:spacing w:val="0"/>
          <w:w w:val="100"/>
          <w:position w:val="0"/>
        </w:rPr>
        <w:t>元，扣除发行费用人 民币</w:t>
      </w:r>
      <w:r>
        <w:rPr>
          <w:rFonts w:ascii="Times New Roman" w:eastAsia="Times New Roman" w:hAnsi="Times New Roman" w:cs="Times New Roman"/>
          <w:color w:val="000000"/>
          <w:spacing w:val="0"/>
          <w:w w:val="100"/>
          <w:position w:val="0"/>
          <w:sz w:val="18"/>
          <w:szCs w:val="18"/>
        </w:rPr>
        <w:t>45,754,350.28</w:t>
      </w:r>
      <w:r>
        <w:rPr>
          <w:color w:val="000000"/>
          <w:spacing w:val="0"/>
          <w:w w:val="100"/>
          <w:position w:val="0"/>
        </w:rPr>
        <w:t>元，募集资金净额人民币</w:t>
      </w:r>
      <w:r>
        <w:rPr>
          <w:rFonts w:ascii="Times New Roman" w:eastAsia="Times New Roman" w:hAnsi="Times New Roman" w:cs="Times New Roman"/>
          <w:color w:val="000000"/>
          <w:spacing w:val="0"/>
          <w:w w:val="100"/>
          <w:position w:val="0"/>
          <w:sz w:val="18"/>
          <w:szCs w:val="18"/>
        </w:rPr>
        <w:t>704,245,649.72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日，本公司上述发行募集的资金已全 部到位，业经深圳市鹏城会计师事务所有限公司审验并出具深鹏所验字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号《验资报告》。本公司依据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日财政部颁布的财会</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rPr>
        <w:t>号《财政部关于执行企业会计准则的上市公司和非上市企业做好</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年年报工作的 通知》的要求，将不符合发行费要求的费用合计人民币</w:t>
      </w:r>
      <w:r>
        <w:rPr>
          <w:rFonts w:ascii="Times New Roman" w:eastAsia="Times New Roman" w:hAnsi="Times New Roman" w:cs="Times New Roman"/>
          <w:color w:val="000000"/>
          <w:spacing w:val="0"/>
          <w:w w:val="100"/>
          <w:position w:val="0"/>
          <w:sz w:val="18"/>
          <w:szCs w:val="18"/>
        </w:rPr>
        <w:t>6,509,350.28</w:t>
      </w:r>
      <w:r>
        <w:rPr>
          <w:color w:val="000000"/>
          <w:spacing w:val="0"/>
          <w:w w:val="100"/>
          <w:position w:val="0"/>
        </w:rPr>
        <w:t xml:space="preserve">元进行了调整，调整后募集资金净额为人民币 </w:t>
      </w:r>
      <w:r>
        <w:rPr>
          <w:rFonts w:ascii="Times New Roman" w:eastAsia="Times New Roman" w:hAnsi="Times New Roman" w:cs="Times New Roman"/>
          <w:color w:val="000000"/>
          <w:spacing w:val="0"/>
          <w:w w:val="100"/>
          <w:position w:val="0"/>
          <w:sz w:val="18"/>
          <w:szCs w:val="18"/>
        </w:rPr>
        <w:t>710,755,000.00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sz w:val="18"/>
          <w:szCs w:val="18"/>
        </w:rPr>
        <w:t>758,377,010.05</w:t>
      </w:r>
      <w:r>
        <w:rPr>
          <w:color w:val="000000"/>
          <w:spacing w:val="0"/>
          <w:w w:val="100"/>
          <w:position w:val="0"/>
        </w:rPr>
        <w:t>元，其中：公司于募集 资金到位之前利用自有资金先期投入募集资金项目人民币</w:t>
      </w:r>
      <w:r>
        <w:rPr>
          <w:rFonts w:ascii="Times New Roman" w:eastAsia="Times New Roman" w:hAnsi="Times New Roman" w:cs="Times New Roman"/>
          <w:color w:val="000000"/>
          <w:spacing w:val="0"/>
          <w:w w:val="100"/>
          <w:position w:val="0"/>
          <w:sz w:val="18"/>
          <w:szCs w:val="18"/>
        </w:rPr>
        <w:t>27,161,557.50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已使用募集资金人民币</w:t>
      </w:r>
      <w:r>
        <w:rPr>
          <w:rFonts w:ascii="Times New Roman" w:eastAsia="Times New Roman" w:hAnsi="Times New Roman" w:cs="Times New Roman"/>
          <w:color w:val="000000"/>
          <w:spacing w:val="0"/>
          <w:w w:val="100"/>
          <w:position w:val="0"/>
          <w:sz w:val="18"/>
          <w:szCs w:val="18"/>
        </w:rPr>
        <w:t>731,215,452.55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年度使用募集资金人民币</w:t>
      </w:r>
      <w:r>
        <w:rPr>
          <w:rFonts w:ascii="Times New Roman" w:eastAsia="Times New Roman" w:hAnsi="Times New Roman" w:cs="Times New Roman"/>
          <w:color w:val="000000"/>
          <w:spacing w:val="0"/>
          <w:w w:val="100"/>
          <w:position w:val="0"/>
          <w:sz w:val="18"/>
          <w:szCs w:val="18"/>
        </w:rPr>
        <w:t>13,317,799.55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 集资金存放期间产生专用账户利息收入净额为人民币</w:t>
      </w:r>
      <w:r>
        <w:rPr>
          <w:rFonts w:ascii="Times New Roman" w:eastAsia="Times New Roman" w:hAnsi="Times New Roman" w:cs="Times New Roman"/>
          <w:color w:val="000000"/>
          <w:spacing w:val="0"/>
          <w:w w:val="100"/>
          <w:position w:val="0"/>
          <w:sz w:val="18"/>
          <w:szCs w:val="18"/>
        </w:rPr>
        <w:t>50,317,844.44</w:t>
      </w:r>
      <w:r>
        <w:rPr>
          <w:color w:val="000000"/>
          <w:spacing w:val="0"/>
          <w:w w:val="100"/>
          <w:position w:val="0"/>
        </w:rPr>
        <w:t>元（已扣除相关手续费和账户维护费）。截至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2,695,834.39</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7"/>
      <w:bookmarkEnd w:id="208"/>
      <w:bookmarkEnd w:id="21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承诺投 资项目 和超募 资金投</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截止报告 期末累计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1.3D </w:t>
            </w:r>
            <w:r>
              <w:rPr>
                <w:rFonts w:ascii="SimSun" w:eastAsia="SimSun" w:hAnsi="SimSun" w:cs="SimSun"/>
                <w:color w:val="000000"/>
                <w:spacing w:val="0"/>
                <w:w w:val="100"/>
                <w:position w:val="0"/>
                <w:sz w:val="17"/>
                <w:szCs w:val="17"/>
              </w:rPr>
              <w:t>游 戏《盟 军》开发 项目（暂 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2.2.5D</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游戏《三 国游侠》 开发项</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目（暂定 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3.2.5D</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游戏《新 宋演义》 开发项</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目（暂定 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4.3D </w:t>
            </w:r>
            <w:r>
              <w:rPr>
                <w:rFonts w:ascii="SimSun" w:eastAsia="SimSun" w:hAnsi="SimSun" w:cs="SimSun"/>
                <w:color w:val="000000"/>
                <w:spacing w:val="0"/>
                <w:w w:val="100"/>
                <w:position w:val="0"/>
                <w:sz w:val="17"/>
                <w:szCs w:val="17"/>
              </w:rPr>
              <w:t>游 戏《寻梦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园》开发 项目（暂 定名）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1,937.68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苏州 研发中 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美峰数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码科技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14,280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-2,099.78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司</w:t>
            </w: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市苏摩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2,186.63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权收购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凤凰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1,606.55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-1,280.92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普体验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园项目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球类</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游戏推 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承诺投 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37,646.76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5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以游 戏产品</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（非募 投项目 产品）推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8,774.52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广为目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的的营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卓页互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动用于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1,764.28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中青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聚宝项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7,394.34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第三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方支付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公司</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聚宝计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划''中的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6,476.27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增资 卓页网 页游戏 的运营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永久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超募资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39,583.13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12,304.32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77,229.89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0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5" w:lineRule="exact"/>
              <w:ind w:left="0" w:right="0" w:firstLine="0"/>
              <w:jc w:val="both"/>
              <w:rPr>
                <w:sz w:val="17"/>
                <w:szCs w:val="17"/>
              </w:rPr>
            </w:pPr>
            <w:r>
              <w:rPr>
                <w:rFonts w:ascii="SimSun" w:eastAsia="SimSun" w:hAnsi="SimSun" w:cs="SimSun"/>
                <w:color w:val="000000"/>
                <w:spacing w:val="0"/>
                <w:w w:val="100"/>
                <w:position w:val="0"/>
                <w:sz w:val="17"/>
                <w:szCs w:val="17"/>
              </w:rPr>
              <w:t>承诺项目：</w:t>
            </w:r>
          </w:p>
          <w:p>
            <w:pPr>
              <w:pStyle w:val="Style2"/>
              <w:keepNext w:val="0"/>
              <w:keepLines w:val="0"/>
              <w:widowControl w:val="0"/>
              <w:shd w:val="clear" w:color="auto" w:fill="auto"/>
              <w:tabs>
                <w:tab w:pos="264" w:val="left"/>
              </w:tabs>
              <w:bidi w:val="0"/>
              <w:spacing w:before="0" w:after="4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3D</w:t>
            </w:r>
            <w:r>
              <w:rPr>
                <w:rFonts w:ascii="SimSun" w:eastAsia="SimSun" w:hAnsi="SimSun" w:cs="SimSun"/>
                <w:color w:val="000000"/>
                <w:spacing w:val="0"/>
                <w:w w:val="100"/>
                <w:position w:val="0"/>
                <w:sz w:val="17"/>
                <w:szCs w:val="17"/>
              </w:rPr>
              <w:t>游戏《盟军》开发项目（暂定名），未按照计划时间达到项目预计使用状态的原因是公司为适应市场需求， 提升用户游戏体验，延长了产品研发周期。原预计达到使用状态的时间为</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日，后续经对该项目 进行重新评估，并进行持续不断地优化和完善，已于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日正式进行大规模上线运营。受玩家习惯、 偏好以及市场等因素影响，暂未达到预计效益，目前该游戏已下线。</w:t>
            </w:r>
          </w:p>
          <w:p>
            <w:pPr>
              <w:pStyle w:val="Style2"/>
              <w:keepNext w:val="0"/>
              <w:keepLines w:val="0"/>
              <w:widowControl w:val="0"/>
              <w:shd w:val="clear" w:color="auto" w:fill="auto"/>
              <w:tabs>
                <w:tab w:pos="269" w:val="left"/>
              </w:tabs>
              <w:bidi w:val="0"/>
              <w:spacing w:before="0" w:after="4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2.5D</w:t>
            </w:r>
            <w:r>
              <w:rPr>
                <w:rFonts w:ascii="SimSun" w:eastAsia="SimSun" w:hAnsi="SimSun" w:cs="SimSun"/>
                <w:color w:val="000000"/>
                <w:spacing w:val="0"/>
                <w:w w:val="100"/>
                <w:position w:val="0"/>
                <w:sz w:val="17"/>
                <w:szCs w:val="17"/>
              </w:rPr>
              <w:t>游戏《三国游侠》开发项目（暂定名）和</w:t>
            </w:r>
            <w:r>
              <w:rPr>
                <w:color w:val="000000"/>
                <w:spacing w:val="0"/>
                <w:w w:val="100"/>
                <w:position w:val="0"/>
                <w:sz w:val="18"/>
                <w:szCs w:val="18"/>
              </w:rPr>
              <w:t>2.5D</w:t>
            </w:r>
            <w:r>
              <w:rPr>
                <w:rFonts w:ascii="SimSun" w:eastAsia="SimSun" w:hAnsi="SimSun" w:cs="SimSun"/>
                <w:color w:val="000000"/>
                <w:spacing w:val="0"/>
                <w:w w:val="100"/>
                <w:position w:val="0"/>
                <w:sz w:val="17"/>
                <w:szCs w:val="17"/>
              </w:rPr>
              <w:t>游戏《新宋演义》开发项目（暂定名），产品分别于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月和</w:t>
            </w:r>
            <w:r>
              <w:rPr>
                <w:color w:val="000000"/>
                <w:spacing w:val="0"/>
                <w:w w:val="100"/>
                <w:position w:val="0"/>
                <w:sz w:val="18"/>
                <w:szCs w:val="18"/>
              </w:rPr>
              <w:t>12</w:t>
            </w:r>
            <w:r>
              <w:rPr>
                <w:rFonts w:ascii="SimSun" w:eastAsia="SimSun" w:hAnsi="SimSun" w:cs="SimSun"/>
                <w:color w:val="000000"/>
                <w:spacing w:val="0"/>
                <w:w w:val="100"/>
                <w:position w:val="0"/>
                <w:sz w:val="17"/>
                <w:szCs w:val="17"/>
              </w:rPr>
              <w:t>月进行上线测试运营，因测试过程中发现存在一些问题，游戏的稳定性、可玩性一直在做进一步的 完善与优化。</w:t>
            </w:r>
            <w:r>
              <w:rPr>
                <w:color w:val="000000"/>
                <w:spacing w:val="0"/>
                <w:w w:val="100"/>
                <w:position w:val="0"/>
                <w:sz w:val="18"/>
                <w:szCs w:val="18"/>
              </w:rPr>
              <w:t>2014</w:t>
            </w:r>
            <w:r>
              <w:rPr>
                <w:rFonts w:ascii="SimSun" w:eastAsia="SimSun" w:hAnsi="SimSun" w:cs="SimSun"/>
                <w:color w:val="000000"/>
                <w:spacing w:val="0"/>
                <w:w w:val="100"/>
                <w:position w:val="0"/>
                <w:sz w:val="17"/>
                <w:szCs w:val="17"/>
              </w:rPr>
              <w:t>年改版后，受玩家习惯、偏好以及市场等因素影响，暂未达到预计效益，目前该游戏已下线。</w:t>
            </w:r>
          </w:p>
          <w:p>
            <w:pPr>
              <w:pStyle w:val="Style2"/>
              <w:keepNext w:val="0"/>
              <w:keepLines w:val="0"/>
              <w:widowControl w:val="0"/>
              <w:shd w:val="clear" w:color="auto" w:fill="auto"/>
              <w:tabs>
                <w:tab w:pos="269" w:val="left"/>
              </w:tabs>
              <w:bidi w:val="0"/>
              <w:spacing w:before="0" w:after="4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3D</w:t>
            </w:r>
            <w:r>
              <w:rPr>
                <w:rFonts w:ascii="SimSun" w:eastAsia="SimSun" w:hAnsi="SimSun" w:cs="SimSun"/>
                <w:color w:val="000000"/>
                <w:spacing w:val="0"/>
                <w:w w:val="100"/>
                <w:position w:val="0"/>
                <w:sz w:val="17"/>
                <w:szCs w:val="17"/>
              </w:rPr>
              <w:t>游戏《寻梦园》开发项目（暂定名），由于海外运营收入缩减及受国内网络游戏行业的转型影响，暂未达 到预计效益，目前该游戏已下线。</w:t>
            </w:r>
          </w:p>
          <w:p>
            <w:pPr>
              <w:pStyle w:val="Style2"/>
              <w:keepNext w:val="0"/>
              <w:keepLines w:val="0"/>
              <w:widowControl w:val="0"/>
              <w:shd w:val="clear" w:color="auto" w:fill="auto"/>
              <w:tabs>
                <w:tab w:pos="254" w:val="left"/>
              </w:tabs>
              <w:bidi w:val="0"/>
              <w:spacing w:before="0" w:after="4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深圳苏摩股权收购项目，一方面，游戏市场竞争白热化，公司新游戏推广受到市场压力，数款新游戏尚未开 始产生效益，部分游戏经营情况未达预期；另一方面，公司内部人员结构及业务内容处于优化整合时期，影响公 司整体经营情况。</w:t>
            </w:r>
          </w:p>
          <w:p>
            <w:pPr>
              <w:pStyle w:val="Style2"/>
              <w:keepNext w:val="0"/>
              <w:keepLines w:val="0"/>
              <w:widowControl w:val="0"/>
              <w:shd w:val="clear" w:color="auto" w:fill="auto"/>
              <w:tabs>
                <w:tab w:pos="245" w:val="left"/>
              </w:tabs>
              <w:bidi w:val="0"/>
              <w:spacing w:before="0" w:after="4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凤凰高科技文化科普体验园项目，由于目前处于新业务领域布局建设和投资阶段，虽取得阶段性成果，但尚 未盈利。</w:t>
            </w:r>
          </w:p>
          <w:p>
            <w:pPr>
              <w:pStyle w:val="Style2"/>
              <w:keepNext w:val="0"/>
              <w:keepLines w:val="0"/>
              <w:widowControl w:val="0"/>
              <w:shd w:val="clear" w:color="auto" w:fill="auto"/>
              <w:tabs>
                <w:tab w:pos="274" w:val="left"/>
              </w:tabs>
              <w:bidi w:val="0"/>
              <w:spacing w:before="0" w:after="40" w:line="317"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球类游戏推广项目，由于目前处于产品布局初期，加上同类竞品推新迭代，获客成本不断提高，虽取得阶段 性成果，但尚未盈利。</w:t>
            </w:r>
          </w:p>
          <w:p>
            <w:pPr>
              <w:pStyle w:val="Style2"/>
              <w:keepNext w:val="0"/>
              <w:keepLines w:val="0"/>
              <w:widowControl w:val="0"/>
              <w:shd w:val="clear" w:color="auto" w:fill="auto"/>
              <w:bidi w:val="0"/>
              <w:spacing w:before="0" w:after="40" w:line="315" w:lineRule="exact"/>
              <w:ind w:left="0" w:right="0" w:firstLine="0"/>
              <w:jc w:val="both"/>
              <w:rPr>
                <w:sz w:val="17"/>
                <w:szCs w:val="17"/>
              </w:rPr>
            </w:pPr>
            <w:r>
              <w:rPr>
                <w:rFonts w:ascii="SimSun" w:eastAsia="SimSun" w:hAnsi="SimSun" w:cs="SimSun"/>
                <w:color w:val="000000"/>
                <w:spacing w:val="0"/>
                <w:w w:val="100"/>
                <w:position w:val="0"/>
                <w:sz w:val="17"/>
                <w:szCs w:val="17"/>
              </w:rPr>
              <w:t>超募项目：</w:t>
            </w:r>
          </w:p>
          <w:p>
            <w:pPr>
              <w:pStyle w:val="Style2"/>
              <w:keepNext w:val="0"/>
              <w:keepLines w:val="0"/>
              <w:widowControl w:val="0"/>
              <w:shd w:val="clear" w:color="auto" w:fill="auto"/>
              <w:tabs>
                <w:tab w:pos="274" w:val="left"/>
              </w:tabs>
              <w:bidi w:val="0"/>
              <w:spacing w:before="0" w:after="4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中青聚宝项目：公司投资的多项游戏项目标的，暂未达到经济效应。</w:t>
            </w:r>
          </w:p>
          <w:p>
            <w:pPr>
              <w:pStyle w:val="Style2"/>
              <w:keepNext w:val="0"/>
              <w:keepLines w:val="0"/>
              <w:widowControl w:val="0"/>
              <w:shd w:val="clear" w:color="auto" w:fill="auto"/>
              <w:tabs>
                <w:tab w:pos="278" w:val="left"/>
              </w:tabs>
              <w:bidi w:val="0"/>
              <w:spacing w:before="0" w:after="40" w:line="31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增资卓页互动用于网页游戏产品业务发展投入项目与增资卓页网页游戏的运营和研发投资项目：该两个项目 公司实际使用和管理中视作一个项目，公司将效益金额统计填列在</w:t>
            </w:r>
            <w:r>
              <w:rPr>
                <w:color w:val="000000"/>
                <w:spacing w:val="0"/>
                <w:w w:val="100"/>
                <w:position w:val="0"/>
                <w:sz w:val="18"/>
                <w:szCs w:val="18"/>
              </w:rPr>
              <w:t>“</w:t>
            </w:r>
            <w:r>
              <w:rPr>
                <w:rFonts w:ascii="SimSun" w:eastAsia="SimSun" w:hAnsi="SimSun" w:cs="SimSun"/>
                <w:color w:val="000000"/>
                <w:spacing w:val="0"/>
                <w:w w:val="100"/>
                <w:position w:val="0"/>
                <w:sz w:val="17"/>
                <w:szCs w:val="17"/>
              </w:rPr>
              <w:t>增资卓页互动用于网页游戏产品业务发展投 入</w:t>
            </w:r>
            <w:r>
              <w:rPr>
                <w:color w:val="000000"/>
                <w:spacing w:val="0"/>
                <w:w w:val="100"/>
                <w:position w:val="0"/>
                <w:sz w:val="18"/>
                <w:szCs w:val="18"/>
              </w:rPr>
              <w:t>'</w:t>
            </w:r>
            <w:r>
              <w:rPr>
                <w:rFonts w:ascii="SimSun" w:eastAsia="SimSun" w:hAnsi="SimSun" w:cs="SimSun"/>
                <w:color w:val="000000"/>
                <w:spacing w:val="0"/>
                <w:w w:val="100"/>
                <w:position w:val="0"/>
                <w:sz w:val="17"/>
                <w:szCs w:val="17"/>
              </w:rPr>
              <w:t>'项目中，故</w:t>
            </w:r>
            <w:r>
              <w:rPr>
                <w:color w:val="000000"/>
                <w:spacing w:val="0"/>
                <w:w w:val="100"/>
                <w:position w:val="0"/>
                <w:sz w:val="18"/>
                <w:szCs w:val="18"/>
              </w:rPr>
              <w:t>“</w:t>
            </w:r>
            <w:r>
              <w:rPr>
                <w:rFonts w:ascii="SimSun" w:eastAsia="SimSun" w:hAnsi="SimSun" w:cs="SimSun"/>
                <w:color w:val="000000"/>
                <w:spacing w:val="0"/>
                <w:w w:val="100"/>
                <w:position w:val="0"/>
                <w:sz w:val="17"/>
                <w:szCs w:val="17"/>
              </w:rPr>
              <w:t>增资卓页网页游戏的运营和研发投资</w:t>
            </w:r>
            <w:r>
              <w:rPr>
                <w:color w:val="000000"/>
                <w:spacing w:val="0"/>
                <w:w w:val="100"/>
                <w:position w:val="0"/>
                <w:sz w:val="18"/>
                <w:szCs w:val="18"/>
              </w:rPr>
              <w:t>'</w:t>
            </w:r>
            <w:r>
              <w:rPr>
                <w:rFonts w:ascii="SimSun" w:eastAsia="SimSun" w:hAnsi="SimSun" w:cs="SimSun"/>
                <w:color w:val="000000"/>
                <w:spacing w:val="0"/>
                <w:w w:val="100"/>
                <w:position w:val="0"/>
                <w:sz w:val="17"/>
                <w:szCs w:val="17"/>
              </w:rPr>
              <w:t>'项目实现的效益填列金额为零。因受所投资子公司经营亏损 拖累，加上自身前期积累的无形资产摊销成本较高，未能达到预计效益。</w:t>
            </w:r>
          </w:p>
        </w:tc>
      </w:tr>
      <w:tr>
        <w:trPr>
          <w:trHeight w:val="26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8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苏州研发中心建设项目：因市场发生较大的变化，公司一直未对取得的土地进行开发，取得的土地已经被苏 州工业园区国土房产局收回。</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年第二次临时股东大会审议通过变更苏州研发中心建 设项目的募集资金</w:t>
            </w:r>
            <w:r>
              <w:rPr>
                <w:color w:val="000000"/>
                <w:spacing w:val="0"/>
                <w:w w:val="100"/>
                <w:position w:val="0"/>
                <w:sz w:val="18"/>
                <w:szCs w:val="18"/>
              </w:rPr>
              <w:t>8,280.00</w:t>
            </w:r>
            <w:r>
              <w:rPr>
                <w:rFonts w:ascii="SimSun" w:eastAsia="SimSun" w:hAnsi="SimSun" w:cs="SimSun"/>
                <w:color w:val="000000"/>
                <w:spacing w:val="0"/>
                <w:w w:val="100"/>
                <w:position w:val="0"/>
                <w:sz w:val="17"/>
                <w:szCs w:val="17"/>
              </w:rPr>
              <w:t>万元用于收购上海美峰数码科技有限公司</w:t>
            </w:r>
            <w:r>
              <w:rPr>
                <w:color w:val="000000"/>
                <w:spacing w:val="0"/>
                <w:w w:val="100"/>
                <w:position w:val="0"/>
                <w:sz w:val="18"/>
                <w:szCs w:val="18"/>
              </w:rPr>
              <w:t>51.00%</w:t>
            </w:r>
            <w:r>
              <w:rPr>
                <w:rFonts w:ascii="SimSun" w:eastAsia="SimSun" w:hAnsi="SimSun" w:cs="SimSun"/>
                <w:color w:val="000000"/>
                <w:spacing w:val="0"/>
                <w:w w:val="100"/>
                <w:position w:val="0"/>
                <w:sz w:val="17"/>
                <w:szCs w:val="17"/>
              </w:rPr>
              <w:t>股权，变更后该项目剩余募集资金为 人民币</w:t>
            </w:r>
            <w:r>
              <w:rPr>
                <w:color w:val="000000"/>
                <w:spacing w:val="0"/>
                <w:w w:val="100"/>
                <w:position w:val="0"/>
                <w:sz w:val="18"/>
                <w:szCs w:val="18"/>
              </w:rPr>
              <w:t>3,220.00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年年度股东大会审议通过，公司终止实施该募投项目，并 将该项目剩余募集资金永久补充流动资金。</w:t>
            </w:r>
          </w:p>
          <w:p>
            <w:pPr>
              <w:pStyle w:val="Style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第三方支付平台：因支付牌照未能申请下来，深圳中付通一直未能开展相关业务，经公司第二届董事会第二 十八次会议决议和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的股权以人民币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万元的价格出 售给宝德控股，同时将收回股权转让款变更为永久补充流动资金。</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01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公司募集资金净额为人民币</w:t>
            </w:r>
            <w:r>
              <w:rPr>
                <w:color w:val="000000"/>
                <w:spacing w:val="0"/>
                <w:w w:val="100"/>
                <w:position w:val="0"/>
                <w:sz w:val="18"/>
                <w:szCs w:val="18"/>
              </w:rPr>
              <w:t>71,075.50</w:t>
            </w:r>
            <w:r>
              <w:rPr>
                <w:rFonts w:ascii="SimSun" w:eastAsia="SimSun" w:hAnsi="SimSun" w:cs="SimSun"/>
                <w:color w:val="000000"/>
                <w:spacing w:val="0"/>
                <w:w w:val="100"/>
                <w:position w:val="0"/>
                <w:sz w:val="17"/>
                <w:szCs w:val="17"/>
              </w:rPr>
              <w:t>万元，承诺投资项目合计使用人民币</w:t>
            </w:r>
            <w:r>
              <w:rPr>
                <w:color w:val="000000"/>
                <w:spacing w:val="0"/>
                <w:w w:val="100"/>
                <w:position w:val="0"/>
                <w:sz w:val="18"/>
                <w:szCs w:val="18"/>
              </w:rPr>
              <w:t>34,951.00</w:t>
            </w:r>
            <w:r>
              <w:rPr>
                <w:rFonts w:ascii="SimSun" w:eastAsia="SimSun" w:hAnsi="SimSun" w:cs="SimSun"/>
                <w:color w:val="000000"/>
                <w:spacing w:val="0"/>
                <w:w w:val="100"/>
                <w:position w:val="0"/>
                <w:sz w:val="17"/>
                <w:szCs w:val="17"/>
              </w:rPr>
              <w:t xml:space="preserve">万元，超募资金人民币 </w:t>
            </w:r>
            <w:r>
              <w:rPr>
                <w:color w:val="000000"/>
                <w:spacing w:val="0"/>
                <w:w w:val="100"/>
                <w:position w:val="0"/>
                <w:sz w:val="18"/>
                <w:szCs w:val="18"/>
              </w:rPr>
              <w:t>36,124.50</w:t>
            </w:r>
            <w:r>
              <w:rPr>
                <w:rFonts w:ascii="SimSun" w:eastAsia="SimSun" w:hAnsi="SimSun" w:cs="SimSun"/>
                <w:color w:val="000000"/>
                <w:spacing w:val="0"/>
                <w:w w:val="100"/>
                <w:position w:val="0"/>
                <w:sz w:val="17"/>
                <w:szCs w:val="17"/>
              </w:rPr>
              <w:t>万元，公司将该部分超募资金作为与主营业务相关的营运资金，并根据需要进行投入使用。截止</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日公司已将超募资金作如下安排：</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、经公司第一届董事会第十七次会议和</w:t>
            </w:r>
            <w:r>
              <w:rPr>
                <w:color w:val="000000"/>
                <w:spacing w:val="0"/>
                <w:w w:val="100"/>
                <w:position w:val="0"/>
                <w:sz w:val="18"/>
                <w:szCs w:val="18"/>
              </w:rPr>
              <w:t>2009</w:t>
            </w:r>
            <w:r>
              <w:rPr>
                <w:rFonts w:ascii="SimSun" w:eastAsia="SimSun" w:hAnsi="SimSun" w:cs="SimSun"/>
                <w:color w:val="000000"/>
                <w:spacing w:val="0"/>
                <w:w w:val="100"/>
                <w:position w:val="0"/>
                <w:sz w:val="17"/>
                <w:szCs w:val="17"/>
              </w:rPr>
              <w:t>年度股东大会审议通过，同意将其中的人民币</w:t>
            </w:r>
            <w:r>
              <w:rPr>
                <w:color w:val="000000"/>
                <w:spacing w:val="0"/>
                <w:w w:val="100"/>
                <w:position w:val="0"/>
                <w:sz w:val="18"/>
                <w:szCs w:val="18"/>
              </w:rPr>
              <w:t>19,750.00</w:t>
            </w:r>
            <w:r>
              <w:rPr>
                <w:rFonts w:ascii="SimSun" w:eastAsia="SimSun" w:hAnsi="SimSun" w:cs="SimSun"/>
                <w:color w:val="000000"/>
                <w:spacing w:val="0"/>
                <w:w w:val="100"/>
                <w:position w:val="0"/>
                <w:sz w:val="17"/>
                <w:szCs w:val="17"/>
              </w:rPr>
              <w:t>万元分别 用于三个项目，其中以游戏产品（非募投项目产品）推广为目的的营运投入人民币</w:t>
            </w:r>
            <w:r>
              <w:rPr>
                <w:color w:val="000000"/>
                <w:spacing w:val="0"/>
                <w:w w:val="100"/>
                <w:position w:val="0"/>
                <w:sz w:val="18"/>
                <w:szCs w:val="18"/>
              </w:rPr>
              <w:t>8,000.00</w:t>
            </w:r>
            <w:r>
              <w:rPr>
                <w:rFonts w:ascii="SimSun" w:eastAsia="SimSun" w:hAnsi="SimSun" w:cs="SimSun"/>
                <w:color w:val="000000"/>
                <w:spacing w:val="0"/>
                <w:w w:val="100"/>
                <w:position w:val="0"/>
                <w:sz w:val="17"/>
                <w:szCs w:val="17"/>
              </w:rPr>
              <w:t>万元、增资卓页互动 用于网页游戏产品业务发展投入人民币</w:t>
            </w:r>
            <w:r>
              <w:rPr>
                <w:color w:val="000000"/>
                <w:spacing w:val="0"/>
                <w:w w:val="100"/>
                <w:position w:val="0"/>
                <w:sz w:val="18"/>
                <w:szCs w:val="18"/>
              </w:rPr>
              <w:t>1,750.00</w:t>
            </w:r>
            <w:r>
              <w:rPr>
                <w:rFonts w:ascii="SimSun" w:eastAsia="SimSun" w:hAnsi="SimSun" w:cs="SimSun"/>
                <w:color w:val="000000"/>
                <w:spacing w:val="0"/>
                <w:w w:val="100"/>
                <w:position w:val="0"/>
                <w:sz w:val="17"/>
                <w:szCs w:val="17"/>
              </w:rPr>
              <w:t>万元、中青聚宝项目人民币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tbl>
      <w:tblPr>
        <w:tblOverlap w:val="never"/>
        <w:jc w:val="center"/>
        <w:tblLayout w:type="fixed"/>
      </w:tblPr>
      <w:tblGrid>
        <w:gridCol w:w="730"/>
        <w:gridCol w:w="8856"/>
      </w:tblGrid>
      <w:tr>
        <w:trPr>
          <w:trHeight w:val="16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、经公司第一届董事会第二十三次会议和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7"/>
                <w:szCs w:val="17"/>
              </w:rPr>
              <w:t>年度股东大会审议通过，同意将剩余的超募资金人民币</w:t>
            </w:r>
            <w:r>
              <w:rPr>
                <w:color w:val="000000"/>
                <w:spacing w:val="0"/>
                <w:w w:val="100"/>
                <w:position w:val="0"/>
                <w:sz w:val="18"/>
                <w:szCs w:val="18"/>
              </w:rPr>
              <w:t xml:space="preserve">16,374.50 </w:t>
            </w:r>
            <w:r>
              <w:rPr>
                <w:rFonts w:ascii="SimSun" w:eastAsia="SimSun" w:hAnsi="SimSun" w:cs="SimSun"/>
                <w:color w:val="000000"/>
                <w:spacing w:val="0"/>
                <w:w w:val="100"/>
                <w:position w:val="0"/>
                <w:sz w:val="17"/>
                <w:szCs w:val="17"/>
              </w:rPr>
              <w:t>万元分别用于两个项目，其中第三方支付平台人民币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万元、公司</w:t>
            </w:r>
            <w:r>
              <w:rPr>
                <w:color w:val="000000"/>
                <w:spacing w:val="0"/>
                <w:w w:val="100"/>
                <w:position w:val="0"/>
                <w:sz w:val="18"/>
                <w:szCs w:val="18"/>
              </w:rPr>
              <w:t>“</w:t>
            </w:r>
            <w:r>
              <w:rPr>
                <w:rFonts w:ascii="SimSun" w:eastAsia="SimSun" w:hAnsi="SimSun" w:cs="SimSun"/>
                <w:color w:val="000000"/>
                <w:spacing w:val="0"/>
                <w:w w:val="100"/>
                <w:position w:val="0"/>
                <w:sz w:val="17"/>
                <w:szCs w:val="17"/>
              </w:rPr>
              <w:t>聚宝计划</w:t>
            </w:r>
            <w:r>
              <w:rPr>
                <w:color w:val="000000"/>
                <w:spacing w:val="0"/>
                <w:w w:val="100"/>
                <w:position w:val="0"/>
                <w:sz w:val="18"/>
                <w:szCs w:val="18"/>
              </w:rPr>
              <w:t>”</w:t>
            </w:r>
            <w:r>
              <w:rPr>
                <w:rFonts w:ascii="SimSun" w:eastAsia="SimSun" w:hAnsi="SimSun" w:cs="SimSun"/>
                <w:color w:val="000000"/>
                <w:spacing w:val="0"/>
                <w:w w:val="100"/>
                <w:position w:val="0"/>
                <w:sz w:val="17"/>
                <w:szCs w:val="17"/>
              </w:rPr>
              <w:t>中的网络游戏研发项目的 投入人民币</w:t>
            </w:r>
            <w:r>
              <w:rPr>
                <w:color w:val="000000"/>
                <w:spacing w:val="0"/>
                <w:w w:val="100"/>
                <w:position w:val="0"/>
                <w:sz w:val="18"/>
                <w:szCs w:val="18"/>
              </w:rPr>
              <w:t>6,374.50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资金使用情况见上表</w:t>
            </w:r>
            <w:r>
              <w:rPr>
                <w:color w:val="000000"/>
                <w:spacing w:val="0"/>
                <w:w w:val="100"/>
                <w:position w:val="0"/>
                <w:sz w:val="18"/>
                <w:szCs w:val="18"/>
              </w:rPr>
              <w:t>“</w:t>
            </w:r>
            <w:r>
              <w:rPr>
                <w:rFonts w:ascii="SimSun" w:eastAsia="SimSun" w:hAnsi="SimSun" w:cs="SimSun"/>
                <w:color w:val="000000"/>
                <w:spacing w:val="0"/>
                <w:w w:val="100"/>
                <w:position w:val="0"/>
                <w:sz w:val="17"/>
                <w:szCs w:val="17"/>
              </w:rPr>
              <w:t>超募资金投向</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911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64" w:val="left"/>
              </w:tabs>
              <w:bidi w:val="0"/>
              <w:spacing w:before="0" w:after="4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经本公司第二届董事会第九次会议和</w:t>
            </w:r>
            <w:r>
              <w:rPr>
                <w:color w:val="000000"/>
                <w:spacing w:val="0"/>
                <w:w w:val="100"/>
                <w:position w:val="0"/>
                <w:sz w:val="18"/>
                <w:szCs w:val="18"/>
              </w:rPr>
              <w:t>2011</w:t>
            </w:r>
            <w:r>
              <w:rPr>
                <w:rFonts w:ascii="SimSun" w:eastAsia="SimSun" w:hAnsi="SimSun" w:cs="SimSun"/>
                <w:color w:val="000000"/>
                <w:spacing w:val="0"/>
                <w:w w:val="100"/>
                <w:position w:val="0"/>
                <w:sz w:val="17"/>
                <w:szCs w:val="17"/>
              </w:rPr>
              <w:t>年年度股东大会审议通过，为加快募集资金使用效率和提高资金投 资回报，公司对中青聚宝项目的部分募集资金进行变更，将人民币</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万元用于增资卓页网页游戏的运营和 研发投资项目等方面，投资形式以深圳中青聚宝信息技术有限公司增资深圳市卓页互动网络科技有限公司。</w:t>
            </w:r>
          </w:p>
          <w:p>
            <w:pPr>
              <w:pStyle w:val="Style2"/>
              <w:keepNext w:val="0"/>
              <w:keepLines w:val="0"/>
              <w:widowControl w:val="0"/>
              <w:shd w:val="clear" w:color="auto" w:fill="auto"/>
              <w:tabs>
                <w:tab w:pos="278" w:val="left"/>
              </w:tabs>
              <w:bidi w:val="0"/>
              <w:spacing w:before="0" w:after="4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经本公司第二届董事会第十七次会议审议通过，公司使用募集资金投资项目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网络游戏研发技术平台项目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结 余资金</w:t>
            </w:r>
            <w:r>
              <w:rPr>
                <w:color w:val="000000"/>
                <w:spacing w:val="0"/>
                <w:w w:val="100"/>
                <w:position w:val="0"/>
                <w:sz w:val="18"/>
                <w:szCs w:val="18"/>
              </w:rPr>
              <w:t>821.10</w:t>
            </w:r>
            <w:r>
              <w:rPr>
                <w:rFonts w:ascii="SimSun" w:eastAsia="SimSun" w:hAnsi="SimSun" w:cs="SimSun"/>
                <w:color w:val="000000"/>
                <w:spacing w:val="0"/>
                <w:w w:val="100"/>
                <w:position w:val="0"/>
                <w:sz w:val="17"/>
                <w:szCs w:val="17"/>
              </w:rPr>
              <w:t>万元（含利息收入）用于永久补充流动资金。</w:t>
            </w:r>
          </w:p>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经本公司第二届董事会第二十三次（临时）会议和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年度第二次临时股东大会审议通过，公司变更部分募 集资金投资项目及用募集资金和自有资金收购上海美峰数码科技有限公司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 xml:space="preserve">股权和深圳市苏摩科技有限公司 </w:t>
            </w:r>
            <w:r>
              <w:rPr>
                <w:color w:val="000000"/>
                <w:spacing w:val="0"/>
                <w:w w:val="100"/>
                <w:position w:val="0"/>
                <w:sz w:val="18"/>
                <w:szCs w:val="18"/>
              </w:rPr>
              <w:t>51%</w:t>
            </w:r>
            <w:r>
              <w:rPr>
                <w:rFonts w:ascii="SimSun" w:eastAsia="SimSun" w:hAnsi="SimSun" w:cs="SimSun"/>
                <w:color w:val="000000"/>
                <w:spacing w:val="0"/>
                <w:w w:val="100"/>
                <w:position w:val="0"/>
                <w:sz w:val="17"/>
                <w:szCs w:val="17"/>
              </w:rPr>
              <w:t>股权：本公司将原计划募投项目</w:t>
            </w:r>
            <w:r>
              <w:rPr>
                <w:color w:val="000000"/>
                <w:spacing w:val="0"/>
                <w:w w:val="100"/>
                <w:position w:val="0"/>
                <w:sz w:val="18"/>
                <w:szCs w:val="18"/>
              </w:rPr>
              <w:t>“</w:t>
            </w:r>
            <w:r>
              <w:rPr>
                <w:rFonts w:ascii="SimSun" w:eastAsia="SimSun" w:hAnsi="SimSun" w:cs="SimSun"/>
                <w:color w:val="000000"/>
                <w:spacing w:val="0"/>
                <w:w w:val="100"/>
                <w:position w:val="0"/>
                <w:sz w:val="17"/>
                <w:szCs w:val="17"/>
              </w:rPr>
              <w:t>苏州研发中心建设项目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8,280.00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“2.5D</w:t>
            </w:r>
            <w:r>
              <w:rPr>
                <w:rFonts w:ascii="SimSun" w:eastAsia="SimSun" w:hAnsi="SimSun" w:cs="SimSun"/>
                <w:color w:val="000000"/>
                <w:spacing w:val="0"/>
                <w:w w:val="100"/>
                <w:position w:val="0"/>
                <w:sz w:val="17"/>
                <w:szCs w:val="17"/>
              </w:rPr>
              <w:t>游戏《新宋演义》开发 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w:t>
            </w:r>
            <w:r>
              <w:rPr>
                <w:color w:val="000000"/>
                <w:spacing w:val="0"/>
                <w:w w:val="100"/>
                <w:position w:val="0"/>
                <w:sz w:val="18"/>
                <w:szCs w:val="18"/>
              </w:rPr>
              <w:t>“3D</w:t>
            </w:r>
            <w:r>
              <w:rPr>
                <w:rFonts w:ascii="SimSun" w:eastAsia="SimSun" w:hAnsi="SimSun" w:cs="SimSun"/>
                <w:color w:val="000000"/>
                <w:spacing w:val="0"/>
                <w:w w:val="100"/>
                <w:position w:val="0"/>
                <w:sz w:val="17"/>
                <w:szCs w:val="17"/>
              </w:rPr>
              <w:t>游戏《盟军》开发项目（暂定名）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万元和</w:t>
            </w:r>
            <w:r>
              <w:rPr>
                <w:color w:val="000000"/>
                <w:spacing w:val="0"/>
                <w:w w:val="100"/>
                <w:position w:val="0"/>
                <w:sz w:val="18"/>
                <w:szCs w:val="18"/>
              </w:rPr>
              <w:t>“3D</w:t>
            </w:r>
            <w:r>
              <w:rPr>
                <w:rFonts w:ascii="SimSun" w:eastAsia="SimSun" w:hAnsi="SimSun" w:cs="SimSun"/>
                <w:color w:val="000000"/>
                <w:spacing w:val="0"/>
                <w:w w:val="100"/>
                <w:position w:val="0"/>
                <w:sz w:val="17"/>
                <w:szCs w:val="17"/>
              </w:rPr>
              <w:t>游戏《寻 梦园》开发项目（暂定名）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万元共计募集资金</w:t>
            </w:r>
            <w:r>
              <w:rPr>
                <w:color w:val="000000"/>
                <w:spacing w:val="0"/>
                <w:w w:val="100"/>
                <w:position w:val="0"/>
                <w:sz w:val="18"/>
                <w:szCs w:val="18"/>
              </w:rPr>
              <w:t>14,280.00</w:t>
            </w:r>
            <w:r>
              <w:rPr>
                <w:rFonts w:ascii="SimSun" w:eastAsia="SimSun" w:hAnsi="SimSun" w:cs="SimSun"/>
                <w:color w:val="000000"/>
                <w:spacing w:val="0"/>
                <w:w w:val="100"/>
                <w:position w:val="0"/>
                <w:sz w:val="17"/>
                <w:szCs w:val="17"/>
              </w:rPr>
              <w:t xml:space="preserve">万元用于收购上海美峰数码科技有限公司 </w:t>
            </w:r>
            <w:r>
              <w:rPr>
                <w:color w:val="000000"/>
                <w:spacing w:val="0"/>
                <w:w w:val="100"/>
                <w:position w:val="0"/>
                <w:sz w:val="18"/>
                <w:szCs w:val="18"/>
              </w:rPr>
              <w:t>51%</w:t>
            </w:r>
            <w:r>
              <w:rPr>
                <w:rFonts w:ascii="SimSun" w:eastAsia="SimSun" w:hAnsi="SimSun" w:cs="SimSun"/>
                <w:color w:val="000000"/>
                <w:spacing w:val="0"/>
                <w:w w:val="100"/>
                <w:position w:val="0"/>
                <w:sz w:val="17"/>
                <w:szCs w:val="17"/>
              </w:rPr>
              <w:t>股权收购项目中；将原计划募投项目</w:t>
            </w:r>
            <w:r>
              <w:rPr>
                <w:color w:val="000000"/>
                <w:spacing w:val="0"/>
                <w:w w:val="100"/>
                <w:position w:val="0"/>
                <w:sz w:val="18"/>
                <w:szCs w:val="18"/>
              </w:rPr>
              <w:t>“2.5D</w:t>
            </w:r>
            <w:r>
              <w:rPr>
                <w:rFonts w:ascii="SimSun" w:eastAsia="SimSun" w:hAnsi="SimSun" w:cs="SimSun"/>
                <w:color w:val="000000"/>
                <w:spacing w:val="0"/>
                <w:w w:val="100"/>
                <w:position w:val="0"/>
                <w:sz w:val="17"/>
                <w:szCs w:val="17"/>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中募集资金</w:t>
            </w:r>
            <w:r>
              <w:rPr>
                <w:color w:val="000000"/>
                <w:spacing w:val="0"/>
                <w:w w:val="100"/>
                <w:position w:val="0"/>
                <w:sz w:val="18"/>
                <w:szCs w:val="18"/>
              </w:rPr>
              <w:t>2,186.63</w:t>
            </w:r>
            <w:r>
              <w:rPr>
                <w:rFonts w:ascii="SimSun" w:eastAsia="SimSun" w:hAnsi="SimSun" w:cs="SimSun"/>
                <w:color w:val="000000"/>
                <w:spacing w:val="0"/>
                <w:w w:val="100"/>
                <w:position w:val="0"/>
                <w:sz w:val="17"/>
                <w:szCs w:val="17"/>
              </w:rPr>
              <w:t>万元 用于收购深圳市苏摩科技有限公司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股权收购项目中。</w:t>
            </w:r>
          </w:p>
          <w:p>
            <w:pPr>
              <w:pStyle w:val="Style2"/>
              <w:keepNext w:val="0"/>
              <w:keepLines w:val="0"/>
              <w:widowControl w:val="0"/>
              <w:shd w:val="clear" w:color="auto" w:fill="auto"/>
              <w:bidi w:val="0"/>
              <w:spacing w:before="0" w:after="40" w:line="313"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根据公司第一届董事会第二十三次会议和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7"/>
                <w:szCs w:val="17"/>
              </w:rPr>
              <w:t>年度股东大会决议，本公司将超募资金人民币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 设立全资子公司深圳中付通用于建立第三方支付平台，后因支付牌照未能申请下来，深圳中付通一直未能开展相 关业务，经公司第二届董事会第二十八次会议决议和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 以人民币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万元的价格出售给宝德控股，同时将收回的股权转让款变更为永久补充流动资金，转让日深 圳中付通募集资金账户余额为人民币</w:t>
            </w:r>
            <w:r>
              <w:rPr>
                <w:color w:val="000000"/>
                <w:spacing w:val="0"/>
                <w:w w:val="100"/>
                <w:position w:val="0"/>
                <w:sz w:val="18"/>
                <w:szCs w:val="18"/>
              </w:rPr>
              <w:t>86,078,055.37</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tabs>
                <w:tab w:pos="259" w:val="left"/>
              </w:tabs>
              <w:bidi w:val="0"/>
              <w:spacing w:before="0" w:after="40" w:line="326"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年年度股东大会审议通过，公司终止实施苏州研发中心建设项目，并将该项 目剩余募集资金永久补充流动资金。</w:t>
            </w:r>
          </w:p>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 经公司第四届董事会第十二次（临时）会议和</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年度第一次股东大会审议通过，公司变更部分募集资金投 资项目：本公司将原计划募投项目</w:t>
            </w:r>
            <w:r>
              <w:rPr>
                <w:color w:val="000000"/>
                <w:spacing w:val="0"/>
                <w:w w:val="100"/>
                <w:position w:val="0"/>
                <w:sz w:val="18"/>
                <w:szCs w:val="18"/>
              </w:rPr>
              <w:t>“2.5D</w:t>
            </w:r>
            <w:r>
              <w:rPr>
                <w:rFonts w:ascii="SimSun" w:eastAsia="SimSun" w:hAnsi="SimSun" w:cs="SimSun"/>
                <w:color w:val="000000"/>
                <w:spacing w:val="0"/>
                <w:w w:val="100"/>
                <w:position w:val="0"/>
                <w:sz w:val="17"/>
                <w:szCs w:val="17"/>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743.00</w:t>
            </w:r>
            <w:r>
              <w:rPr>
                <w:rFonts w:ascii="SimSun" w:eastAsia="SimSun" w:hAnsi="SimSun" w:cs="SimSun"/>
                <w:color w:val="000000"/>
                <w:spacing w:val="0"/>
                <w:w w:val="100"/>
                <w:position w:val="0"/>
                <w:sz w:val="17"/>
                <w:szCs w:val="17"/>
              </w:rPr>
              <w:t>万元、</w:t>
            </w:r>
            <w:r>
              <w:rPr>
                <w:color w:val="000000"/>
                <w:spacing w:val="0"/>
                <w:w w:val="100"/>
                <w:position w:val="0"/>
                <w:sz w:val="18"/>
                <w:szCs w:val="18"/>
              </w:rPr>
              <w:t>“2.5D</w:t>
            </w:r>
            <w:r>
              <w:rPr>
                <w:rFonts w:ascii="SimSun" w:eastAsia="SimSun" w:hAnsi="SimSun" w:cs="SimSun"/>
                <w:color w:val="000000"/>
                <w:spacing w:val="0"/>
                <w:w w:val="100"/>
                <w:position w:val="0"/>
                <w:sz w:val="17"/>
                <w:szCs w:val="17"/>
              </w:rPr>
              <w:t>游戏《新 宋演义》开发项目（暂定名）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1,686.00</w:t>
            </w:r>
            <w:r>
              <w:rPr>
                <w:rFonts w:ascii="SimSun" w:eastAsia="SimSun" w:hAnsi="SimSun" w:cs="SimSun"/>
                <w:color w:val="000000"/>
                <w:spacing w:val="0"/>
                <w:w w:val="100"/>
                <w:position w:val="0"/>
                <w:sz w:val="17"/>
                <w:szCs w:val="17"/>
              </w:rPr>
              <w:t>万元、</w:t>
            </w:r>
            <w:r>
              <w:rPr>
                <w:color w:val="000000"/>
                <w:spacing w:val="0"/>
                <w:w w:val="100"/>
                <w:position w:val="0"/>
                <w:sz w:val="18"/>
                <w:szCs w:val="18"/>
              </w:rPr>
              <w:t>“3D</w:t>
            </w:r>
            <w:r>
              <w:rPr>
                <w:rFonts w:ascii="SimSun" w:eastAsia="SimSun" w:hAnsi="SimSun" w:cs="SimSun"/>
                <w:color w:val="000000"/>
                <w:spacing w:val="0"/>
                <w:w w:val="100"/>
                <w:position w:val="0"/>
                <w:sz w:val="17"/>
                <w:szCs w:val="17"/>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1,239.00</w:t>
            </w:r>
            <w:r>
              <w:rPr>
                <w:rFonts w:ascii="SimSun" w:eastAsia="SimSun" w:hAnsi="SimSun" w:cs="SimSun"/>
                <w:color w:val="000000"/>
                <w:spacing w:val="0"/>
                <w:w w:val="100"/>
                <w:position w:val="0"/>
                <w:sz w:val="17"/>
                <w:szCs w:val="17"/>
              </w:rPr>
              <w:t>万元 用于增资深圳中青宝文化科技有限公司（以下简称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中青宝文化科技</w:t>
            </w:r>
            <w:r>
              <w:rPr>
                <w:color w:val="000000"/>
                <w:spacing w:val="0"/>
                <w:w w:val="100"/>
                <w:position w:val="0"/>
                <w:sz w:val="18"/>
                <w:szCs w:val="18"/>
              </w:rPr>
              <w:t>”</w:t>
            </w:r>
            <w:r>
              <w:rPr>
                <w:rFonts w:ascii="SimSun" w:eastAsia="SimSun" w:hAnsi="SimSun" w:cs="SimSun"/>
                <w:color w:val="000000"/>
                <w:spacing w:val="0"/>
                <w:w w:val="100"/>
                <w:position w:val="0"/>
                <w:sz w:val="17"/>
                <w:szCs w:val="17"/>
              </w:rPr>
              <w:t>）用于增强中青宝文化自身研发及创新能力 及凤凰中青宝文化科技创意产业园建设项目（又名</w:t>
            </w:r>
            <w:r>
              <w:rPr>
                <w:color w:val="000000"/>
                <w:spacing w:val="0"/>
                <w:w w:val="100"/>
                <w:position w:val="0"/>
                <w:sz w:val="18"/>
                <w:szCs w:val="18"/>
              </w:rPr>
              <w:t>“</w:t>
            </w:r>
            <w:r>
              <w:rPr>
                <w:rFonts w:ascii="SimSun" w:eastAsia="SimSun" w:hAnsi="SimSun" w:cs="SimSun"/>
                <w:color w:val="000000"/>
                <w:spacing w:val="0"/>
                <w:w w:val="100"/>
                <w:position w:val="0"/>
                <w:sz w:val="17"/>
                <w:szCs w:val="17"/>
              </w:rPr>
              <w:t>凤凰高科技文化科普体验园项目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）的建设。</w:t>
            </w:r>
          </w:p>
          <w:p>
            <w:pPr>
              <w:pStyle w:val="Style2"/>
              <w:keepNext w:val="0"/>
              <w:keepLines w:val="0"/>
              <w:widowControl w:val="0"/>
              <w:shd w:val="clear" w:color="auto" w:fill="auto"/>
              <w:bidi w:val="0"/>
              <w:spacing w:before="0" w:after="40" w:line="317"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 经公司第四届董事会第二十九次会议和</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年度第二次临时股东大会审议通过，公司变更部分募集资金投资 项目及实施主体:本公司将</w:t>
            </w:r>
            <w:r>
              <w:rPr>
                <w:color w:val="000000"/>
                <w:spacing w:val="0"/>
                <w:w w:val="100"/>
                <w:position w:val="0"/>
                <w:sz w:val="18"/>
                <w:szCs w:val="18"/>
              </w:rPr>
              <w:t>“</w:t>
            </w:r>
            <w:r>
              <w:rPr>
                <w:rFonts w:ascii="SimSun" w:eastAsia="SimSun" w:hAnsi="SimSun" w:cs="SimSun"/>
                <w:color w:val="000000"/>
                <w:spacing w:val="0"/>
                <w:w w:val="100"/>
                <w:position w:val="0"/>
                <w:sz w:val="17"/>
                <w:szCs w:val="17"/>
              </w:rPr>
              <w:t>凤凰高科技文化科普体验园项目</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2,520.00</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w:t>
            </w:r>
            <w:r>
              <w:rPr>
                <w:rFonts w:ascii="SimSun" w:eastAsia="SimSun" w:hAnsi="SimSun" w:cs="SimSun"/>
                <w:color w:val="000000"/>
                <w:spacing w:val="0"/>
                <w:w w:val="100"/>
                <w:position w:val="0"/>
                <w:sz w:val="17"/>
                <w:szCs w:val="17"/>
              </w:rPr>
              <w:t>球类游戏推广项目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的建设， 募投项目实施主体由</w:t>
            </w:r>
            <w:r>
              <w:rPr>
                <w:color w:val="000000"/>
                <w:spacing w:val="0"/>
                <w:w w:val="100"/>
                <w:position w:val="0"/>
                <w:sz w:val="18"/>
                <w:szCs w:val="18"/>
              </w:rPr>
              <w:t>“</w:t>
            </w:r>
            <w:r>
              <w:rPr>
                <w:rFonts w:ascii="SimSun" w:eastAsia="SimSun" w:hAnsi="SimSun" w:cs="SimSun"/>
                <w:color w:val="000000"/>
                <w:spacing w:val="0"/>
                <w:w w:val="100"/>
                <w:position w:val="0"/>
                <w:sz w:val="17"/>
                <w:szCs w:val="17"/>
              </w:rPr>
              <w:t>深圳中青宝文化科技有限公司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深圳时代首游互动科技有限公司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日，公司预先已投入募集资金项目的自筹资金合计人民币</w:t>
            </w:r>
            <w:r>
              <w:rPr>
                <w:color w:val="000000"/>
                <w:spacing w:val="0"/>
                <w:w w:val="100"/>
                <w:position w:val="0"/>
                <w:sz w:val="18"/>
                <w:szCs w:val="18"/>
              </w:rPr>
              <w:t>58,193,208.64</w:t>
            </w:r>
            <w:r>
              <w:rPr>
                <w:rFonts w:ascii="SimSun" w:eastAsia="SimSun" w:hAnsi="SimSun" w:cs="SimSun"/>
                <w:color w:val="000000"/>
                <w:spacing w:val="0"/>
                <w:w w:val="100"/>
                <w:position w:val="0"/>
                <w:sz w:val="17"/>
                <w:szCs w:val="17"/>
              </w:rPr>
              <w:t>元（含预先投入人民 币</w:t>
            </w:r>
            <w:r>
              <w:rPr>
                <w:color w:val="000000"/>
                <w:spacing w:val="0"/>
                <w:w w:val="100"/>
                <w:position w:val="0"/>
                <w:sz w:val="18"/>
                <w:szCs w:val="18"/>
              </w:rPr>
              <w:t>3,750.00</w:t>
            </w:r>
            <w:r>
              <w:rPr>
                <w:rFonts w:ascii="SimSun" w:eastAsia="SimSun" w:hAnsi="SimSun" w:cs="SimSun"/>
                <w:color w:val="000000"/>
                <w:spacing w:val="0"/>
                <w:w w:val="100"/>
                <w:position w:val="0"/>
                <w:sz w:val="17"/>
                <w:szCs w:val="17"/>
              </w:rPr>
              <w:t>万元投资设立全资子公司苏州华娱创新投资发展有限公司，苏州华娱创新投资发展有限公司苏州研发 中心建设项目实际支出为人民币</w:t>
            </w:r>
            <w:r>
              <w:rPr>
                <w:color w:val="000000"/>
                <w:spacing w:val="0"/>
                <w:w w:val="100"/>
                <w:position w:val="0"/>
                <w:sz w:val="18"/>
                <w:szCs w:val="18"/>
              </w:rPr>
              <w:t>6,468,348.86</w:t>
            </w:r>
            <w:r>
              <w:rPr>
                <w:rFonts w:ascii="SimSun" w:eastAsia="SimSun" w:hAnsi="SimSun" w:cs="SimSun"/>
                <w:color w:val="000000"/>
                <w:spacing w:val="0"/>
                <w:w w:val="100"/>
                <w:position w:val="0"/>
                <w:sz w:val="17"/>
                <w:szCs w:val="17"/>
              </w:rPr>
              <w:t>元，剩余人民币</w:t>
            </w:r>
            <w:r>
              <w:rPr>
                <w:color w:val="000000"/>
                <w:spacing w:val="0"/>
                <w:w w:val="100"/>
                <w:position w:val="0"/>
                <w:sz w:val="18"/>
                <w:szCs w:val="18"/>
              </w:rPr>
              <w:t>31,031,651.14</w:t>
            </w:r>
            <w:r>
              <w:rPr>
                <w:rFonts w:ascii="SimSun" w:eastAsia="SimSun" w:hAnsi="SimSun" w:cs="SimSun"/>
                <w:color w:val="000000"/>
                <w:spacing w:val="0"/>
                <w:w w:val="100"/>
                <w:position w:val="0"/>
                <w:sz w:val="17"/>
                <w:szCs w:val="17"/>
              </w:rPr>
              <w:t>元尚未使用），实际置换的预先已投 入募集资金项目的自筹资金为人民币</w:t>
            </w:r>
            <w:r>
              <w:rPr>
                <w:color w:val="000000"/>
                <w:spacing w:val="0"/>
                <w:w w:val="100"/>
                <w:position w:val="0"/>
                <w:sz w:val="18"/>
                <w:szCs w:val="18"/>
              </w:rPr>
              <w:t>27,161,557.50</w:t>
            </w:r>
            <w:r>
              <w:rPr>
                <w:rFonts w:ascii="SimSun" w:eastAsia="SimSun" w:hAnsi="SimSun" w:cs="SimSun"/>
                <w:color w:val="000000"/>
                <w:spacing w:val="0"/>
                <w:w w:val="100"/>
                <w:position w:val="0"/>
                <w:sz w:val="17"/>
                <w:szCs w:val="17"/>
              </w:rPr>
              <w:t>元。本次置换事项已经公司第一届董事会第十八次会议审议通 过，且与深圳市鹏城会计师事务所有限公司于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日出具的《关于深圳市中青宝网网络科技股份有限 公司以自筹资金预先投入募投项目的鉴证报告》（深鹏所股专字</w:t>
            </w:r>
            <w:r>
              <w:rPr>
                <w:color w:val="000000"/>
                <w:spacing w:val="0"/>
                <w:w w:val="100"/>
                <w:position w:val="0"/>
                <w:sz w:val="18"/>
                <w:szCs w:val="18"/>
              </w:rPr>
              <w:t>[2010]327</w:t>
            </w:r>
            <w:r>
              <w:rPr>
                <w:rFonts w:ascii="SimSun" w:eastAsia="SimSun" w:hAnsi="SimSun" w:cs="SimSun"/>
                <w:color w:val="000000"/>
                <w:spacing w:val="0"/>
                <w:w w:val="100"/>
                <w:position w:val="0"/>
                <w:sz w:val="17"/>
                <w:szCs w:val="17"/>
              </w:rPr>
              <w:t>号）相一致。</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03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4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日，根据公司第二届董事会第二十二次会议审议通过了公司《关于使用部分闲置募集资金暂时 补充公司流动资金的议案》，同意使用部分闲置募集资金</w:t>
            </w:r>
            <w:r>
              <w:rPr>
                <w:color w:val="000000"/>
                <w:spacing w:val="0"/>
                <w:w w:val="100"/>
                <w:position w:val="0"/>
                <w:sz w:val="18"/>
                <w:szCs w:val="18"/>
              </w:rPr>
              <w:t>4,000.00</w:t>
            </w:r>
            <w:r>
              <w:rPr>
                <w:rFonts w:ascii="SimSun" w:eastAsia="SimSun" w:hAnsi="SimSun" w:cs="SimSun"/>
                <w:color w:val="000000"/>
                <w:spacing w:val="0"/>
                <w:w w:val="100"/>
                <w:position w:val="0"/>
                <w:sz w:val="17"/>
                <w:szCs w:val="17"/>
              </w:rPr>
              <w:t>万元补充公司流动资金，使用期限为自董事会 审议通过之日起不超过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日，公司已将人民币</w:t>
            </w:r>
            <w:r>
              <w:rPr>
                <w:color w:val="000000"/>
                <w:spacing w:val="0"/>
                <w:w w:val="100"/>
                <w:position w:val="0"/>
                <w:sz w:val="18"/>
                <w:szCs w:val="18"/>
              </w:rPr>
              <w:t>4,000.00</w:t>
            </w:r>
            <w:r>
              <w:rPr>
                <w:rFonts w:ascii="SimSun" w:eastAsia="SimSun" w:hAnsi="SimSun" w:cs="SimSun"/>
                <w:color w:val="000000"/>
                <w:spacing w:val="0"/>
                <w:w w:val="100"/>
                <w:position w:val="0"/>
                <w:sz w:val="17"/>
                <w:szCs w:val="17"/>
              </w:rPr>
              <w:t>万元归还至公司募集资金专户，同 时将上述募集资金的归还情况通知了保荐机构及保荐代表人。</w:t>
            </w:r>
          </w:p>
          <w:p>
            <w:pPr>
              <w:pStyle w:val="Style2"/>
              <w:keepNext w:val="0"/>
              <w:keepLines w:val="0"/>
              <w:widowControl w:val="0"/>
              <w:shd w:val="clear" w:color="auto" w:fill="auto"/>
              <w:bidi w:val="0"/>
              <w:spacing w:before="0" w:after="40" w:line="31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日，根据公司第二届董事会第二十七次（临时）会议审议通过了公司《关于使用部分闲置募集 资金暂时补充公司流动资金的议案》，同意使用部分闲置募集资金</w:t>
            </w:r>
            <w:r>
              <w:rPr>
                <w:color w:val="000000"/>
                <w:spacing w:val="0"/>
                <w:w w:val="100"/>
                <w:position w:val="0"/>
                <w:sz w:val="18"/>
                <w:szCs w:val="18"/>
              </w:rPr>
              <w:t>4,000.00</w:t>
            </w:r>
            <w:r>
              <w:rPr>
                <w:rFonts w:ascii="SimSun" w:eastAsia="SimSun" w:hAnsi="SimSun" w:cs="SimSun"/>
                <w:color w:val="000000"/>
                <w:spacing w:val="0"/>
                <w:w w:val="100"/>
                <w:position w:val="0"/>
                <w:sz w:val="17"/>
                <w:szCs w:val="17"/>
              </w:rPr>
              <w:t>万元补充公司流动资金，使用期限为 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日止，公司已提前归还</w:t>
            </w:r>
            <w:r>
              <w:rPr>
                <w:color w:val="000000"/>
                <w:spacing w:val="0"/>
                <w:w w:val="100"/>
                <w:position w:val="0"/>
                <w:sz w:val="18"/>
                <w:szCs w:val="18"/>
              </w:rPr>
              <w:t>1,000.00</w:t>
            </w:r>
            <w:r>
              <w:rPr>
                <w:rFonts w:ascii="SimSun" w:eastAsia="SimSun" w:hAnsi="SimSun" w:cs="SimSun"/>
                <w:color w:val="000000"/>
                <w:spacing w:val="0"/>
                <w:w w:val="100"/>
                <w:position w:val="0"/>
                <w:sz w:val="17"/>
                <w:szCs w:val="17"/>
              </w:rPr>
              <w:t>万元至募集资金专 用账户，同时将上述募集资金的归还情况通知了保荐机构及保荐代表人。截至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日止，公司已提前 归还</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万元至募集资金专用账户，同时将上述募集资金的归还情况通知了保荐机构及保荐代表人。</w:t>
            </w:r>
          </w:p>
          <w:p>
            <w:pPr>
              <w:pStyle w:val="Style2"/>
              <w:keepNext w:val="0"/>
              <w:keepLines w:val="0"/>
              <w:widowControl w:val="0"/>
              <w:shd w:val="clear" w:color="auto" w:fill="auto"/>
              <w:tabs>
                <w:tab w:pos="250" w:val="left"/>
              </w:tabs>
              <w:bidi w:val="0"/>
              <w:spacing w:before="0" w:after="4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日，根据公司第三届董事会第二次（临时）会议审议通过了《关于公司使用部分闲置募集资金 暂时补充流动资金的议案》，同意使用公司部分闲置募集资金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万元，及公司之全资子公司部分闲置募集 资金</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万元补充流动资金，使用期限为自董事会审议通过之日起不超过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w:t>
            </w:r>
            <w:r>
              <w:rPr>
                <w:rFonts w:ascii="SimSun" w:eastAsia="SimSun" w:hAnsi="SimSun" w:cs="SimSun"/>
                <w:color w:val="000000"/>
                <w:spacing w:val="0"/>
                <w:w w:val="100"/>
                <w:position w:val="0"/>
                <w:sz w:val="17"/>
                <w:szCs w:val="17"/>
              </w:rPr>
              <w:t>以上情况均已知会保荐机构 及保荐代表人。截至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日止，公司已归还此款至募集资金专用账户，同时将上述募集资金的归还情 况通知了保荐机构及保荐代表人。</w:t>
            </w:r>
          </w:p>
          <w:p>
            <w:pPr>
              <w:pStyle w:val="Style2"/>
              <w:keepNext w:val="0"/>
              <w:keepLines w:val="0"/>
              <w:widowControl w:val="0"/>
              <w:shd w:val="clear" w:color="auto" w:fill="auto"/>
              <w:tabs>
                <w:tab w:pos="269" w:val="left"/>
              </w:tabs>
              <w:bidi w:val="0"/>
              <w:spacing w:before="0" w:after="4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日，公司第三届董事会第八次会议审议通过了《关于使用部分闲置募集资金暂时补充流动资金 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万元，及公司之全资子公司部分闲置募集资金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 补充流动资金，使用期限为自董事会审议通过之日起不超过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日止，公司已归还此款 至募集资金专用账户，同时将上述募集资金的归还情况通知了保荐机构及保荐代表人。</w:t>
            </w:r>
          </w:p>
          <w:p>
            <w:pPr>
              <w:pStyle w:val="Style2"/>
              <w:keepNext w:val="0"/>
              <w:keepLines w:val="0"/>
              <w:widowControl w:val="0"/>
              <w:shd w:val="clear" w:color="auto" w:fill="auto"/>
              <w:tabs>
                <w:tab w:pos="245" w:val="left"/>
              </w:tabs>
              <w:bidi w:val="0"/>
              <w:spacing w:before="0" w:after="0" w:line="314"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日，公司第三届董事会第十三次（临时）会议审议通过了《关于使用部分闲置募集资金暂时补 充流动资金的议案》，同意使用公司部分闲置募集资金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7"/>
                <w:szCs w:val="17"/>
              </w:rPr>
              <w:t xml:space="preserve">万元，及公司之全资子公司部分闲置募集资金 </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万元补充流动资金，使用期限为自董事会审议通过之日起不超过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日止，公 司已归还</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万元人民币至募集资金专户，同时将上述募集资金的归还情况通知了保荐机构及保荐代表人。</w:t>
            </w:r>
          </w:p>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日，公司已归还</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万元至募集资金专用账户，同时将上述募集资金的归还情况通知了保荐机 构及保荐代表人。</w:t>
            </w:r>
          </w:p>
          <w:p>
            <w:pPr>
              <w:pStyle w:val="Style2"/>
              <w:keepNext w:val="0"/>
              <w:keepLines w:val="0"/>
              <w:widowControl w:val="0"/>
              <w:shd w:val="clear" w:color="auto" w:fill="auto"/>
              <w:bidi w:val="0"/>
              <w:spacing w:before="0" w:after="40" w:line="315"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日，公司第三届董事会第二十二次（临时）会议审议通过了《关于使用部分闲置募集资金暂时 补充流动资金的议案》，同意使用公司部分闲置募集资金</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万元补充流动资金，使用期限为自董事会审议通过 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日止，公司已提前归还此款至募集资金专用账户，同时将上述募集 资金的归还情况通知了保荐机构及保荐代表人。</w:t>
            </w:r>
          </w:p>
          <w:p>
            <w:pPr>
              <w:pStyle w:val="Style2"/>
              <w:keepNext w:val="0"/>
              <w:keepLines w:val="0"/>
              <w:widowControl w:val="0"/>
              <w:shd w:val="clear" w:color="auto" w:fill="auto"/>
              <w:tabs>
                <w:tab w:pos="264" w:val="left"/>
              </w:tabs>
              <w:bidi w:val="0"/>
              <w:spacing w:before="0" w:after="40" w:line="315"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日，公司第三届董事会第三十次（临时）会议审议通过了公司《关于使用部分闲置募集资金 暂时补充流动资金的议案》，同意使用公司部分闲置募集资金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万元补充公司流动资金</w:t>
            </w:r>
            <w:r>
              <w:rPr>
                <w:color w:val="000000"/>
                <w:spacing w:val="0"/>
                <w:w w:val="100"/>
                <w:position w:val="0"/>
                <w:sz w:val="18"/>
                <w:szCs w:val="18"/>
              </w:rPr>
              <w:t>,</w:t>
            </w:r>
            <w:r>
              <w:rPr>
                <w:rFonts w:ascii="SimSun" w:eastAsia="SimSun" w:hAnsi="SimSun" w:cs="SimSun"/>
                <w:color w:val="000000"/>
                <w:spacing w:val="0"/>
                <w:w w:val="100"/>
                <w:position w:val="0"/>
                <w:sz w:val="17"/>
                <w:szCs w:val="17"/>
              </w:rPr>
              <w:t>使用期限为自董事会 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日止，公司已提前归还此款至募集资金专用账户，同时将 上述募集资金的归还情况通知了保荐机构及保荐代表人。</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项目实 施出现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、网络游戏研发技术平台项目已于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月底验收完成，该项目原由网络游戏通用引擎、</w:t>
            </w:r>
            <w:r>
              <w:rPr>
                <w:color w:val="000000"/>
                <w:spacing w:val="0"/>
                <w:w w:val="100"/>
                <w:position w:val="0"/>
                <w:sz w:val="18"/>
                <w:szCs w:val="18"/>
              </w:rPr>
              <w:t>3D</w:t>
            </w:r>
            <w:r>
              <w:rPr>
                <w:rFonts w:ascii="SimSun" w:eastAsia="SimSun" w:hAnsi="SimSun" w:cs="SimSun"/>
                <w:color w:val="000000"/>
                <w:spacing w:val="0"/>
                <w:w w:val="100"/>
                <w:position w:val="0"/>
                <w:sz w:val="17"/>
                <w:szCs w:val="17"/>
              </w:rPr>
              <w:t>游戏动作捕捉</w:t>
            </w:r>
          </w:p>
        </w:tc>
      </w:tr>
    </w:tbl>
    <w:p>
      <w:pPr>
        <w:spacing w:lineRule="exact" w:line="1"/>
        <w:rPr>
          <w:sz w:val="2"/>
          <w:szCs w:val="2"/>
        </w:rPr>
      </w:pPr>
      <w:r>
        <w:br w:type="page"/>
      </w:r>
    </w:p>
    <w:tbl>
      <w:tblPr>
        <w:tblOverlap w:val="never"/>
        <w:jc w:val="center"/>
        <w:tblLayout w:type="fixed"/>
      </w:tblPr>
      <w:tblGrid>
        <w:gridCol w:w="730"/>
        <w:gridCol w:w="8856"/>
      </w:tblGrid>
      <w:tr>
        <w:trPr>
          <w:trHeight w:val="289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3" w:lineRule="exact"/>
              <w:ind w:left="0" w:right="0" w:firstLine="0"/>
              <w:jc w:val="both"/>
              <w:rPr>
                <w:sz w:val="17"/>
                <w:szCs w:val="17"/>
              </w:rPr>
            </w:pPr>
            <w:r>
              <w:rPr>
                <w:rFonts w:ascii="SimSun" w:eastAsia="SimSun" w:hAnsi="SimSun" w:cs="SimSun"/>
                <w:color w:val="000000"/>
                <w:spacing w:val="0"/>
                <w:w w:val="100"/>
                <w:position w:val="0"/>
                <w:sz w:val="17"/>
                <w:szCs w:val="17"/>
              </w:rPr>
              <w:t>系统及游戏测试系统组成，现验收的项目包括网络游戏通用引擎和游戏测试系统，该项目完成后，项目资金结余 为人民币</w:t>
            </w:r>
            <w:r>
              <w:rPr>
                <w:color w:val="000000"/>
                <w:spacing w:val="0"/>
                <w:w w:val="100"/>
                <w:position w:val="0"/>
                <w:sz w:val="18"/>
                <w:szCs w:val="18"/>
              </w:rPr>
              <w:t>821.10</w:t>
            </w:r>
            <w:r>
              <w:rPr>
                <w:rFonts w:ascii="SimSun" w:eastAsia="SimSun" w:hAnsi="SimSun" w:cs="SimSun"/>
                <w:color w:val="000000"/>
                <w:spacing w:val="0"/>
                <w:w w:val="100"/>
                <w:position w:val="0"/>
                <w:sz w:val="17"/>
                <w:szCs w:val="17"/>
              </w:rPr>
              <w:t>万元(含利息收入</w:t>
            </w:r>
            <w:r>
              <w:rPr>
                <w:color w:val="000000"/>
                <w:spacing w:val="0"/>
                <w:w w:val="100"/>
                <w:position w:val="0"/>
                <w:sz w:val="18"/>
                <w:szCs w:val="18"/>
              </w:rPr>
              <w:t>158.78</w:t>
            </w:r>
            <w:r>
              <w:rPr>
                <w:rFonts w:ascii="SimSun" w:eastAsia="SimSun" w:hAnsi="SimSun" w:cs="SimSun"/>
                <w:color w:val="000000"/>
                <w:spacing w:val="0"/>
                <w:w w:val="100"/>
                <w:position w:val="0"/>
                <w:sz w:val="17"/>
                <w:szCs w:val="17"/>
              </w:rPr>
              <w:t>万元)，结余的原因系原计划购买</w:t>
            </w:r>
            <w:r>
              <w:rPr>
                <w:color w:val="000000"/>
                <w:spacing w:val="0"/>
                <w:w w:val="100"/>
                <w:position w:val="0"/>
                <w:sz w:val="18"/>
                <w:szCs w:val="18"/>
              </w:rPr>
              <w:t>3D</w:t>
            </w:r>
            <w:r>
              <w:rPr>
                <w:rFonts w:ascii="SimSun" w:eastAsia="SimSun" w:hAnsi="SimSun" w:cs="SimSun"/>
                <w:color w:val="000000"/>
                <w:spacing w:val="0"/>
                <w:w w:val="100"/>
                <w:position w:val="0"/>
                <w:sz w:val="17"/>
                <w:szCs w:val="17"/>
              </w:rPr>
              <w:t>游戏动作捕捉系统(原计划需人 民币</w:t>
            </w:r>
            <w:r>
              <w:rPr>
                <w:color w:val="000000"/>
                <w:spacing w:val="0"/>
                <w:w w:val="100"/>
                <w:position w:val="0"/>
                <w:sz w:val="18"/>
                <w:szCs w:val="18"/>
              </w:rPr>
              <w:t>800.00</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因行业情况变化等原因导致购置必要性降低，且公司已储备由美术中心内部培养的专业人才， 其已经具备非常强的专业素养与效率，内部经验分享与沟通有效快捷，在效果与效率上都达到了动作捕捉系统的 成效，因此未实施购置该系统，造成项目资金结余，此结余资金计划转入永久补充流动资金。</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 公司第二届董事会第十七次会议审核通过《关于将募集资金投资项目结余资金永久补充流动资金的议案》，同意 公司使用募集资金投资项目结余资金</w:t>
            </w:r>
            <w:r>
              <w:rPr>
                <w:color w:val="000000"/>
                <w:spacing w:val="0"/>
                <w:w w:val="100"/>
                <w:position w:val="0"/>
                <w:sz w:val="18"/>
                <w:szCs w:val="18"/>
              </w:rPr>
              <w:t>821.10</w:t>
            </w:r>
            <w:r>
              <w:rPr>
                <w:rFonts w:ascii="SimSun" w:eastAsia="SimSun" w:hAnsi="SimSun" w:cs="SimSun"/>
                <w:color w:val="000000"/>
                <w:spacing w:val="0"/>
                <w:w w:val="100"/>
                <w:position w:val="0"/>
                <w:sz w:val="17"/>
                <w:szCs w:val="17"/>
              </w:rPr>
              <w:t>万(含利息收入</w:t>
            </w:r>
            <w:r>
              <w:rPr>
                <w:color w:val="000000"/>
                <w:spacing w:val="0"/>
                <w:w w:val="100"/>
                <w:position w:val="0"/>
                <w:sz w:val="18"/>
                <w:szCs w:val="18"/>
              </w:rPr>
              <w:t>158.78</w:t>
            </w:r>
            <w:r>
              <w:rPr>
                <w:rFonts w:ascii="SimSun" w:eastAsia="SimSun" w:hAnsi="SimSun" w:cs="SimSun"/>
                <w:color w:val="000000"/>
                <w:spacing w:val="0"/>
                <w:w w:val="100"/>
                <w:position w:val="0"/>
                <w:sz w:val="17"/>
                <w:szCs w:val="17"/>
              </w:rPr>
              <w:t>万元)永久补充流动资金，该事项已经</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年年度股东大会审议通过。</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、中青聚宝项目已于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月结项，结余募集资金</w:t>
            </w:r>
            <w:r>
              <w:rPr>
                <w:color w:val="000000"/>
                <w:spacing w:val="0"/>
                <w:w w:val="100"/>
                <w:position w:val="0"/>
                <w:sz w:val="18"/>
                <w:szCs w:val="18"/>
              </w:rPr>
              <w:t>5.32</w:t>
            </w:r>
            <w:r>
              <w:rPr>
                <w:rFonts w:ascii="SimSun" w:eastAsia="SimSun" w:hAnsi="SimSun" w:cs="SimSun"/>
                <w:color w:val="000000"/>
                <w:spacing w:val="0"/>
                <w:w w:val="100"/>
                <w:position w:val="0"/>
                <w:sz w:val="17"/>
                <w:szCs w:val="17"/>
              </w:rPr>
              <w:t>万元转入永久补充流动资金。</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尚未使用的超募资金目前存放于募集资金专户中。</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7"/>
        <w:keepNext/>
        <w:keepLines/>
        <w:widowControl w:val="0"/>
        <w:numPr>
          <w:ilvl w:val="0"/>
          <w:numId w:val="9"/>
        </w:numPr>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募集资金变更项目情况</w:t>
      </w:r>
      <w:bookmarkEnd w:id="211"/>
      <w:bookmarkEnd w:id="212"/>
      <w:bookmarkEnd w:id="21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10" w:lineRule="exact"/>
              <w:ind w:left="0" w:right="0" w:firstLine="300"/>
              <w:jc w:val="both"/>
              <w:rPr>
                <w:sz w:val="17"/>
                <w:szCs w:val="17"/>
              </w:rPr>
            </w:pPr>
            <w:r>
              <w:rPr>
                <w:rFonts w:ascii="SimSun" w:eastAsia="SimSun" w:hAnsi="SimSun" w:cs="SimSun"/>
                <w:color w:val="000000"/>
                <w:spacing w:val="0"/>
                <w:w w:val="100"/>
                <w:position w:val="0"/>
                <w:sz w:val="17"/>
                <w:szCs w:val="17"/>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增资卓页 网页游戏的 运营和研发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中青聚宝项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上海美峰 数码科技有 限公司</w:t>
            </w:r>
            <w:r>
              <w:rPr>
                <w:color w:val="000000"/>
                <w:spacing w:val="0"/>
                <w:w w:val="100"/>
                <w:position w:val="0"/>
                <w:sz w:val="18"/>
                <w:szCs w:val="18"/>
              </w:rPr>
              <w:t xml:space="preserve">51% </w:t>
            </w:r>
            <w:r>
              <w:rPr>
                <w:rFonts w:ascii="SimSun" w:eastAsia="SimSun" w:hAnsi="SimSun" w:cs="SimSun"/>
                <w:color w:val="000000"/>
                <w:spacing w:val="0"/>
                <w:w w:val="100"/>
                <w:position w:val="0"/>
                <w:sz w:val="17"/>
                <w:szCs w:val="17"/>
              </w:rPr>
              <w:t>股权收购项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苏州研发中 心建设项 目、</w:t>
            </w:r>
            <w:r>
              <w:rPr>
                <w:color w:val="000000"/>
                <w:spacing w:val="0"/>
                <w:w w:val="100"/>
                <w:position w:val="0"/>
                <w:sz w:val="18"/>
                <w:szCs w:val="18"/>
              </w:rPr>
              <w:t>2.5D</w:t>
            </w:r>
            <w:r>
              <w:rPr>
                <w:rFonts w:ascii="SimSun" w:eastAsia="SimSun" w:hAnsi="SimSun" w:cs="SimSun"/>
                <w:color w:val="000000"/>
                <w:spacing w:val="0"/>
                <w:w w:val="100"/>
                <w:position w:val="0"/>
                <w:sz w:val="17"/>
                <w:szCs w:val="17"/>
              </w:rPr>
              <w:t>游 戏《新宋演 义》开发项 目(暂定 名)、</w:t>
            </w:r>
            <w:r>
              <w:rPr>
                <w:color w:val="000000"/>
                <w:spacing w:val="0"/>
                <w:w w:val="100"/>
                <w:position w:val="0"/>
                <w:sz w:val="18"/>
                <w:szCs w:val="18"/>
              </w:rPr>
              <w:t>3D</w:t>
            </w:r>
            <w:r>
              <w:rPr>
                <w:rFonts w:ascii="SimSun" w:eastAsia="SimSun" w:hAnsi="SimSun" w:cs="SimSun"/>
                <w:color w:val="000000"/>
                <w:spacing w:val="0"/>
                <w:w w:val="100"/>
                <w:position w:val="0"/>
                <w:sz w:val="17"/>
                <w:szCs w:val="17"/>
              </w:rPr>
              <w:t>游 戏《盟军》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开发项目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（暂定名）、 </w:t>
            </w:r>
            <w:r>
              <w:rPr>
                <w:color w:val="000000"/>
                <w:spacing w:val="0"/>
                <w:w w:val="100"/>
                <w:position w:val="0"/>
                <w:sz w:val="18"/>
                <w:szCs w:val="18"/>
              </w:rPr>
              <w:t>3D</w:t>
            </w:r>
            <w:r>
              <w:rPr>
                <w:rFonts w:ascii="SimSun" w:eastAsia="SimSun" w:hAnsi="SimSun" w:cs="SimSun"/>
                <w:color w:val="000000"/>
                <w:spacing w:val="0"/>
                <w:w w:val="100"/>
                <w:position w:val="0"/>
                <w:sz w:val="17"/>
                <w:szCs w:val="17"/>
              </w:rPr>
              <w:t>游戏《寻 梦园》开发 项目（暂定 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深圳市苏 摩科技有限 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 权收购项目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2.5D</w:t>
            </w:r>
            <w:r>
              <w:rPr>
                <w:rFonts w:ascii="SimSun" w:eastAsia="SimSun" w:hAnsi="SimSun" w:cs="SimSun"/>
                <w:color w:val="000000"/>
                <w:spacing w:val="0"/>
                <w:w w:val="100"/>
                <w:position w:val="0"/>
                <w:sz w:val="17"/>
                <w:szCs w:val="17"/>
              </w:rPr>
              <w:t>游戏</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《三国游 侠》开发项 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超募资金 项目：永久 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第三方支付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凤凰高科 技文化科普 体验园项目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2.5D</w:t>
            </w:r>
            <w:r>
              <w:rPr>
                <w:rFonts w:ascii="SimSun" w:eastAsia="SimSun" w:hAnsi="SimSun" w:cs="SimSun"/>
                <w:color w:val="000000"/>
                <w:spacing w:val="0"/>
                <w:w w:val="100"/>
                <w:position w:val="0"/>
                <w:sz w:val="17"/>
                <w:szCs w:val="17"/>
              </w:rPr>
              <w:t>游戏</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《三国游 侠》开发项 目（暂定 名）、</w:t>
            </w:r>
            <w:r>
              <w:rPr>
                <w:color w:val="000000"/>
                <w:spacing w:val="0"/>
                <w:w w:val="100"/>
                <w:position w:val="0"/>
                <w:sz w:val="18"/>
                <w:szCs w:val="18"/>
              </w:rPr>
              <w:t xml:space="preserve">2.5D </w:t>
            </w:r>
            <w:r>
              <w:rPr>
                <w:rFonts w:ascii="SimSun" w:eastAsia="SimSun" w:hAnsi="SimSun" w:cs="SimSun"/>
                <w:color w:val="000000"/>
                <w:spacing w:val="0"/>
                <w:w w:val="100"/>
                <w:position w:val="0"/>
                <w:sz w:val="17"/>
                <w:szCs w:val="17"/>
              </w:rPr>
              <w:t>游戏《新宋 演义》开发 项目（暂定 名）、</w:t>
            </w:r>
            <w:r>
              <w:rPr>
                <w:color w:val="000000"/>
                <w:spacing w:val="0"/>
                <w:w w:val="100"/>
                <w:position w:val="0"/>
                <w:sz w:val="18"/>
                <w:szCs w:val="18"/>
              </w:rPr>
              <w:t>3D</w:t>
            </w:r>
            <w:r>
              <w:rPr>
                <w:rFonts w:ascii="SimSun" w:eastAsia="SimSun" w:hAnsi="SimSun" w:cs="SimSun"/>
                <w:color w:val="000000"/>
                <w:spacing w:val="0"/>
                <w:w w:val="100"/>
                <w:position w:val="0"/>
                <w:sz w:val="17"/>
                <w:szCs w:val="17"/>
              </w:rPr>
              <w:t>游 戏《寻梦园》 开发项目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、球类游戏</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推广项目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凤凰高科技 文化科普体 验园项目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36,979.18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1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经本公司第二届董事会第九次会议和</w:t>
            </w:r>
            <w:r>
              <w:rPr>
                <w:color w:val="000000"/>
                <w:spacing w:val="0"/>
                <w:w w:val="100"/>
                <w:position w:val="0"/>
                <w:sz w:val="18"/>
                <w:szCs w:val="18"/>
              </w:rPr>
              <w:t>2011</w:t>
            </w:r>
            <w:r>
              <w:rPr>
                <w:rFonts w:ascii="SimSun" w:eastAsia="SimSun" w:hAnsi="SimSun" w:cs="SimSun"/>
                <w:color w:val="000000"/>
                <w:spacing w:val="0"/>
                <w:w w:val="100"/>
                <w:position w:val="0"/>
                <w:sz w:val="17"/>
                <w:szCs w:val="17"/>
              </w:rPr>
              <w:t>年年度股东大会审议通过，为加快募集 资金使用效率和提高资金投资回报，公司对中青聚宝项目的部分募集资金进行变更， 将人民币</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万元用于增资卓页网页游戏的运营和研发投资项目等方面，投资形 式以深圳中青聚宝信息技术有限公司增资深圳市卓页互动网络科技有限公司。</w:t>
            </w:r>
          </w:p>
          <w:p>
            <w:pPr>
              <w:pStyle w:val="Style2"/>
              <w:keepNext w:val="0"/>
              <w:keepLines w:val="0"/>
              <w:widowControl w:val="0"/>
              <w:shd w:val="clear" w:color="auto" w:fill="auto"/>
              <w:tabs>
                <w:tab w:pos="274"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经本公司第二届董事会第二十三次（临时）会议和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年度第二次临时股东大会 审议通过，公司变更部分募集资金投资项目及用募集资金和自有资金收购上海美峰数 码科技有限公司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股权和深圳市苏摩科技有限公司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股权：本公司将原计划募投 项目</w:t>
            </w:r>
            <w:r>
              <w:rPr>
                <w:color w:val="000000"/>
                <w:spacing w:val="0"/>
                <w:w w:val="100"/>
                <w:position w:val="0"/>
                <w:sz w:val="18"/>
                <w:szCs w:val="18"/>
              </w:rPr>
              <w:t>“</w:t>
            </w:r>
            <w:r>
              <w:rPr>
                <w:rFonts w:ascii="SimSun" w:eastAsia="SimSun" w:hAnsi="SimSun" w:cs="SimSun"/>
                <w:color w:val="000000"/>
                <w:spacing w:val="0"/>
                <w:w w:val="100"/>
                <w:position w:val="0"/>
                <w:sz w:val="17"/>
                <w:szCs w:val="17"/>
              </w:rPr>
              <w:t>苏州研发中心建设项目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8,280.00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“2.5D</w:t>
            </w:r>
            <w:r>
              <w:rPr>
                <w:rFonts w:ascii="SimSun" w:eastAsia="SimSun" w:hAnsi="SimSun" w:cs="SimSun"/>
                <w:color w:val="000000"/>
                <w:spacing w:val="0"/>
                <w:w w:val="100"/>
                <w:position w:val="0"/>
                <w:sz w:val="17"/>
                <w:szCs w:val="17"/>
              </w:rPr>
              <w:t>游戏《新宋演义》开发项目</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w:t>
            </w:r>
            <w:r>
              <w:rPr>
                <w:color w:val="000000"/>
                <w:spacing w:val="0"/>
                <w:w w:val="100"/>
                <w:position w:val="0"/>
                <w:sz w:val="18"/>
                <w:szCs w:val="18"/>
              </w:rPr>
              <w:t>“3D</w:t>
            </w:r>
            <w:r>
              <w:rPr>
                <w:rFonts w:ascii="SimSun" w:eastAsia="SimSun" w:hAnsi="SimSun" w:cs="SimSun"/>
                <w:color w:val="000000"/>
                <w:spacing w:val="0"/>
                <w:w w:val="100"/>
                <w:position w:val="0"/>
                <w:sz w:val="17"/>
                <w:szCs w:val="17"/>
              </w:rPr>
              <w:t>游戏《盟军》开发项目（暂定名）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 xml:space="preserve">2,000.00 </w:t>
            </w:r>
            <w:r>
              <w:rPr>
                <w:rFonts w:ascii="SimSun" w:eastAsia="SimSun" w:hAnsi="SimSun" w:cs="SimSun"/>
                <w:color w:val="000000"/>
                <w:spacing w:val="0"/>
                <w:w w:val="100"/>
                <w:position w:val="0"/>
                <w:sz w:val="17"/>
                <w:szCs w:val="17"/>
              </w:rPr>
              <w:t>万元和</w:t>
            </w:r>
            <w:r>
              <w:rPr>
                <w:color w:val="000000"/>
                <w:spacing w:val="0"/>
                <w:w w:val="100"/>
                <w:position w:val="0"/>
                <w:sz w:val="18"/>
                <w:szCs w:val="18"/>
              </w:rPr>
              <w:t>“3D</w:t>
            </w:r>
            <w:r>
              <w:rPr>
                <w:rFonts w:ascii="SimSun" w:eastAsia="SimSun" w:hAnsi="SimSun" w:cs="SimSun"/>
                <w:color w:val="000000"/>
                <w:spacing w:val="0"/>
                <w:w w:val="100"/>
                <w:position w:val="0"/>
                <w:sz w:val="17"/>
                <w:szCs w:val="17"/>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万元共计募集资金</w:t>
            </w:r>
          </w:p>
        </w:tc>
      </w:tr>
    </w:tbl>
    <w:p>
      <w:pPr>
        <w:spacing w:lineRule="exact" w:line="1"/>
        <w:rPr>
          <w:sz w:val="2"/>
          <w:szCs w:val="2"/>
        </w:rPr>
      </w:pPr>
      <w:r>
        <w:br w:type="page"/>
      </w:r>
    </w:p>
    <w:tbl>
      <w:tblPr>
        <w:tblOverlap w:val="never"/>
        <w:jc w:val="center"/>
        <w:tblLayout w:type="fixed"/>
      </w:tblPr>
      <w:tblGrid>
        <w:gridCol w:w="2880"/>
        <w:gridCol w:w="6710"/>
      </w:tblGrid>
      <w:tr>
        <w:trPr>
          <w:trHeight w:val="80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8"/>
                <w:szCs w:val="18"/>
              </w:rPr>
              <w:t>14,280.00</w:t>
            </w:r>
            <w:r>
              <w:rPr>
                <w:rFonts w:ascii="SimSun" w:eastAsia="SimSun" w:hAnsi="SimSun" w:cs="SimSun"/>
                <w:color w:val="000000"/>
                <w:spacing w:val="0"/>
                <w:w w:val="100"/>
                <w:position w:val="0"/>
                <w:sz w:val="17"/>
                <w:szCs w:val="17"/>
              </w:rPr>
              <w:t>万元用于收购上海美峰数码科技有限公司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股权收购项目中；将原计划募 投项目</w:t>
            </w:r>
            <w:r>
              <w:rPr>
                <w:color w:val="000000"/>
                <w:spacing w:val="0"/>
                <w:w w:val="100"/>
                <w:position w:val="0"/>
                <w:sz w:val="18"/>
                <w:szCs w:val="18"/>
              </w:rPr>
              <w:t>“2.5D</w:t>
            </w:r>
            <w:r>
              <w:rPr>
                <w:rFonts w:ascii="SimSun" w:eastAsia="SimSun" w:hAnsi="SimSun" w:cs="SimSun"/>
                <w:color w:val="000000"/>
                <w:spacing w:val="0"/>
                <w:w w:val="100"/>
                <w:position w:val="0"/>
                <w:sz w:val="17"/>
                <w:szCs w:val="17"/>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中募集资金</w:t>
            </w:r>
            <w:r>
              <w:rPr>
                <w:color w:val="000000"/>
                <w:spacing w:val="0"/>
                <w:w w:val="100"/>
                <w:position w:val="0"/>
                <w:sz w:val="18"/>
                <w:szCs w:val="18"/>
              </w:rPr>
              <w:t>2,186.63</w:t>
            </w:r>
            <w:r>
              <w:rPr>
                <w:rFonts w:ascii="SimSun" w:eastAsia="SimSun" w:hAnsi="SimSun" w:cs="SimSun"/>
                <w:color w:val="000000"/>
                <w:spacing w:val="0"/>
                <w:w w:val="100"/>
                <w:position w:val="0"/>
                <w:sz w:val="17"/>
                <w:szCs w:val="17"/>
              </w:rPr>
              <w:t>万元用于收 购深圳市苏摩科技有限公司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股权收购项目中。</w:t>
            </w:r>
          </w:p>
          <w:p>
            <w:pPr>
              <w:pStyle w:val="Style2"/>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为整合优势资源，聚焦主业发展，经公司第四届董事会第二次（临时）会议和</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年度第一次临时股东大会决议，本公司将上海美峰数码科技有限公司</w:t>
            </w:r>
            <w:r>
              <w:rPr>
                <w:color w:val="000000"/>
                <w:spacing w:val="0"/>
                <w:w w:val="100"/>
                <w:position w:val="0"/>
                <w:sz w:val="18"/>
                <w:szCs w:val="18"/>
              </w:rPr>
              <w:t>71.6334%</w:t>
            </w:r>
            <w:r>
              <w:rPr>
                <w:rFonts w:ascii="SimSun" w:eastAsia="SimSun" w:hAnsi="SimSun" w:cs="SimSun"/>
                <w:color w:val="000000"/>
                <w:spacing w:val="0"/>
                <w:w w:val="100"/>
                <w:position w:val="0"/>
                <w:sz w:val="17"/>
                <w:szCs w:val="17"/>
              </w:rPr>
              <w:t>的股权 以人民币</w:t>
            </w:r>
            <w:r>
              <w:rPr>
                <w:color w:val="000000"/>
                <w:spacing w:val="0"/>
                <w:w w:val="100"/>
                <w:position w:val="0"/>
                <w:sz w:val="18"/>
                <w:szCs w:val="18"/>
              </w:rPr>
              <w:t>25,000.00</w:t>
            </w:r>
            <w:r>
              <w:rPr>
                <w:rFonts w:ascii="SimSun" w:eastAsia="SimSun" w:hAnsi="SimSun" w:cs="SimSun"/>
                <w:color w:val="000000"/>
                <w:spacing w:val="0"/>
                <w:w w:val="100"/>
                <w:position w:val="0"/>
                <w:sz w:val="17"/>
                <w:szCs w:val="17"/>
              </w:rPr>
              <w:t>万元的价格出售给深圳前海宝德资产管理有限公司。</w:t>
            </w:r>
          </w:p>
          <w:p>
            <w:pPr>
              <w:pStyle w:val="Style2"/>
              <w:keepNext w:val="0"/>
              <w:keepLines w:val="0"/>
              <w:widowControl w:val="0"/>
              <w:shd w:val="clear" w:color="auto" w:fill="auto"/>
              <w:bidi w:val="0"/>
              <w:spacing w:before="0" w:after="40" w:line="313"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根据公司第一届董事会第二十三次会议和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7"/>
                <w:szCs w:val="17"/>
              </w:rPr>
              <w:t>年度股东大会决议，本公司将超募 资金人民币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万元设立全资子公司深圳中付通用于建立第三方支付平台，后 因支付牌照未能申请下来，深圳中付通一直未能开展相关业务，经公司第二届董事会 第二十八次会议决议和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的股权以 人民币</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万元的价格出售给宝德控股，同时将收回的股权转让款变更为永久 补充流动资金，转让日深圳中付通募集资金账户余额为人民币</w:t>
            </w:r>
            <w:r>
              <w:rPr>
                <w:color w:val="000000"/>
                <w:spacing w:val="0"/>
                <w:w w:val="100"/>
                <w:position w:val="0"/>
                <w:sz w:val="18"/>
                <w:szCs w:val="18"/>
              </w:rPr>
              <w:t>86,078,055.37</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tabs>
                <w:tab w:pos="269" w:val="left"/>
              </w:tabs>
              <w:bidi w:val="0"/>
              <w:spacing w:before="0" w:after="4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年年度股东大会审议通过，公司终止实施苏州研 发中心建设项目，并将该项目剩余募集资金永久补充流动资金。</w:t>
            </w:r>
          </w:p>
          <w:p>
            <w:pPr>
              <w:pStyle w:val="Style2"/>
              <w:keepNext w:val="0"/>
              <w:keepLines w:val="0"/>
              <w:widowControl w:val="0"/>
              <w:shd w:val="clear" w:color="auto" w:fill="auto"/>
              <w:tabs>
                <w:tab w:pos="235" w:val="left"/>
              </w:tabs>
              <w:bidi w:val="0"/>
              <w:spacing w:before="0" w:after="40" w:line="314"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经公司第四届董事会第十二次（临时）会议和</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年度第一次股东大会审议通过， 公司变更部分募集资金投资项目：本公司将原计划募投项目</w:t>
            </w:r>
            <w:r>
              <w:rPr>
                <w:color w:val="000000"/>
                <w:spacing w:val="0"/>
                <w:w w:val="100"/>
                <w:position w:val="0"/>
                <w:sz w:val="18"/>
                <w:szCs w:val="18"/>
              </w:rPr>
              <w:t>“2.5D</w:t>
            </w:r>
            <w:r>
              <w:rPr>
                <w:rFonts w:ascii="SimSun" w:eastAsia="SimSun" w:hAnsi="SimSun" w:cs="SimSun"/>
                <w:color w:val="000000"/>
                <w:spacing w:val="0"/>
                <w:w w:val="100"/>
                <w:position w:val="0"/>
                <w:sz w:val="17"/>
                <w:szCs w:val="17"/>
              </w:rPr>
              <w:t>游戏《三国游侠》 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743.00</w:t>
            </w:r>
            <w:r>
              <w:rPr>
                <w:rFonts w:ascii="SimSun" w:eastAsia="SimSun" w:hAnsi="SimSun" w:cs="SimSun"/>
                <w:color w:val="000000"/>
                <w:spacing w:val="0"/>
                <w:w w:val="100"/>
                <w:position w:val="0"/>
                <w:sz w:val="17"/>
                <w:szCs w:val="17"/>
              </w:rPr>
              <w:t>万元、</w:t>
            </w:r>
            <w:r>
              <w:rPr>
                <w:color w:val="000000"/>
                <w:spacing w:val="0"/>
                <w:w w:val="100"/>
                <w:position w:val="0"/>
                <w:sz w:val="18"/>
                <w:szCs w:val="18"/>
              </w:rPr>
              <w:t>“2.5D</w:t>
            </w:r>
            <w:r>
              <w:rPr>
                <w:rFonts w:ascii="SimSun" w:eastAsia="SimSun" w:hAnsi="SimSun" w:cs="SimSun"/>
                <w:color w:val="000000"/>
                <w:spacing w:val="0"/>
                <w:w w:val="100"/>
                <w:position w:val="0"/>
                <w:sz w:val="17"/>
                <w:szCs w:val="17"/>
              </w:rPr>
              <w:t>游戏《新宋演义》开发项目（暂定名）</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中的</w:t>
            </w:r>
            <w:r>
              <w:rPr>
                <w:color w:val="000000"/>
                <w:spacing w:val="0"/>
                <w:w w:val="100"/>
                <w:position w:val="0"/>
                <w:sz w:val="18"/>
                <w:szCs w:val="18"/>
              </w:rPr>
              <w:t>1,686.00</w:t>
            </w:r>
            <w:r>
              <w:rPr>
                <w:rFonts w:ascii="SimSun" w:eastAsia="SimSun" w:hAnsi="SimSun" w:cs="SimSun"/>
                <w:color w:val="000000"/>
                <w:spacing w:val="0"/>
                <w:w w:val="100"/>
                <w:position w:val="0"/>
                <w:sz w:val="17"/>
                <w:szCs w:val="17"/>
              </w:rPr>
              <w:t>万元、</w:t>
            </w:r>
            <w:r>
              <w:rPr>
                <w:color w:val="000000"/>
                <w:spacing w:val="0"/>
                <w:w w:val="100"/>
                <w:position w:val="0"/>
                <w:sz w:val="18"/>
                <w:szCs w:val="18"/>
              </w:rPr>
              <w:t>“3D</w:t>
            </w:r>
            <w:r>
              <w:rPr>
                <w:rFonts w:ascii="SimSun" w:eastAsia="SimSun" w:hAnsi="SimSun" w:cs="SimSun"/>
                <w:color w:val="000000"/>
                <w:spacing w:val="0"/>
                <w:w w:val="100"/>
                <w:position w:val="0"/>
                <w:sz w:val="17"/>
                <w:szCs w:val="17"/>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1,239.00</w:t>
            </w:r>
            <w:r>
              <w:rPr>
                <w:rFonts w:ascii="SimSun" w:eastAsia="SimSun" w:hAnsi="SimSun" w:cs="SimSun"/>
                <w:color w:val="000000"/>
                <w:spacing w:val="0"/>
                <w:w w:val="100"/>
                <w:position w:val="0"/>
                <w:sz w:val="17"/>
                <w:szCs w:val="17"/>
              </w:rPr>
              <w:t>万元用于 增资深圳中青宝文化科技有限公司（以下简称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中青宝文化科技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用于增强中青宝文 化自身研发及创新能力及凤凰中青宝文化科技创意产业园建设项目（又名</w:t>
            </w:r>
            <w:r>
              <w:rPr>
                <w:color w:val="000000"/>
                <w:spacing w:val="0"/>
                <w:w w:val="100"/>
                <w:position w:val="0"/>
                <w:sz w:val="18"/>
                <w:szCs w:val="18"/>
              </w:rPr>
              <w:t>“</w:t>
            </w:r>
            <w:r>
              <w:rPr>
                <w:rFonts w:ascii="SimSun" w:eastAsia="SimSun" w:hAnsi="SimSun" w:cs="SimSun"/>
                <w:color w:val="000000"/>
                <w:spacing w:val="0"/>
                <w:w w:val="100"/>
                <w:position w:val="0"/>
                <w:sz w:val="17"/>
                <w:szCs w:val="17"/>
              </w:rPr>
              <w:t>凤凰高科 技文化科普体验园项目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）的建设。</w:t>
            </w:r>
          </w:p>
          <w:p>
            <w:pPr>
              <w:pStyle w:val="Style2"/>
              <w:keepNext w:val="0"/>
              <w:keepLines w:val="0"/>
              <w:widowControl w:val="0"/>
              <w:shd w:val="clear" w:color="auto" w:fill="auto"/>
              <w:tabs>
                <w:tab w:pos="274" w:val="left"/>
              </w:tabs>
              <w:bidi w:val="0"/>
              <w:spacing w:before="0" w:after="40" w:line="317"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经公司第四届董事会第二十九次会议和</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年度第二次临时股东大会审议通过， 公司变更部分募集资金投资项目及实施主体：本公司将</w:t>
            </w:r>
            <w:r>
              <w:rPr>
                <w:color w:val="000000"/>
                <w:spacing w:val="0"/>
                <w:w w:val="100"/>
                <w:position w:val="0"/>
                <w:sz w:val="18"/>
                <w:szCs w:val="18"/>
              </w:rPr>
              <w:t>“</w:t>
            </w:r>
            <w:r>
              <w:rPr>
                <w:rFonts w:ascii="SimSun" w:eastAsia="SimSun" w:hAnsi="SimSun" w:cs="SimSun"/>
                <w:color w:val="000000"/>
                <w:spacing w:val="0"/>
                <w:w w:val="100"/>
                <w:position w:val="0"/>
                <w:sz w:val="17"/>
                <w:szCs w:val="17"/>
              </w:rPr>
              <w:t>凤凰高科技文化科普体验园 项目</w:t>
            </w:r>
            <w:r>
              <w:rPr>
                <w:color w:val="000000"/>
                <w:spacing w:val="0"/>
                <w:w w:val="100"/>
                <w:position w:val="0"/>
                <w:sz w:val="18"/>
                <w:szCs w:val="18"/>
              </w:rPr>
              <w:t>”</w:t>
            </w:r>
            <w:r>
              <w:rPr>
                <w:rFonts w:ascii="SimSun" w:eastAsia="SimSun" w:hAnsi="SimSun" w:cs="SimSun"/>
                <w:color w:val="000000"/>
                <w:spacing w:val="0"/>
                <w:w w:val="100"/>
                <w:position w:val="0"/>
                <w:sz w:val="17"/>
                <w:szCs w:val="17"/>
              </w:rPr>
              <w:t>中的</w:t>
            </w:r>
            <w:r>
              <w:rPr>
                <w:color w:val="000000"/>
                <w:spacing w:val="0"/>
                <w:w w:val="100"/>
                <w:position w:val="0"/>
                <w:sz w:val="18"/>
                <w:szCs w:val="18"/>
              </w:rPr>
              <w:t>2,520.00</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w:t>
            </w:r>
            <w:r>
              <w:rPr>
                <w:rFonts w:ascii="SimSun" w:eastAsia="SimSun" w:hAnsi="SimSun" w:cs="SimSun"/>
                <w:color w:val="000000"/>
                <w:spacing w:val="0"/>
                <w:w w:val="100"/>
                <w:position w:val="0"/>
                <w:sz w:val="17"/>
                <w:szCs w:val="17"/>
              </w:rPr>
              <w:t>球类游戏推广项目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的建设，募投项目实施主体由</w:t>
            </w:r>
            <w:r>
              <w:rPr>
                <w:color w:val="000000"/>
                <w:spacing w:val="0"/>
                <w:w w:val="100"/>
                <w:position w:val="0"/>
                <w:sz w:val="18"/>
                <w:szCs w:val="18"/>
              </w:rPr>
              <w:t>“</w:t>
            </w:r>
            <w:r>
              <w:rPr>
                <w:rFonts w:ascii="SimSun" w:eastAsia="SimSun" w:hAnsi="SimSun" w:cs="SimSun"/>
                <w:color w:val="000000"/>
                <w:spacing w:val="0"/>
                <w:w w:val="100"/>
                <w:position w:val="0"/>
                <w:sz w:val="17"/>
                <w:szCs w:val="17"/>
              </w:rPr>
              <w:t>深圳 中青宝文化科技有限公司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深圳时代首游互动科技有限公司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2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深圳苏摩股权收购项目未达到预计收益的说明：一方面，游戏市场竞争白热化， 公司新游戏推广受到市场压力，数款新游戏尚未开始产生效益，部分游戏经营情况未 达预期；另一方面，公司内部人员结构及业务内容处于优化整合时期，影响公司整体 经营情况。</w:t>
            </w:r>
          </w:p>
          <w:p>
            <w:pPr>
              <w:pStyle w:val="Style2"/>
              <w:keepNext w:val="0"/>
              <w:keepLines w:val="0"/>
              <w:widowControl w:val="0"/>
              <w:shd w:val="clear" w:color="auto" w:fill="auto"/>
              <w:tabs>
                <w:tab w:pos="254" w:val="left"/>
              </w:tabs>
              <w:bidi w:val="0"/>
              <w:spacing w:before="0" w:after="6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凤凰高科技文化科普体验园项目，由于目前处于新业务领域布局建设和投资阶段， 虽取得阶段性成果，但尚未盈利。</w:t>
            </w:r>
          </w:p>
          <w:p>
            <w:pPr>
              <w:pStyle w:val="Style2"/>
              <w:keepNext w:val="0"/>
              <w:keepLines w:val="0"/>
              <w:widowControl w:val="0"/>
              <w:shd w:val="clear" w:color="auto" w:fill="auto"/>
              <w:tabs>
                <w:tab w:pos="269" w:val="left"/>
              </w:tabs>
              <w:bidi w:val="0"/>
              <w:spacing w:before="0" w:after="4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球类游戏推广项目，由于目前处于产品布局初期，加上同类竞品推新迭代，获客 成本不断提高，虽取得阶段性成果，但尚未盈利。</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、重大资产和股权出售</w:t>
      </w:r>
      <w:bookmarkEnd w:id="215"/>
      <w:bookmarkEnd w:id="216"/>
      <w:bookmarkEnd w:id="218"/>
    </w:p>
    <w:p>
      <w:pPr>
        <w:pStyle w:val="Style31"/>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、出售重大资产情况</w:t>
      </w:r>
      <w:bookmarkEnd w:id="219"/>
      <w:bookmarkEnd w:id="220"/>
      <w:bookmarkEnd w:id="22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、出售重大股权情况</w:t>
      </w:r>
      <w:bookmarkEnd w:id="223"/>
      <w:bookmarkEnd w:id="224"/>
      <w:bookmarkEnd w:id="22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、主要控股参股公司分析</w:t>
      </w:r>
      <w:bookmarkEnd w:id="227"/>
      <w:bookmarkEnd w:id="228"/>
      <w:bookmarkEnd w:id="23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393,765,143.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217,548,190.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143,342,682.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36,805,840.5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32,208,374.8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深圳时代首 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78,043,399.9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-124,694,712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66,881,188.2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-71,402,938.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-71,388,538.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掌心烈焰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-940.29 </w:t>
            </w:r>
            <w:r>
              <w:rPr>
                <w:rFonts w:ascii="SimSun" w:eastAsia="SimSun" w:hAnsi="SimSun" w:cs="SimSun"/>
                <w:color w:val="000000"/>
                <w:spacing w:val="0"/>
                <w:w w:val="100"/>
                <w:position w:val="0"/>
                <w:sz w:val="17"/>
                <w:szCs w:val="17"/>
              </w:rPr>
              <w:t>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-1,907.98 </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区块链促进中心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r>
              <w:rPr>
                <w:color w:val="000000"/>
                <w:spacing w:val="0"/>
                <w:w w:val="100"/>
                <w:position w:val="0"/>
                <w:sz w:val="18"/>
                <w:szCs w:val="18"/>
              </w:rPr>
              <w:t>/</w:t>
            </w: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山东科讯达恒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八</w:t>
      </w:r>
      <w:bookmarkEnd w:id="233"/>
      <w:r>
        <w:rPr>
          <w:color w:val="000000"/>
          <w:spacing w:val="0"/>
          <w:w w:val="100"/>
          <w:position w:val="0"/>
          <w:sz w:val="24"/>
          <w:szCs w:val="24"/>
        </w:rPr>
        <w:t>、</w:t>
        <w:tab/>
        <w:t>公司控制的结构化主体情况</w:t>
      </w:r>
      <w:bookmarkEnd w:id="231"/>
      <w:bookmarkEnd w:id="232"/>
      <w:bookmarkEnd w:id="234"/>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w:t>
        <w:tab/>
        <w:t>公司未来发展的展望</w:t>
      </w:r>
      <w:bookmarkEnd w:id="235"/>
      <w:bookmarkEnd w:id="236"/>
      <w:bookmarkEnd w:id="238"/>
    </w:p>
    <w:p>
      <w:pPr>
        <w:pStyle w:val="Style24"/>
        <w:keepNext w:val="0"/>
        <w:keepLines w:val="0"/>
        <w:widowControl w:val="0"/>
        <w:shd w:val="clear" w:color="auto" w:fill="auto"/>
        <w:bidi w:val="0"/>
        <w:spacing w:before="0" w:after="80" w:line="312" w:lineRule="exact"/>
        <w:ind w:left="0" w:right="0" w:firstLine="300"/>
        <w:jc w:val="both"/>
      </w:pPr>
      <w:bookmarkStart w:id="239" w:name="bookmark239"/>
      <w:r>
        <w:rPr>
          <w:color w:val="000000"/>
          <w:spacing w:val="0"/>
          <w:w w:val="100"/>
          <w:position w:val="0"/>
        </w:rPr>
        <w:t>（</w:t>
      </w:r>
      <w:bookmarkEnd w:id="239"/>
      <w:r>
        <w:rPr>
          <w:color w:val="000000"/>
          <w:spacing w:val="0"/>
          <w:w w:val="100"/>
          <w:position w:val="0"/>
        </w:rPr>
        <w:t>一）行业格局和趋势</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、游戏业务</w:t>
      </w:r>
    </w:p>
    <w:p>
      <w:pPr>
        <w:pStyle w:val="Style24"/>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根据中国音数协游戏工委和中国游戏产业研究院联合发布的《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年中国游戏产业报告》，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年我国游戏用户规模 逾</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亿人，中国游戏市场实际销售收入</w:t>
      </w:r>
      <w:r>
        <w:rPr>
          <w:rFonts w:ascii="Times New Roman" w:eastAsia="Times New Roman" w:hAnsi="Times New Roman" w:cs="Times New Roman"/>
          <w:color w:val="000000"/>
          <w:spacing w:val="0"/>
          <w:w w:val="100"/>
          <w:position w:val="0"/>
          <w:sz w:val="18"/>
          <w:szCs w:val="18"/>
        </w:rPr>
        <w:t>2786.87</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20.71%</w:t>
      </w:r>
      <w:r>
        <w:rPr>
          <w:color w:val="000000"/>
          <w:spacing w:val="0"/>
          <w:w w:val="100"/>
          <w:position w:val="0"/>
        </w:rPr>
        <w:t>,增速同比提高</w:t>
      </w:r>
      <w:r>
        <w:rPr>
          <w:rFonts w:ascii="Times New Roman" w:eastAsia="Times New Roman" w:hAnsi="Times New Roman" w:cs="Times New Roman"/>
          <w:color w:val="000000"/>
          <w:spacing w:val="0"/>
          <w:w w:val="100"/>
          <w:position w:val="0"/>
          <w:sz w:val="18"/>
          <w:szCs w:val="18"/>
        </w:rPr>
        <w:t>13.05%</w:t>
      </w:r>
      <w:r>
        <w:rPr>
          <w:color w:val="000000"/>
          <w:spacing w:val="0"/>
          <w:w w:val="100"/>
          <w:position w:val="0"/>
        </w:rPr>
        <w:t>。从游戏市场占比来看，</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年中国移动游戏市场实际销售收入</w:t>
      </w:r>
      <w:r>
        <w:rPr>
          <w:rFonts w:ascii="Times New Roman" w:eastAsia="Times New Roman" w:hAnsi="Times New Roman" w:cs="Times New Roman"/>
          <w:color w:val="000000"/>
          <w:spacing w:val="0"/>
          <w:w w:val="100"/>
          <w:position w:val="0"/>
          <w:sz w:val="18"/>
          <w:szCs w:val="18"/>
        </w:rPr>
        <w:t>2096.76</w:t>
      </w:r>
      <w:r>
        <w:rPr>
          <w:color w:val="000000"/>
          <w:spacing w:val="0"/>
          <w:w w:val="100"/>
          <w:position w:val="0"/>
        </w:rPr>
        <w:t>亿元，占比为</w:t>
      </w:r>
      <w:r>
        <w:rPr>
          <w:rFonts w:ascii="Times New Roman" w:eastAsia="Times New Roman" w:hAnsi="Times New Roman" w:cs="Times New Roman"/>
          <w:color w:val="000000"/>
          <w:spacing w:val="0"/>
          <w:w w:val="100"/>
          <w:position w:val="0"/>
          <w:sz w:val="18"/>
          <w:szCs w:val="18"/>
        </w:rPr>
        <w:t>75.24%</w:t>
      </w:r>
      <w:r>
        <w:rPr>
          <w:color w:val="000000"/>
          <w:spacing w:val="0"/>
          <w:w w:val="100"/>
          <w:position w:val="0"/>
        </w:rPr>
        <w:t>；客户端游戏市场实际收入</w:t>
      </w:r>
      <w:r>
        <w:rPr>
          <w:rFonts w:ascii="Times New Roman" w:eastAsia="Times New Roman" w:hAnsi="Times New Roman" w:cs="Times New Roman"/>
          <w:color w:val="000000"/>
          <w:spacing w:val="0"/>
          <w:w w:val="100"/>
          <w:position w:val="0"/>
          <w:sz w:val="18"/>
          <w:szCs w:val="18"/>
        </w:rPr>
        <w:t>559.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亿元，占比为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；网 页游戏市场实际销售收入</w:t>
      </w:r>
      <w:r>
        <w:rPr>
          <w:rFonts w:ascii="Times New Roman" w:eastAsia="Times New Roman" w:hAnsi="Times New Roman" w:cs="Times New Roman"/>
          <w:color w:val="000000"/>
          <w:spacing w:val="0"/>
          <w:w w:val="100"/>
          <w:position w:val="0"/>
          <w:sz w:val="18"/>
          <w:szCs w:val="18"/>
        </w:rPr>
        <w:t>76.08</w:t>
      </w:r>
      <w:r>
        <w:rPr>
          <w:color w:val="000000"/>
          <w:spacing w:val="0"/>
          <w:w w:val="100"/>
          <w:position w:val="0"/>
        </w:rPr>
        <w:t>亿元，占比为</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移动游戏收入占据游戏市场主要份额。</w:t>
      </w:r>
    </w:p>
    <w:p>
      <w:pPr>
        <w:pStyle w:val="Style24"/>
        <w:keepNext w:val="0"/>
        <w:keepLines w:val="0"/>
        <w:widowControl w:val="0"/>
        <w:shd w:val="clear" w:color="auto" w:fill="auto"/>
        <w:bidi w:val="0"/>
        <w:spacing w:before="0" w:after="360" w:line="312" w:lineRule="exact"/>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、云服务业务 近年来，随着日益增长的客户需求，中国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业务市场规模仍保持稳定增长。根据中国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圈初步统计,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业务市场规模达到</w:t>
      </w:r>
      <w:r>
        <w:rPr>
          <w:rFonts w:ascii="Times New Roman" w:eastAsia="Times New Roman" w:hAnsi="Times New Roman" w:cs="Times New Roman"/>
          <w:color w:val="000000"/>
          <w:spacing w:val="0"/>
          <w:w w:val="100"/>
          <w:position w:val="0"/>
          <w:sz w:val="18"/>
          <w:szCs w:val="18"/>
        </w:rPr>
        <w:t>1562.5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,增速放缓</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个百分点，市场规模绝对值相比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年增长超 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亿元。预计</w:t>
      </w:r>
      <w:r>
        <w:rPr>
          <w:rFonts w:ascii="Times New Roman" w:eastAsia="Times New Roman" w:hAnsi="Times New Roman" w:cs="Times New Roman"/>
          <w:color w:val="000000"/>
          <w:spacing w:val="0"/>
          <w:w w:val="100"/>
          <w:position w:val="0"/>
          <w:sz w:val="18"/>
          <w:szCs w:val="18"/>
        </w:rPr>
        <w:t>2019-2022</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业务市场规模复合增长率将达到</w:t>
      </w:r>
      <w:r>
        <w:rPr>
          <w:rFonts w:ascii="Times New Roman" w:eastAsia="Times New Roman" w:hAnsi="Times New Roman" w:cs="Times New Roman"/>
          <w:color w:val="000000"/>
          <w:spacing w:val="0"/>
          <w:w w:val="100"/>
          <w:position w:val="0"/>
          <w:sz w:val="18"/>
          <w:szCs w:val="18"/>
        </w:rPr>
        <w:t>26.9%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业务市场规模将超过</w:t>
      </w:r>
      <w:r>
        <w:rPr>
          <w:rFonts w:ascii="Times New Roman" w:eastAsia="Times New Roman" w:hAnsi="Times New Roman" w:cs="Times New Roman"/>
          <w:color w:val="000000"/>
          <w:spacing w:val="0"/>
          <w:w w:val="100"/>
          <w:position w:val="0"/>
          <w:sz w:val="18"/>
          <w:szCs w:val="18"/>
        </w:rPr>
        <w:t xml:space="preserve">3200.5 </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,进入新一轮爆发期。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年由于新冠疫情爆发对互联网经济的催化以及国家新基建策略的发布和推 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行业政策面迎来众多利好；另外工业互联网、物联网、</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等产业凭借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网络高速率、低时延特性得以快速发展, 成为刺激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需求的又一增长点；加之从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年下半年开始为避免出现盲目新建的现象，一线城市及环一线城市区域</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指 标再度收紧，对新建、扩建、改建的限制及</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要求进一步提高、能耗审批进一步放缓，预计公司主要布局的一线城市和环 一线城市市场供需依然会产生大量缺口。</w:t>
      </w:r>
    </w:p>
    <w:p>
      <w:pPr>
        <w:pStyle w:val="Style24"/>
        <w:keepNext w:val="0"/>
        <w:keepLines w:val="0"/>
        <w:widowControl w:val="0"/>
        <w:shd w:val="clear" w:color="auto" w:fill="auto"/>
        <w:tabs>
          <w:tab w:pos="471" w:val="left"/>
        </w:tabs>
        <w:bidi w:val="0"/>
        <w:spacing w:before="0" w:after="0" w:line="314" w:lineRule="exact"/>
        <w:ind w:left="0" w:right="0" w:firstLine="0"/>
        <w:jc w:val="left"/>
      </w:pPr>
      <w:bookmarkStart w:id="240" w:name="bookmark240"/>
      <w:r>
        <w:rPr>
          <w:color w:val="000000"/>
          <w:spacing w:val="0"/>
          <w:w w:val="100"/>
          <w:position w:val="0"/>
        </w:rPr>
        <w:t>（</w:t>
      </w:r>
      <w:bookmarkEnd w:id="240"/>
      <w:r>
        <w:rPr>
          <w:color w:val="000000"/>
          <w:spacing w:val="0"/>
          <w:w w:val="100"/>
          <w:position w:val="0"/>
        </w:rPr>
        <w:t>二）</w:t>
        <w:tab/>
        <w:t>公司发展战略</w:t>
      </w:r>
    </w:p>
    <w:p>
      <w:pPr>
        <w:pStyle w:val="Style24"/>
        <w:keepNext w:val="0"/>
        <w:keepLines w:val="0"/>
        <w:widowControl w:val="0"/>
        <w:shd w:val="clear" w:color="auto" w:fill="auto"/>
        <w:tabs>
          <w:tab w:pos="654" w:val="left"/>
        </w:tabs>
        <w:bidi w:val="0"/>
        <w:spacing w:before="0" w:after="0" w:line="314" w:lineRule="exact"/>
        <w:ind w:left="0" w:right="0" w:firstLine="380"/>
        <w:jc w:val="both"/>
      </w:pPr>
      <w:bookmarkStart w:id="241" w:name="bookmark241"/>
      <w:r>
        <w:rPr>
          <w:rFonts w:ascii="Times New Roman" w:eastAsia="Times New Roman" w:hAnsi="Times New Roman" w:cs="Times New Roman"/>
          <w:color w:val="000000"/>
          <w:spacing w:val="0"/>
          <w:w w:val="100"/>
          <w:position w:val="0"/>
          <w:sz w:val="18"/>
          <w:szCs w:val="18"/>
        </w:rPr>
        <w:t>1</w:t>
      </w:r>
      <w:bookmarkEnd w:id="241"/>
      <w:r>
        <w:rPr>
          <w:color w:val="000000"/>
          <w:spacing w:val="0"/>
          <w:w w:val="100"/>
          <w:position w:val="0"/>
        </w:rPr>
        <w:t>、</w:t>
        <w:tab/>
        <w:t>游戏业务</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中青宝紧跟时代趋势，坚持公司游戏</w:t>
      </w:r>
      <w:r>
        <w:rPr>
          <w:rFonts w:ascii="Times New Roman" w:eastAsia="Times New Roman" w:hAnsi="Times New Roman" w:cs="Times New Roman"/>
          <w:color w:val="000000"/>
          <w:spacing w:val="0"/>
          <w:w w:val="100"/>
          <w:position w:val="0"/>
          <w:sz w:val="18"/>
          <w:szCs w:val="18"/>
        </w:rPr>
        <w:t>BU</w:t>
      </w:r>
      <w:r>
        <w:rPr>
          <w:color w:val="000000"/>
          <w:spacing w:val="0"/>
          <w:w w:val="100"/>
          <w:position w:val="0"/>
        </w:rPr>
        <w:t>的整体战略定调，持续研发红色题材系列产品内容，新增创建红色题材手游， 以自研亮剑</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等两大方面入手，重塑红色题材游戏经典，继续精耕细分市场领域，强化公司定位。同时，通过品 牌概念的完善与强化，自建流量池，坚持精品化路线，并在准确的场景营销和实效的投放双轮驱动下，完成用户对公司产品 的认知、认同和认购过程，进而应对市场上流量少与流量贵的困局。在红游题材主路线下，多措并举，维持现有体育产品线， 同步开拓国战题材</w:t>
      </w: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手游、卡牌养成类自研线、休闲游戏业务线等更多市场领域，保证公司内容服务丰富性的同时，对 冲自研投入的成本与风险，为公司积累宝贵的产品资源，配合发展相对稳健的版号业务，将有效保证公司产品整体发行节奏， 实现收益的稳定和高效提升。</w:t>
      </w:r>
    </w:p>
    <w:p>
      <w:pPr>
        <w:pStyle w:val="Style24"/>
        <w:keepNext w:val="0"/>
        <w:keepLines w:val="0"/>
        <w:widowControl w:val="0"/>
        <w:shd w:val="clear" w:color="auto" w:fill="auto"/>
        <w:tabs>
          <w:tab w:pos="674" w:val="left"/>
        </w:tabs>
        <w:bidi w:val="0"/>
        <w:spacing w:before="0" w:after="0" w:line="314" w:lineRule="exact"/>
        <w:ind w:left="0" w:right="0" w:firstLine="380"/>
        <w:jc w:val="both"/>
      </w:pPr>
      <w:bookmarkStart w:id="242" w:name="bookmark242"/>
      <w:r>
        <w:rPr>
          <w:rFonts w:ascii="Times New Roman" w:eastAsia="Times New Roman" w:hAnsi="Times New Roman" w:cs="Times New Roman"/>
          <w:color w:val="000000"/>
          <w:spacing w:val="0"/>
          <w:w w:val="100"/>
          <w:position w:val="0"/>
          <w:sz w:val="18"/>
          <w:szCs w:val="18"/>
        </w:rPr>
        <w:t>2</w:t>
      </w:r>
      <w:bookmarkEnd w:id="242"/>
      <w:r>
        <w:rPr>
          <w:color w:val="000000"/>
          <w:spacing w:val="0"/>
          <w:w w:val="100"/>
          <w:position w:val="0"/>
        </w:rPr>
        <w:t>、</w:t>
        <w:tab/>
        <w:t>云服务业务</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中青宝自完成对云服务公司深圳宝腾互联收购以来，公司业务整合情况良好，公司根据行业的发展趋势与市场需求，不 断完善数据中心的市场区域布局，深圳宝腾互联目前在全国运营多个数据中心，积累了丰富的数据中心建设经验。除了常规 的数据中心基础设施定制，公司还将积极寻求云增值业务的拓展，主要发展战略如下：</w:t>
      </w:r>
    </w:p>
    <w:p>
      <w:pPr>
        <w:pStyle w:val="Style24"/>
        <w:keepNext w:val="0"/>
        <w:keepLines w:val="0"/>
        <w:widowControl w:val="0"/>
        <w:shd w:val="clear" w:color="auto" w:fill="auto"/>
        <w:tabs>
          <w:tab w:pos="650" w:val="left"/>
        </w:tabs>
        <w:bidi w:val="0"/>
        <w:spacing w:before="0" w:after="0" w:line="314" w:lineRule="exact"/>
        <w:ind w:left="0" w:right="0" w:firstLine="24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持续发挥公司在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业务丰富经验的优势，实现观澜数据中心的全面达产。</w:t>
      </w:r>
    </w:p>
    <w:p>
      <w:pPr>
        <w:pStyle w:val="Style24"/>
        <w:keepNext w:val="0"/>
        <w:keepLines w:val="0"/>
        <w:widowControl w:val="0"/>
        <w:shd w:val="clear" w:color="auto" w:fill="auto"/>
        <w:bidi w:val="0"/>
        <w:spacing w:before="0" w:after="0" w:line="322" w:lineRule="exact"/>
        <w:ind w:left="0" w:right="0" w:firstLine="24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延续云增值业务的拓展方向，针对移动云市场的产品积极开展产品推广工作，并在合同收入的落地地市保持良好的 运营支撑，结合移动云产品推广的经验，下一阶段将安排与其他运营商的合作对接，逐步完成自有云增值市场的生态搭建。</w:t>
      </w:r>
    </w:p>
    <w:p>
      <w:pPr>
        <w:pStyle w:val="Style24"/>
        <w:keepNext w:val="0"/>
        <w:keepLines w:val="0"/>
        <w:widowControl w:val="0"/>
        <w:shd w:val="clear" w:color="auto" w:fill="auto"/>
        <w:tabs>
          <w:tab w:pos="702" w:val="left"/>
        </w:tabs>
        <w:bidi w:val="0"/>
        <w:spacing w:before="0" w:after="0" w:line="317" w:lineRule="exact"/>
        <w:ind w:left="0" w:right="0" w:firstLine="24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数据中心总包业务：基于公司多年数据中心建设经验，公司将面向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中云计算及大数据领域，打造专业的数 据中心全生命周期的整体解决方案，积极参与实体经济数字化转型战略中，为地方政府规划数据产业，打好城市智慧底座贡 献力量，提供咨询规划、设计建设、联调测试、运行维护、运营和增值改造服务等。</w:t>
      </w:r>
    </w:p>
    <w:p>
      <w:pPr>
        <w:pStyle w:val="Style24"/>
        <w:keepNext w:val="0"/>
        <w:keepLines w:val="0"/>
        <w:widowControl w:val="0"/>
        <w:shd w:val="clear" w:color="auto" w:fill="auto"/>
        <w:tabs>
          <w:tab w:pos="702" w:val="left"/>
        </w:tabs>
        <w:bidi w:val="0"/>
        <w:spacing w:before="0" w:after="0" w:line="317" w:lineRule="exact"/>
        <w:ind w:left="0" w:right="0" w:firstLine="24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运营商大数据标签定制化业务拓展：充分发挥公司多年经营，沉淀累积金融行业客户合作经验，以中立三方单位身 份汇聚三家运营商的大数据业务，打破单一数据源不完整的痛点，代理标准化数据产品和标签定制化服务，应用于风险管控、 精准营销等刚需场景，助力行业客户完善风险防控手段，提供精细化运营能力。</w:t>
      </w:r>
    </w:p>
    <w:p>
      <w:pPr>
        <w:pStyle w:val="Style24"/>
        <w:keepNext w:val="0"/>
        <w:keepLines w:val="0"/>
        <w:widowControl w:val="0"/>
        <w:shd w:val="clear" w:color="auto" w:fill="auto"/>
        <w:tabs>
          <w:tab w:pos="471" w:val="left"/>
        </w:tabs>
        <w:bidi w:val="0"/>
        <w:spacing w:before="0" w:after="0" w:line="314" w:lineRule="exact"/>
        <w:ind w:left="0" w:right="0" w:firstLine="0"/>
        <w:jc w:val="left"/>
      </w:pPr>
      <w:bookmarkStart w:id="247" w:name="bookmark247"/>
      <w:r>
        <w:rPr>
          <w:color w:val="000000"/>
          <w:spacing w:val="0"/>
          <w:w w:val="100"/>
          <w:position w:val="0"/>
        </w:rPr>
        <w:t>（</w:t>
      </w:r>
      <w:bookmarkEnd w:id="247"/>
      <w:r>
        <w:rPr>
          <w:color w:val="000000"/>
          <w:spacing w:val="0"/>
          <w:w w:val="100"/>
          <w:position w:val="0"/>
        </w:rPr>
        <w:t>三）</w:t>
        <w:tab/>
        <w:t>经营计划</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公司继续自身业务的突破创新，主动调整业务结构，进一步优化主营业务，强化核心竞争力。在具体项目方面，公司选 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高精尖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的道路，在公司治理层面进行人员调控、资源调配，淘汰公司盈利能力弱的项目，继续集中精力投入精品项目， 以期取得显著效果。公司将继续筛选并打造高品质游戏，坚持精细化运营品质，避免受资本市场浮躁氛围的影响；同时公司 将加大对云服务业务的投入，不断开拓发展云增值业务，保持云服务业务的稳定增长。</w:t>
      </w:r>
    </w:p>
    <w:p>
      <w:pPr>
        <w:pStyle w:val="Style24"/>
        <w:keepNext w:val="0"/>
        <w:keepLines w:val="0"/>
        <w:widowControl w:val="0"/>
        <w:shd w:val="clear" w:color="auto" w:fill="auto"/>
        <w:tabs>
          <w:tab w:pos="471" w:val="left"/>
        </w:tabs>
        <w:bidi w:val="0"/>
        <w:spacing w:before="0" w:after="0" w:line="312" w:lineRule="exact"/>
        <w:ind w:left="0" w:right="0" w:firstLine="0"/>
        <w:jc w:val="left"/>
      </w:pPr>
      <w:bookmarkStart w:id="248" w:name="bookmark248"/>
      <w:r>
        <w:rPr>
          <w:color w:val="000000"/>
          <w:spacing w:val="0"/>
          <w:w w:val="100"/>
          <w:position w:val="0"/>
        </w:rPr>
        <w:t>（</w:t>
      </w:r>
      <w:bookmarkEnd w:id="248"/>
      <w:r>
        <w:rPr>
          <w:color w:val="000000"/>
          <w:spacing w:val="0"/>
          <w:w w:val="100"/>
          <w:position w:val="0"/>
        </w:rPr>
        <w:t>四）</w:t>
        <w:tab/>
        <w:t>可能面对的风险</w:t>
      </w:r>
    </w:p>
    <w:p>
      <w:pPr>
        <w:pStyle w:val="Style24"/>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、游戏业务</w:t>
      </w:r>
    </w:p>
    <w:p>
      <w:pPr>
        <w:pStyle w:val="Style24"/>
        <w:keepNext w:val="0"/>
        <w:keepLines w:val="0"/>
        <w:widowControl w:val="0"/>
        <w:shd w:val="clear" w:color="auto" w:fill="auto"/>
        <w:bidi w:val="0"/>
        <w:spacing w:before="0" w:after="0" w:line="312" w:lineRule="exact"/>
        <w:ind w:left="0" w:right="0" w:firstLine="38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随着游戏行业的迅速发展以及游戏对玩家体验的提升，游戏玩家对游戏质量的要求越来越高，玩家爱好的转变以及对于 热点游戏的切换速度也越来越快，而新游戏开发和测试需要大量前期投入，试错成本高，若未能准确把握玩家喜好，顺应市 场需求，则会影响公司的经营业绩。此外游戏行业的迅速发展，也带来了日趋激烈的行业内部竞争环境，而网络游戏以外的 互联网娱乐行业也在加剧外部竞争，给公司带来了一定的市场竞争风险。</w:t>
      </w:r>
    </w:p>
    <w:p>
      <w:pPr>
        <w:pStyle w:val="Style24"/>
        <w:keepNext w:val="0"/>
        <w:keepLines w:val="0"/>
        <w:widowControl w:val="0"/>
        <w:shd w:val="clear" w:color="auto" w:fill="auto"/>
        <w:bidi w:val="0"/>
        <w:spacing w:before="0" w:after="0" w:line="240" w:lineRule="auto"/>
        <w:ind w:left="0" w:right="0" w:firstLine="480"/>
        <w:jc w:val="left"/>
      </w:pPr>
      <w:bookmarkStart w:id="250" w:name="bookmark250"/>
      <w:r>
        <w:rPr>
          <w:rFonts w:ascii="Times New Roman" w:eastAsia="Times New Roman" w:hAnsi="Times New Roman" w:cs="Times New Roman"/>
          <w:color w:val="000000"/>
          <w:spacing w:val="0"/>
          <w:w w:val="100"/>
          <w:position w:val="0"/>
          <w:sz w:val="18"/>
          <w:szCs w:val="18"/>
        </w:rPr>
        <w:t>（</w:t>
      </w:r>
      <w:bookmarkEnd w:id="2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）行业和政策风险</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网络游戏行业受文化和新闻出版、工业信息等部门监管，在中国境内从事移动网络游戏运营的，需要取得许可，存在不 通过的风险。新开发的游戏需要在相关部门备案并通过出版行政部门审批，存在无法上线的风险。游戏内虚拟货币经营业务 需取得额外批准或许可，我国尚未出台虚拟资产产权监管的法律法规，因此政策上存在不确定性。</w:t>
      </w:r>
    </w:p>
    <w:p>
      <w:pPr>
        <w:pStyle w:val="Style24"/>
        <w:keepNext w:val="0"/>
        <w:keepLines w:val="0"/>
        <w:widowControl w:val="0"/>
        <w:numPr>
          <w:ilvl w:val="0"/>
          <w:numId w:val="11"/>
        </w:numPr>
        <w:shd w:val="clear" w:color="auto" w:fill="auto"/>
        <w:bidi w:val="0"/>
        <w:spacing w:before="0" w:after="0" w:line="313" w:lineRule="exact"/>
        <w:ind w:left="0" w:right="0" w:firstLine="280"/>
        <w:jc w:val="both"/>
      </w:pPr>
      <w:bookmarkStart w:id="251" w:name="bookmark251"/>
      <w:bookmarkEnd w:id="251"/>
      <w:r>
        <w:rPr>
          <w:color w:val="000000"/>
          <w:spacing w:val="0"/>
          <w:w w:val="100"/>
          <w:position w:val="0"/>
        </w:rPr>
        <w:t>核心人员流失风险</w:t>
      </w:r>
    </w:p>
    <w:p>
      <w:pPr>
        <w:pStyle w:val="Style24"/>
        <w:keepNext w:val="0"/>
        <w:keepLines w:val="0"/>
        <w:widowControl w:val="0"/>
        <w:shd w:val="clear" w:color="auto" w:fill="auto"/>
        <w:bidi w:val="0"/>
        <w:spacing w:before="0" w:after="0" w:line="313" w:lineRule="exact"/>
        <w:ind w:left="0" w:right="0" w:firstLine="280"/>
        <w:jc w:val="both"/>
      </w:pPr>
      <w:r>
        <w:rPr>
          <w:color w:val="000000"/>
          <w:spacing w:val="0"/>
          <w:w w:val="100"/>
          <w:position w:val="0"/>
        </w:rPr>
        <w:t>稳定、高素质的游戏研发、运营和管理人才队伍是公司保持核心竞争优势的重要保障。如果公司不能有效建设核心人才 队伍，对核心人员进行合理的激励和管理，保持人才队伍的创造力与活力，则会对公司的核心竞争力带来不利影响。</w:t>
      </w:r>
    </w:p>
    <w:p>
      <w:pPr>
        <w:pStyle w:val="Style24"/>
        <w:keepNext w:val="0"/>
        <w:keepLines w:val="0"/>
        <w:widowControl w:val="0"/>
        <w:numPr>
          <w:ilvl w:val="0"/>
          <w:numId w:val="11"/>
        </w:numPr>
        <w:shd w:val="clear" w:color="auto" w:fill="auto"/>
        <w:bidi w:val="0"/>
        <w:spacing w:before="0" w:after="0" w:line="313" w:lineRule="exact"/>
        <w:ind w:left="0" w:right="0" w:firstLine="360"/>
        <w:jc w:val="both"/>
      </w:pPr>
      <w:bookmarkStart w:id="252" w:name="bookmark252"/>
      <w:bookmarkEnd w:id="252"/>
      <w:r>
        <w:rPr>
          <w:color w:val="000000"/>
          <w:spacing w:val="0"/>
          <w:w w:val="100"/>
          <w:position w:val="0"/>
        </w:rPr>
        <w:t>投资风险</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由于互联网行业和智能手机技术的飞速发展，手机游戏市场面临多方面的挑战。在这个快速发展灵活多变的市场中生存, 除了加强自身研发能力之外，收购整合及资产重组同行业或上下游企业是公司的重要战略规划之一，但资产重组或兼并将带 来不确定性风险或者投资失败的风险。</w:t>
      </w:r>
    </w:p>
    <w:p>
      <w:pPr>
        <w:pStyle w:val="Style24"/>
        <w:keepNext w:val="0"/>
        <w:keepLines w:val="0"/>
        <w:widowControl w:val="0"/>
        <w:numPr>
          <w:ilvl w:val="0"/>
          <w:numId w:val="11"/>
        </w:numPr>
        <w:shd w:val="clear" w:color="auto" w:fill="auto"/>
        <w:bidi w:val="0"/>
        <w:spacing w:before="0" w:after="0" w:line="313" w:lineRule="exact"/>
        <w:ind w:left="0" w:right="0" w:firstLine="220"/>
        <w:jc w:val="both"/>
      </w:pPr>
      <w:bookmarkStart w:id="253" w:name="bookmark253"/>
      <w:bookmarkEnd w:id="253"/>
      <w:r>
        <w:rPr>
          <w:color w:val="000000"/>
          <w:spacing w:val="0"/>
          <w:w w:val="100"/>
          <w:position w:val="0"/>
        </w:rPr>
        <w:t>新业务开拓风险</w:t>
      </w:r>
    </w:p>
    <w:p>
      <w:pPr>
        <w:pStyle w:val="Style24"/>
        <w:keepNext w:val="0"/>
        <w:keepLines w:val="0"/>
        <w:widowControl w:val="0"/>
        <w:shd w:val="clear" w:color="auto" w:fill="auto"/>
        <w:bidi w:val="0"/>
        <w:spacing w:before="0" w:after="100" w:line="313"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年上半年公司尝试开拓百度营销推广服务业务，该业务对公司广告服务收入造成了较大影响，由于推广服务业务成 本高，需要交纳的保证金及预付款数额较大，对公司毛利和现金流产生不利影响；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年下半年公司重新对该业务的经营情 况进行评估后终止了该业务，以减轻资金占用过大的风险。</w:t>
      </w:r>
    </w:p>
    <w:p>
      <w:pPr>
        <w:pStyle w:val="Style24"/>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、云服务业务</w:t>
      </w:r>
    </w:p>
    <w:p>
      <w:pPr>
        <w:pStyle w:val="Style24"/>
        <w:keepNext w:val="0"/>
        <w:keepLines w:val="0"/>
        <w:widowControl w:val="0"/>
        <w:numPr>
          <w:ilvl w:val="0"/>
          <w:numId w:val="13"/>
        </w:numPr>
        <w:shd w:val="clear" w:color="auto" w:fill="auto"/>
        <w:tabs>
          <w:tab w:pos="746" w:val="left"/>
        </w:tabs>
        <w:bidi w:val="0"/>
        <w:spacing w:before="0" w:after="0" w:line="313" w:lineRule="exact"/>
        <w:ind w:left="0" w:right="0" w:firstLine="360"/>
        <w:jc w:val="left"/>
      </w:pPr>
      <w:bookmarkStart w:id="254" w:name="bookmark254"/>
      <w:bookmarkEnd w:id="254"/>
      <w:r>
        <w:rPr>
          <w:color w:val="000000"/>
          <w:spacing w:val="0"/>
          <w:w w:val="100"/>
          <w:position w:val="0"/>
        </w:rPr>
        <w:t>行业监管政策变化的风险</w:t>
      </w:r>
    </w:p>
    <w:p>
      <w:pPr>
        <w:pStyle w:val="Style2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云服务业务属于电子信息产业，为加快电子信息产业的发展、深化电信体制改革，国家制定了一系列行之有效的政策， 形成了有效的市场竞争格局，为民营企业进入电信服务市场奠定了基础。但同时电子信息行业也关系着整个国家的信息安全, 一旦信息产业的发展影响了国家的信息安全，国家政策将会相应调整，因此公司未来可能面临行业监管政策变化的风险。此 外，随着国家对信息安全、网络安全方面监管的加强，如果内容提供商等合作伙伴出现违规行为，公司未尽到审查和配合监 管的责任，也会给公司带来一定的经营风险。</w:t>
      </w:r>
    </w:p>
    <w:p>
      <w:pPr>
        <w:pStyle w:val="Style24"/>
        <w:keepNext w:val="0"/>
        <w:keepLines w:val="0"/>
        <w:widowControl w:val="0"/>
        <w:numPr>
          <w:ilvl w:val="0"/>
          <w:numId w:val="13"/>
        </w:numPr>
        <w:shd w:val="clear" w:color="auto" w:fill="auto"/>
        <w:tabs>
          <w:tab w:pos="746" w:val="left"/>
        </w:tabs>
        <w:bidi w:val="0"/>
        <w:spacing w:before="0" w:after="0" w:line="313" w:lineRule="exact"/>
        <w:ind w:left="0" w:right="0" w:firstLine="360"/>
        <w:jc w:val="both"/>
      </w:pPr>
      <w:bookmarkStart w:id="255" w:name="bookmark255"/>
      <w:bookmarkEnd w:id="255"/>
      <w:r>
        <w:rPr>
          <w:color w:val="000000"/>
          <w:spacing w:val="0"/>
          <w:w w:val="100"/>
          <w:position w:val="0"/>
        </w:rPr>
        <w:t>市场风险</w:t>
      </w:r>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年以来，国家大力促进新基建投资，引起行业和资本市场的强烈关注。虽然下半年热度有所降温，但行业的新进入 者和原有企业的扩张，未来仍然存在市场竞争加剧的可能。如公司市场规划和策略出现偏差，将可能面临市场份额被竞争对 手抢夺的风险；另一方面，竞争加剧可能导致整个</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行业的整体毛利率下降。</w:t>
      </w:r>
    </w:p>
    <w:p>
      <w:pPr>
        <w:pStyle w:val="Style24"/>
        <w:keepNext w:val="0"/>
        <w:keepLines w:val="0"/>
        <w:widowControl w:val="0"/>
        <w:numPr>
          <w:ilvl w:val="0"/>
          <w:numId w:val="13"/>
        </w:numPr>
        <w:shd w:val="clear" w:color="auto" w:fill="auto"/>
        <w:tabs>
          <w:tab w:pos="746" w:val="left"/>
        </w:tabs>
        <w:bidi w:val="0"/>
        <w:spacing w:before="0" w:after="0" w:line="313" w:lineRule="exact"/>
        <w:ind w:left="0" w:right="0" w:firstLine="360"/>
        <w:jc w:val="both"/>
      </w:pPr>
      <w:bookmarkStart w:id="256" w:name="bookmark256"/>
      <w:bookmarkEnd w:id="256"/>
      <w:r>
        <w:rPr>
          <w:color w:val="000000"/>
          <w:spacing w:val="0"/>
          <w:w w:val="100"/>
          <w:position w:val="0"/>
        </w:rPr>
        <w:t>技术更新风险</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公司主营业务为云服务业务，包括</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及宽带接入服务等互联网服务，信息技术产业发展日新月异要求公司具备快速的 技术更新能力。随着互联网行业技术与服务不断向多样化、复杂化发展，以及更新换代速度的不断加快和行业新应用新产品 的不断涌现，公司不可避免地面临着技术风险。虽然公司一直紧跟行业发展动态和客户需求，不断改进并开发新的技术，但 是随着技术的不断进步和客户要求的进一步提高，若公司由于投资不足等因素导致不能及时满足传输技术和设备更新换代的 要求，将对公司的竞争力产生不利影响。</w:t>
      </w:r>
    </w:p>
    <w:p>
      <w:pPr>
        <w:pStyle w:val="Style24"/>
        <w:keepNext w:val="0"/>
        <w:keepLines w:val="0"/>
        <w:widowControl w:val="0"/>
        <w:numPr>
          <w:ilvl w:val="0"/>
          <w:numId w:val="13"/>
        </w:numPr>
        <w:shd w:val="clear" w:color="auto" w:fill="auto"/>
        <w:tabs>
          <w:tab w:pos="746" w:val="left"/>
        </w:tabs>
        <w:bidi w:val="0"/>
        <w:spacing w:before="0" w:after="0" w:line="313" w:lineRule="exact"/>
        <w:ind w:left="0" w:right="0" w:firstLine="360"/>
        <w:jc w:val="both"/>
      </w:pPr>
      <w:bookmarkStart w:id="257" w:name="bookmark257"/>
      <w:bookmarkEnd w:id="257"/>
      <w:r>
        <w:rPr>
          <w:color w:val="000000"/>
          <w:spacing w:val="0"/>
          <w:w w:val="100"/>
          <w:position w:val="0"/>
        </w:rPr>
        <w:t>核心人员流失风险</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国内云服务行业目前处于快速发展时期，对管理人员和技术人才的依赖性较高，拥有稳定、高素质的科技人才队伍对公 司的发展壮大至关重要。如果未来公司不能提供有市场竞争力的激励机制，打造有利于人才长期发展的平台，将会影响到核 心团队积极性、创造性的发挥，产生核心管理人员和技术人才流失的风险。核心管理人员和技术人才流失有可能导致核心技 术流失或泄密，以及不能及时根据信息技术产业涌现的新业务、新应用领域而革新新技术，从而对公司经营业绩产生不利影 响。</w:t>
      </w:r>
    </w:p>
    <w:p>
      <w:pPr>
        <w:pStyle w:val="Style24"/>
        <w:keepNext w:val="0"/>
        <w:keepLines w:val="0"/>
        <w:widowControl w:val="0"/>
        <w:numPr>
          <w:ilvl w:val="0"/>
          <w:numId w:val="15"/>
        </w:numPr>
        <w:shd w:val="clear" w:color="auto" w:fill="auto"/>
        <w:bidi w:val="0"/>
        <w:spacing w:before="0" w:after="0" w:line="313" w:lineRule="exact"/>
        <w:ind w:left="0" w:right="0" w:firstLine="360"/>
        <w:jc w:val="both"/>
      </w:pPr>
      <w:bookmarkStart w:id="258" w:name="bookmark258"/>
      <w:bookmarkEnd w:id="258"/>
      <w:r>
        <w:rPr>
          <w:color w:val="000000"/>
          <w:spacing w:val="0"/>
          <w:w w:val="100"/>
          <w:position w:val="0"/>
        </w:rPr>
        <w:t>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、未来公司将积极顺应市场需求的变化，优化、提升公司游戏产品及云服务业务相关服务，以应对市 场风险。一方面持续地研发出优质的游戏作品，通过玩法的持续创新和策划水平的不断提高，提升游戏的用户体验，增强核 心玩家群体的粘性；另一方面加大对云服务业务的投入，不断开拓云服务增值业务，以客户为中心，扩大市场份额。</w:t>
      </w:r>
    </w:p>
    <w:p>
      <w:pPr>
        <w:pStyle w:val="Style24"/>
        <w:keepNext w:val="0"/>
        <w:keepLines w:val="0"/>
        <w:widowControl w:val="0"/>
        <w:shd w:val="clear" w:color="auto" w:fill="auto"/>
        <w:tabs>
          <w:tab w:pos="680" w:val="left"/>
        </w:tabs>
        <w:bidi w:val="0"/>
        <w:spacing w:before="0" w:after="0" w:line="313" w:lineRule="exact"/>
        <w:ind w:left="0" w:right="0" w:firstLine="360"/>
        <w:jc w:val="both"/>
      </w:pPr>
      <w:bookmarkStart w:id="259" w:name="bookmark259"/>
      <w:r>
        <w:rPr>
          <w:rFonts w:ascii="Times New Roman" w:eastAsia="Times New Roman" w:hAnsi="Times New Roman" w:cs="Times New Roman"/>
          <w:color w:val="000000"/>
          <w:spacing w:val="0"/>
          <w:w w:val="100"/>
          <w:position w:val="0"/>
          <w:sz w:val="18"/>
          <w:szCs w:val="18"/>
        </w:rPr>
        <w:t>2</w:t>
      </w:r>
      <w:bookmarkEnd w:id="259"/>
      <w:r>
        <w:rPr>
          <w:color w:val="000000"/>
          <w:spacing w:val="0"/>
          <w:w w:val="100"/>
          <w:position w:val="0"/>
        </w:rPr>
        <w:t>、</w:t>
        <w:tab/>
        <w:t>公司全力配合政府和管理机构的工作，确保业务和经营的合法合规，尽可能降低潜在的政策风险。同时对行业最新 的法律法规保持关注，及时更新避免违规风险。</w:t>
      </w:r>
    </w:p>
    <w:p>
      <w:pPr>
        <w:pStyle w:val="Style24"/>
        <w:keepNext w:val="0"/>
        <w:keepLines w:val="0"/>
        <w:widowControl w:val="0"/>
        <w:shd w:val="clear" w:color="auto" w:fill="auto"/>
        <w:tabs>
          <w:tab w:pos="680" w:val="left"/>
        </w:tabs>
        <w:bidi w:val="0"/>
        <w:spacing w:before="0" w:after="0" w:line="313" w:lineRule="exact"/>
        <w:ind w:left="0" w:right="0" w:firstLine="360"/>
        <w:jc w:val="both"/>
      </w:pPr>
      <w:bookmarkStart w:id="260" w:name="bookmark260"/>
      <w:r>
        <w:rPr>
          <w:rFonts w:ascii="Times New Roman" w:eastAsia="Times New Roman" w:hAnsi="Times New Roman" w:cs="Times New Roman"/>
          <w:color w:val="000000"/>
          <w:spacing w:val="0"/>
          <w:w w:val="100"/>
          <w:position w:val="0"/>
          <w:sz w:val="18"/>
          <w:szCs w:val="18"/>
        </w:rPr>
        <w:t>3</w:t>
      </w:r>
      <w:bookmarkEnd w:id="260"/>
      <w:r>
        <w:rPr>
          <w:color w:val="000000"/>
          <w:spacing w:val="0"/>
          <w:w w:val="100"/>
          <w:position w:val="0"/>
        </w:rPr>
        <w:t>、</w:t>
        <w:tab/>
        <w:t xml:space="preserve">公司不断完善管理体系建设，保障现有核心人才队伍稳定及后续人才持续培养的同时，加强人才引进、培养和储备, 通过建立培训培养机制，建设组织机构改革、为人才提供成长平台。同时，根据业务需求，优化人才结构，重视后备人才选 </w:t>
      </w:r>
      <w:r>
        <w:rPr>
          <w:color w:val="000000"/>
          <w:spacing w:val="0"/>
          <w:w w:val="100"/>
          <w:position w:val="0"/>
        </w:rPr>
        <w:t>拨培养，以培养技术带头人、管理和技术骨干为重点，形成层次多样梯度合理的人才团队，保证公司长期稳定的发展。公司 将根据自身既定的战略，不断提升现有管理团队的素养，适时引进外部高端人才，积极应对人才流失带来的风险。</w:t>
      </w:r>
    </w:p>
    <w:p>
      <w:pPr>
        <w:pStyle w:val="Style24"/>
        <w:keepNext w:val="0"/>
        <w:keepLines w:val="0"/>
        <w:widowControl w:val="0"/>
        <w:shd w:val="clear" w:color="auto" w:fill="auto"/>
        <w:tabs>
          <w:tab w:pos="704" w:val="left"/>
        </w:tabs>
        <w:bidi w:val="0"/>
        <w:spacing w:before="0" w:after="0" w:line="317" w:lineRule="exact"/>
        <w:ind w:left="0" w:right="0" w:firstLine="360"/>
        <w:jc w:val="both"/>
      </w:pPr>
      <w:bookmarkStart w:id="261" w:name="bookmark261"/>
      <w:r>
        <w:rPr>
          <w:rFonts w:ascii="Times New Roman" w:eastAsia="Times New Roman" w:hAnsi="Times New Roman" w:cs="Times New Roman"/>
          <w:color w:val="000000"/>
          <w:spacing w:val="0"/>
          <w:w w:val="100"/>
          <w:position w:val="0"/>
          <w:sz w:val="18"/>
          <w:szCs w:val="18"/>
        </w:rPr>
        <w:t>4</w:t>
      </w:r>
      <w:bookmarkEnd w:id="261"/>
      <w:r>
        <w:rPr>
          <w:color w:val="000000"/>
          <w:spacing w:val="0"/>
          <w:w w:val="100"/>
          <w:position w:val="0"/>
        </w:rPr>
        <w:t>、</w:t>
        <w:tab/>
        <w:t>针对项目投资风险，首先收购前对自身实力进行充分评估，避免高估自身资金实力；其次，明确收购标的是否符合 公司属性，收购完成后对公司的发展是否有推进作用，做好充分的可行性分析及经济效益分析；最后，公司对收购标的进行 详细的资产评估并通过审计、券商等中介机构对收购项目进行尽职调查，制定适宜且可行的收购方案，增加收购兼并成功的 可能性。</w:t>
      </w:r>
    </w:p>
    <w:p>
      <w:pPr>
        <w:pStyle w:val="Style24"/>
        <w:keepNext w:val="0"/>
        <w:keepLines w:val="0"/>
        <w:widowControl w:val="0"/>
        <w:shd w:val="clear" w:color="auto" w:fill="auto"/>
        <w:tabs>
          <w:tab w:pos="690" w:val="left"/>
        </w:tabs>
        <w:bidi w:val="0"/>
        <w:spacing w:before="0" w:after="720" w:line="317" w:lineRule="exact"/>
        <w:ind w:left="0" w:right="0" w:firstLine="360"/>
        <w:jc w:val="both"/>
      </w:pPr>
      <w:bookmarkStart w:id="262" w:name="bookmark262"/>
      <w:r>
        <w:rPr>
          <w:rFonts w:ascii="Times New Roman" w:eastAsia="Times New Roman" w:hAnsi="Times New Roman" w:cs="Times New Roman"/>
          <w:color w:val="000000"/>
          <w:spacing w:val="0"/>
          <w:w w:val="100"/>
          <w:position w:val="0"/>
          <w:sz w:val="18"/>
          <w:szCs w:val="18"/>
        </w:rPr>
        <w:t>5</w:t>
      </w:r>
      <w:bookmarkEnd w:id="262"/>
      <w:r>
        <w:rPr>
          <w:color w:val="000000"/>
          <w:spacing w:val="0"/>
          <w:w w:val="100"/>
          <w:position w:val="0"/>
        </w:rPr>
        <w:t>、</w:t>
        <w:tab/>
        <w:t>公司将加强对新业务的调研和评估，全方位考察和把握新业务开发的可行性和市场适应性，对新业务的成本，投资 回报率，风险程度等方面严格把关，控制业务规模，最大限度降低新业务开拓的风险。</w:t>
      </w:r>
    </w:p>
    <w:p>
      <w:pPr>
        <w:pStyle w:val="Style22"/>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r>
        <w:rPr>
          <w:color w:val="000000"/>
          <w:spacing w:val="0"/>
          <w:w w:val="100"/>
          <w:position w:val="0"/>
          <w:sz w:val="24"/>
          <w:szCs w:val="24"/>
        </w:rPr>
        <w:t>十、接待调研、沟通、采访等活动登记表</w:t>
      </w:r>
      <w:bookmarkEnd w:id="263"/>
      <w:bookmarkEnd w:id="264"/>
      <w:bookmarkEnd w:id="265"/>
    </w:p>
    <w:p>
      <w:pPr>
        <w:pStyle w:val="Style31"/>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、报告期内接待调研、沟通、采访等活动登记表</w:t>
      </w:r>
      <w:bookmarkEnd w:id="266"/>
      <w:bookmarkEnd w:id="267"/>
      <w:bookmarkEnd w:id="26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73" w:bottom="1460" w:left="1049"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540" w:after="520" w:line="240" w:lineRule="auto"/>
        <w:ind w:left="0" w:right="0" w:firstLine="0"/>
        <w:jc w:val="center"/>
      </w:pPr>
      <w:bookmarkStart w:id="270" w:name="bookmark270"/>
      <w:bookmarkStart w:id="271" w:name="bookmark271"/>
      <w:bookmarkStart w:id="272" w:name="bookmark272"/>
      <w:r>
        <w:rPr>
          <w:color w:val="000000"/>
          <w:spacing w:val="0"/>
          <w:w w:val="100"/>
          <w:position w:val="0"/>
        </w:rPr>
        <w:t>第五节重要事项</w:t>
      </w:r>
      <w:bookmarkEnd w:id="270"/>
      <w:bookmarkEnd w:id="271"/>
      <w:bookmarkEnd w:id="272"/>
    </w:p>
    <w:p>
      <w:pPr>
        <w:pStyle w:val="Style22"/>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、公司普通股利润分配及资本公积金转增股本情况</w:t>
      </w:r>
      <w:bookmarkEnd w:id="273"/>
      <w:bookmarkEnd w:id="274"/>
      <w:bookmarkEnd w:id="27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本年度利润分配及资本公积金转增股本情况</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本次现金分红情况</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r>
        <w:rPr>
          <w:color w:val="000000"/>
          <w:spacing w:val="0"/>
          <w:w w:val="100"/>
          <w:position w:val="0"/>
        </w:rPr>
        <w:t>其他</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利润分配或资本公积金转增预案的详细情况说明</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r>
        <w:rPr>
          <w:color w:val="000000"/>
          <w:spacing w:val="0"/>
          <w:w w:val="100"/>
          <w:position w:val="0"/>
        </w:rPr>
        <w:t>公司计划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年度不派发现金红利，不送红股，不以公积金转增股本。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年度权益分配方案</w:t>
      </w:r>
    </w:p>
    <w:p>
      <w:pPr>
        <w:pStyle w:val="Style24"/>
        <w:keepNext w:val="0"/>
        <w:keepLines w:val="0"/>
        <w:widowControl w:val="0"/>
        <w:shd w:val="clear" w:color="auto" w:fill="auto"/>
        <w:bidi w:val="0"/>
        <w:spacing w:before="0" w:after="120" w:line="240" w:lineRule="auto"/>
        <w:ind w:left="0" w:right="0" w:firstLine="300"/>
        <w:jc w:val="both"/>
      </w:pPr>
      <w:r>
        <w:rPr>
          <w:color w:val="000000"/>
          <w:spacing w:val="0"/>
          <w:w w:val="100"/>
          <w:position w:val="0"/>
        </w:rPr>
        <w:t>公司拟定以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26,470.86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w:t>
      </w:r>
      <w:r>
        <w:rPr>
          <w:rFonts w:ascii="Times New Roman" w:eastAsia="Times New Roman" w:hAnsi="Times New Roman" w:cs="Times New Roman"/>
          <w:color w:val="000000"/>
          <w:spacing w:val="0"/>
          <w:w w:val="100"/>
          <w:position w:val="0"/>
          <w:sz w:val="18"/>
          <w:szCs w:val="18"/>
        </w:rPr>
        <w:t>529.4172</w:t>
      </w:r>
      <w:r>
        <w:rPr>
          <w:color w:val="000000"/>
          <w:spacing w:val="0"/>
          <w:w w:val="100"/>
          <w:position w:val="0"/>
        </w:rPr>
        <w:t>万</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4"/>
        <w:keepNext w:val="0"/>
        <w:keepLines w:val="0"/>
        <w:widowControl w:val="0"/>
        <w:shd w:val="clear" w:color="auto" w:fill="auto"/>
        <w:bidi w:val="0"/>
        <w:spacing w:before="0" w:after="120" w:line="240" w:lineRule="auto"/>
        <w:ind w:left="0" w:right="0" w:firstLine="3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年度权益分配方案</w:t>
      </w:r>
    </w:p>
    <w:p>
      <w:pPr>
        <w:pStyle w:val="Style24"/>
        <w:keepNext w:val="0"/>
        <w:keepLines w:val="0"/>
        <w:widowControl w:val="0"/>
        <w:shd w:val="clear" w:color="auto" w:fill="auto"/>
        <w:bidi w:val="0"/>
        <w:spacing w:before="0" w:after="120" w:line="240" w:lineRule="auto"/>
        <w:ind w:left="0" w:right="0" w:firstLine="300"/>
        <w:jc w:val="both"/>
      </w:pPr>
      <w:r>
        <w:rPr>
          <w:color w:val="000000"/>
          <w:spacing w:val="0"/>
          <w:w w:val="100"/>
          <w:position w:val="0"/>
        </w:rPr>
        <w:t>公司拟定以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26,326.93</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w:t>
      </w:r>
      <w:r>
        <w:rPr>
          <w:rFonts w:ascii="Times New Roman" w:eastAsia="Times New Roman" w:hAnsi="Times New Roman" w:cs="Times New Roman"/>
          <w:color w:val="000000"/>
          <w:spacing w:val="0"/>
          <w:w w:val="100"/>
          <w:position w:val="0"/>
          <w:sz w:val="18"/>
          <w:szCs w:val="18"/>
        </w:rPr>
        <w:t>526.5386</w:t>
      </w:r>
      <w:r>
        <w:rPr>
          <w:color w:val="000000"/>
          <w:spacing w:val="0"/>
          <w:w w:val="100"/>
          <w:position w:val="0"/>
        </w:rPr>
        <w:t>万</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4"/>
        <w:keepNext w:val="0"/>
        <w:keepLines w:val="0"/>
        <w:widowControl w:val="0"/>
        <w:shd w:val="clear" w:color="auto" w:fill="auto"/>
        <w:bidi w:val="0"/>
        <w:spacing w:before="0" w:after="120" w:line="240" w:lineRule="auto"/>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年度权益分配方案</w:t>
      </w:r>
    </w:p>
    <w:p>
      <w:pPr>
        <w:pStyle w:val="Style24"/>
        <w:keepNext w:val="0"/>
        <w:keepLines w:val="0"/>
        <w:widowControl w:val="0"/>
        <w:shd w:val="clear" w:color="auto" w:fill="auto"/>
        <w:bidi w:val="0"/>
        <w:spacing w:before="0" w:after="520" w:line="240" w:lineRule="auto"/>
        <w:ind w:left="0" w:right="0" w:firstLine="300"/>
        <w:jc w:val="both"/>
      </w:pPr>
      <w:r>
        <w:rPr>
          <w:color w:val="000000"/>
          <w:spacing w:val="0"/>
          <w:w w:val="100"/>
          <w:position w:val="0"/>
        </w:rPr>
        <w:t>公司计划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年度不派发现金红利，不送红股，不以公积金转增股本。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-134,958,387.6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5,265,386.00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51,723,043.25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5,265,386.00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5,294,172.00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36,361,863.23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5,294,172.00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、承诺事项履行情况</w:t>
      </w:r>
      <w:bookmarkEnd w:id="277"/>
      <w:bookmarkEnd w:id="278"/>
      <w:bookmarkEnd w:id="280"/>
    </w:p>
    <w:p>
      <w:pPr>
        <w:pStyle w:val="Style31"/>
        <w:keepNext/>
        <w:keepLines/>
        <w:widowControl w:val="0"/>
        <w:shd w:val="clear" w:color="auto" w:fill="auto"/>
        <w:bidi w:val="0"/>
        <w:spacing w:before="0" w:line="317"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109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深圳市速必 拓网络科技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关于独立性、 关联交易和 同业竞争方 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独立性承 诺：速必拓承 诺与中青宝 在人员、资 产、财务、机 构、业务上做 到</w:t>
            </w:r>
            <w:r>
              <w:rPr>
                <w:color w:val="000000"/>
                <w:spacing w:val="0"/>
                <w:w w:val="100"/>
                <w:position w:val="0"/>
                <w:sz w:val="18"/>
                <w:szCs w:val="18"/>
              </w:rPr>
              <w:t>“</w:t>
            </w:r>
            <w:r>
              <w:rPr>
                <w:rFonts w:ascii="SimSun" w:eastAsia="SimSun" w:hAnsi="SimSun" w:cs="SimSun"/>
                <w:color w:val="000000"/>
                <w:spacing w:val="0"/>
                <w:w w:val="100"/>
                <w:position w:val="0"/>
                <w:sz w:val="17"/>
                <w:szCs w:val="17"/>
              </w:rPr>
              <w:t>五独立</w:t>
            </w:r>
            <w:r>
              <w:rPr>
                <w:color w:val="000000"/>
                <w:spacing w:val="0"/>
                <w:w w:val="100"/>
                <w:position w:val="0"/>
                <w:sz w:val="18"/>
                <w:szCs w:val="18"/>
              </w:rPr>
              <w:t>”</w:t>
            </w:r>
            <w:r>
              <w:rPr>
                <w:rFonts w:ascii="SimSun" w:eastAsia="SimSun" w:hAnsi="SimSun" w:cs="SimSun"/>
                <w:color w:val="000000"/>
                <w:spacing w:val="0"/>
                <w:w w:val="100"/>
                <w:position w:val="0"/>
                <w:sz w:val="17"/>
                <w:szCs w:val="17"/>
              </w:rPr>
              <w:t>， 保证人员独 立、资产独 立、财务独 立、机构独 立；</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关联交 易承诺：速必 拓避免与上 市公司之间 的非正常性 关联交易，对 于上市公司 日常经营所 必须的关联 交易事项，或 者任何可能 产生利益冲 突的其他事 项，将依照上 市公司的章 程、有关上市 规则等规定， 在董事会或 促使相关关 联股东在股 东大会上回 避表达；</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同业竞争承 诺：如上市公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深圳市速必 拓网络科技 有限公司作 为上市公司 信息披露义 务人期间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司及其下属 企业或相关 监管部门认 定速必拓及 速必拓控制 的其他公司、 企业或其他 经营实体正 在或将要从 事的业务与 上市公司及 其下属企业 存在同业竞 争</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速必拓及 速必拓控制 的其他公司 将在上市公 司及其下属 企业提出异 议后及时转 让或终止该 项业务。如上 市公司及其 下属企业进 一步提出受 让请求</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速必 拓及速必拓 控制的其他 公司将无条 件按有证券 从业资格的 中介机构审 计或评估的 公允价格将 上述业务和 资产优先转 让上市公司 及其下属企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深圳市宝德 投资控股有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税收承诺： 若中青宝网 因在上市之 前的税收缴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分别为：长 期、长期、在 深圳市宝德 投资控股有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纳事宜将来 被主管税务 部门处罚或 遭受其他任 何损失，均由 本公司承担； </w:t>
            </w:r>
            <w:r>
              <w:rPr>
                <w:color w:val="000000"/>
                <w:spacing w:val="0"/>
                <w:w w:val="100"/>
                <w:position w:val="0"/>
                <w:sz w:val="18"/>
                <w:szCs w:val="18"/>
              </w:rPr>
              <w:t>(2)</w:t>
            </w:r>
            <w:r>
              <w:rPr>
                <w:rFonts w:ascii="SimSun" w:eastAsia="SimSun" w:hAnsi="SimSun" w:cs="SimSun"/>
                <w:color w:val="000000"/>
                <w:spacing w:val="0"/>
                <w:w w:val="100"/>
                <w:position w:val="0"/>
                <w:sz w:val="17"/>
                <w:szCs w:val="17"/>
              </w:rPr>
              <w:t>社保承诺： 如有关社保 主管部门在 任何时候依 法要求中青 宝网补缴在 其首次公开 发行股票之 前任何期间 内应缴的社 会保险费用</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(包括但不 限于基本养 老保险、基本 医疗保险、工 伤保险、生育 保险五种基 本保险和住 房公积金)， 则本公司将 无条件连带 地全额承担 相关费用；</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避免同业竞 争的承诺：在 本公司作为 中青宝网控 股股东期间， 保证不自营 或以合资、合 作等方式经 营任何与中 青宝网现从 事的业务有 竞争的业务， 本公司现有 的或将来成 立的全资子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限公司作为 中青宝控股 股东期间。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公司、控股子 公司以及其 他受本公司 控制的企业 亦不会经营 与中青宝网 现从事的业 务有竞争的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李瑞杰、张云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在本人作为 中青宝网实 际控制人期 间，保证不自 营或以合资、 合作等方式 经营任何与 中青宝网现 从事的业务 有竞争的业 务，本人现有 的或将来成 立的全资子 公司、控股子 公司以及其 他受本公司 控制的企业 亦不会经营 与中青宝网 现从事的业 务有竞争的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、将严格依 照发行人的 章程、有关法 律法规、《深 圳证券交易 所创业板股 票上市规则》 及《深圳证券 交易所创业 板上市公司 规范运作指 引》中关于董 事行为规范、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李瑞杰先生 任职董事长 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董事长特别 行为规范的 要求，客观、 公正、独立地 履行董事职 责，保证足够 的时间和精 力来行使董 事职权，切实 维护发行人 及其他股东 的利益。</w:t>
            </w:r>
            <w:r>
              <w:rPr>
                <w:color w:val="000000"/>
                <w:spacing w:val="0"/>
                <w:w w:val="100"/>
                <w:position w:val="0"/>
                <w:sz w:val="18"/>
                <w:szCs w:val="18"/>
              </w:rPr>
              <w:t>2</w:t>
            </w:r>
            <w:r>
              <w:rPr>
                <w:rFonts w:ascii="SimSun" w:eastAsia="SimSun" w:hAnsi="SimSun" w:cs="SimSun"/>
                <w:color w:val="000000"/>
                <w:spacing w:val="0"/>
                <w:w w:val="100"/>
                <w:position w:val="0"/>
                <w:sz w:val="17"/>
                <w:szCs w:val="17"/>
              </w:rPr>
              <w:t>、 作为中青宝 网的实际控 制人，本人未 来仍将不会 在发行人担 任行政职务， 亦不会直接 参与发行人 的日常经营 管理，以避免 可能产生的 利益冲突。</w:t>
            </w:r>
            <w:r>
              <w:rPr>
                <w:color w:val="000000"/>
                <w:spacing w:val="0"/>
                <w:w w:val="100"/>
                <w:position w:val="0"/>
                <w:sz w:val="18"/>
                <w:szCs w:val="18"/>
              </w:rPr>
              <w:t>3</w:t>
            </w:r>
            <w:r>
              <w:rPr>
                <w:rFonts w:ascii="SimSun" w:eastAsia="SimSun" w:hAnsi="SimSun" w:cs="SimSun"/>
                <w:color w:val="000000"/>
                <w:spacing w:val="0"/>
                <w:w w:val="100"/>
                <w:position w:val="0"/>
                <w:sz w:val="17"/>
                <w:szCs w:val="17"/>
              </w:rPr>
              <w:t>、 本人承诺未 来不会利用 控股股东或 实际控制人 的地位。从事 任何可能损 害发行人或 其他股东合 法权益的行 为，包括但不 限于：其及其 所控制的企 业不以借款、 代偿债务、代 垫款项或者 其他方式占 用发行人的 资金，不利用 利润分配、资 产重组、对外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投资、资金占 用、借款担保 等方式损害 发行人和社 会公众股股 东的合法权 益，不利用控 制损害发行 人和社会公 众股股东的 利益等。</w:t>
            </w:r>
            <w:r>
              <w:rPr>
                <w:color w:val="000000"/>
                <w:spacing w:val="0"/>
                <w:w w:val="100"/>
                <w:position w:val="0"/>
                <w:sz w:val="18"/>
                <w:szCs w:val="18"/>
              </w:rPr>
              <w:t>4</w:t>
            </w:r>
            <w:r>
              <w:rPr>
                <w:rFonts w:ascii="SimSun" w:eastAsia="SimSun" w:hAnsi="SimSun" w:cs="SimSun"/>
                <w:color w:val="000000"/>
                <w:spacing w:val="0"/>
                <w:w w:val="100"/>
                <w:position w:val="0"/>
                <w:sz w:val="17"/>
                <w:szCs w:val="17"/>
              </w:rPr>
              <w:t>、 本人及有关 关联方今后 将尽力避免 与发行人之 间的非正常 性关联交易： 对于发行人 日常经营所 必须的关联 交易事项，或 者任何可能 产生利益冲 突的其他事 项，将依照发 行人的章程、 有关上市规 则等规定，在 董事会或促 使相关关联 股东在股东 大会上回避 表达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深圳中青宝 互动网络股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公司承诺不 为激励对象 依本激励计 划获取有关 限制性股票 提供贷款以 及其他任何 形式的财务 资助，包括为 其贷款提供 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股权激励有 效期内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8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深圳市宝德 投资控股有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股份增持承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公司承诺在 本次使用募 投项目结余 资金永久补 充流动资金 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 不进行此类 高风险投资</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日召开第 三届董事会 第十五次会 议，审议通过</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《关于终止 募投项目并 将剩余募集 资金永久补 充流动资金 的议案》，该 议案于</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日 召开的公司 </w:t>
            </w:r>
            <w:r>
              <w:rPr>
                <w:color w:val="000000"/>
                <w:spacing w:val="0"/>
                <w:w w:val="100"/>
                <w:position w:val="0"/>
                <w:sz w:val="18"/>
                <w:szCs w:val="18"/>
              </w:rPr>
              <w:t>2014</w:t>
            </w:r>
            <w:r>
              <w:rPr>
                <w:rFonts w:ascii="SimSun" w:eastAsia="SimSun" w:hAnsi="SimSun" w:cs="SimSun"/>
                <w:color w:val="000000"/>
                <w:spacing w:val="0"/>
                <w:w w:val="100"/>
                <w:position w:val="0"/>
                <w:sz w:val="17"/>
                <w:szCs w:val="17"/>
              </w:rPr>
              <w:t>年年度 股东大会审 议通过了《关 于终止募投 项目并将剩 余募集资金 永久补充流 动资金的议 案》，同意公 司终止实施 募投项目中</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苏州华娱创 新投资发展 有限公司研 发用房项目</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并将该项目 剩余募集资 金永久补充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p>
      <w:pPr>
        <w:pStyle w:val="Style31"/>
        <w:keepNext/>
        <w:keepLines/>
        <w:widowControl w:val="0"/>
        <w:shd w:val="clear" w:color="auto" w:fill="auto"/>
        <w:bidi w:val="0"/>
        <w:spacing w:before="0" w:line="317"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、控股股东及其关联方对上市公司的非经营性占用资金情况</w:t>
      </w:r>
      <w:bookmarkEnd w:id="289"/>
      <w:bookmarkEnd w:id="290"/>
      <w:bookmarkEnd w:id="29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638"/>
        <w:gridCol w:w="629"/>
        <w:gridCol w:w="629"/>
        <w:gridCol w:w="773"/>
        <w:gridCol w:w="629"/>
        <w:gridCol w:w="629"/>
        <w:gridCol w:w="629"/>
        <w:gridCol w:w="778"/>
        <w:gridCol w:w="518"/>
        <w:gridCol w:w="547"/>
        <w:gridCol w:w="782"/>
        <w:gridCol w:w="898"/>
        <w:gridCol w:w="150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股东或 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新增占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预计偿还时间（月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 海宝德 资产管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资金拆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日偿还完毕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 海宝德 资产管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日偿还完毕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深圳市 宝德投 资控股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日偿还完毕</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227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公司发现上述三家公司向控股股东或其关联方借款的事项后，第一时间向公司控股股东宝德控股 核实，并与三家公司积极协商。截至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日，公司已经获得三家公司返还的全部定 制费</w:t>
            </w:r>
            <w:r>
              <w:rPr>
                <w:color w:val="000000"/>
                <w:spacing w:val="0"/>
                <w:w w:val="100"/>
                <w:position w:val="0"/>
                <w:sz w:val="18"/>
                <w:szCs w:val="18"/>
              </w:rPr>
              <w:t>2150</w:t>
            </w:r>
            <w:r>
              <w:rPr>
                <w:rFonts w:ascii="SimSun" w:eastAsia="SimSun" w:hAnsi="SimSun" w:cs="SimSun"/>
                <w:color w:val="000000"/>
                <w:spacing w:val="0"/>
                <w:w w:val="100"/>
                <w:position w:val="0"/>
                <w:sz w:val="17"/>
                <w:szCs w:val="17"/>
              </w:rPr>
              <w:t>万元。公司高度重视游戏开发商向控股股东或其关联方借款的行为，并持续关注该事 项的进展，及时履行信息披露义务，避免形成非经营性的资金占用。公司未来将协同控股股东， 继续深入学习并严格执行《深圳证券交易所股票上市规则》、《深圳证券交易所上市公司规范运作 指引》等相关法律法规及业务规则的要求，提高规范运作水平，针对此类事项自查自纠自改，杜 绝类似违规事项的发生。</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当期新增大股东及其附 属企业非经营性资金占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巨潮资讯网：《深圳中青宝互动网络股份有限公司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年度非经营性资金占用及其他关联资金往 来的专项说明》</w:t>
            </w:r>
          </w:p>
        </w:tc>
      </w:tr>
    </w:tbl>
    <w:tbl>
      <w:tblPr>
        <w:tblOverlap w:val="never"/>
        <w:jc w:val="center"/>
        <w:tblLayout w:type="fixed"/>
      </w:tblPr>
      <w:tblGrid>
        <w:gridCol w:w="1896"/>
        <w:gridCol w:w="7690"/>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用情况的原因、责任人 追究及董事会拟定采取 措施的情况说明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 性资金占用的原因、责 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公司发现上述三家公司向控股股东或其关联方借款的事项后，第一时间向公司控股股东宝德控股 核实，并与三家公司积极协商。截至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日，公司已经获得三家公司返还的全部定 制费</w:t>
            </w:r>
            <w:r>
              <w:rPr>
                <w:color w:val="000000"/>
                <w:spacing w:val="0"/>
                <w:w w:val="100"/>
                <w:position w:val="0"/>
                <w:sz w:val="18"/>
                <w:szCs w:val="18"/>
              </w:rPr>
              <w:t>2150</w:t>
            </w:r>
            <w:r>
              <w:rPr>
                <w:rFonts w:ascii="SimSun" w:eastAsia="SimSun" w:hAnsi="SimSun" w:cs="SimSun"/>
                <w:color w:val="000000"/>
                <w:spacing w:val="0"/>
                <w:w w:val="100"/>
                <w:position w:val="0"/>
                <w:sz w:val="17"/>
                <w:szCs w:val="17"/>
              </w:rPr>
              <w:t>万元。公司高度重视游戏开发商向控股股东或其关联方借款的行为，并持续关注该事 项的进展，及时履行信息披露义务，避免形成非经营性的资金占用。公司未来将协同控股股东， 继续深入学习并严格执行《深圳证券交易所股票上市规则》、《深圳证券交易所上市公司规范运作 指引》等相关法律法规及业务规则的要求，提高规范运作水平，针对此类事项自查自纠自改，杜 绝类似违规事项的发生。（详见巨潮资讯网，公告编号：</w:t>
            </w:r>
            <w:r>
              <w:rPr>
                <w:color w:val="000000"/>
                <w:spacing w:val="0"/>
                <w:w w:val="100"/>
                <w:position w:val="0"/>
                <w:sz w:val="18"/>
                <w:szCs w:val="18"/>
              </w:rPr>
              <w:t>2021-012</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注册会计师对资金占用 的专项审核意见的披露 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3"/>
      <w:bookmarkEnd w:id="294"/>
      <w:bookmarkEnd w:id="296"/>
    </w:p>
    <w:p>
      <w:pPr>
        <w:pStyle w:val="Style2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4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2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4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董事会关于报告期会计政策、会计估计变更或重大会计差错更正的说明</w:t>
      </w:r>
      <w:bookmarkEnd w:id="301"/>
      <w:bookmarkEnd w:id="302"/>
      <w:bookmarkEnd w:id="304"/>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3" w:lineRule="exact"/>
        <w:ind w:left="0" w:right="0" w:firstLine="6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号），要求在境内外同时上市的 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 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p>
      <w:pPr>
        <w:pStyle w:val="Style24"/>
        <w:keepNext w:val="0"/>
        <w:keepLines w:val="0"/>
        <w:widowControl w:val="0"/>
        <w:shd w:val="clear" w:color="auto" w:fill="auto"/>
        <w:bidi w:val="0"/>
        <w:spacing w:before="0" w:after="680" w:line="313" w:lineRule="exact"/>
        <w:ind w:left="0" w:right="0" w:firstLine="6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日，公司召开了第四届董事会第三十六次会议、第四届监事会第二十五次会议，审议通过了《关于会计 政策变更的议案》。董事会认为：公司本次会计政策变更是根据财政部发布的相关通知和规定进行的合理变更，符合《企业 会计准则》的相关规定和公司实际情况，本次会计政策变更对公司财务状况、经营成果和现金流量无重大影响，不存在损害 公司及股东利益的情形。董事会一致同意本次会计政策变更，公司自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日起执行新收入准则。详见巨潮资讯网《关 于会计政策变更的公告》（公告编号：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、与上年度财务报告相比，合并报表范围发生变化的情况说明</w:t>
      </w:r>
      <w:bookmarkEnd w:id="305"/>
      <w:bookmarkEnd w:id="306"/>
      <w:bookmarkEnd w:id="308"/>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其他原因的合并范围变动</w:t>
      </w:r>
    </w:p>
    <w:p>
      <w:pPr>
        <w:pStyle w:val="Style49"/>
        <w:keepNext w:val="0"/>
        <w:keepLines w:val="0"/>
        <w:widowControl w:val="0"/>
        <w:shd w:val="clear" w:color="auto" w:fill="auto"/>
        <w:bidi w:val="0"/>
        <w:spacing w:before="0" w:after="240" w:line="240" w:lineRule="auto"/>
        <w:ind w:left="0" w:right="0" w:firstLine="84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rPr>
        <w:t>1</w:t>
      </w:r>
      <w:r>
        <w:rPr>
          <w:color w:val="000000"/>
          <w:spacing w:val="0"/>
          <w:w w:val="100"/>
          <w:position w:val="0"/>
        </w:rPr>
        <w:t>）新设子公司</w:t>
      </w:r>
    </w:p>
    <w:p>
      <w:pPr>
        <w:pStyle w:val="Style52"/>
        <w:keepNext w:val="0"/>
        <w:keepLines w:val="0"/>
        <w:widowControl w:val="0"/>
        <w:shd w:val="clear" w:color="auto" w:fill="auto"/>
        <w:tabs>
          <w:tab w:pos="6619" w:val="left"/>
        </w:tabs>
        <w:bidi w:val="0"/>
        <w:spacing w:before="0" w:line="240" w:lineRule="auto"/>
        <w:ind w:left="0" w:right="0" w:firstLine="0"/>
        <w:jc w:val="both"/>
      </w:pPr>
      <w:r>
        <w:rPr>
          <w:color w:val="000000"/>
          <w:spacing w:val="0"/>
          <w:w w:val="100"/>
          <w:position w:val="0"/>
        </w:rPr>
        <w:t>子公司名称</w:t>
        <w:tab/>
        <w:t>设立时间</w:t>
      </w:r>
    </w:p>
    <w:tbl>
      <w:tblPr>
        <w:tblOverlap w:val="never"/>
        <w:jc w:val="left"/>
        <w:tblLayout w:type="fixed"/>
      </w:tblPr>
      <w:tblGrid>
        <w:gridCol w:w="5419"/>
        <w:gridCol w:w="33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掌心烈焰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5</w:t>
            </w:r>
            <w:r>
              <w:rPr>
                <w:rFonts w:ascii="SimSun" w:eastAsia="SimSun" w:hAnsi="SimSun" w:cs="SimSun"/>
                <w:color w:val="000000"/>
                <w:spacing w:val="0"/>
                <w:w w:val="100"/>
                <w:position w:val="0"/>
                <w:sz w:val="19"/>
                <w:szCs w:val="19"/>
              </w:rPr>
              <w:t>月</w:t>
            </w:r>
            <w:r>
              <w:rPr>
                <w:color w:val="000000"/>
                <w:spacing w:val="0"/>
                <w:w w:val="100"/>
                <w:position w:val="0"/>
                <w:sz w:val="20"/>
                <w:szCs w:val="20"/>
              </w:rPr>
              <w:t>26</w:t>
            </w:r>
            <w:r>
              <w:rPr>
                <w:rFonts w:ascii="SimSun" w:eastAsia="SimSun" w:hAnsi="SimSun" w:cs="SimSun"/>
                <w:color w:val="000000"/>
                <w:spacing w:val="0"/>
                <w:w w:val="100"/>
                <w:position w:val="0"/>
                <w:sz w:val="19"/>
                <w:szCs w:val="19"/>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4</w:t>
            </w:r>
            <w:r>
              <w:rPr>
                <w:rFonts w:ascii="SimSun" w:eastAsia="SimSun" w:hAnsi="SimSun" w:cs="SimSun"/>
                <w:color w:val="000000"/>
                <w:spacing w:val="0"/>
                <w:w w:val="100"/>
                <w:position w:val="0"/>
                <w:sz w:val="19"/>
                <w:szCs w:val="19"/>
              </w:rPr>
              <w:t>月</w:t>
            </w:r>
            <w:r>
              <w:rPr>
                <w:color w:val="000000"/>
                <w:spacing w:val="0"/>
                <w:w w:val="100"/>
                <w:position w:val="0"/>
                <w:sz w:val="20"/>
                <w:szCs w:val="20"/>
              </w:rPr>
              <w:t>30</w:t>
            </w:r>
            <w:r>
              <w:rPr>
                <w:rFonts w:ascii="SimSun" w:eastAsia="SimSun" w:hAnsi="SimSun" w:cs="SimSun"/>
                <w:color w:val="000000"/>
                <w:spacing w:val="0"/>
                <w:w w:val="100"/>
                <w:position w:val="0"/>
                <w:sz w:val="19"/>
                <w:szCs w:val="19"/>
              </w:rPr>
              <w:t>日</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w:t>
            </w:r>
            <w:r>
              <w:rPr>
                <w:rFonts w:ascii="SimSun" w:eastAsia="SimSun" w:hAnsi="SimSun" w:cs="SimSun"/>
                <w:color w:val="000000"/>
                <w:spacing w:val="0"/>
                <w:w w:val="100"/>
                <w:position w:val="0"/>
                <w:sz w:val="19"/>
                <w:szCs w:val="19"/>
              </w:rPr>
              <w:t>月</w:t>
            </w:r>
            <w:r>
              <w:rPr>
                <w:color w:val="000000"/>
                <w:spacing w:val="0"/>
                <w:w w:val="100"/>
                <w:position w:val="0"/>
                <w:sz w:val="20"/>
                <w:szCs w:val="20"/>
              </w:rPr>
              <w:t>20</w:t>
            </w:r>
            <w:r>
              <w:rPr>
                <w:rFonts w:ascii="SimSun" w:eastAsia="SimSun" w:hAnsi="SimSun" w:cs="SimSun"/>
                <w:color w:val="000000"/>
                <w:spacing w:val="0"/>
                <w:w w:val="100"/>
                <w:position w:val="0"/>
                <w:sz w:val="19"/>
                <w:szCs w:val="19"/>
              </w:rPr>
              <w:t>日</w:t>
            </w:r>
          </w:p>
        </w:tc>
      </w:tr>
    </w:tbl>
    <w:p>
      <w:pPr>
        <w:widowControl w:val="0"/>
        <w:spacing w:after="239" w:line="1" w:lineRule="exact"/>
      </w:pPr>
    </w:p>
    <w:p>
      <w:pPr>
        <w:pStyle w:val="Style49"/>
        <w:keepNext w:val="0"/>
        <w:keepLines w:val="0"/>
        <w:widowControl w:val="0"/>
        <w:shd w:val="clear" w:color="auto" w:fill="auto"/>
        <w:bidi w:val="0"/>
        <w:spacing w:before="0" w:after="240" w:line="240" w:lineRule="auto"/>
        <w:ind w:left="0" w:right="0" w:firstLine="640"/>
        <w:jc w:val="left"/>
      </w:pPr>
      <w:bookmarkStart w:id="310" w:name="bookmark310"/>
      <w:r>
        <w:rPr>
          <w:rFonts w:ascii="Times New Roman" w:eastAsia="Times New Roman" w:hAnsi="Times New Roman" w:cs="Times New Roman"/>
          <w:color w:val="000000"/>
          <w:spacing w:val="0"/>
          <w:w w:val="100"/>
          <w:position w:val="0"/>
        </w:rPr>
        <w:t>（</w:t>
      </w:r>
      <w:bookmarkEnd w:id="310"/>
      <w:r>
        <w:rPr>
          <w:rFonts w:ascii="Times New Roman" w:eastAsia="Times New Roman" w:hAnsi="Times New Roman" w:cs="Times New Roman"/>
          <w:color w:val="000000"/>
          <w:spacing w:val="0"/>
          <w:w w:val="100"/>
          <w:position w:val="0"/>
        </w:rPr>
        <w:t>2</w:t>
      </w:r>
      <w:r>
        <w:rPr>
          <w:color w:val="000000"/>
          <w:spacing w:val="0"/>
          <w:w w:val="100"/>
          <w:position w:val="0"/>
        </w:rPr>
        <w:t>）注销子公司</w:t>
      </w:r>
    </w:p>
    <w:tbl>
      <w:tblPr>
        <w:tblOverlap w:val="never"/>
        <w:jc w:val="left"/>
        <w:tblLayout w:type="fixed"/>
      </w:tblPr>
      <w:tblGrid>
        <w:gridCol w:w="5419"/>
        <w:gridCol w:w="33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注销时间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9</w:t>
            </w:r>
            <w:r>
              <w:rPr>
                <w:rFonts w:ascii="SimSun" w:eastAsia="SimSun" w:hAnsi="SimSun" w:cs="SimSun"/>
                <w:color w:val="000000"/>
                <w:spacing w:val="0"/>
                <w:w w:val="100"/>
                <w:position w:val="0"/>
                <w:sz w:val="19"/>
                <w:szCs w:val="19"/>
              </w:rPr>
              <w:t>月</w:t>
            </w:r>
            <w:r>
              <w:rPr>
                <w:color w:val="000000"/>
                <w:spacing w:val="0"/>
                <w:w w:val="100"/>
                <w:position w:val="0"/>
                <w:sz w:val="20"/>
                <w:szCs w:val="20"/>
              </w:rPr>
              <w:t>24</w:t>
            </w:r>
            <w:r>
              <w:rPr>
                <w:rFonts w:ascii="SimSun" w:eastAsia="SimSun" w:hAnsi="SimSun" w:cs="SimSun"/>
                <w:color w:val="000000"/>
                <w:spacing w:val="0"/>
                <w:w w:val="100"/>
                <w:position w:val="0"/>
                <w:sz w:val="19"/>
                <w:szCs w:val="19"/>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山东科讯达恒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11</w:t>
            </w:r>
            <w:r>
              <w:rPr>
                <w:rFonts w:ascii="SimSun" w:eastAsia="SimSun" w:hAnsi="SimSun" w:cs="SimSun"/>
                <w:color w:val="000000"/>
                <w:spacing w:val="0"/>
                <w:w w:val="100"/>
                <w:position w:val="0"/>
                <w:sz w:val="19"/>
                <w:szCs w:val="19"/>
              </w:rPr>
              <w:t>月</w:t>
            </w:r>
            <w:r>
              <w:rPr>
                <w:color w:val="000000"/>
                <w:spacing w:val="0"/>
                <w:w w:val="100"/>
                <w:position w:val="0"/>
                <w:sz w:val="20"/>
                <w:szCs w:val="20"/>
              </w:rPr>
              <w:t>25</w:t>
            </w:r>
            <w:r>
              <w:rPr>
                <w:rFonts w:ascii="SimSun" w:eastAsia="SimSun" w:hAnsi="SimSun" w:cs="SimSun"/>
                <w:color w:val="000000"/>
                <w:spacing w:val="0"/>
                <w:w w:val="100"/>
                <w:position w:val="0"/>
                <w:sz w:val="19"/>
                <w:szCs w:val="19"/>
              </w:rPr>
              <w:t>日</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3</w:t>
            </w:r>
            <w:r>
              <w:rPr>
                <w:rFonts w:ascii="SimSun" w:eastAsia="SimSun" w:hAnsi="SimSun" w:cs="SimSun"/>
                <w:color w:val="000000"/>
                <w:spacing w:val="0"/>
                <w:w w:val="100"/>
                <w:position w:val="0"/>
                <w:sz w:val="19"/>
                <w:szCs w:val="19"/>
              </w:rPr>
              <w:t>月</w:t>
            </w:r>
            <w:r>
              <w:rPr>
                <w:color w:val="000000"/>
                <w:spacing w:val="0"/>
                <w:w w:val="100"/>
                <w:position w:val="0"/>
                <w:sz w:val="20"/>
                <w:szCs w:val="20"/>
              </w:rPr>
              <w:t>30</w:t>
            </w:r>
            <w:r>
              <w:rPr>
                <w:rFonts w:ascii="SimSun" w:eastAsia="SimSun" w:hAnsi="SimSun" w:cs="SimSun"/>
                <w:color w:val="000000"/>
                <w:spacing w:val="0"/>
                <w:w w:val="100"/>
                <w:position w:val="0"/>
                <w:sz w:val="19"/>
                <w:szCs w:val="19"/>
              </w:rPr>
              <w:t>日</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八</w:t>
      </w:r>
      <w:bookmarkEnd w:id="313"/>
      <w:r>
        <w:rPr>
          <w:color w:val="000000"/>
          <w:spacing w:val="0"/>
          <w:w w:val="100"/>
          <w:position w:val="0"/>
          <w:sz w:val="24"/>
          <w:szCs w:val="24"/>
        </w:rPr>
        <w:t>、聘任、解聘会计师事务所情况</w:t>
      </w:r>
      <w:bookmarkEnd w:id="311"/>
      <w:bookmarkEnd w:id="312"/>
      <w:bookmarkEnd w:id="314"/>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郭晋龙、邓畅</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郭晋龙（</w:t>
            </w:r>
            <w:r>
              <w:rPr>
                <w:color w:val="000000"/>
                <w:spacing w:val="0"/>
                <w:w w:val="100"/>
                <w:position w:val="0"/>
                <w:sz w:val="18"/>
                <w:szCs w:val="18"/>
              </w:rPr>
              <w:t>6</w:t>
            </w:r>
            <w:r>
              <w:rPr>
                <w:rFonts w:ascii="SimSun" w:eastAsia="SimSun" w:hAnsi="SimSun" w:cs="SimSun"/>
                <w:color w:val="000000"/>
                <w:spacing w:val="0"/>
                <w:w w:val="100"/>
                <w:position w:val="0"/>
                <w:sz w:val="17"/>
                <w:szCs w:val="17"/>
              </w:rPr>
              <w:t>年）、邓畅（</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、年度报告披露后面临退市情况</w:t>
      </w:r>
      <w:bookmarkEnd w:id="315"/>
      <w:bookmarkEnd w:id="316"/>
      <w:bookmarkEnd w:id="31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十、破产重整相关事项</w:t>
      </w:r>
      <w:bookmarkEnd w:id="319"/>
      <w:bookmarkEnd w:id="320"/>
      <w:bookmarkEnd w:id="32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十一、重大诉讼、仲裁事项</w:t>
      </w:r>
      <w:bookmarkEnd w:id="322"/>
      <w:bookmarkEnd w:id="323"/>
      <w:bookmarkEnd w:id="324"/>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涉案金额（万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tbl>
      <w:tblPr>
        <w:tblOverlap w:val="never"/>
        <w:jc w:val="center"/>
        <w:tblLayout w:type="fixed"/>
      </w:tblPr>
      <w:tblGrid>
        <w:gridCol w:w="1459"/>
        <w:gridCol w:w="1085"/>
        <w:gridCol w:w="1267"/>
        <w:gridCol w:w="950"/>
        <w:gridCol w:w="1397"/>
        <w:gridCol w:w="1262"/>
        <w:gridCol w:w="1080"/>
        <w:gridCol w:w="1090"/>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其他未达重大诉 讼披露标准的其 他诉讼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在审理阶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在审理阶段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在审理阶段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十二、处罚及整改情况</w:t>
      </w:r>
      <w:bookmarkEnd w:id="325"/>
      <w:bookmarkEnd w:id="326"/>
      <w:bookmarkEnd w:id="327"/>
    </w:p>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26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十三、公司及其控股股东、实际控制人的诚信状况</w:t>
      </w:r>
      <w:bookmarkEnd w:id="328"/>
      <w:bookmarkEnd w:id="329"/>
      <w:bookmarkEnd w:id="330"/>
    </w:p>
    <w:p>
      <w:pPr>
        <w:pStyle w:val="Style24"/>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十四、公司股权激励计划、员工持股计划或其他员工激励措施的实施情况</w:t>
      </w:r>
      <w:bookmarkEnd w:id="331"/>
      <w:bookmarkEnd w:id="332"/>
      <w:bookmarkEnd w:id="333"/>
    </w:p>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5" w:lineRule="exact"/>
        <w:ind w:left="0" w:right="0" w:firstLine="380"/>
        <w:jc w:val="both"/>
      </w:pPr>
      <w:bookmarkStart w:id="334" w:name="bookmark334"/>
      <w:r>
        <w:rPr>
          <w:rFonts w:ascii="Times New Roman" w:eastAsia="Times New Roman" w:hAnsi="Times New Roman" w:cs="Times New Roman"/>
          <w:color w:val="000000"/>
          <w:spacing w:val="0"/>
          <w:w w:val="100"/>
          <w:position w:val="0"/>
          <w:sz w:val="18"/>
          <w:szCs w:val="18"/>
        </w:rPr>
        <w:t>1</w:t>
      </w:r>
      <w:bookmarkEnd w:id="33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日，公司召开第五届董事会第二次（临时）会议及第五届监事会第二次（临时）会议，审议通过了《关 于调整限制性股票回购价格》及《关于回购注销部分限制性股票的议案》。调整尚未解除限售的限制性股票回购价格为</w:t>
      </w:r>
      <w:r>
        <w:rPr>
          <w:rFonts w:ascii="Times New Roman" w:eastAsia="Times New Roman" w:hAnsi="Times New Roman" w:cs="Times New Roman"/>
          <w:color w:val="000000"/>
          <w:spacing w:val="0"/>
          <w:w w:val="100"/>
          <w:position w:val="0"/>
          <w:sz w:val="18"/>
          <w:szCs w:val="18"/>
        </w:rPr>
        <w:t xml:space="preserve">6.16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股加上银行同期存款利息之和，并同意回购注销已获授但尚未解锁的限制性股票共</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股。公司独立董事发表了明确 同意的独立意见，监事会发表了核查意见。北京市中伦（深圳）律师事务所就公司回购并注销部分已授予限制性股票的事项 出具了法律意见书；</w:t>
      </w:r>
    </w:p>
    <w:p>
      <w:pPr>
        <w:pStyle w:val="Style24"/>
        <w:keepNext w:val="0"/>
        <w:keepLines w:val="0"/>
        <w:widowControl w:val="0"/>
        <w:shd w:val="clear" w:color="auto" w:fill="auto"/>
        <w:bidi w:val="0"/>
        <w:spacing w:before="0" w:after="0" w:line="315" w:lineRule="exact"/>
        <w:ind w:left="0" w:right="0" w:firstLine="600"/>
        <w:jc w:val="both"/>
      </w:pPr>
      <w:bookmarkStart w:id="335" w:name="bookmark335"/>
      <w:r>
        <w:rPr>
          <w:rFonts w:ascii="Times New Roman" w:eastAsia="Times New Roman" w:hAnsi="Times New Roman" w:cs="Times New Roman"/>
          <w:color w:val="000000"/>
          <w:spacing w:val="0"/>
          <w:w w:val="100"/>
          <w:position w:val="0"/>
          <w:sz w:val="18"/>
          <w:szCs w:val="18"/>
        </w:rPr>
        <w:t>2</w:t>
      </w:r>
      <w:bookmarkEnd w:id="33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年第三次临时股东大会，审议通过了《关于回购注销部分限制性股票的议案》， 同意回购注销已获授但尚未解锁的限制性股票共</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股，北京市中伦（深圳）律师事务所就本次股东大会的召集、召开 程序及决议的有效性等出具法律意见书，尚未在中国证券登记结算有限公司办理回购注销相关业务；</w:t>
      </w:r>
    </w:p>
    <w:p>
      <w:pPr>
        <w:pStyle w:val="Style24"/>
        <w:keepNext w:val="0"/>
        <w:keepLines w:val="0"/>
        <w:widowControl w:val="0"/>
        <w:shd w:val="clear" w:color="auto" w:fill="auto"/>
        <w:tabs>
          <w:tab w:pos="607" w:val="left"/>
        </w:tabs>
        <w:bidi w:val="0"/>
        <w:spacing w:before="0" w:after="0" w:line="315" w:lineRule="exact"/>
        <w:ind w:left="0" w:right="0" w:firstLine="300"/>
        <w:jc w:val="both"/>
      </w:pPr>
      <w:bookmarkStart w:id="336" w:name="bookmark336"/>
      <w:r>
        <w:rPr>
          <w:rFonts w:ascii="Times New Roman" w:eastAsia="Times New Roman" w:hAnsi="Times New Roman" w:cs="Times New Roman"/>
          <w:color w:val="000000"/>
          <w:spacing w:val="0"/>
          <w:w w:val="100"/>
          <w:position w:val="0"/>
          <w:sz w:val="18"/>
          <w:szCs w:val="18"/>
        </w:rPr>
        <w:t>3</w:t>
      </w:r>
      <w:bookmarkEnd w:id="3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日，公司召开第五届董事会第三次会议及第五届监事会第三次会议，审议通过了《关于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票激励计划首次授予第二个解除限售期解限售条件成就的议案》及《关于回购注销部分限制性股票的议案》，首次授予第二 个解除限售期解除限售条件已满足，根据公司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年第二次临时股东大会的授权，办理首次授予限制性股票符合解除限售条 件部分的股票解除限售事宜；同意回购注销已获授但尚未解锁的限制性股票共</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 存款利息之和。公司独立董事发表了明确同意的独立意见，监事会发表了核查意见，北京市中伦（深圳）律师事务所就公司 关于公司回购注销部分限制性股票及首次授予限制性股票解锁相关事项的事项出具了法律意见书；</w:t>
      </w:r>
    </w:p>
    <w:p>
      <w:pPr>
        <w:pStyle w:val="Style24"/>
        <w:keepNext w:val="0"/>
        <w:keepLines w:val="0"/>
        <w:widowControl w:val="0"/>
        <w:shd w:val="clear" w:color="auto" w:fill="auto"/>
        <w:tabs>
          <w:tab w:pos="597" w:val="left"/>
        </w:tabs>
        <w:bidi w:val="0"/>
        <w:spacing w:before="0" w:after="0" w:line="315" w:lineRule="exact"/>
        <w:ind w:left="0" w:right="0" w:firstLine="300"/>
        <w:jc w:val="both"/>
      </w:pPr>
      <w:bookmarkStart w:id="337" w:name="bookmark337"/>
      <w:r>
        <w:rPr>
          <w:rFonts w:ascii="Times New Roman" w:eastAsia="Times New Roman" w:hAnsi="Times New Roman" w:cs="Times New Roman"/>
          <w:color w:val="000000"/>
          <w:spacing w:val="0"/>
          <w:w w:val="100"/>
          <w:position w:val="0"/>
          <w:sz w:val="18"/>
          <w:szCs w:val="18"/>
        </w:rPr>
        <w:t>4</w:t>
      </w:r>
      <w:bookmarkEnd w:id="3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年限制性股票激励计划首次授予限制性股票第二个解除限售期解除限售股份上 市流通的提示性公告》，</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名首次授予激励对象符合解除限售条件，解除限售的限制性股票数量为</w:t>
      </w:r>
      <w:r>
        <w:rPr>
          <w:rFonts w:ascii="Times New Roman" w:eastAsia="Times New Roman" w:hAnsi="Times New Roman" w:cs="Times New Roman"/>
          <w:color w:val="000000"/>
          <w:spacing w:val="0"/>
          <w:w w:val="100"/>
          <w:position w:val="0"/>
          <w:sz w:val="18"/>
          <w:szCs w:val="18"/>
        </w:rPr>
        <w:t>738,000</w:t>
      </w:r>
      <w:r>
        <w:rPr>
          <w:color w:val="000000"/>
          <w:spacing w:val="0"/>
          <w:w w:val="100"/>
          <w:position w:val="0"/>
        </w:rPr>
        <w:t>股，本次解除限 售的限制性股票上市流通日为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4"/>
        <w:keepNext w:val="0"/>
        <w:keepLines w:val="0"/>
        <w:widowControl w:val="0"/>
        <w:shd w:val="clear" w:color="auto" w:fill="auto"/>
        <w:tabs>
          <w:tab w:pos="523" w:val="left"/>
        </w:tabs>
        <w:bidi w:val="0"/>
        <w:spacing w:before="0" w:after="0" w:line="315" w:lineRule="exact"/>
        <w:ind w:left="0" w:right="0" w:firstLine="300"/>
        <w:jc w:val="both"/>
      </w:pPr>
      <w:bookmarkStart w:id="338" w:name="bookmark338"/>
      <w:r>
        <w:rPr>
          <w:rFonts w:ascii="Times New Roman" w:eastAsia="Times New Roman" w:hAnsi="Times New Roman" w:cs="Times New Roman"/>
          <w:color w:val="000000"/>
          <w:spacing w:val="0"/>
          <w:w w:val="100"/>
          <w:position w:val="0"/>
          <w:sz w:val="18"/>
          <w:szCs w:val="18"/>
        </w:rPr>
        <w:t>5</w:t>
      </w:r>
      <w:bookmarkEnd w:id="3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日，公司召开第五届董事会第五次会议及第五届监事会第五次会议，认为关于《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 （草案修订稿）》预留授予第一个解除限售期解除限售条件已满足，根据公司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年第二次临时股东大会的授权，办理预</w:t>
      </w:r>
    </w:p>
    <w:p>
      <w:pPr>
        <w:pStyle w:val="Style24"/>
        <w:keepNext w:val="0"/>
        <w:keepLines w:val="0"/>
        <w:widowControl w:val="0"/>
        <w:shd w:val="clear" w:color="auto" w:fill="auto"/>
        <w:bidi w:val="0"/>
        <w:spacing w:before="0" w:after="260" w:line="315" w:lineRule="exact"/>
        <w:ind w:left="0" w:right="0" w:firstLine="0"/>
        <w:jc w:val="both"/>
      </w:pPr>
      <w:r>
        <w:rPr>
          <w:color w:val="000000"/>
          <w:spacing w:val="0"/>
          <w:w w:val="100"/>
          <w:position w:val="0"/>
        </w:rPr>
        <w:t>留授予限制性股票符合解除限售条件部分的股票解除限售事宜。公司独立董事发表了明确同意的独立意见，监事会发表了核 查意见，北京市中伦（深圳）律师事务所就公司关于预留授予限制性股票解锁相关事项的事项出具了法律意见书。</w:t>
      </w:r>
      <w:r>
        <w:br w:type="page"/>
      </w:r>
    </w:p>
    <w:p>
      <w:pPr>
        <w:pStyle w:val="Style22"/>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十五、重大关联交易</w:t>
      </w:r>
      <w:bookmarkEnd w:id="339"/>
      <w:bookmarkEnd w:id="340"/>
      <w:bookmarkEnd w:id="341"/>
    </w:p>
    <w:p>
      <w:pPr>
        <w:pStyle w:val="Style31"/>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、与日常经营相关的关联交易</w:t>
      </w:r>
      <w:bookmarkEnd w:id="342"/>
      <w:bookmarkEnd w:id="343"/>
      <w:bookmarkEnd w:id="34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控股股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房屋出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控股股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房屋出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深圳鸿德 房地产开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房屋出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深圳鹏德 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房屋出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控股股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房屋租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深圳鸿德 房地产开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广州宝云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 德计算机 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实际控 制人控 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购买商 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服务器、 电脑及 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 通信息科 技发展有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实际控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制人控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制的企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购买商 品服务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服务器、 电脑及 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公允价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bl>
    <w:tbl>
      <w:tblPr>
        <w:tblOverlap w:val="never"/>
        <w:jc w:val="center"/>
        <w:tblLayout w:type="fixed"/>
      </w:tblPr>
      <w:tblGrid>
        <w:gridCol w:w="2866"/>
        <w:gridCol w:w="677"/>
        <w:gridCol w:w="677"/>
        <w:gridCol w:w="672"/>
        <w:gridCol w:w="677"/>
        <w:gridCol w:w="672"/>
        <w:gridCol w:w="677"/>
        <w:gridCol w:w="672"/>
        <w:gridCol w:w="672"/>
        <w:gridCol w:w="672"/>
        <w:gridCol w:w="65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27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64" w:val="left"/>
              </w:tabs>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年向关联人提供的房屋租赁服务实际交易金额为</w:t>
            </w:r>
            <w:r>
              <w:rPr>
                <w:color w:val="000000"/>
                <w:spacing w:val="0"/>
                <w:w w:val="100"/>
                <w:position w:val="0"/>
                <w:sz w:val="18"/>
                <w:szCs w:val="18"/>
              </w:rPr>
              <w:t>414.30</w:t>
            </w:r>
            <w:r>
              <w:rPr>
                <w:rFonts w:ascii="SimSun" w:eastAsia="SimSun" w:hAnsi="SimSun" w:cs="SimSun"/>
                <w:color w:val="000000"/>
                <w:spacing w:val="0"/>
                <w:w w:val="100"/>
                <w:position w:val="0"/>
                <w:sz w:val="17"/>
                <w:szCs w:val="17"/>
              </w:rPr>
              <w:t>万元，由于对房租预 计单价存在偏差、与房屋所属方签约主体变更等因素，故此项关联交易额少于预计额 度。</w:t>
            </w:r>
          </w:p>
          <w:p>
            <w:pPr>
              <w:pStyle w:val="Style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年接受关联人提供的房屋租赁服务实际交易金额为</w:t>
            </w:r>
            <w:r>
              <w:rPr>
                <w:color w:val="000000"/>
                <w:spacing w:val="0"/>
                <w:w w:val="100"/>
                <w:position w:val="0"/>
                <w:sz w:val="18"/>
                <w:szCs w:val="18"/>
              </w:rPr>
              <w:t>608.28</w:t>
            </w:r>
            <w:r>
              <w:rPr>
                <w:rFonts w:ascii="SimSun" w:eastAsia="SimSun" w:hAnsi="SimSun" w:cs="SimSun"/>
                <w:color w:val="000000"/>
                <w:spacing w:val="0"/>
                <w:w w:val="100"/>
                <w:position w:val="0"/>
                <w:sz w:val="17"/>
                <w:szCs w:val="17"/>
              </w:rPr>
              <w:t>万元，由于对房租 预计单价存在偏差等因素，故此项关联交易额少于预计额度。</w:t>
            </w:r>
          </w:p>
          <w:p>
            <w:pPr>
              <w:pStyle w:val="Style2"/>
              <w:keepNext w:val="0"/>
              <w:keepLines w:val="0"/>
              <w:widowControl w:val="0"/>
              <w:shd w:val="clear" w:color="auto" w:fill="auto"/>
              <w:tabs>
                <w:tab w:pos="264"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年向关联人采购服务器、电脑及其他配件、软件、相关运维服务等的实际交 易金额为</w:t>
            </w:r>
            <w:r>
              <w:rPr>
                <w:color w:val="000000"/>
                <w:spacing w:val="0"/>
                <w:w w:val="100"/>
                <w:position w:val="0"/>
                <w:sz w:val="18"/>
                <w:szCs w:val="18"/>
              </w:rPr>
              <w:t>197.26</w:t>
            </w:r>
            <w:r>
              <w:rPr>
                <w:rFonts w:ascii="SimSun" w:eastAsia="SimSun" w:hAnsi="SimSun" w:cs="SimSun"/>
                <w:color w:val="000000"/>
                <w:spacing w:val="0"/>
                <w:w w:val="100"/>
                <w:position w:val="0"/>
                <w:sz w:val="17"/>
                <w:szCs w:val="17"/>
              </w:rPr>
              <w:t>万元，由于项目进度调整，故此项关联交易额少于预计额度。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、资产或股权收购、出售发生的关联交易</w:t>
      </w:r>
      <w:bookmarkEnd w:id="346"/>
      <w:bookmarkEnd w:id="347"/>
      <w:bookmarkEnd w:id="34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关联债权债务往来</w:t>
      </w:r>
      <w:bookmarkEnd w:id="354"/>
      <w:bookmarkEnd w:id="355"/>
      <w:bookmarkEnd w:id="35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w:t>
        <w:tab/>
        <w:t>其他重大关联交易</w:t>
      </w:r>
      <w:bookmarkEnd w:id="358"/>
      <w:bookmarkEnd w:id="359"/>
      <w:bookmarkEnd w:id="36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十六、重大合同及其履行情况</w:t>
      </w:r>
      <w:bookmarkEnd w:id="362"/>
      <w:bookmarkEnd w:id="363"/>
      <w:bookmarkEnd w:id="364"/>
    </w:p>
    <w:p>
      <w:pPr>
        <w:pStyle w:val="Style31"/>
        <w:keepNext/>
        <w:keepLines/>
        <w:widowControl w:val="0"/>
        <w:shd w:val="clear" w:color="auto" w:fill="auto"/>
        <w:tabs>
          <w:tab w:pos="368"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w:t>
        <w:tab/>
        <w:t>托管、承包、租赁事项情况</w:t>
      </w:r>
      <w:bookmarkEnd w:id="365"/>
      <w:bookmarkEnd w:id="366"/>
      <w:bookmarkEnd w:id="368"/>
    </w:p>
    <w:p>
      <w:pPr>
        <w:pStyle w:val="Style37"/>
        <w:keepNext/>
        <w:keepLines/>
        <w:widowControl w:val="0"/>
        <w:shd w:val="clear" w:color="auto" w:fill="auto"/>
        <w:tabs>
          <w:tab w:pos="493"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9"/>
      <w:bookmarkEnd w:id="370"/>
      <w:bookmarkEnd w:id="37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3"/>
      <w:bookmarkEnd w:id="374"/>
      <w:bookmarkEnd w:id="37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7"/>
      <w:bookmarkEnd w:id="378"/>
      <w:bookmarkEnd w:id="38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重大担保</w:t>
      </w:r>
      <w:bookmarkEnd w:id="381"/>
      <w:bookmarkEnd w:id="382"/>
      <w:bookmarkEnd w:id="38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日常经营重大合同</w:t>
      </w:r>
      <w:bookmarkEnd w:id="385"/>
      <w:bookmarkEnd w:id="386"/>
      <w:bookmarkEnd w:id="38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委托他人进行现金资产管理情况</w:t>
      </w:r>
      <w:bookmarkEnd w:id="389"/>
      <w:bookmarkEnd w:id="390"/>
      <w:bookmarkEnd w:id="392"/>
    </w:p>
    <w:p>
      <w:pPr>
        <w:pStyle w:val="Style37"/>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3"/>
      <w:bookmarkEnd w:id="394"/>
      <w:bookmarkEnd w:id="39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8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7"/>
      <w:bookmarkEnd w:id="398"/>
      <w:bookmarkEnd w:id="40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5</w:t>
      </w:r>
      <w:bookmarkEnd w:id="403"/>
      <w:r>
        <w:rPr>
          <w:color w:val="000000"/>
          <w:spacing w:val="0"/>
          <w:w w:val="100"/>
          <w:position w:val="0"/>
        </w:rPr>
        <w:t>、其他重大合同</w:t>
      </w:r>
      <w:bookmarkEnd w:id="401"/>
      <w:bookmarkEnd w:id="402"/>
      <w:bookmarkEnd w:id="40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十七、社会责任情况</w:t>
      </w:r>
      <w:bookmarkEnd w:id="405"/>
      <w:bookmarkEnd w:id="406"/>
      <w:bookmarkEnd w:id="407"/>
    </w:p>
    <w:p>
      <w:pPr>
        <w:pStyle w:val="Style31"/>
        <w:keepNext/>
        <w:keepLines/>
        <w:widowControl w:val="0"/>
        <w:shd w:val="clear" w:color="auto" w:fill="auto"/>
        <w:tabs>
          <w:tab w:pos="369"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履行社会责任情况</w:t>
      </w:r>
      <w:bookmarkEnd w:id="408"/>
      <w:bookmarkEnd w:id="409"/>
      <w:bookmarkEnd w:id="41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履行精准扶贫社会责任情况</w:t>
      </w:r>
      <w:bookmarkEnd w:id="412"/>
      <w:bookmarkEnd w:id="413"/>
      <w:bookmarkEnd w:id="415"/>
    </w:p>
    <w:p>
      <w:pPr>
        <w:pStyle w:val="Style37"/>
        <w:keepNext/>
        <w:keepLines/>
        <w:widowControl w:val="0"/>
        <w:shd w:val="clear" w:color="auto" w:fill="auto"/>
        <w:tabs>
          <w:tab w:pos="493"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6"/>
      <w:bookmarkEnd w:id="417"/>
      <w:bookmarkEnd w:id="419"/>
    </w:p>
    <w:p>
      <w:pPr>
        <w:pStyle w:val="Style4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公司报告期暂未开展精准扶贫工作，也暂无后续精准扶贫计划。</w:t>
      </w:r>
    </w:p>
    <w:p>
      <w:pPr>
        <w:pStyle w:val="Style37"/>
        <w:keepNext/>
        <w:keepLines/>
        <w:widowControl w:val="0"/>
        <w:shd w:val="clear" w:color="auto" w:fill="auto"/>
        <w:tabs>
          <w:tab w:pos="493" w:val="left"/>
        </w:tabs>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0"/>
      <w:bookmarkEnd w:id="421"/>
      <w:bookmarkEnd w:id="423"/>
    </w:p>
    <w:p>
      <w:pPr>
        <w:pStyle w:val="Style4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公司报告期暂未开展精准扶贫工作，也暂无后续精准扶贫计划。</w:t>
      </w:r>
    </w:p>
    <w:p>
      <w:pPr>
        <w:pStyle w:val="Style37"/>
        <w:keepNext/>
        <w:keepLines/>
        <w:widowControl w:val="0"/>
        <w:shd w:val="clear" w:color="auto" w:fill="auto"/>
        <w:tabs>
          <w:tab w:pos="493" w:val="left"/>
        </w:tabs>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4"/>
      <w:bookmarkEnd w:id="425"/>
      <w:bookmarkEnd w:id="427"/>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37"/>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8"/>
      <w:bookmarkEnd w:id="429"/>
      <w:bookmarkEnd w:id="431"/>
    </w:p>
    <w:p>
      <w:pPr>
        <w:pStyle w:val="Style4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公司报告期暂未开展精准扶贫工作，也暂无后续精准扶贫计划。</w:t>
      </w:r>
    </w:p>
    <w:p>
      <w:pPr>
        <w:pStyle w:val="Style31"/>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、环境保护相关的情况</w:t>
      </w:r>
      <w:bookmarkEnd w:id="432"/>
      <w:bookmarkEnd w:id="433"/>
      <w:bookmarkEnd w:id="43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十八、其他重大事项的说明</w:t>
      </w:r>
      <w:bookmarkEnd w:id="436"/>
      <w:bookmarkEnd w:id="437"/>
      <w:bookmarkEnd w:id="43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十九、公司子公司重大事项</w:t>
      </w:r>
      <w:bookmarkEnd w:id="439"/>
      <w:bookmarkEnd w:id="440"/>
      <w:bookmarkEnd w:id="44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42" w:name="bookmark442"/>
      <w:bookmarkStart w:id="443" w:name="bookmark443"/>
      <w:bookmarkStart w:id="444" w:name="bookmark444"/>
      <w:r>
        <w:rPr>
          <w:color w:val="000000"/>
          <w:spacing w:val="0"/>
          <w:w w:val="100"/>
          <w:position w:val="0"/>
        </w:rPr>
        <w:t>第六节股份变动及股东情况</w:t>
      </w:r>
      <w:bookmarkEnd w:id="442"/>
      <w:bookmarkEnd w:id="443"/>
      <w:bookmarkEnd w:id="444"/>
    </w:p>
    <w:p>
      <w:pPr>
        <w:pStyle w:val="Style22"/>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一</w:t>
      </w:r>
      <w:bookmarkEnd w:id="447"/>
      <w:r>
        <w:rPr>
          <w:color w:val="000000"/>
          <w:spacing w:val="0"/>
          <w:w w:val="100"/>
          <w:position w:val="0"/>
          <w:sz w:val="24"/>
          <w:szCs w:val="24"/>
        </w:rPr>
        <w:t>、股份变动情况</w:t>
      </w:r>
      <w:bookmarkEnd w:id="445"/>
      <w:bookmarkEnd w:id="446"/>
      <w:bookmarkEnd w:id="448"/>
    </w:p>
    <w:p>
      <w:pPr>
        <w:pStyle w:val="Style31"/>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、股份变动情况</w:t>
      </w:r>
      <w:bookmarkEnd w:id="449"/>
      <w:bookmarkEnd w:id="450"/>
      <w:bookmarkEnd w:id="4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260,041,1</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261,213,2</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260,041,1</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261,213,2</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263,671,8</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263,269,3</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1</w:t>
      </w:r>
      <w:bookmarkEnd w:id="45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日，公司召开第四届董事会第二十九次会议和第四届监事会第二十次会议，审议通过了《关于调整限制 </w:t>
      </w:r>
      <w:r>
        <w:rPr>
          <w:color w:val="000000"/>
          <w:spacing w:val="0"/>
          <w:w w:val="100"/>
          <w:position w:val="0"/>
        </w:rPr>
        <w:t>性股票回购价格的议案》、《关于回购注销部分限制性股票的议案》，将尚未解除限售的限制性股票回购价格调整为</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股加上银行同期存款利息之和，同时由于原激励对象欧文、彭旭等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名员工因个人原因已离职，公司对其持有的已获授但 尚未解除限售的</w:t>
      </w:r>
      <w:r>
        <w:rPr>
          <w:rFonts w:ascii="Times New Roman" w:eastAsia="Times New Roman" w:hAnsi="Times New Roman" w:cs="Times New Roman"/>
          <w:color w:val="000000"/>
          <w:spacing w:val="0"/>
          <w:w w:val="100"/>
          <w:position w:val="0"/>
          <w:sz w:val="18"/>
          <w:szCs w:val="18"/>
        </w:rPr>
        <w:t>402,500</w:t>
      </w:r>
      <w:r>
        <w:rPr>
          <w:color w:val="000000"/>
          <w:spacing w:val="0"/>
          <w:w w:val="100"/>
          <w:position w:val="0"/>
        </w:rPr>
        <w:t>股限制性股票进行回购注销。公司独立董事发表了明确同意的独立意见，监事会发表了核查意见。 北京市中伦（深圳）律师事务所就本次调整限制性股票回购价格、回购注销限制性股票事项出具了法律意见书。</w:t>
      </w:r>
    </w:p>
    <w:p>
      <w:pPr>
        <w:pStyle w:val="Style24"/>
        <w:keepNext w:val="0"/>
        <w:keepLines w:val="0"/>
        <w:widowControl w:val="0"/>
        <w:shd w:val="clear" w:color="auto" w:fill="auto"/>
        <w:tabs>
          <w:tab w:pos="354" w:val="left"/>
        </w:tabs>
        <w:bidi w:val="0"/>
        <w:spacing w:before="0" w:after="0" w:line="317" w:lineRule="exact"/>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2</w:t>
      </w:r>
      <w:bookmarkEnd w:id="4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年第三次临时股东大会，审议通过了《关于回购注销部分限制性股票的议案》，同 意回购注销已获授但尚未解锁的限制性股票共</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股，北京市中伦（深圳）律师事务所就本次股东大会的召集、召开 程序及决议的有效性等出具法律意见书。</w:t>
      </w:r>
    </w:p>
    <w:p>
      <w:pPr>
        <w:pStyle w:val="Style24"/>
        <w:keepNext w:val="0"/>
        <w:keepLines w:val="0"/>
        <w:widowControl w:val="0"/>
        <w:shd w:val="clear" w:color="auto" w:fill="auto"/>
        <w:bidi w:val="0"/>
        <w:spacing w:before="0" w:after="0" w:line="317" w:lineRule="exact"/>
        <w:ind w:left="0" w:right="0" w:firstLine="0"/>
        <w:jc w:val="left"/>
      </w:pPr>
      <w:bookmarkStart w:id="455" w:name="bookmark455"/>
      <w:r>
        <w:rPr>
          <w:rFonts w:ascii="Times New Roman" w:eastAsia="Times New Roman" w:hAnsi="Times New Roman" w:cs="Times New Roman"/>
          <w:color w:val="000000"/>
          <w:spacing w:val="0"/>
          <w:w w:val="100"/>
          <w:position w:val="0"/>
          <w:sz w:val="18"/>
          <w:szCs w:val="18"/>
        </w:rPr>
        <w:t>3</w:t>
      </w:r>
      <w:bookmarkEnd w:id="45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日，公司召开了第五届董事会第三次会议，审议通过了《关于回购注销部分限制性股票的议案》，同意公司 回购注销部分激励对象其持有的已获授但尚未解除限售的限制性股票共</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股。</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公司尚未在中国证券登记结算有限公司办理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日股东大会及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日董事会审议 的回购注销业务。</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336"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、限售股份变动情况</w:t>
      </w:r>
      <w:bookmarkEnd w:id="456"/>
      <w:bookmarkEnd w:id="457"/>
      <w:bookmarkEnd w:id="459"/>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满足条件后以 上年末该高管 所持股份为基 数（不管在上 年是否已经解 除限售），乘以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满足董监高离 职解锁的相关 规定后解锁</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张思群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满足条件后以 上年末该高管 所持股份为基 数（不管在上</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both"/>
              <w:rPr>
                <w:sz w:val="17"/>
                <w:szCs w:val="17"/>
              </w:rPr>
            </w:pPr>
            <w:r>
              <w:rPr>
                <w:rFonts w:ascii="SimSun" w:eastAsia="SimSun" w:hAnsi="SimSun" w:cs="SimSun"/>
                <w:color w:val="000000"/>
                <w:spacing w:val="0"/>
                <w:w w:val="100"/>
                <w:position w:val="0"/>
                <w:sz w:val="17"/>
                <w:szCs w:val="17"/>
              </w:rPr>
              <w:t>年是否已经解 除限售），乘以</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张思群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限制性股票满 足解锁条件 后，按照</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40%</w:t>
            </w:r>
            <w:r>
              <w:rPr>
                <w:rFonts w:ascii="SimSun" w:eastAsia="SimSun" w:hAnsi="SimSun" w:cs="SimSun"/>
                <w:color w:val="000000"/>
                <w:spacing w:val="0"/>
                <w:w w:val="100"/>
                <w:position w:val="0"/>
                <w:sz w:val="17"/>
                <w:szCs w:val="17"/>
              </w:rPr>
              <w:t xml:space="preserve">比例 分三年解锁。 在公司担任高 管的任期内， 每年可解锁其 持有公司股票 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满足条件后以 上年末该高管 所持股份为基 数（不管在上 年是否已经解 除限售），乘以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限制性股票满 足解锁条件 后，按照</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40%</w:t>
            </w:r>
            <w:r>
              <w:rPr>
                <w:rFonts w:ascii="SimSun" w:eastAsia="SimSun" w:hAnsi="SimSun" w:cs="SimSun"/>
                <w:color w:val="000000"/>
                <w:spacing w:val="0"/>
                <w:w w:val="100"/>
                <w:position w:val="0"/>
                <w:sz w:val="17"/>
                <w:szCs w:val="17"/>
              </w:rPr>
              <w:t xml:space="preserve">比例 分三年解锁。 在公司担任高 管的任期内， 每年可解锁其 持有公司股票 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 股票首次授予 部分激励对象 及预留授予部 分激励对象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限制性股票满 足解锁条件 后，按照</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40%</w:t>
            </w:r>
            <w:r>
              <w:rPr>
                <w:rFonts w:ascii="SimSun" w:eastAsia="SimSun" w:hAnsi="SimSun" w:cs="SimSun"/>
                <w:color w:val="000000"/>
                <w:spacing w:val="0"/>
                <w:w w:val="100"/>
                <w:position w:val="0"/>
                <w:sz w:val="17"/>
                <w:szCs w:val="17"/>
              </w:rPr>
              <w:t xml:space="preserve">比例 分三年解锁。 在公司担任高 管的任期内， 每年可解锁其 持有公司股票 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2,056,047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二</w:t>
      </w:r>
      <w:bookmarkEnd w:id="462"/>
      <w:r>
        <w:rPr>
          <w:color w:val="000000"/>
          <w:spacing w:val="0"/>
          <w:w w:val="100"/>
          <w:position w:val="0"/>
          <w:sz w:val="24"/>
          <w:szCs w:val="24"/>
        </w:rPr>
        <w:t>、证券发行与上市情况</w:t>
      </w:r>
      <w:bookmarkEnd w:id="460"/>
      <w:bookmarkEnd w:id="461"/>
      <w:bookmarkEnd w:id="463"/>
    </w:p>
    <w:p>
      <w:pPr>
        <w:pStyle w:val="Style31"/>
        <w:keepNext/>
        <w:keepLines/>
        <w:widowControl w:val="0"/>
        <w:shd w:val="clear" w:color="auto" w:fill="auto"/>
        <w:tabs>
          <w:tab w:pos="368" w:val="left"/>
        </w:tabs>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w:t>
        <w:tab/>
        <w:t>报告期内证券发行（不含优先股）情况</w:t>
      </w:r>
      <w:bookmarkEnd w:id="464"/>
      <w:bookmarkEnd w:id="465"/>
      <w:bookmarkEnd w:id="46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公司股份总数及股东结构的变动、公司资产和负债结构的变动情况说明</w:t>
      </w:r>
      <w:bookmarkEnd w:id="468"/>
      <w:bookmarkEnd w:id="469"/>
      <w:bookmarkEnd w:id="47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现存的内部职工股情况</w:t>
      </w:r>
      <w:bookmarkEnd w:id="472"/>
      <w:bookmarkEnd w:id="473"/>
      <w:bookmarkEnd w:id="47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三</w:t>
      </w:r>
      <w:bookmarkEnd w:id="478"/>
      <w:r>
        <w:rPr>
          <w:color w:val="000000"/>
          <w:spacing w:val="0"/>
          <w:w w:val="100"/>
          <w:position w:val="0"/>
          <w:sz w:val="24"/>
          <w:szCs w:val="24"/>
        </w:rPr>
        <w:t>、股东和实际控制人情况</w:t>
      </w:r>
      <w:bookmarkEnd w:id="476"/>
      <w:bookmarkEnd w:id="477"/>
      <w:bookmarkEnd w:id="479"/>
    </w:p>
    <w:p>
      <w:pPr>
        <w:pStyle w:val="Style31"/>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、公司股东数量及持股情况</w:t>
      </w:r>
      <w:bookmarkEnd w:id="480"/>
      <w:bookmarkEnd w:id="481"/>
      <w:bookmarkEnd w:id="48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44,040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年度报告披露日前上_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32,763,400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深圳市宝德投 资控股有限公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19,141,478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-53,021,784.0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乌鲁木齐南博 股权投资管理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郭振忠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童凤美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833,943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股东深圳市宝德投资控股有限公司和深圳市宝德科技有限公司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最终</w:t>
            </w:r>
            <w:r>
              <w:rPr>
                <w:color w:val="000000"/>
                <w:spacing w:val="0"/>
                <w:w w:val="100"/>
                <w:position w:val="0"/>
                <w:sz w:val="18"/>
                <w:szCs w:val="18"/>
              </w:rPr>
              <w:t>）</w:t>
            </w:r>
            <w:r>
              <w:rPr>
                <w:rFonts w:ascii="SimSun" w:eastAsia="SimSun" w:hAnsi="SimSun" w:cs="SimSun"/>
                <w:color w:val="000000"/>
                <w:spacing w:val="0"/>
                <w:w w:val="100"/>
                <w:position w:val="0"/>
                <w:sz w:val="17"/>
                <w:szCs w:val="17"/>
              </w:rPr>
              <w:t>实际控制人均为李瑞 杰、张云霞夫妇。</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深圳市宝德科技有限公司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深圳市宝德投资控股有限公司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乌鲁木齐南博股权投资管理合 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972,428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972,428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郭振忠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856,845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856,845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童凤美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845,300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李华旭</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金岩</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732,600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股东深圳市宝德投资控股有限公司和深圳市宝德科技有限公司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最终</w:t>
            </w:r>
            <w:r>
              <w:rPr>
                <w:color w:val="000000"/>
                <w:spacing w:val="0"/>
                <w:w w:val="100"/>
                <w:position w:val="0"/>
                <w:sz w:val="18"/>
                <w:szCs w:val="18"/>
              </w:rPr>
              <w:t>）</w:t>
            </w:r>
            <w:r>
              <w:rPr>
                <w:rFonts w:ascii="SimSun" w:eastAsia="SimSun" w:hAnsi="SimSun" w:cs="SimSun"/>
                <w:color w:val="000000"/>
                <w:spacing w:val="0"/>
                <w:w w:val="100"/>
                <w:position w:val="0"/>
                <w:sz w:val="17"/>
                <w:szCs w:val="17"/>
              </w:rPr>
              <w:t>实际控制人均为李瑞 杰、张云霞夫妇。</w:t>
            </w:r>
          </w:p>
        </w:tc>
      </w:tr>
      <w:tr>
        <w:trPr>
          <w:trHeight w:val="37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、股东深圳市宝德科技有限公司通过普通证券账户持有</w:t>
            </w:r>
            <w:r>
              <w:rPr>
                <w:color w:val="000000"/>
                <w:spacing w:val="0"/>
                <w:w w:val="100"/>
                <w:position w:val="0"/>
                <w:sz w:val="18"/>
                <w:szCs w:val="18"/>
              </w:rPr>
              <w:t>3,000,000</w:t>
            </w:r>
            <w:r>
              <w:rPr>
                <w:rFonts w:ascii="SimSun" w:eastAsia="SimSun" w:hAnsi="SimSun" w:cs="SimSun"/>
                <w:color w:val="000000"/>
                <w:spacing w:val="0"/>
                <w:w w:val="100"/>
                <w:position w:val="0"/>
                <w:sz w:val="17"/>
                <w:szCs w:val="17"/>
              </w:rPr>
              <w:t>股，通过渤海证券股份有</w:t>
            </w:r>
          </w:p>
        </w:tc>
      </w:tr>
    </w:tbl>
    <w:p>
      <w:pPr>
        <w:spacing w:lineRule="exact" w:line="1"/>
        <w:rPr>
          <w:sz w:val="2"/>
          <w:szCs w:val="2"/>
        </w:rPr>
      </w:pPr>
      <w:r>
        <w:br w:type="page"/>
      </w:r>
    </w:p>
    <w:tbl>
      <w:tblPr>
        <w:tblOverlap w:val="never"/>
        <w:jc w:val="center"/>
        <w:tblLayout w:type="fixed"/>
      </w:tblPr>
      <w:tblGrid>
        <w:gridCol w:w="2405"/>
        <w:gridCol w:w="7181"/>
      </w:tblGrid>
      <w:tr>
        <w:trPr>
          <w:trHeight w:val="5064"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限公司客户信用交易担保证券账户持有</w:t>
            </w:r>
            <w:r>
              <w:rPr>
                <w:color w:val="000000"/>
                <w:spacing w:val="0"/>
                <w:w w:val="100"/>
                <w:position w:val="0"/>
                <w:sz w:val="18"/>
                <w:szCs w:val="18"/>
              </w:rPr>
              <w:t>29,763,400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32,763,400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35" w:val="left"/>
              </w:tabs>
              <w:bidi w:val="0"/>
              <w:spacing w:before="0" w:after="4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股东深圳市宝德投资控股有限公司通过普通证券账户持有</w:t>
            </w:r>
            <w:r>
              <w:rPr>
                <w:color w:val="000000"/>
                <w:spacing w:val="0"/>
                <w:w w:val="100"/>
                <w:position w:val="0"/>
                <w:sz w:val="18"/>
                <w:szCs w:val="18"/>
              </w:rPr>
              <w:t>6,000,000</w:t>
            </w:r>
            <w:r>
              <w:rPr>
                <w:rFonts w:ascii="SimSun" w:eastAsia="SimSun" w:hAnsi="SimSun" w:cs="SimSun"/>
                <w:color w:val="000000"/>
                <w:spacing w:val="0"/>
                <w:w w:val="100"/>
                <w:position w:val="0"/>
                <w:sz w:val="17"/>
                <w:szCs w:val="17"/>
              </w:rPr>
              <w:t>股，通过国泰君安证 券股份有限公司客户信用交易担保证券账户持有</w:t>
            </w:r>
            <w:r>
              <w:rPr>
                <w:color w:val="000000"/>
                <w:spacing w:val="0"/>
                <w:w w:val="100"/>
                <w:position w:val="0"/>
                <w:sz w:val="18"/>
                <w:szCs w:val="18"/>
              </w:rPr>
              <w:t>13,141,478</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 xml:space="preserve">19,141,478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69" w:val="left"/>
              </w:tabs>
              <w:bidi w:val="0"/>
              <w:spacing w:before="0" w:after="4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股东闫明通过普通证券账户持有</w:t>
            </w:r>
            <w:r>
              <w:rPr>
                <w:color w:val="000000"/>
                <w:spacing w:val="0"/>
                <w:w w:val="100"/>
                <w:position w:val="0"/>
                <w:sz w:val="18"/>
                <w:szCs w:val="18"/>
              </w:rPr>
              <w:t>190,000</w:t>
            </w:r>
            <w:r>
              <w:rPr>
                <w:rFonts w:ascii="SimSun" w:eastAsia="SimSun" w:hAnsi="SimSun" w:cs="SimSun"/>
                <w:color w:val="000000"/>
                <w:spacing w:val="0"/>
                <w:w w:val="100"/>
                <w:position w:val="0"/>
                <w:sz w:val="17"/>
                <w:szCs w:val="17"/>
              </w:rPr>
              <w:t>股，通过中泰证券股份有限公司客户信用交易 担保证券账户持有</w:t>
            </w:r>
            <w:r>
              <w:rPr>
                <w:color w:val="000000"/>
                <w:spacing w:val="0"/>
                <w:w w:val="100"/>
                <w:position w:val="0"/>
                <w:sz w:val="18"/>
                <w:szCs w:val="18"/>
              </w:rPr>
              <w:t>824,700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1,014,700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40" w:line="30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股东郭振忠通过普通证券账户持有</w:t>
            </w:r>
            <w:r>
              <w:rPr>
                <w:color w:val="000000"/>
                <w:spacing w:val="0"/>
                <w:w w:val="100"/>
                <w:position w:val="0"/>
                <w:sz w:val="18"/>
                <w:szCs w:val="18"/>
              </w:rPr>
              <w:t>100</w:t>
            </w:r>
            <w:r>
              <w:rPr>
                <w:rFonts w:ascii="SimSun" w:eastAsia="SimSun" w:hAnsi="SimSun" w:cs="SimSun"/>
                <w:color w:val="000000"/>
                <w:spacing w:val="0"/>
                <w:w w:val="100"/>
                <w:position w:val="0"/>
                <w:sz w:val="17"/>
                <w:szCs w:val="17"/>
              </w:rPr>
              <w:t>股，通过粤开证券股份有限公司客户信用交易担 保证券账户持有</w:t>
            </w:r>
            <w:r>
              <w:rPr>
                <w:color w:val="000000"/>
                <w:spacing w:val="0"/>
                <w:w w:val="100"/>
                <w:position w:val="0"/>
                <w:sz w:val="18"/>
                <w:szCs w:val="18"/>
              </w:rPr>
              <w:t>856,745</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856,845</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69" w:val="left"/>
              </w:tabs>
              <w:bidi w:val="0"/>
              <w:spacing w:before="0" w:after="4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股东童凤美通过普通证券账户持有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股，通过国信证券股份有限公司客户信用交易担保 证券账户持有</w:t>
            </w:r>
            <w:r>
              <w:rPr>
                <w:color w:val="000000"/>
                <w:spacing w:val="0"/>
                <w:w w:val="100"/>
                <w:position w:val="0"/>
                <w:sz w:val="18"/>
                <w:szCs w:val="18"/>
              </w:rPr>
              <w:t>845,300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845,300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40" w:line="30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股东李华旭通过普通证券账户持有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股，通过中信建投证券股份有限公司客户信用交易 担保证券账户持有</w:t>
            </w:r>
            <w:r>
              <w:rPr>
                <w:color w:val="000000"/>
                <w:spacing w:val="0"/>
                <w:w w:val="100"/>
                <w:position w:val="0"/>
                <w:sz w:val="18"/>
                <w:szCs w:val="18"/>
              </w:rPr>
              <w:t>800,000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800,000.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40" w:line="312"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股东李梅通过普通证券账户持有</w:t>
            </w:r>
            <w:r>
              <w:rPr>
                <w:color w:val="000000"/>
                <w:spacing w:val="0"/>
                <w:w w:val="100"/>
                <w:position w:val="0"/>
                <w:sz w:val="18"/>
                <w:szCs w:val="18"/>
              </w:rPr>
              <w:t>205,800</w:t>
            </w:r>
            <w:r>
              <w:rPr>
                <w:rFonts w:ascii="SimSun" w:eastAsia="SimSun" w:hAnsi="SimSun" w:cs="SimSun"/>
                <w:color w:val="000000"/>
                <w:spacing w:val="0"/>
                <w:w w:val="100"/>
                <w:position w:val="0"/>
                <w:sz w:val="17"/>
                <w:szCs w:val="17"/>
              </w:rPr>
              <w:t>股，通过光大证券股份有限公司客户信用交易 担保证券账户持有</w:t>
            </w:r>
            <w:r>
              <w:rPr>
                <w:color w:val="000000"/>
                <w:spacing w:val="0"/>
                <w:w w:val="100"/>
                <w:position w:val="0"/>
                <w:sz w:val="18"/>
                <w:szCs w:val="18"/>
              </w:rPr>
              <w:t>593,200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799,000</w:t>
            </w:r>
            <w:r>
              <w:rPr>
                <w:rFonts w:ascii="SimSun" w:eastAsia="SimSun" w:hAnsi="SimSun" w:cs="SimSun"/>
                <w:color w:val="000000"/>
                <w:spacing w:val="0"/>
                <w:w w:val="100"/>
                <w:position w:val="0"/>
                <w:sz w:val="17"/>
                <w:szCs w:val="17"/>
              </w:rPr>
              <w:t>股。</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、公司控股股东情况</w:t>
      </w:r>
      <w:bookmarkEnd w:id="484"/>
      <w:bookmarkEnd w:id="485"/>
      <w:bookmarkEnd w:id="48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27937209-7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计算机软、硬件及接口设备， 计算机配件的开发、生产、 销售自产产品；进出口业务； 房屋租赁及物业服务。节能 技术开发服务；节能技术谘 询、交流服务；节能技术转 让服务；能源技术谘询服务； 能源技术研究、技术开发服 务；能源管理服务；售电业 务；金属结构制造；移动通 信及终端设备制造；其他电 子设备制造；其他专业技术 服务业中的为半导体、平板 显示、光伏电池生产提供技 术服务。（以上项目不涉及外 商投资淮入特别管理措施）。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深圳市宝德投资控股有限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77270248-3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投资兴办实业（具体项目另</w:t>
            </w:r>
          </w:p>
        </w:tc>
      </w:tr>
    </w:tbl>
    <w:p>
      <w:pPr>
        <w:spacing w:lineRule="exact" w:line="1"/>
        <w:rPr>
          <w:sz w:val="2"/>
          <w:szCs w:val="2"/>
        </w:rPr>
      </w:pPr>
      <w:r>
        <w:br w:type="page"/>
      </w:r>
    </w:p>
    <w:tbl>
      <w:tblPr>
        <w:tblOverlap w:val="never"/>
        <w:jc w:val="center"/>
        <w:tblLayout w:type="fixed"/>
      </w:tblPr>
      <w:tblGrid>
        <w:gridCol w:w="2208"/>
        <w:gridCol w:w="1790"/>
        <w:gridCol w:w="1594"/>
        <w:gridCol w:w="1752"/>
        <w:gridCol w:w="2242"/>
      </w:tblGrid>
      <w:tr>
        <w:trPr>
          <w:trHeight w:val="630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行申报）；计算机软硬件系统 开发、电子通讯产品开发设 计、计算机网络系统工程的 设计、计算机及网络通讯技 术的咨询、投资管理顾问、 信息咨询（以上不含限制项 目）；电子产品、计算机软 硬件及外围设备、金银制品 的购销，其他国内贸易（以 上不含专营、专控、专卖商 品）；经营进出口业务（法律、 行政法规、国务院决定禁止 的项目除外，限制的项目须 取得许可后方可经营）；投资 天然气加气站（具体项目另 行申报）；燃料油、润滑油、 化工产品的销售（不含危险 化学品），天燃气的销售（由 分支机构经营，执照另行办 理）。</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、公司实际控制人及其一致行动人</w:t>
      </w:r>
      <w:bookmarkEnd w:id="488"/>
      <w:bookmarkEnd w:id="489"/>
      <w:bookmarkEnd w:id="49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1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李瑞杰先生 公司董事长、总经理中国国籍，</w:t>
            </w:r>
            <w:r>
              <w:rPr>
                <w:color w:val="000000"/>
                <w:spacing w:val="0"/>
                <w:w w:val="100"/>
                <w:position w:val="0"/>
                <w:sz w:val="18"/>
                <w:szCs w:val="18"/>
              </w:rPr>
              <w:t>54</w:t>
            </w:r>
            <w:r>
              <w:rPr>
                <w:rFonts w:ascii="SimSun" w:eastAsia="SimSun" w:hAnsi="SimSun" w:cs="SimSun"/>
                <w:color w:val="000000"/>
                <w:spacing w:val="0"/>
                <w:w w:val="100"/>
                <w:position w:val="0"/>
                <w:sz w:val="17"/>
                <w:szCs w:val="17"/>
              </w:rPr>
              <w:t>岁，于</w:t>
            </w:r>
            <w:r>
              <w:rPr>
                <w:color w:val="000000"/>
                <w:spacing w:val="0"/>
                <w:w w:val="100"/>
                <w:position w:val="0"/>
                <w:sz w:val="18"/>
                <w:szCs w:val="18"/>
              </w:rPr>
              <w:t>1989</w:t>
            </w:r>
            <w:r>
              <w:rPr>
                <w:rFonts w:ascii="SimSun" w:eastAsia="SimSun" w:hAnsi="SimSun" w:cs="SimSun"/>
                <w:color w:val="000000"/>
                <w:spacing w:val="0"/>
                <w:w w:val="100"/>
                <w:position w:val="0"/>
                <w:sz w:val="17"/>
                <w:szCs w:val="17"/>
              </w:rPr>
              <w:t>年毕业于南开大学，获经济学 与电子学双学士学位；</w:t>
            </w:r>
            <w:r>
              <w:rPr>
                <w:color w:val="000000"/>
                <w:spacing w:val="0"/>
                <w:w w:val="100"/>
                <w:position w:val="0"/>
                <w:sz w:val="18"/>
                <w:szCs w:val="18"/>
              </w:rPr>
              <w:t>2013</w:t>
            </w:r>
            <w:r>
              <w:rPr>
                <w:rFonts w:ascii="SimSun" w:eastAsia="SimSun" w:hAnsi="SimSun" w:cs="SimSun"/>
                <w:color w:val="000000"/>
                <w:spacing w:val="0"/>
                <w:w w:val="100"/>
                <w:position w:val="0"/>
                <w:sz w:val="17"/>
                <w:szCs w:val="17"/>
              </w:rPr>
              <w:t>年获长江商学院硕士学位；现任深圳宝德投资控股集团董事长、 宝德科技集团董事会副主席、中青宝互动网络股份有限公司董事长、国家工信部中国云计算 研究中心技术专家、中国计算机协会云计算委员会副主任委员、中国致公党第十五届中央专 委会委员、中国致公党广东省省委常委、深圳市政协常委、深圳市总商会（工商联）副主席、 深圳市市委常委、深圳市大数据产业促进会会长、深圳市总商会潮汕商畲名誉会长。张云霞 女士公司董事中国国籍，</w:t>
            </w:r>
            <w:r>
              <w:rPr>
                <w:color w:val="000000"/>
                <w:spacing w:val="0"/>
                <w:w w:val="100"/>
                <w:position w:val="0"/>
                <w:sz w:val="18"/>
                <w:szCs w:val="18"/>
              </w:rPr>
              <w:t>56</w:t>
            </w:r>
            <w:r>
              <w:rPr>
                <w:rFonts w:ascii="SimSun" w:eastAsia="SimSun" w:hAnsi="SimSun" w:cs="SimSun"/>
                <w:color w:val="000000"/>
                <w:spacing w:val="0"/>
                <w:w w:val="100"/>
                <w:position w:val="0"/>
                <w:sz w:val="17"/>
                <w:szCs w:val="17"/>
              </w:rPr>
              <w:t>岁，于</w:t>
            </w:r>
            <w:r>
              <w:rPr>
                <w:color w:val="000000"/>
                <w:spacing w:val="0"/>
                <w:w w:val="100"/>
                <w:position w:val="0"/>
                <w:sz w:val="18"/>
                <w:szCs w:val="18"/>
              </w:rPr>
              <w:t>1988</w:t>
            </w:r>
            <w:r>
              <w:rPr>
                <w:rFonts w:ascii="SimSun" w:eastAsia="SimSun" w:hAnsi="SimSun" w:cs="SimSun"/>
                <w:color w:val="000000"/>
                <w:spacing w:val="0"/>
                <w:w w:val="100"/>
                <w:position w:val="0"/>
                <w:sz w:val="17"/>
                <w:szCs w:val="17"/>
              </w:rPr>
              <w:t>年毕业于南开大学计算机软件工程系，</w:t>
            </w:r>
            <w:r>
              <w:rPr>
                <w:color w:val="000000"/>
                <w:spacing w:val="0"/>
                <w:w w:val="100"/>
                <w:position w:val="0"/>
                <w:sz w:val="18"/>
                <w:szCs w:val="18"/>
              </w:rPr>
              <w:t>1990</w:t>
            </w:r>
            <w:r>
              <w:rPr>
                <w:rFonts w:ascii="SimSun" w:eastAsia="SimSun" w:hAnsi="SimSun" w:cs="SimSun"/>
                <w:color w:val="000000"/>
                <w:spacing w:val="0"/>
                <w:w w:val="100"/>
                <w:position w:val="0"/>
                <w:sz w:val="17"/>
                <w:szCs w:val="17"/>
              </w:rPr>
              <w:t>年获 天津南开大学旅游业管理硕士学位。曾任职于深圳万通软件工程有限公司，</w:t>
            </w:r>
            <w:r>
              <w:rPr>
                <w:color w:val="000000"/>
                <w:spacing w:val="0"/>
                <w:w w:val="100"/>
                <w:position w:val="0"/>
                <w:sz w:val="18"/>
                <w:szCs w:val="18"/>
              </w:rPr>
              <w:t>1991</w:t>
            </w:r>
            <w:r>
              <w:rPr>
                <w:rFonts w:ascii="SimSun" w:eastAsia="SimSun" w:hAnsi="SimSun" w:cs="SimSun"/>
                <w:color w:val="000000"/>
                <w:spacing w:val="0"/>
                <w:w w:val="100"/>
                <w:position w:val="0"/>
                <w:sz w:val="17"/>
                <w:szCs w:val="17"/>
              </w:rPr>
              <w:t>年与李瑞 杰共同创办深圳市乐和电脑有限公司，</w:t>
            </w:r>
            <w:r>
              <w:rPr>
                <w:color w:val="000000"/>
                <w:spacing w:val="0"/>
                <w:w w:val="100"/>
                <w:position w:val="0"/>
                <w:sz w:val="18"/>
                <w:szCs w:val="18"/>
              </w:rPr>
              <w:t>1997</w:t>
            </w:r>
            <w:r>
              <w:rPr>
                <w:rFonts w:ascii="SimSun" w:eastAsia="SimSun" w:hAnsi="SimSun" w:cs="SimSun"/>
                <w:color w:val="000000"/>
                <w:spacing w:val="0"/>
                <w:w w:val="100"/>
                <w:position w:val="0"/>
                <w:sz w:val="17"/>
                <w:szCs w:val="17"/>
              </w:rPr>
              <w:t>年与李瑞杰先生共同创办深圳市宝德科技股份 有限公司。</w:t>
            </w:r>
            <w:r>
              <w:rPr>
                <w:color w:val="000000"/>
                <w:spacing w:val="0"/>
                <w:w w:val="100"/>
                <w:position w:val="0"/>
                <w:sz w:val="18"/>
                <w:szCs w:val="18"/>
              </w:rPr>
              <w:t>2008</w:t>
            </w:r>
            <w:r>
              <w:rPr>
                <w:rFonts w:ascii="SimSun" w:eastAsia="SimSun" w:hAnsi="SimSun" w:cs="SimSun"/>
                <w:color w:val="000000"/>
                <w:spacing w:val="0"/>
                <w:w w:val="100"/>
                <w:position w:val="0"/>
                <w:sz w:val="17"/>
                <w:szCs w:val="17"/>
              </w:rPr>
              <w:t>年至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月担任本公司总经理，现任本公司董事，深圳市宝德投资控</w:t>
            </w:r>
          </w:p>
        </w:tc>
      </w:tr>
    </w:tbl>
    <w:p>
      <w:pPr>
        <w:spacing w:lineRule="exact" w:line="1"/>
        <w:rPr>
          <w:sz w:val="2"/>
          <w:szCs w:val="2"/>
        </w:rPr>
      </w:pPr>
      <w:r>
        <w:br w:type="page"/>
      </w:r>
    </w:p>
    <w:tbl>
      <w:tblPr>
        <w:tblOverlap w:val="never"/>
        <w:jc w:val="center"/>
        <w:tblLayout w:type="fixed"/>
      </w:tblPr>
      <w:tblGrid>
        <w:gridCol w:w="2400"/>
        <w:gridCol w:w="71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股公司副董事长，深圳市宝德科技有限公司董事长，深圳市宝德计算机系统有限公司董事。 同时任深圳市女企业家商会执行会长，深圳市软件行业协会副会长。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深圳市宝德科技有限公司</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4199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41998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2"/>
      <w:bookmarkEnd w:id="493"/>
      <w:bookmarkEnd w:id="49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w:t>
        <w:tab/>
        <w:t>控股股东、实际控制人、重组方及其他承诺主体股份限制减持情况</w:t>
      </w:r>
      <w:bookmarkEnd w:id="496"/>
      <w:bookmarkEnd w:id="497"/>
      <w:bookmarkEnd w:id="499"/>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127" w:bottom="1455"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00" w:name="bookmark500"/>
                            <w:bookmarkStart w:id="501" w:name="bookmark501"/>
                            <w:bookmarkStart w:id="502" w:name="bookmark502"/>
                            <w:r>
                              <w:rPr>
                                <w:color w:val="000000"/>
                                <w:spacing w:val="0"/>
                                <w:w w:val="100"/>
                                <w:position w:val="0"/>
                              </w:rPr>
                              <w:t>第七节优先股相关情况</w:t>
                            </w:r>
                            <w:bookmarkEnd w:id="500"/>
                            <w:bookmarkEnd w:id="501"/>
                            <w:bookmarkEnd w:id="502"/>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00" w:name="bookmark500"/>
                      <w:bookmarkStart w:id="501" w:name="bookmark501"/>
                      <w:bookmarkStart w:id="502" w:name="bookmark502"/>
                      <w:r>
                        <w:rPr>
                          <w:color w:val="000000"/>
                          <w:spacing w:val="0"/>
                          <w:w w:val="100"/>
                          <w:position w:val="0"/>
                        </w:rPr>
                        <w:t>第七节优先股相关情况</w:t>
                      </w:r>
                      <w:bookmarkEnd w:id="500"/>
                      <w:bookmarkEnd w:id="501"/>
                      <w:bookmarkEnd w:id="502"/>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20" w:after="560" w:line="240" w:lineRule="auto"/>
        <w:ind w:left="0" w:right="0" w:firstLine="0"/>
        <w:jc w:val="center"/>
      </w:pPr>
      <w:bookmarkStart w:id="503" w:name="bookmark503"/>
      <w:bookmarkStart w:id="504" w:name="bookmark504"/>
      <w:bookmarkStart w:id="505" w:name="bookmark505"/>
      <w:r>
        <w:rPr>
          <w:color w:val="000000"/>
          <w:spacing w:val="0"/>
          <w:w w:val="100"/>
          <w:position w:val="0"/>
        </w:rPr>
        <w:t>第八节可转换公司债券相关情况</w:t>
      </w:r>
      <w:bookmarkEnd w:id="503"/>
      <w:bookmarkEnd w:id="504"/>
      <w:bookmarkEnd w:id="50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506" w:name="bookmark506"/>
      <w:bookmarkStart w:id="507" w:name="bookmark507"/>
      <w:bookmarkStart w:id="508" w:name="bookmark508"/>
      <w:r>
        <w:rPr>
          <w:color w:val="000000"/>
          <w:spacing w:val="0"/>
          <w:w w:val="100"/>
          <w:position w:val="0"/>
        </w:rPr>
        <w:t>第九节董事、监事、高级管理人员和员工情况</w:t>
      </w:r>
      <w:bookmarkEnd w:id="506"/>
      <w:bookmarkEnd w:id="507"/>
      <w:bookmarkEnd w:id="508"/>
    </w:p>
    <w:p>
      <w:pPr>
        <w:pStyle w:val="Style22"/>
        <w:keepNext/>
        <w:keepLines/>
        <w:widowControl w:val="0"/>
        <w:shd w:val="clear" w:color="auto" w:fill="auto"/>
        <w:bidi w:val="0"/>
        <w:spacing w:before="0" w:after="32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一</w:t>
      </w:r>
      <w:bookmarkEnd w:id="511"/>
      <w:r>
        <w:rPr>
          <w:color w:val="000000"/>
          <w:spacing w:val="0"/>
          <w:w w:val="100"/>
          <w:position w:val="0"/>
          <w:sz w:val="24"/>
          <w:szCs w:val="24"/>
        </w:rPr>
        <w:t>、董事、监事和高级管理人员持股变动</w:t>
      </w:r>
      <w:bookmarkEnd w:id="509"/>
      <w:bookmarkEnd w:id="510"/>
      <w:bookmarkEnd w:id="51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833,943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6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副总经 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李逸伦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黄杨梅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林德志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 理、董事</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张思群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高国舟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 理、董事</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会秘书</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1,163,943</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二</w:t>
      </w:r>
      <w:bookmarkEnd w:id="515"/>
      <w:r>
        <w:rPr>
          <w:color w:val="000000"/>
          <w:spacing w:val="0"/>
          <w:w w:val="100"/>
          <w:position w:val="0"/>
          <w:sz w:val="24"/>
          <w:szCs w:val="24"/>
        </w:rPr>
        <w:t>、公司董事、监事、高级管理人员变动情况</w:t>
      </w:r>
      <w:bookmarkEnd w:id="513"/>
      <w:bookmarkEnd w:id="514"/>
      <w:bookmarkEnd w:id="51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李逸伦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高国舟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副总经理、董事 会秘书（代行）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黄杨梅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林德志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r>
    </w:tbl>
    <w:p>
      <w:pPr>
        <w:pStyle w:val="Style27"/>
        <w:keepNext w:val="0"/>
        <w:keepLines w:val="0"/>
        <w:widowControl w:val="0"/>
        <w:shd w:val="clear" w:color="auto" w:fill="auto"/>
        <w:bidi w:val="0"/>
        <w:spacing w:before="0" w:after="0" w:line="240" w:lineRule="auto"/>
        <w:ind w:left="0" w:right="0" w:firstLine="0"/>
        <w:jc w:val="left"/>
        <w:rPr>
          <w:sz w:val="24"/>
          <w:szCs w:val="24"/>
        </w:rPr>
      </w:pPr>
      <w:bookmarkStart w:id="517" w:name="bookmark517"/>
      <w:r>
        <w:rPr>
          <w:b/>
          <w:bCs/>
          <w:color w:val="000000"/>
          <w:spacing w:val="0"/>
          <w:w w:val="100"/>
          <w:position w:val="0"/>
          <w:sz w:val="24"/>
          <w:szCs w:val="24"/>
        </w:rPr>
        <w:t>三、任职情况</w:t>
      </w:r>
      <w:bookmarkEnd w:id="517"/>
    </w:p>
    <w:p>
      <w:pPr>
        <w:widowControl w:val="0"/>
        <w:spacing w:after="3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49"/>
        <w:keepNext w:val="0"/>
        <w:keepLines w:val="0"/>
        <w:widowControl w:val="0"/>
        <w:shd w:val="clear" w:color="auto" w:fill="auto"/>
        <w:bidi w:val="0"/>
        <w:spacing w:before="0" w:after="0" w:line="298" w:lineRule="auto"/>
        <w:ind w:left="0" w:right="0" w:firstLine="380"/>
        <w:jc w:val="both"/>
      </w:pPr>
      <w:bookmarkStart w:id="518" w:name="bookmark518"/>
      <w:r>
        <w:rPr>
          <w:rFonts w:ascii="Times New Roman" w:eastAsia="Times New Roman" w:hAnsi="Times New Roman" w:cs="Times New Roman"/>
          <w:color w:val="000000"/>
          <w:spacing w:val="0"/>
          <w:w w:val="100"/>
          <w:position w:val="0"/>
        </w:rPr>
        <w:t>1</w:t>
      </w:r>
      <w:bookmarkEnd w:id="518"/>
      <w:r>
        <w:rPr>
          <w:color w:val="000000"/>
          <w:spacing w:val="0"/>
          <w:w w:val="100"/>
          <w:position w:val="0"/>
        </w:rPr>
        <w:t>、公司现任董事会成员</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名，均由股东大会选举产生，每届任 期</w:t>
      </w:r>
      <w:r>
        <w:rPr>
          <w:rFonts w:ascii="Times New Roman" w:eastAsia="Times New Roman" w:hAnsi="Times New Roman" w:cs="Times New Roman"/>
          <w:color w:val="000000"/>
          <w:spacing w:val="0"/>
          <w:w w:val="100"/>
          <w:position w:val="0"/>
        </w:rPr>
        <w:t>3</w:t>
      </w:r>
      <w:r>
        <w:rPr>
          <w:color w:val="000000"/>
          <w:spacing w:val="0"/>
          <w:w w:val="100"/>
          <w:position w:val="0"/>
        </w:rPr>
        <w:t>年，第五届董事会由李瑞杰、李逸伦、郑飞、李军和梅月欣组成，任期自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月。前述人员的简介如下：</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李瑞杰先生董事长</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月出生，中国国籍，毕业于南开大学，获经济学与电子学双学士学位；</w:t>
      </w:r>
      <w:r>
        <w:rPr>
          <w:rFonts w:ascii="Times New Roman" w:eastAsia="Times New Roman" w:hAnsi="Times New Roman" w:cs="Times New Roman"/>
          <w:color w:val="000000"/>
          <w:spacing w:val="0"/>
          <w:w w:val="100"/>
          <w:position w:val="0"/>
        </w:rPr>
        <w:t>2013</w:t>
      </w:r>
      <w:r>
        <w:rPr>
          <w:color w:val="000000"/>
          <w:spacing w:val="0"/>
          <w:w w:val="100"/>
          <w:position w:val="0"/>
        </w:rPr>
        <w:t>年获 长江商学院硕士学位；现任深圳宝德投资控股集团董事长、宝德科技集团董事会副主席、中青宝 互动网络股份有限公司董事长、国家工信部中国云计算研究中心技术专家、中国计算机协会云计 算委员会副主任委员、中国致公党第十五届中央专委会委员、中国致公党广东省省委常委、深圳 市政协常委、深圳市总商会（工商联）副主席、深圳市市委常委、深圳市大数据产业促进会会长、 深圳市总商会潮汕商畲名誉会长。</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李逸伦先生董事、总经理</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月出生，中国国籍，毕业于加州大学欧文分校工商管理专业，。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月担任公司首席运营官；</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月任深圳市苏摩科技有限公司董事长；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 圳市米斗科技有限公司执行董事及总经理；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月至今任深圳市比格互动科技有限公司执行 董事及总经理；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月至今任深圳市力透科技有限公司执行董事及总经理；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月担任公 司总经理。</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郑飞先生独立董事</w:t>
      </w:r>
    </w:p>
    <w:p>
      <w:pPr>
        <w:pStyle w:val="Style4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月出生，中国国籍，计算机应用专业，硕士研究生学历，无境外永久居留权。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月任深圳市黎明网络技术有限公司软件工程师；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月先后任深圳市远望城多媒体电 </w:t>
      </w:r>
      <w:r>
        <w:rPr>
          <w:color w:val="000000"/>
          <w:spacing w:val="0"/>
          <w:w w:val="100"/>
          <w:position w:val="0"/>
        </w:rPr>
        <w:t>脑有限公司软件部经理、开发部经理、市场总监，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月至今先后任深圳市软件行业协会副 秘书长、秘书长。</w:t>
      </w:r>
    </w:p>
    <w:p>
      <w:pPr>
        <w:pStyle w:val="Style4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李军先生独立董事</w:t>
      </w:r>
    </w:p>
    <w:p>
      <w:pPr>
        <w:pStyle w:val="Style4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w:t>
      </w:r>
      <w:r>
        <w:rPr>
          <w:rFonts w:ascii="Times New Roman" w:eastAsia="Times New Roman" w:hAnsi="Times New Roman" w:cs="Times New Roman"/>
          <w:color w:val="000000"/>
          <w:spacing w:val="0"/>
          <w:w w:val="100"/>
          <w:position w:val="0"/>
        </w:rPr>
        <w:t>1988</w:t>
      </w:r>
      <w:r>
        <w:rPr>
          <w:color w:val="000000"/>
          <w:spacing w:val="0"/>
          <w:w w:val="100"/>
          <w:position w:val="0"/>
        </w:rPr>
        <w:t>年毕业于中国南开大学法律系，毕业后从事法院审判工 作，具有多年案件审判工作经验。主要从事经济合同、房地产与建筑工程、公司法律顾问等非诉 讼、诉讼、仲裁法律事务，有较扎实的法学理论功底及丰富的实践办案经验，长期担任深圳电视 台</w:t>
      </w:r>
      <w:r>
        <w:rPr>
          <w:rFonts w:ascii="Times New Roman" w:eastAsia="Times New Roman" w:hAnsi="Times New Roman" w:cs="Times New Roman"/>
          <w:color w:val="000000"/>
          <w:spacing w:val="0"/>
          <w:w w:val="100"/>
          <w:position w:val="0"/>
        </w:rPr>
        <w:t>“</w:t>
      </w:r>
      <w:r>
        <w:rPr>
          <w:color w:val="000000"/>
          <w:spacing w:val="0"/>
          <w:w w:val="100"/>
          <w:position w:val="0"/>
        </w:rPr>
        <w:t>第一现场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非常财经观察</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法观天下</w:t>
      </w:r>
      <w:r>
        <w:rPr>
          <w:rFonts w:ascii="Times New Roman" w:eastAsia="Times New Roman" w:hAnsi="Times New Roman" w:cs="Times New Roman"/>
          <w:color w:val="000000"/>
          <w:spacing w:val="0"/>
          <w:w w:val="100"/>
          <w:position w:val="0"/>
        </w:rPr>
        <w:t>”</w:t>
      </w:r>
      <w:r>
        <w:rPr>
          <w:color w:val="000000"/>
          <w:spacing w:val="0"/>
          <w:w w:val="100"/>
          <w:position w:val="0"/>
        </w:rPr>
        <w:t>等栏目的特邀评论员。现任北京海润天睿（深圳） 律师事务所律师、南开大学深圳研究院和西安交通大学深圳研究院客座教授。</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梅月欣女士独立董事</w:t>
      </w:r>
    </w:p>
    <w:p>
      <w:pPr>
        <w:pStyle w:val="Style49"/>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女，</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月出生，中国国籍，财务会计专业，高级会计师，注册会计师。曾任杭州电子工 业学院讲师，银行间市场交易商协会非金融企业债务融资工具市场自律处分专家，深圳市振业（集 团）股份有限公司独立董事，深圳信隆实业股份有限公司独立董事，深圳市维业装饰集团股份有 限公司独立董事，深圳市通产丽星股份有限公司独立董事，瑞华会计师事务所（特殊普通合伙） 合伙人、副主任会计师、风险控制委员会委员、内核委员会委员。现任深圳市今天国际物流技术 股份有限公司独立董事、深圳市农产品股份有限公司独立董事、深圳市芭田生态工程股份有限公 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月起担任公司独立董事。</w:t>
      </w:r>
    </w:p>
    <w:p>
      <w:pPr>
        <w:pStyle w:val="Style49"/>
        <w:keepNext w:val="0"/>
        <w:keepLines w:val="0"/>
        <w:widowControl w:val="0"/>
        <w:shd w:val="clear" w:color="auto" w:fill="auto"/>
        <w:tabs>
          <w:tab w:pos="771" w:val="left"/>
        </w:tabs>
        <w:bidi w:val="0"/>
        <w:spacing w:before="0" w:after="0" w:line="298" w:lineRule="auto"/>
        <w:ind w:left="0" w:right="0" w:firstLine="380"/>
        <w:jc w:val="both"/>
      </w:pPr>
      <w:bookmarkStart w:id="519" w:name="bookmark519"/>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公司现任监事会成员</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名监事组成，监事每届任期</w:t>
      </w:r>
      <w:r>
        <w:rPr>
          <w:rFonts w:ascii="Times New Roman" w:eastAsia="Times New Roman" w:hAnsi="Times New Roman" w:cs="Times New Roman"/>
          <w:color w:val="000000"/>
          <w:spacing w:val="0"/>
          <w:w w:val="100"/>
          <w:position w:val="0"/>
        </w:rPr>
        <w:t>3</w:t>
      </w:r>
      <w:r>
        <w:rPr>
          <w:color w:val="000000"/>
          <w:spacing w:val="0"/>
          <w:w w:val="100"/>
          <w:position w:val="0"/>
        </w:rPr>
        <w:t>年。现任监事会由安阳、黄杨梅和林德志组成， 其中林德志为职工代表监事，安阳、黄杨梅任期为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月，林德志任期为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月。前述人员的简介如下：</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安阳先生监事会主席</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35</w:t>
      </w:r>
      <w:r>
        <w:rPr>
          <w:color w:val="000000"/>
          <w:spacing w:val="0"/>
          <w:w w:val="100"/>
          <w:position w:val="0"/>
        </w:rPr>
        <w:t>岁，中国国籍，无境外居留权，本科学历，毕业于深圳大学。</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在深圳中青宝互动网络股份有限公司任职用户中心经理。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月至今，现任本公司运营经理。</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林德志先生监事</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男，</w:t>
      </w:r>
      <w:r>
        <w:rPr>
          <w:rFonts w:ascii="Times New Roman" w:eastAsia="Times New Roman" w:hAnsi="Times New Roman" w:cs="Times New Roman"/>
          <w:color w:val="000000"/>
          <w:spacing w:val="0"/>
          <w:w w:val="100"/>
          <w:position w:val="0"/>
        </w:rPr>
        <w:t>1990</w:t>
      </w:r>
      <w:r>
        <w:rPr>
          <w:color w:val="000000"/>
          <w:spacing w:val="0"/>
          <w:w w:val="100"/>
          <w:position w:val="0"/>
        </w:rPr>
        <w:t xml:space="preserve">年出生，中国国籍，无境外居留权。曾任深圳创梦天地科技有限公司高级运营专员，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月入职本公司，现任公司运营经理。</w:t>
      </w:r>
    </w:p>
    <w:p>
      <w:pPr>
        <w:pStyle w:val="Style4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黄杨梅女士监事</w:t>
      </w:r>
    </w:p>
    <w:p>
      <w:pPr>
        <w:pStyle w:val="Style49"/>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女，</w:t>
      </w:r>
      <w:r>
        <w:rPr>
          <w:rFonts w:ascii="Times New Roman" w:eastAsia="Times New Roman" w:hAnsi="Times New Roman" w:cs="Times New Roman"/>
          <w:color w:val="000000"/>
          <w:spacing w:val="0"/>
          <w:w w:val="100"/>
          <w:position w:val="0"/>
        </w:rPr>
        <w:t>38</w:t>
      </w:r>
      <w:r>
        <w:rPr>
          <w:color w:val="000000"/>
          <w:spacing w:val="0"/>
          <w:w w:val="100"/>
          <w:position w:val="0"/>
        </w:rPr>
        <w:t>岁，中国国籍，无境外居留权，本科学历，毕业于九江学院。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在顺丰控股股份有限公司任职核算会计。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月入职本公司，现任财务会计。</w:t>
      </w:r>
    </w:p>
    <w:p>
      <w:pPr>
        <w:pStyle w:val="Style49"/>
        <w:keepNext w:val="0"/>
        <w:keepLines w:val="0"/>
        <w:widowControl w:val="0"/>
        <w:shd w:val="clear" w:color="auto" w:fill="auto"/>
        <w:tabs>
          <w:tab w:pos="771" w:val="left"/>
        </w:tabs>
        <w:bidi w:val="0"/>
        <w:spacing w:before="0" w:after="0" w:line="298" w:lineRule="auto"/>
        <w:ind w:left="0" w:right="0" w:firstLine="380"/>
        <w:jc w:val="left"/>
      </w:pPr>
      <w:bookmarkStart w:id="520" w:name="bookmark520"/>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高级管理人员</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公司高级管理人员包括总经理、副总经理、财务总监和董事会秘书。本届高管人员任期自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月。公司各高级管理人员简介如下：</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李逸伦先生公司董事、总经理简介详见本节前述董事会成员介绍的内容。</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高国舟先生公司副总经理、董事会秘书</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男，中国国籍，</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月出生，无境外永久居留权，中山大学工商管理硕士，中国注册会 计师，保荐代表人。现任深圳中青宝互动网络股份有限公司副总经理，曾任华创证券有限责任公 司投资银行一部业务董事、东海证券股份有限公司投资银行部高级经理、广东广业投资集团有限 公司下属企业财务负责人、毕马威华振会所审计师。</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张思群先生公司财务总监</w:t>
      </w:r>
    </w:p>
    <w:p>
      <w:pPr>
        <w:pStyle w:val="Style4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中国国籍，</w:t>
      </w:r>
      <w:r>
        <w:rPr>
          <w:rFonts w:ascii="Times New Roman" w:eastAsia="Times New Roman" w:hAnsi="Times New Roman" w:cs="Times New Roman"/>
          <w:color w:val="000000"/>
          <w:spacing w:val="0"/>
          <w:w w:val="100"/>
          <w:position w:val="0"/>
        </w:rPr>
        <w:t>47</w:t>
      </w:r>
      <w:r>
        <w:rPr>
          <w:color w:val="000000"/>
          <w:spacing w:val="0"/>
          <w:w w:val="100"/>
          <w:position w:val="0"/>
        </w:rPr>
        <w:t>岁，无境外永久居留权，取得会计学士学位和会计硕士学位。毕业后曾任华为 技术有限公司财务经理、正邦科技财务副总监和海格通信投资总监等，拥有多家上市公司财务高 管任职经历。</w:t>
      </w:r>
      <w:r>
        <w:br w:type="page"/>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董事会副主 席、非执行董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天津北方数码港有限公司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2058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深圳市潮商小额贷款有限公司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2030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深圳市宝德计算机系统有限公司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深圳市深商控股集团股份有限公司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2061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揭阳市宝德电脑数码广场有限公司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2057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深圳市正前方智金科技有限公司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宝德滨海科技（天津）有限公司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2057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深圳市利得链科技有限公司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广西数广宝德信息科技有限公司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深圳市创新起点科技有限公司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霍尔果斯宝德创业投资有限公司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宜昌市鹏德资产管理有限公司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湖南宝德自强计算机有限公司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深圳市正前方智金科技有限公司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315"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四</w:t>
      </w:r>
      <w:bookmarkEnd w:id="523"/>
      <w:r>
        <w:rPr>
          <w:color w:val="000000"/>
          <w:spacing w:val="0"/>
          <w:w w:val="100"/>
          <w:position w:val="0"/>
          <w:sz w:val="24"/>
          <w:szCs w:val="24"/>
        </w:rPr>
        <w:t>、董事、监事、高级管理人员报酬情况</w:t>
      </w:r>
      <w:bookmarkEnd w:id="521"/>
      <w:bookmarkEnd w:id="522"/>
      <w:bookmarkEnd w:id="524"/>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49"/>
        <w:keepNext w:val="0"/>
        <w:keepLines w:val="0"/>
        <w:widowControl w:val="0"/>
        <w:shd w:val="clear" w:color="auto" w:fill="auto"/>
        <w:bidi w:val="0"/>
        <w:spacing w:before="0" w:after="440" w:line="315" w:lineRule="exact"/>
        <w:ind w:left="0" w:right="0" w:firstLine="0"/>
        <w:jc w:val="left"/>
      </w:pPr>
      <w:r>
        <w:rPr>
          <w:color w:val="000000"/>
          <w:spacing w:val="0"/>
          <w:w w:val="100"/>
          <w:position w:val="0"/>
        </w:rPr>
        <w:t>公司董事、监事薪酬由公司股东大会决定，高级管理人员薪酬由董事会决定。在公司履职的董事、 监事、高级管理人员按照具体的职务领取薪酬。董事、监事和高级管理人员的报酬按照公司相关 制度规定，结合其职位、职责、能力、以及其他相关企业相关岗位的薪酬水平制定薪酬方案并发 放。</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李逸伦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黄杨梅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林德志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张思群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4"/>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31"/>
        <w:keepNext/>
        <w:keepLines/>
        <w:widowControl w:val="0"/>
        <w:shd w:val="clear" w:color="auto" w:fill="auto"/>
        <w:bidi w:val="0"/>
        <w:spacing w:before="0" w:after="30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、员工数量、专业构成及教育程度</w:t>
      </w:r>
      <w:bookmarkEnd w:id="529"/>
      <w:bookmarkEnd w:id="530"/>
      <w:bookmarkEnd w:id="5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职能人员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、薪酬政策</w:t>
      </w:r>
      <w:bookmarkEnd w:id="533"/>
      <w:bookmarkEnd w:id="534"/>
      <w:bookmarkEnd w:id="536"/>
    </w:p>
    <w:p>
      <w:pPr>
        <w:pStyle w:val="Style4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公司以内部公平和外部竞争相结合的方式，建立吸引人才、保留人才和激励员工的薪酬管理体系。 通过岗位体系及岗位级别，参考地区及同行业的薪酬水平定期分析公司现有薪酬水平，以分析研 究结果为基础结合员工的绩效考核调整薪酬提升员工的工作积极性及工作效率。</w:t>
      </w:r>
    </w:p>
    <w:p>
      <w:pPr>
        <w:pStyle w:val="Style31"/>
        <w:keepNext/>
        <w:keepLines/>
        <w:widowControl w:val="0"/>
        <w:shd w:val="clear" w:color="auto" w:fill="auto"/>
        <w:bidi w:val="0"/>
        <w:spacing w:before="0" w:after="200" w:line="331"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、培训计划</w:t>
      </w:r>
      <w:bookmarkEnd w:id="537"/>
      <w:bookmarkEnd w:id="538"/>
      <w:bookmarkEnd w:id="540"/>
    </w:p>
    <w:p>
      <w:pPr>
        <w:pStyle w:val="Style4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公司非常注重员工的培训，依据岗位、职能及不同部门的需求积极寻求各种培训资源及渠道通过 </w:t>
      </w:r>
      <w:r>
        <w:rPr>
          <w:color w:val="000000"/>
          <w:spacing w:val="0"/>
          <w:w w:val="100"/>
          <w:position w:val="0"/>
        </w:rPr>
        <w:t>掌趣大讲堂、内部分享等，展开定制化的培训。根据公司每年的发展需求制定详细的培训计划， 有针对性的新员工入职培训、在职人员岗位培训、项目管理等，公司内部积极营造学习氛围，开 展各类学习小组，不断激发员工潜能为员工提供更好的培训发展平台，增强员工的凝聚力，从而 增强企业的核心竞争力。</w:t>
      </w:r>
    </w:p>
    <w:p>
      <w:pPr>
        <w:pStyle w:val="Style31"/>
        <w:keepNext/>
        <w:keepLines/>
        <w:widowControl w:val="0"/>
        <w:shd w:val="clear" w:color="auto" w:fill="auto"/>
        <w:bidi w:val="0"/>
        <w:spacing w:before="0" w:after="300" w:line="324"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、劳务外包情况</w:t>
      </w:r>
      <w:bookmarkEnd w:id="541"/>
      <w:bookmarkEnd w:id="542"/>
      <w:bookmarkEnd w:id="544"/>
    </w:p>
    <w:p>
      <w:pPr>
        <w:pStyle w:val="Style24"/>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417" w:right="1046" w:bottom="1460"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00" w:after="520" w:line="240" w:lineRule="auto"/>
        <w:ind w:left="0" w:right="0" w:firstLine="0"/>
        <w:jc w:val="center"/>
      </w:pPr>
      <w:bookmarkStart w:id="545" w:name="bookmark545"/>
      <w:bookmarkStart w:id="546" w:name="bookmark546"/>
      <w:bookmarkStart w:id="547" w:name="bookmark547"/>
      <w:r>
        <w:rPr>
          <w:color w:val="000000"/>
          <w:spacing w:val="0"/>
          <w:w w:val="100"/>
          <w:position w:val="0"/>
        </w:rPr>
        <w:t>第十节公司治理</w:t>
      </w:r>
      <w:bookmarkEnd w:id="545"/>
      <w:bookmarkEnd w:id="546"/>
      <w:bookmarkEnd w:id="547"/>
    </w:p>
    <w:p>
      <w:pPr>
        <w:pStyle w:val="Style22"/>
        <w:keepNext/>
        <w:keepLines/>
        <w:widowControl w:val="0"/>
        <w:shd w:val="clear" w:color="auto" w:fill="auto"/>
        <w:bidi w:val="0"/>
        <w:spacing w:before="0" w:after="280" w:line="313" w:lineRule="exact"/>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一</w:t>
      </w:r>
      <w:bookmarkEnd w:id="550"/>
      <w:r>
        <w:rPr>
          <w:color w:val="000000"/>
          <w:spacing w:val="0"/>
          <w:w w:val="100"/>
          <w:position w:val="0"/>
          <w:sz w:val="24"/>
          <w:szCs w:val="24"/>
        </w:rPr>
        <w:t>、公司治理的基本状况</w:t>
      </w:r>
      <w:bookmarkEnd w:id="548"/>
      <w:bookmarkEnd w:id="549"/>
      <w:bookmarkEnd w:id="551"/>
    </w:p>
    <w:p>
      <w:pPr>
        <w:pStyle w:val="Style4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报告期内，公司严格按照《公司法》《证券法》《上市公司治理准则》《深圳证券交易所创 业板股票上市规则》《企业内部控制基本规范（试行）》及中国证监会有关法律、法规及规章的 要求，不断完善、健全公司内部管理和控制制度，规范公司行为及运作方式，严格进行信息披露, 保护广大投资者利益。截至报告期末，公司内部治理结构完整健全、治理模式合理清晰，符合《公 司法》等法律法规和规范性文件的规定、《公司章程》的规定。报告期内，公司股东大会、董事 会、监事会的召集、召开、表决程序、信息披露均符合有关法律法规的要求。公司及其控股股东、 实际控制人、董事、监事、高级管理人员依法开展公司治理活动，经营行为合法合规，不存在重 大违法违规行为。</w:t>
      </w:r>
    </w:p>
    <w:p>
      <w:pPr>
        <w:pStyle w:val="Style49"/>
        <w:keepNext w:val="0"/>
        <w:keepLines w:val="0"/>
        <w:widowControl w:val="0"/>
        <w:shd w:val="clear" w:color="auto" w:fill="auto"/>
        <w:tabs>
          <w:tab w:pos="1155" w:val="left"/>
        </w:tabs>
        <w:bidi w:val="0"/>
        <w:spacing w:before="0" w:after="0" w:line="313" w:lineRule="exact"/>
        <w:ind w:left="0" w:right="0" w:firstLine="740"/>
        <w:jc w:val="both"/>
      </w:pPr>
      <w:bookmarkStart w:id="552" w:name="bookmark552"/>
      <w:r>
        <w:rPr>
          <w:rFonts w:ascii="Times New Roman" w:eastAsia="Times New Roman" w:hAnsi="Times New Roman" w:cs="Times New Roman"/>
          <w:color w:val="000000"/>
          <w:spacing w:val="0"/>
          <w:w w:val="100"/>
          <w:position w:val="0"/>
        </w:rPr>
        <w:t>1</w:t>
      </w:r>
      <w:bookmarkEnd w:id="552"/>
      <w:r>
        <w:rPr>
          <w:color w:val="000000"/>
          <w:spacing w:val="0"/>
          <w:w w:val="100"/>
          <w:position w:val="0"/>
        </w:rPr>
        <w:t>、</w:t>
        <w:tab/>
        <w:t>关于股东与股东大会</w:t>
      </w:r>
    </w:p>
    <w:p>
      <w:pPr>
        <w:pStyle w:val="Style4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公司股东大会均严格按照《上市公司股东大会规则》《公司章程》《股东大会议事规则》等 规定召集、召开，并尽可能为股东参加股东大会创造便利条件，对每一项需要审议的事项均设定 充裕的时间给股东表达意见，确保所有股东，特别是公众股东的平等地位，充分行使自己的权利。 同时，公司聘请律师见证股东大会，确保会议召集召开以及表决程序符合相关法律规定，维护股 东的合法权益。</w:t>
      </w:r>
    </w:p>
    <w:p>
      <w:pPr>
        <w:pStyle w:val="Style49"/>
        <w:keepNext w:val="0"/>
        <w:keepLines w:val="0"/>
        <w:widowControl w:val="0"/>
        <w:shd w:val="clear" w:color="auto" w:fill="auto"/>
        <w:tabs>
          <w:tab w:pos="1155" w:val="left"/>
        </w:tabs>
        <w:bidi w:val="0"/>
        <w:spacing w:before="0" w:after="0" w:line="313" w:lineRule="exact"/>
        <w:ind w:left="0" w:right="0" w:firstLine="740"/>
        <w:jc w:val="both"/>
      </w:pPr>
      <w:bookmarkStart w:id="553" w:name="bookmark553"/>
      <w:r>
        <w:rPr>
          <w:rFonts w:ascii="Times New Roman" w:eastAsia="Times New Roman" w:hAnsi="Times New Roman" w:cs="Times New Roman"/>
          <w:color w:val="000000"/>
          <w:spacing w:val="0"/>
          <w:w w:val="100"/>
          <w:position w:val="0"/>
        </w:rPr>
        <w:t>2</w:t>
      </w:r>
      <w:bookmarkEnd w:id="553"/>
      <w:r>
        <w:rPr>
          <w:color w:val="000000"/>
          <w:spacing w:val="0"/>
          <w:w w:val="100"/>
          <w:position w:val="0"/>
        </w:rPr>
        <w:t>、</w:t>
        <w:tab/>
        <w:t>关于公司与控股股东</w:t>
      </w:r>
    </w:p>
    <w:p>
      <w:pPr>
        <w:pStyle w:val="Style49"/>
        <w:keepNext w:val="0"/>
        <w:keepLines w:val="0"/>
        <w:widowControl w:val="0"/>
        <w:shd w:val="clear" w:color="auto" w:fill="auto"/>
        <w:bidi w:val="0"/>
        <w:spacing w:before="0" w:after="60" w:line="313" w:lineRule="exact"/>
        <w:ind w:left="0" w:right="0" w:firstLine="380"/>
        <w:jc w:val="left"/>
      </w:pPr>
      <w:r>
        <w:rPr>
          <w:color w:val="000000"/>
          <w:spacing w:val="0"/>
          <w:w w:val="100"/>
          <w:position w:val="0"/>
        </w:rPr>
        <w:t>报告期内，控股股东及实际控制人严格规范自己的行为，没有超越股东大会直接或间接干预 公司的决策和经营活动。公司在业务、人员、资产、机构、财务上独立于控股股东，公司董事会、 监事会和内部机构独立运作。报告期内，公司存在控股股东占用公司资金</w:t>
      </w:r>
      <w:r>
        <w:rPr>
          <w:rFonts w:ascii="Times New Roman" w:eastAsia="Times New Roman" w:hAnsi="Times New Roman" w:cs="Times New Roman"/>
          <w:color w:val="000000"/>
          <w:spacing w:val="0"/>
          <w:w w:val="100"/>
          <w:position w:val="0"/>
        </w:rPr>
        <w:t>2,150</w:t>
      </w:r>
      <w:r>
        <w:rPr>
          <w:color w:val="000000"/>
          <w:spacing w:val="0"/>
          <w:w w:val="100"/>
          <w:position w:val="0"/>
        </w:rPr>
        <w:t>万元，公司及时进 行了自查和纠正，截止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日，公司已收回全部被占用资金</w:t>
      </w:r>
      <w:r>
        <w:rPr>
          <w:rFonts w:ascii="Times New Roman" w:eastAsia="Times New Roman" w:hAnsi="Times New Roman" w:cs="Times New Roman"/>
          <w:color w:val="000000"/>
          <w:spacing w:val="0"/>
          <w:w w:val="100"/>
          <w:position w:val="0"/>
        </w:rPr>
        <w:t>2,150</w:t>
      </w:r>
      <w:r>
        <w:rPr>
          <w:color w:val="000000"/>
          <w:spacing w:val="0"/>
          <w:w w:val="100"/>
          <w:position w:val="0"/>
        </w:rPr>
        <w:t xml:space="preserve">万元。除此之外，公司 </w:t>
      </w:r>
      <w:r>
        <w:rPr>
          <w:rFonts w:ascii="Times New Roman" w:eastAsia="Times New Roman" w:hAnsi="Times New Roman" w:cs="Times New Roman"/>
          <w:color w:val="000000"/>
          <w:spacing w:val="0"/>
          <w:w w:val="100"/>
          <w:position w:val="0"/>
        </w:rPr>
        <w:t>2020</w:t>
      </w:r>
      <w:r>
        <w:rPr>
          <w:color w:val="000000"/>
          <w:spacing w:val="0"/>
          <w:w w:val="100"/>
          <w:position w:val="0"/>
        </w:rPr>
        <w:t>年度不存在其他控股股东及其他关联方占用公司资金情况。</w:t>
      </w:r>
    </w:p>
    <w:p>
      <w:pPr>
        <w:pStyle w:val="Style49"/>
        <w:keepNext w:val="0"/>
        <w:keepLines w:val="0"/>
        <w:widowControl w:val="0"/>
        <w:shd w:val="clear" w:color="auto" w:fill="auto"/>
        <w:tabs>
          <w:tab w:pos="1187" w:val="left"/>
        </w:tabs>
        <w:bidi w:val="0"/>
        <w:spacing w:before="0" w:after="0" w:line="298" w:lineRule="auto"/>
        <w:ind w:left="0" w:right="0" w:firstLine="840"/>
        <w:jc w:val="both"/>
      </w:pPr>
      <w:bookmarkStart w:id="554" w:name="bookmark554"/>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关于董事和董事会</w:t>
      </w:r>
    </w:p>
    <w:p>
      <w:pPr>
        <w:pStyle w:val="Style49"/>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5</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人，下设战略委员会、薪酬与考核委员会、审计委员 会和提名委员会四个专门委员会。董事会的人员结构及数量设置、董事的选聘程序符合有关法律 法规。公司全体董事严格按照《公司法》《证券法》《规范运作指引》《上市公司治理准则》以 及《公司章程》等规定和要求，履行董事职责，出席董事会和股东大会，勤勉尽责地履行职责和 义务，同时参加培训，熟悉相关法律法规。</w:t>
      </w:r>
    </w:p>
    <w:p>
      <w:pPr>
        <w:pStyle w:val="Style49"/>
        <w:keepNext w:val="0"/>
        <w:keepLines w:val="0"/>
        <w:widowControl w:val="0"/>
        <w:shd w:val="clear" w:color="auto" w:fill="auto"/>
        <w:tabs>
          <w:tab w:pos="1191" w:val="left"/>
        </w:tabs>
        <w:bidi w:val="0"/>
        <w:spacing w:before="0" w:after="0" w:line="298" w:lineRule="auto"/>
        <w:ind w:left="0" w:right="0" w:firstLine="840"/>
        <w:jc w:val="both"/>
      </w:pPr>
      <w:bookmarkStart w:id="555" w:name="bookmark555"/>
      <w:r>
        <w:rPr>
          <w:rFonts w:ascii="Times New Roman" w:eastAsia="Times New Roman" w:hAnsi="Times New Roman" w:cs="Times New Roman"/>
          <w:color w:val="000000"/>
          <w:spacing w:val="0"/>
          <w:w w:val="100"/>
          <w:position w:val="0"/>
        </w:rPr>
        <w:t>4</w:t>
      </w:r>
      <w:bookmarkEnd w:id="555"/>
      <w:r>
        <w:rPr>
          <w:color w:val="000000"/>
          <w:spacing w:val="0"/>
          <w:w w:val="100"/>
          <w:position w:val="0"/>
        </w:rPr>
        <w:t>、</w:t>
        <w:tab/>
        <w:t>关于监事和监事会</w:t>
      </w:r>
    </w:p>
    <w:p>
      <w:pPr>
        <w:pStyle w:val="Style4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公司第五届监事会由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名监事组成，其中有</w:t>
      </w:r>
      <w:r>
        <w:rPr>
          <w:rFonts w:ascii="Times New Roman" w:eastAsia="Times New Roman" w:hAnsi="Times New Roman" w:cs="Times New Roman"/>
          <w:color w:val="000000"/>
          <w:spacing w:val="0"/>
          <w:w w:val="100"/>
          <w:position w:val="0"/>
        </w:rPr>
        <w:t>1</w:t>
      </w:r>
      <w:r>
        <w:rPr>
          <w:color w:val="000000"/>
          <w:spacing w:val="0"/>
          <w:w w:val="100"/>
          <w:position w:val="0"/>
        </w:rPr>
        <w:t>名职工代表监事，监事会的人数、结构及选聘程 序均符合法律、法规和《公司章程》的规定。报告期内，公司监事会严格按照《公司章程》《监 事会议事规则》的规定召集、召开监事会，表决程序合法合规；监事勤勉尽责，从维护公司和股 东合法权益出发，对董事会和公司行政管理系统能进行有效监督。</w:t>
      </w:r>
    </w:p>
    <w:p>
      <w:pPr>
        <w:pStyle w:val="Style49"/>
        <w:keepNext w:val="0"/>
        <w:keepLines w:val="0"/>
        <w:widowControl w:val="0"/>
        <w:shd w:val="clear" w:color="auto" w:fill="auto"/>
        <w:tabs>
          <w:tab w:pos="1191" w:val="left"/>
        </w:tabs>
        <w:bidi w:val="0"/>
        <w:spacing w:before="0" w:after="0" w:line="313" w:lineRule="exact"/>
        <w:ind w:left="0" w:right="0" w:firstLine="840"/>
        <w:jc w:val="both"/>
      </w:pPr>
      <w:bookmarkStart w:id="556" w:name="bookmark556"/>
      <w:r>
        <w:rPr>
          <w:rFonts w:ascii="Times New Roman" w:eastAsia="Times New Roman" w:hAnsi="Times New Roman" w:cs="Times New Roman"/>
          <w:color w:val="000000"/>
          <w:spacing w:val="0"/>
          <w:w w:val="100"/>
          <w:position w:val="0"/>
        </w:rPr>
        <w:t>5</w:t>
      </w:r>
      <w:bookmarkEnd w:id="556"/>
      <w:r>
        <w:rPr>
          <w:color w:val="000000"/>
          <w:spacing w:val="0"/>
          <w:w w:val="100"/>
          <w:position w:val="0"/>
        </w:rPr>
        <w:t>、</w:t>
        <w:tab/>
        <w:t>关于绩效评价与激励约束机制</w:t>
      </w:r>
    </w:p>
    <w:p>
      <w:pPr>
        <w:pStyle w:val="Style4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公司董事会下设的提名、薪酬与考核委员会负责对公司的董事、监事、高级管理人员进行绩 效考核，公司已经建立和完善了公正、透明的高级管理人员的绩效考核标准和激励约束机制。高 级管理人员的聘任公开、透明，符合法律、法规的规定。</w:t>
      </w:r>
    </w:p>
    <w:p>
      <w:pPr>
        <w:pStyle w:val="Style49"/>
        <w:keepNext w:val="0"/>
        <w:keepLines w:val="0"/>
        <w:widowControl w:val="0"/>
        <w:shd w:val="clear" w:color="auto" w:fill="auto"/>
        <w:tabs>
          <w:tab w:pos="1191" w:val="left"/>
        </w:tabs>
        <w:bidi w:val="0"/>
        <w:spacing w:before="0" w:after="0" w:line="313" w:lineRule="exact"/>
        <w:ind w:left="0" w:right="0" w:firstLine="840"/>
        <w:jc w:val="both"/>
      </w:pPr>
      <w:bookmarkStart w:id="557" w:name="bookmark557"/>
      <w:r>
        <w:rPr>
          <w:rFonts w:ascii="Times New Roman" w:eastAsia="Times New Roman" w:hAnsi="Times New Roman" w:cs="Times New Roman"/>
          <w:color w:val="000000"/>
          <w:spacing w:val="0"/>
          <w:w w:val="100"/>
          <w:position w:val="0"/>
        </w:rPr>
        <w:t>6</w:t>
      </w:r>
      <w:bookmarkEnd w:id="557"/>
      <w:r>
        <w:rPr>
          <w:color w:val="000000"/>
          <w:spacing w:val="0"/>
          <w:w w:val="100"/>
          <w:position w:val="0"/>
        </w:rPr>
        <w:t>、</w:t>
        <w:tab/>
        <w:t>关于信息披露与透明度</w:t>
      </w:r>
    </w:p>
    <w:p>
      <w:pPr>
        <w:pStyle w:val="Style49"/>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 xml:space="preserve">公司严格按照有关法律法规以及《信息披露管理制度》《投资者关系管理制度》等的要求， 真实、准确、及时、公平、完整地披露有关信息；并指定公司董事会秘书负责信息披露工作，协 </w:t>
      </w:r>
      <w:r>
        <w:rPr>
          <w:color w:val="000000"/>
          <w:spacing w:val="0"/>
          <w:w w:val="100"/>
          <w:position w:val="0"/>
        </w:rPr>
        <w:t>调公司与投资者的关系，接待股东来访，回答投资者咨询，向投资者提供公司已披露的资料；并 指定巨潮资讯网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为公司信息披露的指定网站，确保公司所有股东能够以平 等的机会获得信息。</w:t>
      </w:r>
    </w:p>
    <w:p>
      <w:pPr>
        <w:pStyle w:val="Style49"/>
        <w:keepNext w:val="0"/>
        <w:keepLines w:val="0"/>
        <w:widowControl w:val="0"/>
        <w:shd w:val="clear" w:color="auto" w:fill="auto"/>
        <w:bidi w:val="0"/>
        <w:spacing w:before="0" w:after="0" w:line="298" w:lineRule="auto"/>
        <w:ind w:left="0" w:right="0" w:firstLine="840"/>
        <w:jc w:val="both"/>
      </w:pPr>
      <w:bookmarkStart w:id="558" w:name="bookmark558"/>
      <w:r>
        <w:rPr>
          <w:rFonts w:ascii="Times New Roman" w:eastAsia="Times New Roman" w:hAnsi="Times New Roman" w:cs="Times New Roman"/>
          <w:color w:val="000000"/>
          <w:spacing w:val="0"/>
          <w:w w:val="100"/>
          <w:position w:val="0"/>
        </w:rPr>
        <w:t>7</w:t>
      </w:r>
      <w:bookmarkEnd w:id="558"/>
      <w:r>
        <w:rPr>
          <w:color w:val="000000"/>
          <w:spacing w:val="0"/>
          <w:w w:val="100"/>
          <w:position w:val="0"/>
        </w:rPr>
        <w:t>、关于相关利益者</w:t>
      </w:r>
    </w:p>
    <w:p>
      <w:pPr>
        <w:pStyle w:val="Style49"/>
        <w:keepNext w:val="0"/>
        <w:keepLines w:val="0"/>
        <w:widowControl w:val="0"/>
        <w:shd w:val="clear" w:color="auto" w:fill="auto"/>
        <w:bidi w:val="0"/>
        <w:spacing w:before="0" w:after="1060" w:line="312" w:lineRule="exact"/>
        <w:ind w:left="0" w:right="0" w:firstLine="380"/>
        <w:jc w:val="left"/>
      </w:pPr>
      <w:r>
        <w:rPr>
          <w:color w:val="000000"/>
          <w:spacing w:val="0"/>
          <w:w w:val="100"/>
          <w:position w:val="0"/>
        </w:rPr>
        <w:t>公司充分尊重和维护相关利益者的合法权益，积极与相关利益者合作，加强与各方的沟通和 交流，实现股东、员工、社会等各方利益的协调平衡，共同推动公司持续、健康的发展。</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line="315"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、公司相对于控股股东在业务、人员、资产、机构、财务等方面的独立情况</w:t>
      </w:r>
      <w:bookmarkEnd w:id="559"/>
      <w:bookmarkEnd w:id="560"/>
      <w:bookmarkEnd w:id="562"/>
    </w:p>
    <w:p>
      <w:pPr>
        <w:pStyle w:val="Style49"/>
        <w:keepNext w:val="0"/>
        <w:keepLines w:val="0"/>
        <w:widowControl w:val="0"/>
        <w:shd w:val="clear" w:color="auto" w:fill="auto"/>
        <w:tabs>
          <w:tab w:pos="1113" w:val="left"/>
        </w:tabs>
        <w:bidi w:val="0"/>
        <w:spacing w:before="0" w:after="0" w:line="300" w:lineRule="auto"/>
        <w:ind w:left="0" w:right="0" w:firstLine="740"/>
        <w:jc w:val="both"/>
      </w:pPr>
      <w:bookmarkStart w:id="563" w:name="bookmark563"/>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业务独立</w:t>
      </w:r>
    </w:p>
    <w:p>
      <w:pPr>
        <w:pStyle w:val="Style49"/>
        <w:keepNext w:val="0"/>
        <w:keepLines w:val="0"/>
        <w:widowControl w:val="0"/>
        <w:shd w:val="clear" w:color="auto" w:fill="auto"/>
        <w:bidi w:val="0"/>
        <w:spacing w:before="0" w:after="60" w:line="315" w:lineRule="exact"/>
        <w:ind w:left="0" w:right="0" w:firstLine="380"/>
        <w:jc w:val="both"/>
      </w:pPr>
      <w:r>
        <w:rPr>
          <w:color w:val="000000"/>
          <w:spacing w:val="0"/>
          <w:w w:val="100"/>
          <w:position w:val="0"/>
        </w:rPr>
        <w:t>公司拥有独立开展经营活动的资产、人员、资质和能力，具有面向市场独立自主持续经营的 能力。不以依法行使股东权利以外的任何方式干预上市公司的重大决策事项。公司与控股股东、 实际控制人不存在同业竞争。</w:t>
      </w:r>
    </w:p>
    <w:p>
      <w:pPr>
        <w:pStyle w:val="Style49"/>
        <w:keepNext w:val="0"/>
        <w:keepLines w:val="0"/>
        <w:widowControl w:val="0"/>
        <w:shd w:val="clear" w:color="auto" w:fill="auto"/>
        <w:tabs>
          <w:tab w:pos="1132" w:val="left"/>
        </w:tabs>
        <w:bidi w:val="0"/>
        <w:spacing w:before="0" w:after="0" w:line="300" w:lineRule="auto"/>
        <w:ind w:left="0" w:right="0" w:firstLine="740"/>
        <w:jc w:val="both"/>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人员独立</w:t>
      </w:r>
    </w:p>
    <w:p>
      <w:pPr>
        <w:pStyle w:val="Style49"/>
        <w:keepNext w:val="0"/>
        <w:keepLines w:val="0"/>
        <w:widowControl w:val="0"/>
        <w:shd w:val="clear" w:color="auto" w:fill="auto"/>
        <w:bidi w:val="0"/>
        <w:spacing w:before="0" w:after="60" w:line="315" w:lineRule="exact"/>
        <w:ind w:left="0" w:right="0" w:firstLine="380"/>
        <w:jc w:val="both"/>
      </w:pPr>
      <w:r>
        <w:rPr>
          <w:color w:val="000000"/>
          <w:spacing w:val="0"/>
          <w:w w:val="100"/>
          <w:position w:val="0"/>
        </w:rPr>
        <w:t>公司董事、监事及高级管理人员均严格按照《公司法》《公司章程》的有关规定产生，控股 股东没有干预公司董事会和股东大会已经作出的人事任免决定。公司在劳动、人事、工资管理等 方面均完全独立。</w:t>
      </w:r>
    </w:p>
    <w:p>
      <w:pPr>
        <w:pStyle w:val="Style49"/>
        <w:keepNext w:val="0"/>
        <w:keepLines w:val="0"/>
        <w:widowControl w:val="0"/>
        <w:shd w:val="clear" w:color="auto" w:fill="auto"/>
        <w:tabs>
          <w:tab w:pos="1132" w:val="left"/>
        </w:tabs>
        <w:bidi w:val="0"/>
        <w:spacing w:before="0" w:after="0" w:line="300" w:lineRule="auto"/>
        <w:ind w:left="0" w:right="0" w:firstLine="740"/>
        <w:jc w:val="both"/>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资产完整</w:t>
      </w:r>
    </w:p>
    <w:p>
      <w:pPr>
        <w:pStyle w:val="Style49"/>
        <w:keepNext w:val="0"/>
        <w:keepLines w:val="0"/>
        <w:widowControl w:val="0"/>
        <w:shd w:val="clear" w:color="auto" w:fill="auto"/>
        <w:bidi w:val="0"/>
        <w:spacing w:before="0" w:after="60" w:line="315" w:lineRule="exact"/>
        <w:ind w:left="0" w:right="0" w:firstLine="380"/>
        <w:jc w:val="both"/>
      </w:pPr>
      <w:r>
        <w:rPr>
          <w:color w:val="000000"/>
          <w:spacing w:val="0"/>
          <w:w w:val="100"/>
          <w:position w:val="0"/>
        </w:rPr>
        <w:t>公司具有独立的法人资格，对公司财产拥有独立的法人财产权，公司拥有独立的房屋产权和 经营权，公司的资产完全独立于控股股东。</w:t>
      </w:r>
    </w:p>
    <w:p>
      <w:pPr>
        <w:pStyle w:val="Style49"/>
        <w:keepNext w:val="0"/>
        <w:keepLines w:val="0"/>
        <w:widowControl w:val="0"/>
        <w:shd w:val="clear" w:color="auto" w:fill="auto"/>
        <w:tabs>
          <w:tab w:pos="1132" w:val="left"/>
        </w:tabs>
        <w:bidi w:val="0"/>
        <w:spacing w:before="0" w:after="0" w:line="300" w:lineRule="auto"/>
        <w:ind w:left="0" w:right="0" w:firstLine="740"/>
        <w:jc w:val="both"/>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w:t>
        <w:tab/>
        <w:t>机构独立</w:t>
      </w:r>
    </w:p>
    <w:p>
      <w:pPr>
        <w:pStyle w:val="Style49"/>
        <w:keepNext w:val="0"/>
        <w:keepLines w:val="0"/>
        <w:widowControl w:val="0"/>
        <w:shd w:val="clear" w:color="auto" w:fill="auto"/>
        <w:bidi w:val="0"/>
        <w:spacing w:before="0" w:after="60" w:line="315" w:lineRule="exact"/>
        <w:ind w:left="0" w:right="0" w:firstLine="380"/>
        <w:jc w:val="left"/>
      </w:pPr>
      <w:r>
        <w:rPr>
          <w:color w:val="000000"/>
          <w:spacing w:val="0"/>
          <w:w w:val="100"/>
          <w:position w:val="0"/>
        </w:rPr>
        <w:t>公司通过股东大会、董事会、监事会、独立董事及各专门委员会制度，强化权力制衡机制， 形成了有效的法人治理结构。在内部机构设置上，公司建立了适应自身发展需要的组织机构，明 确了各机构职能，定员定岗，并制定了相应的内部管理与控制制度。公司各职能部门均独立履行 其职能，独立开展生产经营活动，不存在受实际控制人、股东或关联方干预之情形。</w:t>
      </w:r>
    </w:p>
    <w:p>
      <w:pPr>
        <w:pStyle w:val="Style49"/>
        <w:keepNext w:val="0"/>
        <w:keepLines w:val="0"/>
        <w:widowControl w:val="0"/>
        <w:shd w:val="clear" w:color="auto" w:fill="auto"/>
        <w:tabs>
          <w:tab w:pos="1132" w:val="left"/>
        </w:tabs>
        <w:bidi w:val="0"/>
        <w:spacing w:before="0" w:after="0" w:line="300" w:lineRule="auto"/>
        <w:ind w:left="0" w:right="0" w:firstLine="740"/>
        <w:jc w:val="both"/>
      </w:pPr>
      <w:bookmarkStart w:id="567" w:name="bookmark567"/>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财务独立</w:t>
      </w:r>
    </w:p>
    <w:p>
      <w:pPr>
        <w:pStyle w:val="Style49"/>
        <w:keepNext w:val="0"/>
        <w:keepLines w:val="0"/>
        <w:widowControl w:val="0"/>
        <w:shd w:val="clear" w:color="auto" w:fill="auto"/>
        <w:bidi w:val="0"/>
        <w:spacing w:before="0" w:after="640" w:line="315" w:lineRule="exact"/>
        <w:ind w:left="0" w:right="0" w:firstLine="380"/>
        <w:jc w:val="left"/>
      </w:pPr>
      <w:r>
        <w:rPr>
          <w:color w:val="000000"/>
          <w:spacing w:val="0"/>
          <w:w w:val="100"/>
          <w:position w:val="0"/>
        </w:rPr>
        <w:t>公司有独立的财务部门，配备独立的财务人员，建立了独立的会计核算体系和财务管理制度, 独立管理公司财务档案，能够根据《公司章程》规定的程序和权限独立作出财务决策。公司及子 公司均为独立核算主体，独立在银行开户，不存在与实际控制人共用银行账户之情形，亦不存在 将资金存入实际控制人银行账户之情形，资金使用亦不受实际控制人干预。</w:t>
      </w:r>
    </w:p>
    <w:p>
      <w:pPr>
        <w:pStyle w:val="Style22"/>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、同业竞争情况</w:t>
      </w:r>
      <w:bookmarkEnd w:id="568"/>
      <w:bookmarkEnd w:id="569"/>
      <w:bookmarkEnd w:id="57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问题类型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问题成因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解决措施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工作进度及后续计 划</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0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深圳前海宝德资产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上海美峰为中青宝 控股子公司，公司持 有上海美峰 </w:t>
            </w:r>
            <w:r>
              <w:rPr>
                <w:color w:val="000000"/>
                <w:spacing w:val="0"/>
                <w:w w:val="100"/>
                <w:position w:val="0"/>
                <w:sz w:val="18"/>
                <w:szCs w:val="18"/>
              </w:rPr>
              <w:t>71.6334%</w:t>
            </w:r>
            <w:r>
              <w:rPr>
                <w:rFonts w:ascii="SimSun" w:eastAsia="SimSun" w:hAnsi="SimSun" w:cs="SimSun"/>
                <w:color w:val="000000"/>
                <w:spacing w:val="0"/>
                <w:w w:val="100"/>
                <w:position w:val="0"/>
                <w:sz w:val="17"/>
                <w:szCs w:val="17"/>
              </w:rPr>
              <w:t xml:space="preserve">的股权。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 中青宝与前海宝德 签署了《上海美峰数 码科技有限公司股 权转让协议》，中青 宝将持有的上海美 峰</w:t>
            </w:r>
            <w:r>
              <w:rPr>
                <w:color w:val="000000"/>
                <w:spacing w:val="0"/>
                <w:w w:val="100"/>
                <w:position w:val="0"/>
                <w:sz w:val="18"/>
                <w:szCs w:val="18"/>
              </w:rPr>
              <w:t>71.6334%</w:t>
            </w:r>
            <w:r>
              <w:rPr>
                <w:rFonts w:ascii="SimSun" w:eastAsia="SimSun" w:hAnsi="SimSun" w:cs="SimSun"/>
                <w:color w:val="000000"/>
                <w:spacing w:val="0"/>
                <w:w w:val="100"/>
                <w:position w:val="0"/>
                <w:sz w:val="17"/>
                <w:szCs w:val="17"/>
              </w:rPr>
              <w:t>股权转 让给前海宝德，本次 交易完成后,上海美 峰成为前海宝德的 控股子公司，前海宝 德控股股东、实际控 制人未发生变更;前 海宝德开展的移动 游戏业务同中青宝 开展的互联网移动 游戏业务会存在潜 在同业竞争。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前海宝德、中青宝承 诺，为解决本次交易 完成后中青宝与前 海宝德的潜在同业 竞争问题，本次交易 完成后的五年之内， 前海宝德应当进行 业务调整，即前海宝 德除了与中青宝展 开互联网移动游戏 业务合作之外，不得 自营或与他人合作 经营互联网移动游 戏业务，且前海宝德 涉及互联网移动游 戏业务所形成的归 属于前海宝德的一 切收入，除维持必要 的日常经营所需部 分资金，均应当通 过合法、合规的商业 安排归入中青宝所 有；前海宝德、中青 宝承诺，本次交易 完成后的五年之内， 如上述同业竞争未 能得到有效解决的， 将通过对上海美峰 进行业务终止或将 上海美峰的全部股 权转让给无关联第 三方等方式以有效 解决同业竞争。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履行中</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深圳市宝德科技有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中青宝收购宝腾互 联后，中青宝拥有深 圳观澜机房并开展 </w:t>
            </w:r>
            <w:r>
              <w:rPr>
                <w:color w:val="000000"/>
                <w:spacing w:val="0"/>
                <w:w w:val="100"/>
                <w:position w:val="0"/>
                <w:sz w:val="18"/>
                <w:szCs w:val="18"/>
              </w:rPr>
              <w:t>IDC</w:t>
            </w:r>
            <w:r>
              <w:rPr>
                <w:rFonts w:ascii="SimSun" w:eastAsia="SimSun" w:hAnsi="SimSun" w:cs="SimSun"/>
                <w:color w:val="000000"/>
                <w:spacing w:val="0"/>
                <w:w w:val="100"/>
                <w:position w:val="0"/>
                <w:sz w:val="17"/>
                <w:szCs w:val="17"/>
              </w:rPr>
              <w:t xml:space="preserve">业务；宝德科技 仍拥有广州加速器 机房（原名广州萝岗 机房，下同）可开展 </w:t>
            </w:r>
            <w:r>
              <w:rPr>
                <w:color w:val="000000"/>
                <w:spacing w:val="0"/>
                <w:w w:val="100"/>
                <w:position w:val="0"/>
                <w:sz w:val="18"/>
                <w:szCs w:val="18"/>
              </w:rPr>
              <w:t>IDC</w:t>
            </w:r>
            <w:r>
              <w:rPr>
                <w:rFonts w:ascii="SimSun" w:eastAsia="SimSun" w:hAnsi="SimSun" w:cs="SimSun"/>
                <w:color w:val="000000"/>
                <w:spacing w:val="0"/>
                <w:w w:val="100"/>
                <w:position w:val="0"/>
                <w:sz w:val="17"/>
                <w:szCs w:val="17"/>
              </w:rPr>
              <w:t>业务；宝德科 技系中青宝控股股 东之一，交易完成 后，中青宝与宝德科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宝德科技承诺，为解 决本次交易完成后 中青宝与宝德科技 潜在同业竞争问题， 本次交易完成后，在 广州加速器机房已 符合注入中青宝条 件、注入中青宝不存 在实质性障碍时，宝 德科技可与中青宝 就注入的条款进行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履行中</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技存在潜在同业竞 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协商并在双方达成 及签署正式协议后 通过现金收购、资产 重组或其他等方式 将广州加速器机房 注入中青宝；宝德科 技亦可通过终止广 州加速器机房业务 或将广州加速器机 房全部资产转让予 无关联第三方等方 式以有效解决同业 竞争问题。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、报告期内召开的年度股东大会和临时股东大会的有关情况</w:t>
      </w:r>
      <w:bookmarkEnd w:id="572"/>
      <w:bookmarkEnd w:id="573"/>
      <w:bookmarkEnd w:id="575"/>
    </w:p>
    <w:p>
      <w:pPr>
        <w:pStyle w:val="Style31"/>
        <w:keepNext/>
        <w:keepLines/>
        <w:widowControl w:val="0"/>
        <w:shd w:val="clear" w:color="auto" w:fill="auto"/>
        <w:bidi w:val="0"/>
        <w:spacing w:before="0" w:after="32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、本报告期股东大会情况</w:t>
      </w:r>
      <w:bookmarkEnd w:id="576"/>
      <w:bookmarkEnd w:id="577"/>
      <w:bookmarkEnd w:id="57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、表决权恢复的优先股股东请求召开临时股东大会</w:t>
      </w:r>
      <w:bookmarkEnd w:id="580"/>
      <w:bookmarkEnd w:id="581"/>
      <w:bookmarkEnd w:id="58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五</w:t>
      </w:r>
      <w:bookmarkEnd w:id="586"/>
      <w:r>
        <w:rPr>
          <w:color w:val="000000"/>
          <w:spacing w:val="0"/>
          <w:w w:val="100"/>
          <w:position w:val="0"/>
          <w:sz w:val="24"/>
          <w:szCs w:val="24"/>
        </w:rPr>
        <w:t>、报告期内独立董事履行职责的情况</w:t>
      </w:r>
      <w:bookmarkEnd w:id="584"/>
      <w:bookmarkEnd w:id="585"/>
      <w:bookmarkEnd w:id="587"/>
    </w:p>
    <w:p>
      <w:pPr>
        <w:pStyle w:val="Style31"/>
        <w:keepNext/>
        <w:keepLines/>
        <w:widowControl w:val="0"/>
        <w:shd w:val="clear" w:color="auto" w:fill="auto"/>
        <w:bidi w:val="0"/>
        <w:spacing w:before="0" w:after="32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、独立董事出席董事会及股东大会的情况</w:t>
      </w:r>
      <w:bookmarkEnd w:id="588"/>
      <w:bookmarkEnd w:id="589"/>
      <w:bookmarkEnd w:id="59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tabs>
          <w:tab w:pos="317" w:val="left"/>
        </w:tabs>
        <w:bidi w:val="0"/>
        <w:spacing w:before="0" w:after="0" w:line="313" w:lineRule="exact"/>
        <w:ind w:left="0" w:right="0" w:firstLine="0"/>
        <w:jc w:val="left"/>
        <w:rPr>
          <w:sz w:val="20"/>
          <w:szCs w:val="20"/>
        </w:rPr>
      </w:pPr>
      <w:bookmarkStart w:id="592" w:name="bookmark59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独立董事对公司有关事项提出异议的情况</w:t>
      </w:r>
      <w:bookmarkEnd w:id="592"/>
    </w:p>
    <w:p>
      <w:pPr>
        <w:widowControl w:val="0"/>
        <w:spacing w:after="3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35" w:val="left"/>
        </w:tabs>
        <w:bidi w:val="0"/>
        <w:spacing w:before="0" w:after="400" w:line="313" w:lineRule="exact"/>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独立董事履行职责的其他说明</w:t>
      </w:r>
      <w:bookmarkEnd w:id="593"/>
      <w:bookmarkEnd w:id="594"/>
      <w:bookmarkEnd w:id="5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49"/>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报告期内，公司独立董事严格按照《公司法》、《证券法》、《深圳证券交易所创业板股票 上市规则》、《深圳证券交易所创业板上市公司规范运作指引》及《公司章程》等法律法规及规 章制度的相关规定，勤勉尽责、忠实履行独立董事职责，全体独立董事在任职期间内积极出席公 司召开的董事会及董事会专门委员会会议，认真审议董事会各项议案，并对相关事项发表了独立 意见，对公司董事会审议的事项未提出过异议。独立董事凭借自身专业知识和实务经验，为公司 日常经营管理提供了有价值的指导意见，有效推动公司规范化治理，履行对全体股东诚信及勤勉 义务，保护全体股东利益。</w:t>
      </w:r>
    </w:p>
    <w:p>
      <w:pPr>
        <w:pStyle w:val="Style22"/>
        <w:keepNext/>
        <w:keepLines/>
        <w:widowControl w:val="0"/>
        <w:shd w:val="clear" w:color="auto" w:fill="auto"/>
        <w:bidi w:val="0"/>
        <w:spacing w:before="0" w:after="400" w:line="311" w:lineRule="exact"/>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六</w:t>
      </w:r>
      <w:bookmarkEnd w:id="599"/>
      <w:r>
        <w:rPr>
          <w:color w:val="000000"/>
          <w:spacing w:val="0"/>
          <w:w w:val="100"/>
          <w:position w:val="0"/>
          <w:sz w:val="24"/>
          <w:szCs w:val="24"/>
        </w:rPr>
        <w:t>、董事会下设专门委员会在报告期内履行职责情况</w:t>
      </w:r>
      <w:bookmarkEnd w:id="597"/>
      <w:bookmarkEnd w:id="598"/>
      <w:bookmarkEnd w:id="600"/>
    </w:p>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、董事会审计委员会履职情况</w:t>
      </w:r>
    </w:p>
    <w:p>
      <w:pPr>
        <w:pStyle w:val="Style4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报告期内，第五届董事会审计委员会根据公司《董事会审计委员会工作细则》及其他法 律法规的相关规定积极开展工作，其主要职责包括监督审核公司财务信息、监督公司内部审 计实施情况、审查公司内部控制制度及重大关联交易事项、及内部审计与外部审计的沟通事 项等。报告期内，公司第五届董事会审计委员会共召开</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次会议，全体委员在任职期间均亲自 出席了会议，主要审议了公司的年度报告、半年度报告及季度报告等定期报告、募集资金存 放与实际使用情况报告、审计部定期工作总结及工作计划、内部控制情况及核销部分资产等 相关事项。报告期内不存在审计委员会委员对于审议议案存在反对意见的情况。</w:t>
      </w:r>
    </w:p>
    <w:p>
      <w:pPr>
        <w:pStyle w:val="Style49"/>
        <w:keepNext w:val="0"/>
        <w:keepLines w:val="0"/>
        <w:widowControl w:val="0"/>
        <w:shd w:val="clear" w:color="auto" w:fill="auto"/>
        <w:bidi w:val="0"/>
        <w:spacing w:before="0" w:after="0" w:line="311" w:lineRule="exact"/>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、董事会战略委员会履职情况</w:t>
      </w:r>
    </w:p>
    <w:p>
      <w:pPr>
        <w:pStyle w:val="Style49"/>
        <w:keepNext w:val="0"/>
        <w:keepLines w:val="0"/>
        <w:widowControl w:val="0"/>
        <w:shd w:val="clear" w:color="auto" w:fill="auto"/>
        <w:bidi w:val="0"/>
        <w:spacing w:before="0" w:after="140" w:line="311" w:lineRule="exact"/>
        <w:ind w:left="0" w:right="0" w:firstLine="500"/>
        <w:jc w:val="both"/>
      </w:pPr>
      <w:r>
        <w:rPr>
          <w:color w:val="000000"/>
          <w:spacing w:val="0"/>
          <w:w w:val="100"/>
          <w:position w:val="0"/>
        </w:rPr>
        <w:t>报告期内，第五届董事会战略委员会根据《董事会战略委员会工作细则》及其他法律法 规的相关规定积极开展工作，其主要职责包括对公司长期发展战略规划进行研究并提出建议、 对须经董事会批准的重大投资融资方案进行研究并提出建议、对须经董事会批准的重大资本 运作、资产经营项目进行研究并提出建议、对其他影响公司发展的重大事项进行研究并提出 建议等。报告期内，公司第五届董事会战略委员会未召开会议，各成员通过出席董事会积极 了解公司的经营情况及行业发展状况，对公司中长期发展战略和重大投资决策提出了个人专 业意见。</w:t>
      </w:r>
    </w:p>
    <w:p>
      <w:pPr>
        <w:pStyle w:val="Style49"/>
        <w:keepNext w:val="0"/>
        <w:keepLines w:val="0"/>
        <w:widowControl w:val="0"/>
        <w:shd w:val="clear" w:color="auto" w:fill="auto"/>
        <w:tabs>
          <w:tab w:pos="856" w:val="left"/>
        </w:tabs>
        <w:bidi w:val="0"/>
        <w:spacing w:before="0" w:after="0" w:line="312" w:lineRule="exact"/>
        <w:ind w:left="0" w:right="0" w:firstLine="500"/>
        <w:jc w:val="both"/>
      </w:pPr>
      <w:bookmarkStart w:id="601" w:name="bookmark601"/>
      <w:r>
        <w:rPr>
          <w:rFonts w:ascii="Times New Roman" w:eastAsia="Times New Roman" w:hAnsi="Times New Roman" w:cs="Times New Roman"/>
          <w:color w:val="000000"/>
          <w:spacing w:val="0"/>
          <w:w w:val="100"/>
          <w:position w:val="0"/>
          <w:sz w:val="24"/>
          <w:szCs w:val="24"/>
        </w:rPr>
        <w:t>3</w:t>
      </w:r>
      <w:bookmarkEnd w:id="601"/>
      <w:r>
        <w:rPr>
          <w:color w:val="000000"/>
          <w:spacing w:val="0"/>
          <w:w w:val="100"/>
          <w:position w:val="0"/>
        </w:rPr>
        <w:t>、</w:t>
        <w:tab/>
        <w:t>董事会提名委员会履职情况</w:t>
      </w:r>
    </w:p>
    <w:p>
      <w:pPr>
        <w:pStyle w:val="Style4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报告期内，第五届董事会提名委员会根据《董事会提名委员会工作细则》及其他法律法 规的相关规定积极开展工作，其主要职责包括根据公司经营活动情况，资产规模和股权结构 对董事会的规模和构成向董事会提出建议、研究董事、高级管理人员的选择标准和程序并向 董事会提出建议、搜寻合格的董事、高级管理人员的人选、对董事候选人、高级管理人员人 选进行审查并提出建议等。报告期内，公司第五届董事会提名委员会未召开会议。</w:t>
      </w:r>
    </w:p>
    <w:p>
      <w:pPr>
        <w:pStyle w:val="Style49"/>
        <w:keepNext w:val="0"/>
        <w:keepLines w:val="0"/>
        <w:widowControl w:val="0"/>
        <w:shd w:val="clear" w:color="auto" w:fill="auto"/>
        <w:tabs>
          <w:tab w:pos="860" w:val="left"/>
        </w:tabs>
        <w:bidi w:val="0"/>
        <w:spacing w:before="0" w:after="0" w:line="312" w:lineRule="exact"/>
        <w:ind w:left="0" w:right="0" w:firstLine="500"/>
        <w:jc w:val="both"/>
      </w:pPr>
      <w:bookmarkStart w:id="602" w:name="bookmark602"/>
      <w:r>
        <w:rPr>
          <w:rFonts w:ascii="Times New Roman" w:eastAsia="Times New Roman" w:hAnsi="Times New Roman" w:cs="Times New Roman"/>
          <w:color w:val="000000"/>
          <w:spacing w:val="0"/>
          <w:w w:val="100"/>
          <w:position w:val="0"/>
          <w:sz w:val="24"/>
          <w:szCs w:val="24"/>
        </w:rPr>
        <w:t>4</w:t>
      </w:r>
      <w:bookmarkEnd w:id="602"/>
      <w:r>
        <w:rPr>
          <w:color w:val="000000"/>
          <w:spacing w:val="0"/>
          <w:w w:val="100"/>
          <w:position w:val="0"/>
        </w:rPr>
        <w:t>、</w:t>
        <w:tab/>
        <w:t>董事会薪酬与考核委员会履职情况</w:t>
      </w:r>
    </w:p>
    <w:p>
      <w:pPr>
        <w:pStyle w:val="Style49"/>
        <w:keepNext w:val="0"/>
        <w:keepLines w:val="0"/>
        <w:widowControl w:val="0"/>
        <w:shd w:val="clear" w:color="auto" w:fill="auto"/>
        <w:bidi w:val="0"/>
        <w:spacing w:before="0" w:after="1220" w:line="312" w:lineRule="exact"/>
        <w:ind w:left="0" w:right="0" w:firstLine="500"/>
        <w:jc w:val="both"/>
      </w:pPr>
      <w:r>
        <w:rPr>
          <w:color w:val="000000"/>
          <w:spacing w:val="0"/>
          <w:w w:val="100"/>
          <w:position w:val="0"/>
        </w:rPr>
        <w:t>报告期内，第五届董事会薪酬与考核委员会根据《董事会薪酬与考核委员会工作细则》 及其他法律法规的相关规定积极开展工作，其主要职责包括根据董事及高级管理人员管理岗 位的主要范围、职责、重要性以及其他可比公司相关岗位的薪酬水平制定薪酬计划或方案、 审查公司董事及高级管理人员履行职责情况并对其进行年度绩效考评、对公司基本薪酬制度 执行情况进行审查并监督、拟定公司股权激励计划并对其执行情况进行审查等。报告期内， 公司第五届董事会薪酬与考核委员会共召开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次会议，全体委员在任职期间均亲自出席了会 议，主要审议了首次授予第二个解除限售期解除限售条件成就，预留授予第一个解除限售期 解除限售条件成就，回购注销已不符合激励条件激励对象已获授但尚未解锁的限制性股票相 关事项，并将拟定议案提交公司董事会审议。报告期内不存在薪酬与考核委员会委员对于审 议议案存在反对意见的情况。</w:t>
      </w:r>
    </w:p>
    <w:p>
      <w:pPr>
        <w:pStyle w:val="Style22"/>
        <w:keepNext/>
        <w:keepLines/>
        <w:widowControl w:val="0"/>
        <w:shd w:val="clear" w:color="auto" w:fill="auto"/>
        <w:tabs>
          <w:tab w:pos="491" w:val="left"/>
        </w:tabs>
        <w:bidi w:val="0"/>
        <w:spacing w:before="0" w:line="313"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七</w:t>
      </w:r>
      <w:bookmarkEnd w:id="605"/>
      <w:r>
        <w:rPr>
          <w:color w:val="000000"/>
          <w:spacing w:val="0"/>
          <w:w w:val="100"/>
          <w:position w:val="0"/>
          <w:sz w:val="24"/>
          <w:szCs w:val="24"/>
        </w:rPr>
        <w:t>、</w:t>
        <w:tab/>
        <w:t>监事会工作情况</w:t>
      </w:r>
      <w:bookmarkEnd w:id="603"/>
      <w:bookmarkEnd w:id="604"/>
      <w:bookmarkEnd w:id="60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491" w:val="left"/>
        </w:tabs>
        <w:bidi w:val="0"/>
        <w:spacing w:before="0" w:after="300" w:line="313" w:lineRule="exact"/>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八</w:t>
      </w:r>
      <w:bookmarkEnd w:id="609"/>
      <w:r>
        <w:rPr>
          <w:color w:val="000000"/>
          <w:spacing w:val="0"/>
          <w:w w:val="100"/>
          <w:position w:val="0"/>
          <w:sz w:val="24"/>
          <w:szCs w:val="24"/>
        </w:rPr>
        <w:t>、</w:t>
        <w:tab/>
        <w:t>高级管理人员的考评及激励情况</w:t>
      </w:r>
      <w:bookmarkEnd w:id="607"/>
      <w:bookmarkEnd w:id="608"/>
      <w:bookmarkEnd w:id="610"/>
    </w:p>
    <w:p>
      <w:pPr>
        <w:pStyle w:val="Style49"/>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为了保障公司董事、监事依法履行职权，健全公司薪酬管理体系，公司根据《中华人民共和 国公司法》《关于上市公司建立独立董事的指导意见》等法律、法规及公司《章程》的有关规定, 公司制定了《董事、监事、高级管理人员薪酬与考核度》，建立了高级管理人员的薪酬与公司业 绩挂钩的绩效考核与激励约束机制，公司高级管理人员实行基本薪酬和年终绩效考核相结合的薪 酬制度。高级管理人员的薪酬方案按照公司《董事会薪酬与考核委员会工作细则》《董事、监事 和高级管理人员薪酬与考核制度》等规定由董事会薪酬与考核委员会根据职位、责任、能力、市 场薪资行情等因素拟定，经董事会、监事会审议通过后实施。高级管理人员的基本工资按月发放, 绩效年薪则结合其经营绩效、工作能力、岗位职责等考核确定并发放。</w:t>
      </w:r>
    </w:p>
    <w:p>
      <w:pPr>
        <w:pStyle w:val="Style22"/>
        <w:keepNext/>
        <w:keepLines/>
        <w:widowControl w:val="0"/>
        <w:shd w:val="clear" w:color="auto" w:fill="auto"/>
        <w:tabs>
          <w:tab w:pos="491" w:val="left"/>
        </w:tabs>
        <w:bidi w:val="0"/>
        <w:spacing w:before="0" w:line="313" w:lineRule="exact"/>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九</w:t>
      </w:r>
      <w:bookmarkEnd w:id="613"/>
      <w:r>
        <w:rPr>
          <w:color w:val="000000"/>
          <w:spacing w:val="0"/>
          <w:w w:val="100"/>
          <w:position w:val="0"/>
          <w:sz w:val="24"/>
          <w:szCs w:val="24"/>
        </w:rPr>
        <w:t>、</w:t>
        <w:tab/>
        <w:t>内部控制评价报告</w:t>
      </w:r>
      <w:bookmarkEnd w:id="611"/>
      <w:bookmarkEnd w:id="612"/>
      <w:bookmarkEnd w:id="614"/>
    </w:p>
    <w:p>
      <w:pPr>
        <w:pStyle w:val="Style31"/>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、报告期内发现的内部控制重大缺陷的具体情况</w:t>
      </w:r>
      <w:bookmarkEnd w:id="615"/>
      <w:bookmarkEnd w:id="616"/>
      <w:bookmarkEnd w:id="618"/>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1"/>
        <w:keepNext/>
        <w:keepLines/>
        <w:widowControl w:val="0"/>
        <w:shd w:val="clear" w:color="auto" w:fill="auto"/>
        <w:bidi w:val="0"/>
        <w:spacing w:before="0" w:after="32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、内控自我评价报告</w:t>
      </w:r>
      <w:bookmarkEnd w:id="619"/>
      <w:bookmarkEnd w:id="620"/>
      <w:bookmarkEnd w:id="622"/>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7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出现下列情形的，认定为财务报告内部控 制重大缺陷，其他情形按影响程度分别确 定为重要缺陷或一般缺陷：</w:t>
            </w:r>
          </w:p>
          <w:p>
            <w:pPr>
              <w:pStyle w:val="Style2"/>
              <w:keepNext w:val="0"/>
              <w:keepLines w:val="0"/>
              <w:widowControl w:val="0"/>
              <w:numPr>
                <w:ilvl w:val="0"/>
                <w:numId w:val="17"/>
              </w:numPr>
              <w:shd w:val="clear" w:color="auto" w:fill="auto"/>
              <w:tabs>
                <w:tab w:pos="182"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控制环境无效；</w:t>
            </w:r>
          </w:p>
          <w:p>
            <w:pPr>
              <w:pStyle w:val="Style2"/>
              <w:keepNext w:val="0"/>
              <w:keepLines w:val="0"/>
              <w:widowControl w:val="0"/>
              <w:numPr>
                <w:ilvl w:val="0"/>
                <w:numId w:val="17"/>
              </w:numPr>
              <w:shd w:val="clear" w:color="auto" w:fill="auto"/>
              <w:tabs>
                <w:tab w:pos="182"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发现董事、监事和高级管理人员舞弊；</w:t>
            </w:r>
          </w:p>
          <w:p>
            <w:pPr>
              <w:pStyle w:val="Style2"/>
              <w:keepNext w:val="0"/>
              <w:keepLines w:val="0"/>
              <w:widowControl w:val="0"/>
              <w:numPr>
                <w:ilvl w:val="0"/>
                <w:numId w:val="17"/>
              </w:numPr>
              <w:shd w:val="clear" w:color="auto" w:fill="auto"/>
              <w:tabs>
                <w:tab w:pos="182"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外部审计发现当期财务报表存在重大错 报，而内部控制在运行过程中未能发现该 错报；</w:t>
            </w:r>
          </w:p>
          <w:p>
            <w:pPr>
              <w:pStyle w:val="Style2"/>
              <w:keepNext w:val="0"/>
              <w:keepLines w:val="0"/>
              <w:widowControl w:val="0"/>
              <w:numPr>
                <w:ilvl w:val="0"/>
                <w:numId w:val="17"/>
              </w:numPr>
              <w:shd w:val="clear" w:color="auto" w:fill="auto"/>
              <w:tabs>
                <w:tab w:pos="187"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公司审计部对内部控制的监督无效；</w:t>
            </w:r>
          </w:p>
          <w:p>
            <w:pPr>
              <w:pStyle w:val="Style2"/>
              <w:keepNext w:val="0"/>
              <w:keepLines w:val="0"/>
              <w:widowControl w:val="0"/>
              <w:numPr>
                <w:ilvl w:val="0"/>
                <w:numId w:val="17"/>
              </w:numPr>
              <w:shd w:val="clear" w:color="auto" w:fill="auto"/>
              <w:tabs>
                <w:tab w:pos="202" w:val="left"/>
              </w:tabs>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内部控制评价的结果特别是重大或重要 缺陷未得到整改；</w:t>
            </w:r>
          </w:p>
          <w:p>
            <w:pPr>
              <w:pStyle w:val="Style2"/>
              <w:keepNext w:val="0"/>
              <w:keepLines w:val="0"/>
              <w:widowControl w:val="0"/>
              <w:numPr>
                <w:ilvl w:val="0"/>
                <w:numId w:val="17"/>
              </w:numPr>
              <w:shd w:val="clear" w:color="auto" w:fill="auto"/>
              <w:tabs>
                <w:tab w:pos="182"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其他可能影响报表使用者正确判断的缺 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非财务报告内部控制缺陷的评价标准 出现以下情形的，认定为非财务报告内 部控制重大缺陷，其他情形按影响程度 分别确定为重要缺陷或一般缺陷：</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违反国家法律、法规或规范性文件；</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违反决策程序，导致重大决策失误；</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重要业务缺乏制度性控制，或制度系 统性失效；</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媒体频频曝光重大负面新闻，严重损 害声誉；</w:t>
            </w:r>
          </w:p>
          <w:p>
            <w:pPr>
              <w:pStyle w:val="Style2"/>
              <w:keepNext w:val="0"/>
              <w:keepLines w:val="0"/>
              <w:widowControl w:val="0"/>
              <w:numPr>
                <w:ilvl w:val="0"/>
                <w:numId w:val="19"/>
              </w:numPr>
              <w:shd w:val="clear" w:color="auto" w:fill="auto"/>
              <w:tabs>
                <w:tab w:pos="192" w:val="left"/>
              </w:tabs>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公司未对安全生产实施管理，造成重 大人员伤亡的安全责任事故；</w:t>
            </w:r>
          </w:p>
          <w:p>
            <w:pPr>
              <w:pStyle w:val="Style2"/>
              <w:keepNext w:val="0"/>
              <w:keepLines w:val="0"/>
              <w:widowControl w:val="0"/>
              <w:numPr>
                <w:ilvl w:val="0"/>
                <w:numId w:val="19"/>
              </w:numPr>
              <w:shd w:val="clear" w:color="auto" w:fill="auto"/>
              <w:tabs>
                <w:tab w:pos="192" w:val="left"/>
              </w:tabs>
              <w:bidi w:val="0"/>
              <w:spacing w:before="0" w:after="80" w:line="312" w:lineRule="exact"/>
              <w:ind w:left="0" w:right="0" w:firstLine="0"/>
              <w:jc w:val="left"/>
              <w:rPr>
                <w:sz w:val="17"/>
                <w:szCs w:val="17"/>
              </w:rPr>
            </w:pPr>
            <w:r>
              <w:rPr>
                <w:rFonts w:ascii="SimSun" w:eastAsia="SimSun" w:hAnsi="SimSun" w:cs="SimSun"/>
                <w:color w:val="000000"/>
                <w:spacing w:val="0"/>
                <w:w w:val="100"/>
                <w:position w:val="0"/>
                <w:sz w:val="17"/>
                <w:szCs w:val="17"/>
              </w:rPr>
              <w:t>管理人员或技术人员流失严重；</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其他对公司影响重大的情形。</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41" w:val="left"/>
              </w:tabs>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、重大缺陷：税前利润的</w:t>
            </w:r>
            <w:r>
              <w:rPr>
                <w:color w:val="000000"/>
                <w:spacing w:val="0"/>
                <w:w w:val="100"/>
                <w:position w:val="0"/>
                <w:sz w:val="18"/>
                <w:szCs w:val="18"/>
              </w:rPr>
              <w:t>5%W</w:t>
            </w:r>
            <w:r>
              <w:rPr>
                <w:rFonts w:ascii="SimSun" w:eastAsia="SimSun" w:hAnsi="SimSun" w:cs="SimSun"/>
                <w:color w:val="000000"/>
                <w:spacing w:val="0"/>
                <w:w w:val="100"/>
                <w:position w:val="0"/>
                <w:sz w:val="17"/>
                <w:szCs w:val="17"/>
              </w:rPr>
              <w:t>错报；</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重要缺陷：税前利润的</w:t>
            </w:r>
            <w:r>
              <w:rPr>
                <w:color w:val="000000"/>
                <w:spacing w:val="0"/>
                <w:w w:val="100"/>
                <w:position w:val="0"/>
                <w:sz w:val="18"/>
                <w:szCs w:val="18"/>
              </w:rPr>
              <w:t>3%W</w:t>
            </w:r>
            <w:r>
              <w:rPr>
                <w:rFonts w:ascii="SimSun" w:eastAsia="SimSun" w:hAnsi="SimSun" w:cs="SimSun"/>
                <w:color w:val="000000"/>
                <w:spacing w:val="0"/>
                <w:w w:val="100"/>
                <w:position w:val="0"/>
                <w:sz w:val="17"/>
                <w:szCs w:val="17"/>
              </w:rPr>
              <w:t>错报</w:t>
            </w:r>
            <w:r>
              <w:rPr>
                <w:color w:val="000000"/>
                <w:spacing w:val="0"/>
                <w:w w:val="100"/>
                <w:position w:val="0"/>
                <w:sz w:val="18"/>
                <w:szCs w:val="18"/>
              </w:rPr>
              <w:t>W</w:t>
            </w:r>
            <w:r>
              <w:rPr>
                <w:rFonts w:ascii="SimSun" w:eastAsia="SimSun" w:hAnsi="SimSun" w:cs="SimSun"/>
                <w:color w:val="000000"/>
                <w:spacing w:val="0"/>
                <w:w w:val="100"/>
                <w:position w:val="0"/>
                <w:sz w:val="17"/>
                <w:szCs w:val="17"/>
              </w:rPr>
              <w:t>税前利 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、一般缺陷：错报</w:t>
            </w:r>
            <w:r>
              <w:rPr>
                <w:color w:val="000000"/>
                <w:spacing w:val="0"/>
                <w:w w:val="100"/>
                <w:position w:val="0"/>
                <w:sz w:val="18"/>
                <w:szCs w:val="18"/>
              </w:rPr>
              <w:t>W</w:t>
            </w:r>
            <w:r>
              <w:rPr>
                <w:rFonts w:ascii="SimSun" w:eastAsia="SimSun" w:hAnsi="SimSun" w:cs="SimSun"/>
                <w:color w:val="000000"/>
                <w:spacing w:val="0"/>
                <w:w w:val="100"/>
                <w:position w:val="0"/>
                <w:sz w:val="17"/>
                <w:szCs w:val="17"/>
              </w:rPr>
              <w:t>税前利润</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r>
        <w:rPr>
          <w:color w:val="000000"/>
          <w:spacing w:val="0"/>
          <w:w w:val="100"/>
          <w:position w:val="0"/>
          <w:sz w:val="24"/>
          <w:szCs w:val="24"/>
        </w:rPr>
        <w:t>十、内部控制审计报告或鉴证报告</w:t>
      </w:r>
      <w:bookmarkEnd w:id="623"/>
      <w:bookmarkEnd w:id="624"/>
      <w:bookmarkEnd w:id="62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1"/>
        <w:keepNext/>
        <w:keepLines/>
        <w:widowControl w:val="0"/>
        <w:shd w:val="clear" w:color="auto" w:fill="auto"/>
        <w:bidi w:val="0"/>
        <w:spacing w:before="0" w:after="600" w:line="240" w:lineRule="auto"/>
        <w:ind w:left="0" w:right="0" w:firstLine="0"/>
        <w:jc w:val="center"/>
      </w:pPr>
      <w:bookmarkStart w:id="626" w:name="bookmark626"/>
      <w:bookmarkStart w:id="627" w:name="bookmark627"/>
      <w:bookmarkStart w:id="628" w:name="bookmark628"/>
      <w:r>
        <w:rPr>
          <w:color w:val="000000"/>
          <w:spacing w:val="0"/>
          <w:w w:val="100"/>
          <w:position w:val="0"/>
        </w:rPr>
        <w:t>第十一节公司债券相关情况</w:t>
      </w:r>
      <w:bookmarkEnd w:id="626"/>
      <w:bookmarkEnd w:id="627"/>
      <w:bookmarkEnd w:id="62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12" w:right="1042" w:bottom="1455" w:left="1056"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00" w:after="560" w:line="240" w:lineRule="auto"/>
        <w:ind w:left="0" w:right="0" w:firstLine="0"/>
        <w:jc w:val="center"/>
      </w:pPr>
      <w:bookmarkStart w:id="629" w:name="bookmark629"/>
      <w:bookmarkStart w:id="630" w:name="bookmark630"/>
      <w:bookmarkStart w:id="631" w:name="bookmark631"/>
      <w:r>
        <w:rPr>
          <w:color w:val="000000"/>
          <w:spacing w:val="0"/>
          <w:w w:val="100"/>
          <w:position w:val="0"/>
        </w:rPr>
        <w:t>第十二节财务报告</w:t>
      </w:r>
      <w:bookmarkEnd w:id="629"/>
      <w:bookmarkEnd w:id="630"/>
      <w:bookmarkEnd w:id="631"/>
    </w:p>
    <w:p>
      <w:pPr>
        <w:pStyle w:val="Style27"/>
        <w:keepNext w:val="0"/>
        <w:keepLines w:val="0"/>
        <w:widowControl w:val="0"/>
        <w:shd w:val="clear" w:color="auto" w:fill="auto"/>
        <w:bidi w:val="0"/>
        <w:spacing w:before="0" w:after="0" w:line="240" w:lineRule="auto"/>
        <w:ind w:left="0" w:right="0" w:firstLine="0"/>
        <w:jc w:val="left"/>
        <w:rPr>
          <w:sz w:val="24"/>
          <w:szCs w:val="24"/>
        </w:rPr>
      </w:pPr>
      <w:bookmarkStart w:id="632" w:name="bookmark632"/>
      <w:r>
        <w:rPr>
          <w:b/>
          <w:bCs/>
          <w:color w:val="000000"/>
          <w:spacing w:val="0"/>
          <w:w w:val="100"/>
          <w:position w:val="0"/>
          <w:sz w:val="24"/>
          <w:szCs w:val="24"/>
        </w:rPr>
        <w:t>一、审计报告</w:t>
      </w:r>
      <w:bookmarkEnd w:id="6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XYZH2021SZAA30038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郭晋龙、邓畅</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1"/>
        <w:keepNext/>
        <w:keepLines/>
        <w:widowControl w:val="0"/>
        <w:shd w:val="clear" w:color="auto" w:fill="auto"/>
        <w:bidi w:val="0"/>
        <w:spacing w:before="0" w:after="480" w:line="240" w:lineRule="auto"/>
        <w:ind w:left="0" w:right="0" w:firstLine="0"/>
        <w:jc w:val="right"/>
        <w:rPr>
          <w:sz w:val="22"/>
          <w:szCs w:val="22"/>
        </w:rPr>
      </w:pPr>
      <w:bookmarkStart w:id="633" w:name="bookmark633"/>
      <w:bookmarkStart w:id="634" w:name="bookmark634"/>
      <w:bookmarkStart w:id="635" w:name="bookmark635"/>
      <w:r>
        <w:rPr>
          <w:b w:val="0"/>
          <w:bCs w:val="0"/>
          <w:color w:val="000000"/>
          <w:spacing w:val="0"/>
          <w:w w:val="100"/>
          <w:position w:val="0"/>
          <w:sz w:val="22"/>
          <w:szCs w:val="22"/>
        </w:rPr>
        <w:t>XYZH/2021SZAA30038</w:t>
      </w:r>
      <w:bookmarkEnd w:id="633"/>
      <w:bookmarkEnd w:id="634"/>
      <w:bookmarkEnd w:id="635"/>
    </w:p>
    <w:p>
      <w:pPr>
        <w:pStyle w:val="Style49"/>
        <w:keepNext w:val="0"/>
        <w:keepLines w:val="0"/>
        <w:widowControl w:val="0"/>
        <w:shd w:val="clear" w:color="auto" w:fill="auto"/>
        <w:bidi w:val="0"/>
        <w:spacing w:before="0" w:after="420" w:line="240" w:lineRule="auto"/>
        <w:ind w:left="0" w:right="0" w:firstLine="0"/>
        <w:jc w:val="both"/>
      </w:pPr>
      <w:r>
        <w:rPr>
          <w:b/>
          <w:bCs/>
          <w:color w:val="000000"/>
          <w:spacing w:val="0"/>
          <w:w w:val="100"/>
          <w:position w:val="0"/>
        </w:rPr>
        <w:t>深圳中青宝互动网络股份有限公司全体股东:</w:t>
      </w:r>
    </w:p>
    <w:p>
      <w:pPr>
        <w:pStyle w:val="Style49"/>
        <w:keepNext w:val="0"/>
        <w:keepLines w:val="0"/>
        <w:widowControl w:val="0"/>
        <w:shd w:val="clear" w:color="auto" w:fill="auto"/>
        <w:bidi w:val="0"/>
        <w:spacing w:before="0" w:after="320" w:line="240" w:lineRule="auto"/>
        <w:ind w:left="1280" w:right="0" w:firstLine="0"/>
        <w:jc w:val="both"/>
      </w:pPr>
      <w:r>
        <w:rPr>
          <w:b/>
          <w:bCs/>
          <w:color w:val="000000"/>
          <w:spacing w:val="0"/>
          <w:w w:val="100"/>
          <w:position w:val="0"/>
        </w:rPr>
        <w:t>审计意见</w:t>
      </w:r>
    </w:p>
    <w:p>
      <w:pPr>
        <w:pStyle w:val="Style49"/>
        <w:keepNext w:val="0"/>
        <w:keepLines w:val="0"/>
        <w:widowControl w:val="0"/>
        <w:shd w:val="clear" w:color="auto" w:fill="auto"/>
        <w:bidi w:val="0"/>
        <w:spacing w:before="0" w:after="320" w:line="358" w:lineRule="exact"/>
        <w:ind w:left="0" w:right="0" w:firstLine="460"/>
        <w:jc w:val="both"/>
      </w:pPr>
      <w:r>
        <w:rPr>
          <w:color w:val="000000"/>
          <w:spacing w:val="0"/>
          <w:w w:val="100"/>
          <w:position w:val="0"/>
        </w:rPr>
        <w:t>我们审计了深圳中青宝互动网络股份有限公司（以下简称中青宝公司）财务报表，包括</w:t>
      </w:r>
      <w:r>
        <w:rPr>
          <w:color w:val="000000"/>
          <w:spacing w:val="0"/>
          <w:w w:val="100"/>
          <w:position w:val="0"/>
          <w:sz w:val="22"/>
          <w:szCs w:val="22"/>
        </w:rPr>
        <w:t>2020</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，2020</w:t>
      </w:r>
      <w:r>
        <w:rPr>
          <w:color w:val="000000"/>
          <w:spacing w:val="0"/>
          <w:w w:val="100"/>
          <w:position w:val="0"/>
        </w:rPr>
        <w:t>年度的合并及母公司利润表、合并及母公司现金流量表、 合并及母公司股东权益变动表，以及相关财务报表附注。</w:t>
      </w:r>
    </w:p>
    <w:p>
      <w:pPr>
        <w:pStyle w:val="Style49"/>
        <w:keepNext w:val="0"/>
        <w:keepLines w:val="0"/>
        <w:widowControl w:val="0"/>
        <w:shd w:val="clear" w:color="auto" w:fill="auto"/>
        <w:bidi w:val="0"/>
        <w:spacing w:before="0" w:after="420" w:line="346" w:lineRule="exact"/>
        <w:ind w:left="0" w:right="0" w:firstLine="460"/>
        <w:jc w:val="both"/>
      </w:pPr>
      <w:r>
        <w:rPr>
          <w:color w:val="000000"/>
          <w:spacing w:val="0"/>
          <w:w w:val="100"/>
          <w:position w:val="0"/>
        </w:rPr>
        <w:t>我们认为，后附的财务报表在所有重大方面按照企业会计准则的规定编制，公允反映了中青宝公 司</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2020</w:t>
      </w:r>
      <w:r>
        <w:rPr>
          <w:color w:val="000000"/>
          <w:spacing w:val="0"/>
          <w:w w:val="100"/>
          <w:position w:val="0"/>
        </w:rPr>
        <w:t>年度的合并及母公司经营成果和现金流量。</w:t>
      </w:r>
    </w:p>
    <w:p>
      <w:pPr>
        <w:pStyle w:val="Style49"/>
        <w:keepNext w:val="0"/>
        <w:keepLines w:val="0"/>
        <w:widowControl w:val="0"/>
        <w:shd w:val="clear" w:color="auto" w:fill="auto"/>
        <w:bidi w:val="0"/>
        <w:spacing w:before="0" w:after="320" w:line="240" w:lineRule="auto"/>
        <w:ind w:left="1280" w:right="0" w:firstLine="0"/>
        <w:jc w:val="both"/>
      </w:pPr>
      <w:r>
        <w:rPr>
          <w:b/>
          <w:bCs/>
          <w:color w:val="000000"/>
          <w:spacing w:val="0"/>
          <w:w w:val="100"/>
          <w:position w:val="0"/>
        </w:rPr>
        <w:t>形成审计意见的基础</w:t>
      </w:r>
    </w:p>
    <w:p>
      <w:pPr>
        <w:pStyle w:val="Style49"/>
        <w:keepNext w:val="0"/>
        <w:keepLines w:val="0"/>
        <w:widowControl w:val="0"/>
        <w:shd w:val="clear" w:color="auto" w:fill="auto"/>
        <w:bidi w:val="0"/>
        <w:spacing w:before="0" w:after="420" w:line="358" w:lineRule="exact"/>
        <w:ind w:left="0" w:right="0" w:firstLine="46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审计的责任”部分进一步阐述了我们在这些准则下的责任。按照中国注册会计师职业道德守则，我们 独立于中青宝公司，并履行了职业道德方面的其他责任。我们相信，我们获取的审计证据是充分、适 当的，为发表审计意见提供了基础。</w:t>
      </w:r>
    </w:p>
    <w:p>
      <w:pPr>
        <w:pStyle w:val="Style49"/>
        <w:keepNext w:val="0"/>
        <w:keepLines w:val="0"/>
        <w:widowControl w:val="0"/>
        <w:shd w:val="clear" w:color="auto" w:fill="auto"/>
        <w:bidi w:val="0"/>
        <w:spacing w:before="0" w:after="280" w:line="240" w:lineRule="auto"/>
        <w:ind w:left="1280" w:right="0" w:firstLine="0"/>
        <w:jc w:val="both"/>
      </w:pPr>
      <w:r>
        <w:rPr>
          <w:b/>
          <w:bCs/>
          <w:color w:val="000000"/>
          <w:spacing w:val="0"/>
          <w:w w:val="100"/>
          <w:position w:val="0"/>
        </w:rPr>
        <w:t>关键审计事项</w:t>
      </w:r>
    </w:p>
    <w:p>
      <w:pPr>
        <w:pStyle w:val="Style49"/>
        <w:keepNext w:val="0"/>
        <w:keepLines w:val="0"/>
        <w:widowControl w:val="0"/>
        <w:shd w:val="clear" w:color="auto" w:fill="auto"/>
        <w:bidi w:val="0"/>
        <w:spacing w:before="0" w:after="280" w:line="370" w:lineRule="exact"/>
        <w:ind w:left="0" w:right="0" w:firstLine="46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both"/>
      </w:pPr>
      <w:r>
        <w:rPr>
          <w:b/>
          <w:bCs/>
          <w:color w:val="000000"/>
          <w:spacing w:val="0"/>
          <w:w w:val="100"/>
          <w:position w:val="0"/>
        </w:rPr>
        <w:t>1.</w:t>
      </w:r>
      <w:r>
        <w:rPr>
          <w:b/>
          <w:bCs/>
          <w:color w:val="000000"/>
          <w:spacing w:val="0"/>
          <w:w w:val="100"/>
          <w:position w:val="0"/>
        </w:rPr>
        <w:t>收入确认</w:t>
      </w:r>
      <w:r>
        <w:br w:type="page"/>
      </w:r>
    </w:p>
    <w:tbl>
      <w:tblPr>
        <w:tblOverlap w:val="never"/>
        <w:jc w:val="center"/>
        <w:tblLayout w:type="fixed"/>
      </w:tblPr>
      <w:tblGrid>
        <w:gridCol w:w="4958"/>
        <w:gridCol w:w="4666"/>
      </w:tblGrid>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审计中的应对</w:t>
            </w:r>
          </w:p>
        </w:tc>
      </w:tr>
      <w:tr>
        <w:trPr>
          <w:trHeight w:val="72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58" w:lineRule="exact"/>
              <w:ind w:left="0" w:right="0" w:firstLine="0"/>
              <w:jc w:val="left"/>
              <w:rPr>
                <w:sz w:val="22"/>
                <w:szCs w:val="22"/>
              </w:rPr>
            </w:pPr>
            <w:r>
              <w:rPr>
                <w:rFonts w:ascii="SimSun" w:eastAsia="SimSun" w:hAnsi="SimSun" w:cs="SimSun"/>
                <w:color w:val="000000"/>
                <w:spacing w:val="0"/>
                <w:w w:val="100"/>
                <w:position w:val="0"/>
                <w:sz w:val="22"/>
                <w:szCs w:val="22"/>
              </w:rPr>
              <w:t>参见附注四</w:t>
            </w:r>
            <w:r>
              <w:rPr>
                <w:rFonts w:ascii="SimSun" w:eastAsia="SimSun" w:hAnsi="SimSun" w:cs="SimSun"/>
                <w:color w:val="000000"/>
                <w:spacing w:val="0"/>
                <w:w w:val="100"/>
                <w:position w:val="0"/>
                <w:sz w:val="22"/>
                <w:szCs w:val="22"/>
              </w:rPr>
              <w:t>（25）</w:t>
            </w:r>
            <w:r>
              <w:rPr>
                <w:rFonts w:ascii="SimSun" w:eastAsia="SimSun" w:hAnsi="SimSun" w:cs="SimSun"/>
                <w:color w:val="000000"/>
                <w:spacing w:val="0"/>
                <w:w w:val="100"/>
                <w:position w:val="0"/>
                <w:sz w:val="22"/>
                <w:szCs w:val="22"/>
              </w:rPr>
              <w:t>及附注六</w:t>
            </w:r>
            <w:r>
              <w:rPr>
                <w:rFonts w:ascii="SimSun" w:eastAsia="SimSun" w:hAnsi="SimSun" w:cs="SimSun"/>
                <w:color w:val="000000"/>
                <w:spacing w:val="0"/>
                <w:w w:val="100"/>
                <w:position w:val="0"/>
                <w:sz w:val="22"/>
                <w:szCs w:val="22"/>
              </w:rPr>
              <w:t>（32）, 2020</w:t>
            </w:r>
            <w:r>
              <w:rPr>
                <w:rFonts w:ascii="SimSun" w:eastAsia="SimSun" w:hAnsi="SimSun" w:cs="SimSun"/>
                <w:color w:val="000000"/>
                <w:spacing w:val="0"/>
                <w:w w:val="100"/>
                <w:position w:val="0"/>
                <w:sz w:val="22"/>
                <w:szCs w:val="22"/>
              </w:rPr>
              <w:t>年度主营 业务收入</w:t>
            </w:r>
            <w:r>
              <w:rPr>
                <w:rFonts w:ascii="SimSun" w:eastAsia="SimSun" w:hAnsi="SimSun" w:cs="SimSun"/>
                <w:color w:val="000000"/>
                <w:spacing w:val="0"/>
                <w:w w:val="100"/>
                <w:position w:val="0"/>
                <w:sz w:val="22"/>
                <w:szCs w:val="22"/>
              </w:rPr>
              <w:t xml:space="preserve">289,457,050. </w:t>
            </w:r>
            <w:r>
              <w:rPr>
                <w:rFonts w:ascii="SimSun" w:eastAsia="SimSun" w:hAnsi="SimSun" w:cs="SimSun"/>
                <w:color w:val="000000"/>
                <w:spacing w:val="0"/>
                <w:w w:val="100"/>
                <w:position w:val="0"/>
                <w:sz w:val="22"/>
                <w:szCs w:val="22"/>
              </w:rPr>
              <w:t>97</w:t>
            </w:r>
            <w:r>
              <w:rPr>
                <w:rFonts w:ascii="SimSun" w:eastAsia="SimSun" w:hAnsi="SimSun" w:cs="SimSun"/>
                <w:color w:val="000000"/>
                <w:spacing w:val="0"/>
                <w:w w:val="100"/>
                <w:position w:val="0"/>
                <w:sz w:val="22"/>
                <w:szCs w:val="22"/>
              </w:rPr>
              <w:t>元。其中网络游戏业务 收入</w:t>
            </w:r>
            <w:r>
              <w:rPr>
                <w:rFonts w:ascii="SimSun" w:eastAsia="SimSun" w:hAnsi="SimSun" w:cs="SimSun"/>
                <w:color w:val="000000"/>
                <w:spacing w:val="0"/>
                <w:w w:val="100"/>
                <w:position w:val="0"/>
                <w:sz w:val="22"/>
                <w:szCs w:val="22"/>
              </w:rPr>
              <w:t xml:space="preserve">145, </w:t>
            </w:r>
            <w:r>
              <w:rPr>
                <w:rFonts w:ascii="SimSun" w:eastAsia="SimSun" w:hAnsi="SimSun" w:cs="SimSun"/>
                <w:color w:val="000000"/>
                <w:spacing w:val="0"/>
                <w:w w:val="100"/>
                <w:position w:val="0"/>
                <w:sz w:val="22"/>
                <w:szCs w:val="22"/>
              </w:rPr>
              <w:t>712,479.64</w:t>
            </w:r>
            <w:r>
              <w:rPr>
                <w:rFonts w:ascii="SimSun" w:eastAsia="SimSun" w:hAnsi="SimSun" w:cs="SimSun"/>
                <w:color w:val="000000"/>
                <w:spacing w:val="0"/>
                <w:w w:val="100"/>
                <w:position w:val="0"/>
                <w:sz w:val="22"/>
                <w:szCs w:val="22"/>
              </w:rPr>
              <w:t xml:space="preserve">元，云服务业务收入 </w:t>
            </w:r>
            <w:r>
              <w:rPr>
                <w:rFonts w:ascii="SimSun" w:eastAsia="SimSun" w:hAnsi="SimSun" w:cs="SimSun"/>
                <w:color w:val="000000"/>
                <w:spacing w:val="0"/>
                <w:w w:val="100"/>
                <w:position w:val="0"/>
                <w:sz w:val="22"/>
                <w:szCs w:val="22"/>
              </w:rPr>
              <w:t xml:space="preserve">142,928,353.79 </w:t>
            </w:r>
            <w:r>
              <w:rPr>
                <w:rFonts w:ascii="SimSun" w:eastAsia="SimSun" w:hAnsi="SimSun" w:cs="SimSun"/>
                <w:color w:val="000000"/>
                <w:spacing w:val="0"/>
                <w:w w:val="100"/>
                <w:position w:val="0"/>
                <w:sz w:val="22"/>
                <w:szCs w:val="22"/>
              </w:rPr>
              <w:t xml:space="preserve">元，其他业务收入 </w:t>
            </w:r>
            <w:r>
              <w:rPr>
                <w:rFonts w:ascii="SimSun" w:eastAsia="SimSun" w:hAnsi="SimSun" w:cs="SimSun"/>
                <w:color w:val="000000"/>
                <w:spacing w:val="0"/>
                <w:w w:val="100"/>
                <w:position w:val="0"/>
                <w:sz w:val="22"/>
                <w:szCs w:val="22"/>
              </w:rPr>
              <w:t xml:space="preserve">4,386,896. </w:t>
            </w:r>
            <w:r>
              <w:rPr>
                <w:rFonts w:ascii="SimSun" w:eastAsia="SimSun" w:hAnsi="SimSun" w:cs="SimSun"/>
                <w:color w:val="000000"/>
                <w:spacing w:val="0"/>
                <w:w w:val="100"/>
                <w:position w:val="0"/>
                <w:sz w:val="22"/>
                <w:szCs w:val="22"/>
              </w:rPr>
              <w:t>65</w:t>
            </w:r>
          </w:p>
          <w:p>
            <w:pPr>
              <w:pStyle w:val="Style2"/>
              <w:keepNext w:val="0"/>
              <w:keepLines w:val="0"/>
              <w:widowControl w:val="0"/>
              <w:shd w:val="clear" w:color="auto" w:fill="auto"/>
              <w:bidi w:val="0"/>
              <w:spacing w:before="0" w:after="180" w:line="358" w:lineRule="exact"/>
              <w:ind w:left="0" w:right="0" w:firstLine="0"/>
              <w:jc w:val="left"/>
              <w:rPr>
                <w:sz w:val="22"/>
                <w:szCs w:val="22"/>
              </w:rPr>
            </w:pPr>
            <w:r>
              <w:rPr>
                <w:rFonts w:ascii="SimSun" w:eastAsia="SimSun" w:hAnsi="SimSun" w:cs="SimSun"/>
                <w:color w:val="000000"/>
                <w:spacing w:val="0"/>
                <w:w w:val="100"/>
                <w:position w:val="0"/>
                <w:sz w:val="22"/>
                <w:szCs w:val="22"/>
              </w:rPr>
              <w:t>J Lo</w:t>
            </w:r>
          </w:p>
          <w:p>
            <w:pPr>
              <w:pStyle w:val="Style2"/>
              <w:keepNext w:val="0"/>
              <w:keepLines w:val="0"/>
              <w:widowControl w:val="0"/>
              <w:shd w:val="clear" w:color="auto" w:fill="auto"/>
              <w:bidi w:val="0"/>
              <w:spacing w:before="0" w:after="160" w:line="360" w:lineRule="exact"/>
              <w:ind w:left="0" w:right="0" w:firstLine="0"/>
              <w:jc w:val="left"/>
              <w:rPr>
                <w:sz w:val="22"/>
                <w:szCs w:val="22"/>
              </w:rPr>
            </w:pPr>
            <w:r>
              <w:rPr>
                <w:rFonts w:ascii="SimSun" w:eastAsia="SimSun" w:hAnsi="SimSun" w:cs="SimSun"/>
                <w:color w:val="000000"/>
                <w:spacing w:val="0"/>
                <w:w w:val="100"/>
                <w:position w:val="0"/>
                <w:sz w:val="22"/>
                <w:szCs w:val="22"/>
              </w:rPr>
              <w:t>由于收入是中青宝公司的关键业绩指标之一，且不 同类别收入确认时点及依据不同，属于财务报表重 要项目，且属于特别风险，因此我们将收入确定为 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67" w:lineRule="exact"/>
              <w:ind w:left="0" w:right="0" w:firstLine="0"/>
              <w:jc w:val="both"/>
              <w:rPr>
                <w:sz w:val="22"/>
                <w:szCs w:val="22"/>
              </w:rPr>
            </w:pPr>
            <w:r>
              <w:rPr>
                <w:rFonts w:ascii="SimSun" w:eastAsia="SimSun" w:hAnsi="SimSun" w:cs="SimSun"/>
                <w:color w:val="000000"/>
                <w:spacing w:val="0"/>
                <w:w w:val="100"/>
                <w:position w:val="0"/>
                <w:sz w:val="22"/>
                <w:szCs w:val="22"/>
              </w:rPr>
              <w:t>我们实施的审计程序包括：</w:t>
            </w:r>
          </w:p>
          <w:p>
            <w:pPr>
              <w:pStyle w:val="Style2"/>
              <w:keepNext w:val="0"/>
              <w:keepLines w:val="0"/>
              <w:widowControl w:val="0"/>
              <w:shd w:val="clear" w:color="auto" w:fill="auto"/>
              <w:tabs>
                <w:tab w:pos="422" w:val="left"/>
              </w:tabs>
              <w:bidi w:val="0"/>
              <w:spacing w:before="0" w:after="0" w:line="367" w:lineRule="exact"/>
              <w:ind w:left="0" w:right="0" w:firstLine="0"/>
              <w:jc w:val="both"/>
              <w:rPr>
                <w:sz w:val="22"/>
                <w:szCs w:val="22"/>
              </w:rPr>
            </w:pPr>
            <w:r>
              <w:rPr>
                <w:rFonts w:ascii="SimSun" w:eastAsia="SimSun" w:hAnsi="SimSun" w:cs="SimSun"/>
                <w:color w:val="000000"/>
                <w:spacing w:val="0"/>
                <w:w w:val="100"/>
                <w:position w:val="0"/>
                <w:sz w:val="22"/>
                <w:szCs w:val="22"/>
              </w:rPr>
              <w:t>1）</w:t>
              <w:tab/>
            </w:r>
            <w:r>
              <w:rPr>
                <w:rFonts w:ascii="SimSun" w:eastAsia="SimSun" w:hAnsi="SimSun" w:cs="SimSun"/>
                <w:color w:val="000000"/>
                <w:spacing w:val="0"/>
                <w:w w:val="100"/>
                <w:position w:val="0"/>
                <w:sz w:val="22"/>
                <w:szCs w:val="22"/>
              </w:rPr>
              <w:t>测试和评价与收入相关的关键内部控制， 复核相关会计政策是否正确且一贯运用；</w:t>
            </w:r>
          </w:p>
          <w:p>
            <w:pPr>
              <w:pStyle w:val="Style2"/>
              <w:keepNext w:val="0"/>
              <w:keepLines w:val="0"/>
              <w:widowControl w:val="0"/>
              <w:shd w:val="clear" w:color="auto" w:fill="auto"/>
              <w:tabs>
                <w:tab w:pos="427" w:val="left"/>
              </w:tabs>
              <w:bidi w:val="0"/>
              <w:spacing w:before="0" w:after="0" w:line="367" w:lineRule="exact"/>
              <w:ind w:left="0" w:right="0" w:firstLine="0"/>
              <w:jc w:val="both"/>
              <w:rPr>
                <w:sz w:val="22"/>
                <w:szCs w:val="22"/>
              </w:rPr>
            </w:pPr>
            <w:r>
              <w:rPr>
                <w:rFonts w:ascii="SimSun" w:eastAsia="SimSun" w:hAnsi="SimSun" w:cs="SimSun"/>
                <w:color w:val="000000"/>
                <w:spacing w:val="0"/>
                <w:w w:val="100"/>
                <w:position w:val="0"/>
                <w:sz w:val="22"/>
                <w:szCs w:val="22"/>
              </w:rPr>
              <w:t>2）</w:t>
              <w:tab/>
            </w:r>
            <w:r>
              <w:rPr>
                <w:rFonts w:ascii="SimSun" w:eastAsia="SimSun" w:hAnsi="SimSun" w:cs="SimSun"/>
                <w:color w:val="000000"/>
                <w:spacing w:val="0"/>
                <w:w w:val="100"/>
                <w:position w:val="0"/>
                <w:sz w:val="22"/>
                <w:szCs w:val="22"/>
              </w:rPr>
              <w:t>根据不同类别收入的确认原则和依据，对 收入执行分析性复核程序，判断其合理性；</w:t>
            </w:r>
          </w:p>
          <w:p>
            <w:pPr>
              <w:pStyle w:val="Style2"/>
              <w:keepNext w:val="0"/>
              <w:keepLines w:val="0"/>
              <w:widowControl w:val="0"/>
              <w:shd w:val="clear" w:color="auto" w:fill="auto"/>
              <w:tabs>
                <w:tab w:pos="427"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3）</w:t>
              <w:tab/>
            </w:r>
            <w:r>
              <w:rPr>
                <w:rFonts w:ascii="SimSun" w:eastAsia="SimSun" w:hAnsi="SimSun" w:cs="SimSun"/>
                <w:color w:val="000000"/>
                <w:spacing w:val="0"/>
                <w:w w:val="100"/>
                <w:position w:val="0"/>
                <w:sz w:val="22"/>
                <w:szCs w:val="22"/>
              </w:rPr>
              <w:t>对游戏的运营实施</w:t>
            </w:r>
            <w:r>
              <w:rPr>
                <w:rFonts w:ascii="SimSun" w:eastAsia="SimSun" w:hAnsi="SimSun" w:cs="SimSun"/>
                <w:color w:val="000000"/>
                <w:spacing w:val="0"/>
                <w:w w:val="100"/>
                <w:position w:val="0"/>
                <w:sz w:val="22"/>
                <w:szCs w:val="22"/>
              </w:rPr>
              <w:t>IT</w:t>
            </w:r>
            <w:r>
              <w:rPr>
                <w:rFonts w:ascii="SimSun" w:eastAsia="SimSun" w:hAnsi="SimSun" w:cs="SimSun"/>
                <w:color w:val="000000"/>
                <w:spacing w:val="0"/>
                <w:w w:val="100"/>
                <w:position w:val="0"/>
                <w:sz w:val="22"/>
                <w:szCs w:val="22"/>
              </w:rPr>
              <w:t>审计，对主要游戏的 财务流水数据与运营平台数据以及系统数据进 行核对，验证其数据的完整性。对游戏的进销 存进行测试，验证游戏币消耗数据的真实性； 对主要游戏进行</w:t>
            </w:r>
            <w:r>
              <w:rPr>
                <w:rFonts w:ascii="SimSun" w:eastAsia="SimSun" w:hAnsi="SimSun" w:cs="SimSun"/>
                <w:color w:val="000000"/>
                <w:spacing w:val="0"/>
                <w:w w:val="100"/>
                <w:position w:val="0"/>
                <w:sz w:val="22"/>
                <w:szCs w:val="22"/>
              </w:rPr>
              <w:t>TOP100</w:t>
            </w:r>
            <w:r>
              <w:rPr>
                <w:rFonts w:ascii="SimSun" w:eastAsia="SimSun" w:hAnsi="SimSun" w:cs="SimSun"/>
                <w:color w:val="000000"/>
                <w:spacing w:val="0"/>
                <w:w w:val="100"/>
                <w:position w:val="0"/>
                <w:sz w:val="22"/>
                <w:szCs w:val="22"/>
              </w:rPr>
              <w:t>用户数据分析，月度经 营数据、用户时点数据、用户充值频率进行分 析，验证其真实性；</w:t>
            </w:r>
          </w:p>
          <w:p>
            <w:pPr>
              <w:pStyle w:val="Style2"/>
              <w:keepNext w:val="0"/>
              <w:keepLines w:val="0"/>
              <w:widowControl w:val="0"/>
              <w:shd w:val="clear" w:color="auto" w:fill="auto"/>
              <w:tabs>
                <w:tab w:pos="427"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4）</w:t>
              <w:tab/>
            </w:r>
            <w:r>
              <w:rPr>
                <w:rFonts w:ascii="SimSun" w:eastAsia="SimSun" w:hAnsi="SimSun" w:cs="SimSun"/>
                <w:color w:val="000000"/>
                <w:spacing w:val="0"/>
                <w:w w:val="100"/>
                <w:position w:val="0"/>
                <w:sz w:val="22"/>
                <w:szCs w:val="22"/>
              </w:rPr>
              <w:t>检查云服务收入涉及的数据中心机柜租赁 业务合同、结算单、回款单；对出租机柜实施 监盘，并查看其实际运行情况，确认机柜租赁 收入的真实性、完整性；</w:t>
            </w:r>
          </w:p>
          <w:p>
            <w:pPr>
              <w:pStyle w:val="Style2"/>
              <w:keepNext w:val="0"/>
              <w:keepLines w:val="0"/>
              <w:widowControl w:val="0"/>
              <w:shd w:val="clear" w:color="auto" w:fill="auto"/>
              <w:tabs>
                <w:tab w:pos="437"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5）</w:t>
              <w:tab/>
            </w:r>
            <w:r>
              <w:rPr>
                <w:rFonts w:ascii="SimSun" w:eastAsia="SimSun" w:hAnsi="SimSun" w:cs="SimSun"/>
                <w:color w:val="000000"/>
                <w:spacing w:val="0"/>
                <w:w w:val="100"/>
                <w:position w:val="0"/>
                <w:sz w:val="22"/>
                <w:szCs w:val="22"/>
              </w:rPr>
              <w:t>检查云服务收入涉及的运维系统销售、带 宽销售、结算单等；</w:t>
            </w:r>
          </w:p>
          <w:p>
            <w:pPr>
              <w:pStyle w:val="Style2"/>
              <w:keepNext w:val="0"/>
              <w:keepLines w:val="0"/>
              <w:widowControl w:val="0"/>
              <w:shd w:val="clear" w:color="auto" w:fill="auto"/>
              <w:tabs>
                <w:tab w:pos="437"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6）</w:t>
              <w:tab/>
            </w:r>
            <w:r>
              <w:rPr>
                <w:rFonts w:ascii="SimSun" w:eastAsia="SimSun" w:hAnsi="SimSun" w:cs="SimSun"/>
                <w:color w:val="000000"/>
                <w:spacing w:val="0"/>
                <w:w w:val="100"/>
                <w:position w:val="0"/>
                <w:sz w:val="22"/>
                <w:szCs w:val="22"/>
              </w:rPr>
              <w:t>向客户实施走访和函证程序；</w:t>
            </w:r>
          </w:p>
          <w:p>
            <w:pPr>
              <w:pStyle w:val="Style2"/>
              <w:keepNext w:val="0"/>
              <w:keepLines w:val="0"/>
              <w:widowControl w:val="0"/>
              <w:shd w:val="clear" w:color="auto" w:fill="auto"/>
              <w:tabs>
                <w:tab w:pos="437"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7）</w:t>
              <w:tab/>
            </w:r>
            <w:r>
              <w:rPr>
                <w:rFonts w:ascii="SimSun" w:eastAsia="SimSun" w:hAnsi="SimSun" w:cs="SimSun"/>
                <w:color w:val="000000"/>
                <w:spacing w:val="0"/>
                <w:w w:val="100"/>
                <w:position w:val="0"/>
                <w:sz w:val="22"/>
                <w:szCs w:val="22"/>
              </w:rPr>
              <w:t>检查期后回款情况。</w:t>
            </w:r>
          </w:p>
        </w:tc>
      </w:tr>
      <w:tr>
        <w:trPr>
          <w:trHeight w:val="370"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2.</w:t>
            </w:r>
            <w:r>
              <w:rPr>
                <w:rFonts w:ascii="SimSun" w:eastAsia="SimSun" w:hAnsi="SimSun" w:cs="SimSun"/>
                <w:b/>
                <w:bCs/>
                <w:color w:val="000000"/>
                <w:spacing w:val="0"/>
                <w:w w:val="100"/>
                <w:position w:val="0"/>
                <w:sz w:val="22"/>
                <w:szCs w:val="22"/>
              </w:rPr>
              <w:t>游戏定制费结转至营业成本</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审计中的应对</w:t>
            </w:r>
          </w:p>
        </w:tc>
      </w:tr>
      <w:tr>
        <w:trPr>
          <w:trHeight w:val="541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500" w:line="360" w:lineRule="exact"/>
              <w:ind w:left="0" w:right="0" w:firstLine="540"/>
              <w:jc w:val="left"/>
              <w:rPr>
                <w:sz w:val="22"/>
                <w:szCs w:val="22"/>
              </w:rPr>
            </w:pPr>
            <w:r>
              <w:rPr>
                <w:rFonts w:ascii="SimSun" w:eastAsia="SimSun" w:hAnsi="SimSun" w:cs="SimSun"/>
                <w:color w:val="000000"/>
                <w:spacing w:val="0"/>
                <w:w w:val="100"/>
                <w:position w:val="0"/>
                <w:sz w:val="22"/>
                <w:szCs w:val="22"/>
              </w:rPr>
              <w:t>参见附注六</w:t>
            </w:r>
            <w:r>
              <w:rPr>
                <w:rFonts w:ascii="SimSun" w:eastAsia="SimSun" w:hAnsi="SimSun" w:cs="SimSun"/>
                <w:color w:val="000000"/>
                <w:spacing w:val="0"/>
                <w:w w:val="100"/>
                <w:position w:val="0"/>
                <w:sz w:val="22"/>
                <w:szCs w:val="22"/>
              </w:rPr>
              <w:t>（4）</w:t>
            </w:r>
            <w:r>
              <w:rPr>
                <w:rFonts w:ascii="SimSun" w:eastAsia="SimSun" w:hAnsi="SimSun" w:cs="SimSun"/>
                <w:color w:val="000000"/>
                <w:spacing w:val="0"/>
                <w:w w:val="100"/>
                <w:position w:val="0"/>
                <w:sz w:val="22"/>
                <w:szCs w:val="22"/>
              </w:rPr>
              <w:t>、六</w:t>
            </w:r>
            <w:r>
              <w:rPr>
                <w:rFonts w:ascii="SimSun" w:eastAsia="SimSun" w:hAnsi="SimSun" w:cs="SimSun"/>
                <w:color w:val="000000"/>
                <w:spacing w:val="0"/>
                <w:w w:val="100"/>
                <w:position w:val="0"/>
                <w:sz w:val="22"/>
                <w:szCs w:val="22"/>
              </w:rPr>
              <w:t>（5）</w:t>
            </w:r>
            <w:r>
              <w:rPr>
                <w:rFonts w:ascii="SimSun" w:eastAsia="SimSun" w:hAnsi="SimSun" w:cs="SimSun"/>
                <w:color w:val="000000"/>
                <w:spacing w:val="0"/>
                <w:w w:val="100"/>
                <w:position w:val="0"/>
                <w:sz w:val="22"/>
                <w:szCs w:val="22"/>
              </w:rPr>
              <w:t>、六</w:t>
            </w:r>
            <w:r>
              <w:rPr>
                <w:rFonts w:ascii="SimSun" w:eastAsia="SimSun" w:hAnsi="SimSun" w:cs="SimSun"/>
                <w:color w:val="000000"/>
                <w:spacing w:val="0"/>
                <w:w w:val="100"/>
                <w:position w:val="0"/>
                <w:sz w:val="22"/>
                <w:szCs w:val="22"/>
              </w:rPr>
              <w:t>（17）</w:t>
            </w:r>
            <w:r>
              <w:rPr>
                <w:rFonts w:ascii="SimSun" w:eastAsia="SimSun" w:hAnsi="SimSun" w:cs="SimSun"/>
                <w:color w:val="000000"/>
                <w:spacing w:val="0"/>
                <w:w w:val="100"/>
                <w:position w:val="0"/>
                <w:sz w:val="22"/>
                <w:szCs w:val="22"/>
              </w:rPr>
              <w:t>、六</w:t>
            </w:r>
            <w:r>
              <w:rPr>
                <w:rFonts w:ascii="SimSun" w:eastAsia="SimSun" w:hAnsi="SimSun" w:cs="SimSun"/>
                <w:color w:val="000000"/>
                <w:spacing w:val="0"/>
                <w:w w:val="100"/>
                <w:position w:val="0"/>
                <w:sz w:val="22"/>
                <w:szCs w:val="22"/>
              </w:rPr>
              <w:t>（32）</w:t>
            </w:r>
            <w:r>
              <w:rPr>
                <w:rFonts w:ascii="SimSun" w:eastAsia="SimSun" w:hAnsi="SimSun" w:cs="SimSun"/>
                <w:color w:val="000000"/>
                <w:spacing w:val="0"/>
                <w:w w:val="100"/>
                <w:position w:val="0"/>
                <w:sz w:val="22"/>
                <w:szCs w:val="22"/>
              </w:rPr>
              <w:t>、 十五，中青宝公司预付款项用于定制游戏，</w:t>
            </w:r>
            <w:r>
              <w:rPr>
                <w:rFonts w:ascii="SimSun" w:eastAsia="SimSun" w:hAnsi="SimSun" w:cs="SimSun"/>
                <w:color w:val="000000"/>
                <w:spacing w:val="0"/>
                <w:w w:val="100"/>
                <w:position w:val="0"/>
                <w:sz w:val="22"/>
                <w:szCs w:val="22"/>
              </w:rPr>
              <w:t xml:space="preserve">2020 </w:t>
            </w:r>
            <w:r>
              <w:rPr>
                <w:rFonts w:ascii="SimSun" w:eastAsia="SimSun" w:hAnsi="SimSun" w:cs="SimSun"/>
                <w:color w:val="000000"/>
                <w:spacing w:val="0"/>
                <w:w w:val="100"/>
                <w:position w:val="0"/>
                <w:sz w:val="22"/>
                <w:szCs w:val="22"/>
              </w:rPr>
              <w:t>年共结转</w:t>
            </w:r>
            <w:r>
              <w:rPr>
                <w:rFonts w:ascii="SimSun" w:eastAsia="SimSun" w:hAnsi="SimSun" w:cs="SimSun"/>
                <w:color w:val="000000"/>
                <w:spacing w:val="0"/>
                <w:w w:val="100"/>
                <w:position w:val="0"/>
                <w:sz w:val="22"/>
                <w:szCs w:val="22"/>
              </w:rPr>
              <w:t>43,264,150.60</w:t>
            </w:r>
            <w:r>
              <w:rPr>
                <w:rFonts w:ascii="SimSun" w:eastAsia="SimSun" w:hAnsi="SimSun" w:cs="SimSun"/>
                <w:color w:val="000000"/>
                <w:spacing w:val="0"/>
                <w:w w:val="100"/>
                <w:position w:val="0"/>
                <w:sz w:val="22"/>
                <w:szCs w:val="22"/>
              </w:rPr>
              <w:t>元至营业成本。</w:t>
            </w:r>
          </w:p>
          <w:p>
            <w:pPr>
              <w:pStyle w:val="Style2"/>
              <w:keepNext w:val="0"/>
              <w:keepLines w:val="0"/>
              <w:widowControl w:val="0"/>
              <w:shd w:val="clear" w:color="auto" w:fill="auto"/>
              <w:bidi w:val="0"/>
              <w:spacing w:before="0" w:after="0" w:line="360" w:lineRule="exact"/>
              <w:ind w:left="0" w:right="0" w:firstLine="540"/>
              <w:jc w:val="left"/>
              <w:rPr>
                <w:sz w:val="22"/>
                <w:szCs w:val="22"/>
              </w:rPr>
            </w:pPr>
            <w:r>
              <w:rPr>
                <w:rFonts w:ascii="SimSun" w:eastAsia="SimSun" w:hAnsi="SimSun" w:cs="SimSun"/>
                <w:color w:val="000000"/>
                <w:spacing w:val="0"/>
                <w:w w:val="100"/>
                <w:position w:val="0"/>
                <w:sz w:val="22"/>
                <w:szCs w:val="22"/>
              </w:rPr>
              <w:t>由于该事项对当期净利润有重大影响，为此， 我们将该事项确认为关键审计事项。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我们实施的审计程序包括：</w:t>
            </w:r>
          </w:p>
          <w:p>
            <w:pPr>
              <w:pStyle w:val="Style2"/>
              <w:keepNext w:val="0"/>
              <w:keepLines w:val="0"/>
              <w:widowControl w:val="0"/>
              <w:shd w:val="clear" w:color="auto" w:fill="auto"/>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1）</w:t>
            </w:r>
            <w:r>
              <w:rPr>
                <w:rFonts w:ascii="SimSun" w:eastAsia="SimSun" w:hAnsi="SimSun" w:cs="SimSun"/>
                <w:color w:val="000000"/>
                <w:spacing w:val="0"/>
                <w:w w:val="100"/>
                <w:position w:val="0"/>
                <w:sz w:val="22"/>
                <w:szCs w:val="22"/>
              </w:rPr>
              <w:t xml:space="preserve">获取受托定制方的背景调查及开发团队介 绍，了解受托定制方是否有能力开发相关游戏； </w:t>
            </w:r>
            <w:r>
              <w:rPr>
                <w:rFonts w:ascii="SimSun" w:eastAsia="SimSun" w:hAnsi="SimSun" w:cs="SimSun"/>
                <w:color w:val="000000"/>
                <w:spacing w:val="0"/>
                <w:w w:val="100"/>
                <w:position w:val="0"/>
                <w:sz w:val="22"/>
                <w:szCs w:val="22"/>
              </w:rPr>
              <w:t xml:space="preserve">2 </w:t>
            </w:r>
            <w:r>
              <w:rPr>
                <w:rFonts w:ascii="SimSun" w:eastAsia="SimSun" w:hAnsi="SimSun" w:cs="SimSun"/>
                <w:color w:val="000000"/>
                <w:spacing w:val="0"/>
                <w:w w:val="100"/>
                <w:position w:val="0"/>
                <w:sz w:val="22"/>
                <w:szCs w:val="22"/>
              </w:rPr>
              <w:t>）检查定制项目立项申请表、立项成本估算表、 游戏版本交接记录、测试验收报告、交付通知 书、系统游戏代码截图、现场查看运营界面、 抽取受托定制方实地走访等，验证定制游戏的 真实性；</w:t>
            </w:r>
          </w:p>
          <w:p>
            <w:pPr>
              <w:pStyle w:val="Style2"/>
              <w:keepNext w:val="0"/>
              <w:keepLines w:val="0"/>
              <w:widowControl w:val="0"/>
              <w:shd w:val="clear" w:color="auto" w:fill="auto"/>
              <w:tabs>
                <w:tab w:pos="331"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3）</w:t>
              <w:tab/>
            </w:r>
            <w:r>
              <w:rPr>
                <w:rFonts w:ascii="SimSun" w:eastAsia="SimSun" w:hAnsi="SimSun" w:cs="SimSun"/>
                <w:color w:val="000000"/>
                <w:spacing w:val="0"/>
                <w:w w:val="100"/>
                <w:position w:val="0"/>
                <w:sz w:val="22"/>
                <w:szCs w:val="22"/>
              </w:rPr>
              <w:t>检查游戏定制合同及补充协议和付款情况， 验证付款真实性；</w:t>
            </w:r>
          </w:p>
          <w:p>
            <w:pPr>
              <w:pStyle w:val="Style2"/>
              <w:keepNext w:val="0"/>
              <w:keepLines w:val="0"/>
              <w:widowControl w:val="0"/>
              <w:shd w:val="clear" w:color="auto" w:fill="auto"/>
              <w:tabs>
                <w:tab w:pos="298"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4）</w:t>
              <w:tab/>
            </w:r>
            <w:r>
              <w:rPr>
                <w:rFonts w:ascii="SimSun" w:eastAsia="SimSun" w:hAnsi="SimSun" w:cs="SimSun"/>
                <w:color w:val="000000"/>
                <w:spacing w:val="0"/>
                <w:w w:val="100"/>
                <w:position w:val="0"/>
                <w:sz w:val="22"/>
                <w:szCs w:val="22"/>
              </w:rPr>
              <w:t>查询受托定制方的工商信息，检查是否存在 关联方关系；</w:t>
            </w:r>
          </w:p>
          <w:p>
            <w:pPr>
              <w:pStyle w:val="Style2"/>
              <w:keepNext w:val="0"/>
              <w:keepLines w:val="0"/>
              <w:widowControl w:val="0"/>
              <w:shd w:val="clear" w:color="auto" w:fill="auto"/>
              <w:tabs>
                <w:tab w:pos="312" w:val="left"/>
              </w:tabs>
              <w:bidi w:val="0"/>
              <w:spacing w:before="0" w:after="0" w:line="360" w:lineRule="exact"/>
              <w:ind w:left="0" w:right="0" w:firstLine="0"/>
              <w:jc w:val="both"/>
              <w:rPr>
                <w:sz w:val="22"/>
                <w:szCs w:val="22"/>
              </w:rPr>
            </w:pPr>
            <w:r>
              <w:rPr>
                <w:rFonts w:ascii="SimSun" w:eastAsia="SimSun" w:hAnsi="SimSun" w:cs="SimSun"/>
                <w:color w:val="000000"/>
                <w:spacing w:val="0"/>
                <w:w w:val="100"/>
                <w:position w:val="0"/>
                <w:sz w:val="22"/>
                <w:szCs w:val="22"/>
              </w:rPr>
              <w:t>5）</w:t>
              <w:tab/>
            </w:r>
            <w:r>
              <w:rPr>
                <w:rFonts w:ascii="SimSun" w:eastAsia="SimSun" w:hAnsi="SimSun" w:cs="SimSun"/>
                <w:color w:val="000000"/>
                <w:spacing w:val="0"/>
                <w:w w:val="100"/>
                <w:position w:val="0"/>
                <w:sz w:val="22"/>
                <w:szCs w:val="22"/>
              </w:rPr>
              <w:t>了解定制游戏的运营情况，包括是否取得版 权版号、上线实际产生收入情况以及未来预测 情况等。</w:t>
            </w:r>
          </w:p>
        </w:tc>
      </w:tr>
    </w:tbl>
    <w:p>
      <w:pPr>
        <w:pStyle w:val="Style49"/>
        <w:keepNext w:val="0"/>
        <w:keepLines w:val="0"/>
        <w:widowControl w:val="0"/>
        <w:shd w:val="clear" w:color="auto" w:fill="auto"/>
        <w:tabs>
          <w:tab w:pos="1266" w:val="left"/>
        </w:tabs>
        <w:bidi w:val="0"/>
        <w:spacing w:before="0" w:after="300" w:line="240" w:lineRule="auto"/>
        <w:ind w:left="0" w:right="0" w:firstLine="460"/>
        <w:jc w:val="both"/>
      </w:pPr>
      <w:bookmarkStart w:id="636" w:name="bookmark636"/>
      <w:r>
        <w:rPr>
          <w:b/>
          <w:bCs/>
          <w:color w:val="000000"/>
          <w:spacing w:val="0"/>
          <w:w w:val="100"/>
          <w:position w:val="0"/>
        </w:rPr>
        <w:t>四</w:t>
      </w:r>
      <w:bookmarkEnd w:id="636"/>
      <w:r>
        <w:rPr>
          <w:b/>
          <w:bCs/>
          <w:color w:val="000000"/>
          <w:spacing w:val="0"/>
          <w:w w:val="100"/>
          <w:position w:val="0"/>
        </w:rPr>
        <w:t>、</w:t>
        <w:tab/>
        <w:t>其他信息</w:t>
      </w:r>
    </w:p>
    <w:p>
      <w:pPr>
        <w:pStyle w:val="Style49"/>
        <w:keepNext w:val="0"/>
        <w:keepLines w:val="0"/>
        <w:widowControl w:val="0"/>
        <w:shd w:val="clear" w:color="auto" w:fill="auto"/>
        <w:bidi w:val="0"/>
        <w:spacing w:before="0" w:after="300" w:line="365" w:lineRule="exact"/>
        <w:ind w:left="0" w:right="0" w:firstLine="460"/>
        <w:jc w:val="left"/>
      </w:pPr>
      <w:r>
        <w:rPr>
          <w:color w:val="000000"/>
          <w:spacing w:val="0"/>
          <w:w w:val="100"/>
          <w:position w:val="0"/>
        </w:rPr>
        <w:t>中青宝公司管理层（以下简称管理层）对其他信息负责。其他信息包括中青宝公司</w:t>
      </w:r>
      <w:r>
        <w:rPr>
          <w:color w:val="000000"/>
          <w:spacing w:val="0"/>
          <w:w w:val="100"/>
          <w:position w:val="0"/>
          <w:sz w:val="22"/>
          <w:szCs w:val="22"/>
        </w:rPr>
        <w:t>2020</w:t>
      </w:r>
      <w:r>
        <w:rPr>
          <w:color w:val="000000"/>
          <w:spacing w:val="0"/>
          <w:w w:val="100"/>
          <w:position w:val="0"/>
        </w:rPr>
        <w:t>年年度报 告中涵盖的信息，但不包括财务报表和我们的审计报告。</w:t>
      </w:r>
    </w:p>
    <w:p>
      <w:pPr>
        <w:pStyle w:val="Style49"/>
        <w:keepNext w:val="0"/>
        <w:keepLines w:val="0"/>
        <w:widowControl w:val="0"/>
        <w:shd w:val="clear" w:color="auto" w:fill="auto"/>
        <w:bidi w:val="0"/>
        <w:spacing w:before="0" w:after="300" w:line="355" w:lineRule="exact"/>
        <w:ind w:left="0" w:right="0" w:firstLine="460"/>
        <w:jc w:val="left"/>
      </w:pPr>
      <w:r>
        <w:rPr>
          <w:color w:val="000000"/>
          <w:spacing w:val="0"/>
          <w:w w:val="100"/>
          <w:position w:val="0"/>
        </w:rPr>
        <w:t>我们对财务报表发表的审计意见不涵盖其他信息，我们也不对其他信息发表任何形式的鉴证结 论。</w:t>
      </w:r>
    </w:p>
    <w:p>
      <w:pPr>
        <w:pStyle w:val="Style49"/>
        <w:keepNext w:val="0"/>
        <w:keepLines w:val="0"/>
        <w:widowControl w:val="0"/>
        <w:shd w:val="clear" w:color="auto" w:fill="auto"/>
        <w:bidi w:val="0"/>
        <w:spacing w:before="0" w:after="300" w:line="355" w:lineRule="exact"/>
        <w:ind w:left="0" w:right="0" w:firstLine="46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49"/>
        <w:keepNext w:val="0"/>
        <w:keepLines w:val="0"/>
        <w:widowControl w:val="0"/>
        <w:shd w:val="clear" w:color="auto" w:fill="auto"/>
        <w:bidi w:val="0"/>
        <w:spacing w:before="0" w:after="420" w:line="365" w:lineRule="exact"/>
        <w:ind w:left="0" w:right="0" w:firstLine="460"/>
        <w:jc w:val="left"/>
      </w:pPr>
      <w:r>
        <w:rPr>
          <w:color w:val="000000"/>
          <w:spacing w:val="0"/>
          <w:w w:val="100"/>
          <w:position w:val="0"/>
        </w:rPr>
        <w:t>基于我们已执行的工作，如果我们确定其他信息存在重大错报，我们应当报告该事实。在这方面, 我们无任何事项需要报告。</w:t>
      </w:r>
    </w:p>
    <w:p>
      <w:pPr>
        <w:pStyle w:val="Style49"/>
        <w:keepNext w:val="0"/>
        <w:keepLines w:val="0"/>
        <w:widowControl w:val="0"/>
        <w:shd w:val="clear" w:color="auto" w:fill="auto"/>
        <w:tabs>
          <w:tab w:pos="1266" w:val="left"/>
        </w:tabs>
        <w:bidi w:val="0"/>
        <w:spacing w:before="0" w:after="300" w:line="240" w:lineRule="auto"/>
        <w:ind w:left="0" w:right="0" w:firstLine="460"/>
        <w:jc w:val="both"/>
      </w:pPr>
      <w:bookmarkStart w:id="637" w:name="bookmark637"/>
      <w:r>
        <w:rPr>
          <w:b/>
          <w:bCs/>
          <w:color w:val="000000"/>
          <w:spacing w:val="0"/>
          <w:w w:val="100"/>
          <w:position w:val="0"/>
        </w:rPr>
        <w:t>五</w:t>
      </w:r>
      <w:bookmarkEnd w:id="637"/>
      <w:r>
        <w:rPr>
          <w:b/>
          <w:bCs/>
          <w:color w:val="000000"/>
          <w:spacing w:val="0"/>
          <w:w w:val="100"/>
          <w:position w:val="0"/>
        </w:rPr>
        <w:t>、</w:t>
        <w:tab/>
        <w:t>管理层和治理层对财务报表的责任</w:t>
      </w:r>
    </w:p>
    <w:p>
      <w:pPr>
        <w:pStyle w:val="Style49"/>
        <w:keepNext w:val="0"/>
        <w:keepLines w:val="0"/>
        <w:widowControl w:val="0"/>
        <w:shd w:val="clear" w:color="auto" w:fill="auto"/>
        <w:bidi w:val="0"/>
        <w:spacing w:before="0" w:after="300" w:line="365" w:lineRule="exact"/>
        <w:ind w:left="0" w:right="0" w:firstLine="460"/>
        <w:jc w:val="both"/>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49"/>
        <w:keepNext w:val="0"/>
        <w:keepLines w:val="0"/>
        <w:widowControl w:val="0"/>
        <w:shd w:val="clear" w:color="auto" w:fill="auto"/>
        <w:bidi w:val="0"/>
        <w:spacing w:before="0" w:after="300" w:line="350" w:lineRule="exact"/>
        <w:ind w:left="0" w:right="0" w:firstLine="460"/>
        <w:jc w:val="both"/>
      </w:pPr>
      <w:r>
        <w:rPr>
          <w:color w:val="000000"/>
          <w:spacing w:val="0"/>
          <w:w w:val="100"/>
          <w:position w:val="0"/>
        </w:rPr>
        <w:t>在编制财务报表时，管理层负责评估中青宝公司的持续经营能力，披露与持续经营相关的事项（如 适用），并运用持续经营假设，除非管理层计划清算中青宝公司、终止运营或别无其他现实的选择。</w:t>
      </w:r>
    </w:p>
    <w:p>
      <w:pPr>
        <w:pStyle w:val="Style49"/>
        <w:keepNext w:val="0"/>
        <w:keepLines w:val="0"/>
        <w:widowControl w:val="0"/>
        <w:shd w:val="clear" w:color="auto" w:fill="auto"/>
        <w:bidi w:val="0"/>
        <w:spacing w:before="0" w:after="420" w:line="360" w:lineRule="exact"/>
        <w:ind w:left="0" w:right="0" w:firstLine="460"/>
        <w:jc w:val="both"/>
      </w:pPr>
      <w:r>
        <w:rPr>
          <w:color w:val="000000"/>
          <w:spacing w:val="0"/>
          <w:w w:val="100"/>
          <w:position w:val="0"/>
        </w:rPr>
        <w:t>治理层负责监督中青宝公司的财务报告过程。</w:t>
      </w:r>
    </w:p>
    <w:p>
      <w:pPr>
        <w:pStyle w:val="Style49"/>
        <w:keepNext w:val="0"/>
        <w:keepLines w:val="0"/>
        <w:widowControl w:val="0"/>
        <w:shd w:val="clear" w:color="auto" w:fill="auto"/>
        <w:tabs>
          <w:tab w:pos="1266" w:val="left"/>
        </w:tabs>
        <w:bidi w:val="0"/>
        <w:spacing w:before="0" w:after="300" w:line="240" w:lineRule="auto"/>
        <w:ind w:left="0" w:right="0" w:firstLine="460"/>
        <w:jc w:val="both"/>
      </w:pPr>
      <w:bookmarkStart w:id="638" w:name="bookmark638"/>
      <w:r>
        <w:rPr>
          <w:b/>
          <w:bCs/>
          <w:color w:val="000000"/>
          <w:spacing w:val="0"/>
          <w:w w:val="100"/>
          <w:position w:val="0"/>
        </w:rPr>
        <w:t>六</w:t>
      </w:r>
      <w:bookmarkEnd w:id="638"/>
      <w:r>
        <w:rPr>
          <w:b/>
          <w:bCs/>
          <w:color w:val="000000"/>
          <w:spacing w:val="0"/>
          <w:w w:val="100"/>
          <w:position w:val="0"/>
        </w:rPr>
        <w:t>、</w:t>
        <w:tab/>
        <w:t>注册会计师对财务报表审计的责任</w:t>
      </w:r>
    </w:p>
    <w:p>
      <w:pPr>
        <w:pStyle w:val="Style49"/>
        <w:keepNext w:val="0"/>
        <w:keepLines w:val="0"/>
        <w:widowControl w:val="0"/>
        <w:shd w:val="clear" w:color="auto" w:fill="auto"/>
        <w:bidi w:val="0"/>
        <w:spacing w:before="0" w:after="300" w:line="360" w:lineRule="exact"/>
        <w:ind w:left="0" w:right="0" w:firstLine="46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49"/>
        <w:keepNext w:val="0"/>
        <w:keepLines w:val="0"/>
        <w:widowControl w:val="0"/>
        <w:shd w:val="clear" w:color="auto" w:fill="auto"/>
        <w:bidi w:val="0"/>
        <w:spacing w:before="0" w:after="300" w:line="370" w:lineRule="exact"/>
        <w:ind w:left="0" w:right="0" w:firstLine="460"/>
        <w:jc w:val="both"/>
      </w:pPr>
      <w:r>
        <w:rPr>
          <w:color w:val="000000"/>
          <w:spacing w:val="0"/>
          <w:w w:val="100"/>
          <w:position w:val="0"/>
        </w:rPr>
        <w:t>在按照审计准则执行审计工作的过程中，我们运用职业判断，并保持职业怀疑。同时，我们也执 行以下工作：</w:t>
      </w:r>
    </w:p>
    <w:p>
      <w:pPr>
        <w:pStyle w:val="Style49"/>
        <w:keepNext w:val="0"/>
        <w:keepLines w:val="0"/>
        <w:widowControl w:val="0"/>
        <w:shd w:val="clear" w:color="auto" w:fill="auto"/>
        <w:tabs>
          <w:tab w:pos="2067" w:val="left"/>
        </w:tabs>
        <w:bidi w:val="0"/>
        <w:spacing w:before="0" w:after="300" w:line="360" w:lineRule="exact"/>
        <w:ind w:left="860" w:right="0" w:firstLine="460"/>
        <w:jc w:val="both"/>
      </w:pPr>
      <w:bookmarkStart w:id="639" w:name="bookmark639"/>
      <w:r>
        <w:rPr>
          <w:color w:val="000000"/>
          <w:spacing w:val="0"/>
          <w:w w:val="100"/>
          <w:position w:val="0"/>
          <w:sz w:val="22"/>
          <w:szCs w:val="22"/>
        </w:rPr>
        <w:t>（</w:t>
      </w:r>
      <w:bookmarkEnd w:id="639"/>
      <w:r>
        <w:rPr>
          <w:color w:val="000000"/>
          <w:spacing w:val="0"/>
          <w:w w:val="100"/>
          <w:position w:val="0"/>
          <w:sz w:val="22"/>
          <w:szCs w:val="22"/>
        </w:rPr>
        <w:t>1）</w:t>
        <w:tab/>
      </w:r>
      <w:r>
        <w:rPr>
          <w:color w:val="000000"/>
          <w:spacing w:val="0"/>
          <w:w w:val="100"/>
          <w:position w:val="0"/>
        </w:rPr>
        <w:t>识别和评估由于舞弊或错误导致的财务报表重大错报风险，设计和实施审计程 序以应对这些风险，并获取充分、适当的审计证据，作为发表审计意见的基础。由于舞弊可 能涉及串通、伪造、故意遗漏、虚假陈述或凌驾于内部控制之上，未能发现由于舞弊导致的 重大错报的风险高于未能发现由于错误导致的重大错报的风险。</w:t>
      </w:r>
    </w:p>
    <w:p>
      <w:pPr>
        <w:pStyle w:val="Style49"/>
        <w:keepNext w:val="0"/>
        <w:keepLines w:val="0"/>
        <w:widowControl w:val="0"/>
        <w:shd w:val="clear" w:color="auto" w:fill="auto"/>
        <w:tabs>
          <w:tab w:pos="2067" w:val="left"/>
        </w:tabs>
        <w:bidi w:val="0"/>
        <w:spacing w:before="0" w:after="300" w:line="360" w:lineRule="exact"/>
        <w:ind w:left="1320" w:right="0" w:firstLine="0"/>
        <w:jc w:val="both"/>
      </w:pPr>
      <w:bookmarkStart w:id="640" w:name="bookmark640"/>
      <w:r>
        <w:rPr>
          <w:color w:val="000000"/>
          <w:spacing w:val="0"/>
          <w:w w:val="100"/>
          <w:position w:val="0"/>
          <w:sz w:val="22"/>
          <w:szCs w:val="22"/>
        </w:rPr>
        <w:t>（</w:t>
      </w:r>
      <w:bookmarkEnd w:id="640"/>
      <w:r>
        <w:rPr>
          <w:color w:val="000000"/>
          <w:spacing w:val="0"/>
          <w:w w:val="100"/>
          <w:position w:val="0"/>
          <w:sz w:val="22"/>
          <w:szCs w:val="22"/>
        </w:rPr>
        <w:t>2）</w:t>
        <w:tab/>
      </w:r>
      <w:r>
        <w:rPr>
          <w:color w:val="000000"/>
          <w:spacing w:val="0"/>
          <w:w w:val="100"/>
          <w:position w:val="0"/>
        </w:rPr>
        <w:t>了解与审计相关的内部控制，以设计恰当的审计程序，但目的并非对内部控制</w:t>
      </w:r>
    </w:p>
    <w:p>
      <w:pPr>
        <w:pStyle w:val="Style49"/>
        <w:keepNext w:val="0"/>
        <w:keepLines w:val="0"/>
        <w:widowControl w:val="0"/>
        <w:shd w:val="clear" w:color="auto" w:fill="auto"/>
        <w:bidi w:val="0"/>
        <w:spacing w:before="0" w:after="300" w:line="363" w:lineRule="exact"/>
        <w:ind w:left="0" w:right="0" w:firstLine="860"/>
        <w:jc w:val="both"/>
      </w:pPr>
      <w:r>
        <w:rPr>
          <w:color w:val="000000"/>
          <w:spacing w:val="0"/>
          <w:w w:val="100"/>
          <w:position w:val="0"/>
        </w:rPr>
        <w:t>的有效性发表意见。</w:t>
      </w:r>
    </w:p>
    <w:p>
      <w:pPr>
        <w:pStyle w:val="Style49"/>
        <w:keepNext w:val="0"/>
        <w:keepLines w:val="0"/>
        <w:widowControl w:val="0"/>
        <w:shd w:val="clear" w:color="auto" w:fill="auto"/>
        <w:tabs>
          <w:tab w:pos="2075" w:val="left"/>
        </w:tabs>
        <w:bidi w:val="0"/>
        <w:spacing w:before="0" w:after="300" w:line="363" w:lineRule="exact"/>
        <w:ind w:left="1320" w:right="0" w:firstLine="0"/>
        <w:jc w:val="both"/>
      </w:pPr>
      <w:bookmarkStart w:id="641" w:name="bookmark641"/>
      <w:r>
        <w:rPr>
          <w:color w:val="000000"/>
          <w:spacing w:val="0"/>
          <w:w w:val="100"/>
          <w:position w:val="0"/>
          <w:sz w:val="22"/>
          <w:szCs w:val="22"/>
        </w:rPr>
        <w:t>（</w:t>
      </w:r>
      <w:bookmarkEnd w:id="641"/>
      <w:r>
        <w:rPr>
          <w:color w:val="000000"/>
          <w:spacing w:val="0"/>
          <w:w w:val="100"/>
          <w:position w:val="0"/>
          <w:sz w:val="22"/>
          <w:szCs w:val="22"/>
        </w:rPr>
        <w:t>3）</w:t>
        <w:tab/>
      </w:r>
      <w:r>
        <w:rPr>
          <w:color w:val="000000"/>
          <w:spacing w:val="0"/>
          <w:w w:val="100"/>
          <w:position w:val="0"/>
        </w:rPr>
        <w:t>评价管理层选用会计政策的恰当性和作出会计估计及相关披露的合理性。</w:t>
      </w:r>
    </w:p>
    <w:p>
      <w:pPr>
        <w:pStyle w:val="Style49"/>
        <w:keepNext w:val="0"/>
        <w:keepLines w:val="0"/>
        <w:widowControl w:val="0"/>
        <w:shd w:val="clear" w:color="auto" w:fill="auto"/>
        <w:tabs>
          <w:tab w:pos="2075" w:val="left"/>
        </w:tabs>
        <w:bidi w:val="0"/>
        <w:spacing w:before="0" w:after="300" w:line="363" w:lineRule="exact"/>
        <w:ind w:left="860" w:right="0" w:firstLine="460"/>
        <w:jc w:val="both"/>
      </w:pPr>
      <w:bookmarkStart w:id="642" w:name="bookmark642"/>
      <w:r>
        <w:rPr>
          <w:color w:val="000000"/>
          <w:spacing w:val="0"/>
          <w:w w:val="100"/>
          <w:position w:val="0"/>
          <w:sz w:val="22"/>
          <w:szCs w:val="22"/>
        </w:rPr>
        <w:t>（</w:t>
      </w:r>
      <w:bookmarkEnd w:id="642"/>
      <w:r>
        <w:rPr>
          <w:color w:val="000000"/>
          <w:spacing w:val="0"/>
          <w:w w:val="100"/>
          <w:position w:val="0"/>
          <w:sz w:val="22"/>
          <w:szCs w:val="22"/>
        </w:rPr>
        <w:t>4）</w:t>
        <w:tab/>
      </w:r>
      <w:r>
        <w:rPr>
          <w:color w:val="000000"/>
          <w:spacing w:val="0"/>
          <w:w w:val="100"/>
          <w:position w:val="0"/>
        </w:rPr>
        <w:t>对管理层使用持续经营假设的恰当性得出结论。同时，根据获取的审计证据， 就可能导致对中青宝公司持续经营能力产生重大疑虑的事项或情况是否存在重大不确定性 得出结论。如果我们得出结论认为存在重大不确定性，审计准则要求我们在审计报告中提请 报表使用者注意财务报表中的相关披露；如果披露不充分，我们应当发表非无保留意见。我 们的结论基于截至审计报告日可获得的信息。然而，未来的事项或情况可能导致中青宝公司 不能持续经营。</w:t>
      </w:r>
    </w:p>
    <w:p>
      <w:pPr>
        <w:pStyle w:val="Style49"/>
        <w:keepNext w:val="0"/>
        <w:keepLines w:val="0"/>
        <w:widowControl w:val="0"/>
        <w:shd w:val="clear" w:color="auto" w:fill="auto"/>
        <w:tabs>
          <w:tab w:pos="2075" w:val="left"/>
        </w:tabs>
        <w:bidi w:val="0"/>
        <w:spacing w:before="0" w:after="300" w:line="341" w:lineRule="exact"/>
        <w:ind w:left="860" w:right="0" w:firstLine="460"/>
        <w:jc w:val="both"/>
      </w:pPr>
      <w:bookmarkStart w:id="643" w:name="bookmark643"/>
      <w:r>
        <w:rPr>
          <w:color w:val="000000"/>
          <w:spacing w:val="0"/>
          <w:w w:val="100"/>
          <w:position w:val="0"/>
          <w:sz w:val="22"/>
          <w:szCs w:val="22"/>
        </w:rPr>
        <w:t>（</w:t>
      </w:r>
      <w:bookmarkEnd w:id="643"/>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 易和事项。</w:t>
      </w:r>
    </w:p>
    <w:p>
      <w:pPr>
        <w:pStyle w:val="Style49"/>
        <w:keepNext w:val="0"/>
        <w:keepLines w:val="0"/>
        <w:widowControl w:val="0"/>
        <w:shd w:val="clear" w:color="auto" w:fill="auto"/>
        <w:tabs>
          <w:tab w:pos="2075" w:val="left"/>
        </w:tabs>
        <w:bidi w:val="0"/>
        <w:spacing w:before="0" w:after="300" w:line="374" w:lineRule="exact"/>
        <w:ind w:left="860" w:right="0" w:firstLine="460"/>
        <w:jc w:val="both"/>
      </w:pPr>
      <w:bookmarkStart w:id="644" w:name="bookmark644"/>
      <w:r>
        <w:rPr>
          <w:color w:val="000000"/>
          <w:spacing w:val="0"/>
          <w:w w:val="100"/>
          <w:position w:val="0"/>
          <w:sz w:val="22"/>
          <w:szCs w:val="22"/>
        </w:rPr>
        <w:t>（</w:t>
      </w:r>
      <w:bookmarkEnd w:id="644"/>
      <w:r>
        <w:rPr>
          <w:color w:val="000000"/>
          <w:spacing w:val="0"/>
          <w:w w:val="100"/>
          <w:position w:val="0"/>
          <w:sz w:val="22"/>
          <w:szCs w:val="22"/>
        </w:rPr>
        <w:t>6）</w:t>
        <w:tab/>
      </w:r>
      <w:r>
        <w:rPr>
          <w:color w:val="000000"/>
          <w:spacing w:val="0"/>
          <w:w w:val="100"/>
          <w:position w:val="0"/>
        </w:rPr>
        <w:t>就中青宝公司中实体或业务活动的财务信息获取充分、适当的审计证据，以对 财务报表发表审计意见。我们负责指导、监督和执行集团审计，并对审计意见承担全部责任。</w:t>
      </w:r>
    </w:p>
    <w:p>
      <w:pPr>
        <w:pStyle w:val="Style49"/>
        <w:keepNext w:val="0"/>
        <w:keepLines w:val="0"/>
        <w:widowControl w:val="0"/>
        <w:shd w:val="clear" w:color="auto" w:fill="auto"/>
        <w:bidi w:val="0"/>
        <w:spacing w:before="0" w:after="300" w:line="365" w:lineRule="exact"/>
        <w:ind w:left="0" w:right="0" w:firstLine="46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49"/>
        <w:keepNext w:val="0"/>
        <w:keepLines w:val="0"/>
        <w:widowControl w:val="0"/>
        <w:shd w:val="clear" w:color="auto" w:fill="auto"/>
        <w:bidi w:val="0"/>
        <w:spacing w:before="0" w:after="5780" w:line="365" w:lineRule="exact"/>
        <w:ind w:left="0" w:right="0" w:firstLine="46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49"/>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从与治理层沟通过的事项中，我们确定哪些事项对本期财务报表审计最为重要，因而构成关键审</w:t>
      </w:r>
      <w:r>
        <w:br w:type="page"/>
      </w:r>
    </w:p>
    <w:p>
      <w:pPr>
        <w:pStyle w:val="Style49"/>
        <w:keepNext w:val="0"/>
        <w:keepLines w:val="0"/>
        <w:widowControl w:val="0"/>
        <w:shd w:val="clear" w:color="auto" w:fill="auto"/>
        <w:bidi w:val="0"/>
        <w:spacing w:before="0" w:after="0" w:line="370" w:lineRule="exact"/>
        <w:ind w:left="0" w:right="0" w:firstLine="0"/>
        <w:jc w:val="both"/>
      </w:pPr>
      <w:r>
        <w:rPr>
          <w:color w:val="000000"/>
          <w:spacing w:val="0"/>
          <w:w w:val="100"/>
          <w:position w:val="0"/>
        </w:rPr>
        <w:t>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widowControl w:val="0"/>
        <w:spacing w:line="1" w:lineRule="exact"/>
      </w:pPr>
      <w:r>
        <mc:AlternateContent>
          <mc:Choice Requires="wps">
            <w:drawing>
              <wp:anchor distT="2108200" distB="2602865" distL="0" distR="0" simplePos="0" relativeHeight="125829380" behindDoc="0" locked="0" layoutInCell="1" allowOverlap="1">
                <wp:simplePos x="0" y="0"/>
                <wp:positionH relativeFrom="page">
                  <wp:posOffset>668655</wp:posOffset>
                </wp:positionH>
                <wp:positionV relativeFrom="paragraph">
                  <wp:posOffset>2108200</wp:posOffset>
                </wp:positionV>
                <wp:extent cx="2401570" cy="173990"/>
                <wp:wrapTopAndBottom/>
                <wp:docPr id="14" name="Shape 14"/>
                <a:graphic xmlns:a="http://schemas.openxmlformats.org/drawingml/2006/main">
                  <a:graphicData uri="http://schemas.microsoft.com/office/word/2010/wordprocessingShape">
                    <wps:wsp>
                      <wps:cNvSpPr txBox="1"/>
                      <wps:spPr>
                        <a:xfrm>
                          <a:ext cx="2401570"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wps:txbx>
                      <wps:bodyPr wrap="none" lIns="0" tIns="0" rIns="0" bIns="0">
                        <a:noAutoFit/>
                      </wps:bodyPr>
                    </wps:wsp>
                  </a:graphicData>
                </a:graphic>
              </wp:anchor>
            </w:drawing>
          </mc:Choice>
          <mc:Fallback>
            <w:pict>
              <v:shape id="_x0000_s1040" type="#_x0000_t202" style="position:absolute;margin-left:52.649999999999999pt;margin-top:166.pt;width:189.09999999999999pt;height:13.700000000000001pt;z-index:-125829373;mso-wrap-distance-left:0;mso-wrap-distance-top:166.pt;mso-wrap-distance-right:0;mso-wrap-distance-bottom:204.95000000000002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v:textbox>
                <w10:wrap type="topAndBottom" anchorx="page"/>
              </v:shape>
            </w:pict>
          </mc:Fallback>
        </mc:AlternateContent>
      </w:r>
      <w:r>
        <mc:AlternateContent>
          <mc:Choice Requires="wps">
            <w:drawing>
              <wp:anchor distT="2108200" distB="2602865" distL="0" distR="0" simplePos="0" relativeHeight="125829382" behindDoc="0" locked="0" layoutInCell="1" allowOverlap="1">
                <wp:simplePos x="0" y="0"/>
                <wp:positionH relativeFrom="page">
                  <wp:posOffset>3591560</wp:posOffset>
                </wp:positionH>
                <wp:positionV relativeFrom="paragraph">
                  <wp:posOffset>2108200</wp:posOffset>
                </wp:positionV>
                <wp:extent cx="1130935" cy="173990"/>
                <wp:wrapTopAndBottom/>
                <wp:docPr id="16" name="Shape 16"/>
                <a:graphic xmlns:a="http://schemas.openxmlformats.org/drawingml/2006/main">
                  <a:graphicData uri="http://schemas.microsoft.com/office/word/2010/wordprocessingShape">
                    <wps:wsp>
                      <wps:cNvSpPr txBox="1"/>
                      <wps:spPr>
                        <a:xfrm>
                          <a:ext cx="1130935"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2" type="#_x0000_t202" style="position:absolute;margin-left:282.80000000000001pt;margin-top:166.pt;width:89.049999999999997pt;height:13.700000000000001pt;z-index:-125829371;mso-wrap-distance-left:0;mso-wrap-distance-top:166.pt;mso-wrap-distance-right:0;mso-wrap-distance-bottom:204.95000000000002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2111375" distB="2602865" distL="0" distR="0" simplePos="0" relativeHeight="125829384" behindDoc="0" locked="0" layoutInCell="1" allowOverlap="1">
                <wp:simplePos x="0" y="0"/>
                <wp:positionH relativeFrom="page">
                  <wp:posOffset>5167630</wp:posOffset>
                </wp:positionH>
                <wp:positionV relativeFrom="paragraph">
                  <wp:posOffset>2111375</wp:posOffset>
                </wp:positionV>
                <wp:extent cx="932815" cy="170815"/>
                <wp:wrapTopAndBottom/>
                <wp:docPr id="18" name="Shape 18"/>
                <a:graphic xmlns:a="http://schemas.openxmlformats.org/drawingml/2006/main">
                  <a:graphicData uri="http://schemas.microsoft.com/office/word/2010/wordprocessingShape">
                    <wps:wsp>
                      <wps:cNvSpPr txBox="1"/>
                      <wps:spPr>
                        <a:xfrm>
                          <a:ext cx="932815" cy="17081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44" type="#_x0000_t202" style="position:absolute;margin-left:406.90000000000003pt;margin-top:166.25pt;width:73.450000000000003pt;height:13.450000000000001pt;z-index:-125829369;mso-wrap-distance-left:0;mso-wrap-distance-top:166.25pt;mso-wrap-distance-right:0;mso-wrap-distance-bottom:204.95000000000002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topAndBottom" anchorx="page"/>
              </v:shape>
            </w:pict>
          </mc:Fallback>
        </mc:AlternateContent>
      </w:r>
      <w:r>
        <mc:AlternateContent>
          <mc:Choice Requires="wps">
            <w:drawing>
              <wp:anchor distT="4702175" distB="8890" distL="0" distR="0" simplePos="0" relativeHeight="125829386" behindDoc="0" locked="0" layoutInCell="1" allowOverlap="1">
                <wp:simplePos x="0" y="0"/>
                <wp:positionH relativeFrom="page">
                  <wp:posOffset>1397000</wp:posOffset>
                </wp:positionH>
                <wp:positionV relativeFrom="paragraph">
                  <wp:posOffset>4702175</wp:posOffset>
                </wp:positionV>
                <wp:extent cx="292735" cy="173990"/>
                <wp:wrapTopAndBottom/>
                <wp:docPr id="20" name="Shape 20"/>
                <a:graphic xmlns:a="http://schemas.openxmlformats.org/drawingml/2006/main">
                  <a:graphicData uri="http://schemas.microsoft.com/office/word/2010/wordprocessingShape">
                    <wps:wsp>
                      <wps:cNvSpPr txBox="1"/>
                      <wps:spPr>
                        <a:xfrm>
                          <a:ext cx="292735"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xbxContent>
                      </wps:txbx>
                      <wps:bodyPr wrap="none" lIns="0" tIns="0" rIns="0" bIns="0">
                        <a:noAutoFit/>
                      </wps:bodyPr>
                    </wps:wsp>
                  </a:graphicData>
                </a:graphic>
              </wp:anchor>
            </w:drawing>
          </mc:Choice>
          <mc:Fallback>
            <w:pict>
              <v:shape id="_x0000_s1046" type="#_x0000_t202" style="position:absolute;margin-left:110.pt;margin-top:370.25pt;width:23.050000000000001pt;height:13.700000000000001pt;z-index:-125829367;mso-wrap-distance-left:0;mso-wrap-distance-top:370.25pt;mso-wrap-distance-right:0;mso-wrap-distance-bottom:0.70000000000000007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xbxContent>
                </v:textbox>
                <w10:wrap type="topAndBottom" anchorx="page"/>
              </v:shape>
            </w:pict>
          </mc:Fallback>
        </mc:AlternateContent>
      </w:r>
      <w:r>
        <mc:AlternateContent>
          <mc:Choice Requires="wps">
            <w:drawing>
              <wp:anchor distT="4711065" distB="0" distL="0" distR="0" simplePos="0" relativeHeight="125829388" behindDoc="0" locked="0" layoutInCell="1" allowOverlap="1">
                <wp:simplePos x="0" y="0"/>
                <wp:positionH relativeFrom="page">
                  <wp:posOffset>2131695</wp:posOffset>
                </wp:positionH>
                <wp:positionV relativeFrom="paragraph">
                  <wp:posOffset>4711065</wp:posOffset>
                </wp:positionV>
                <wp:extent cx="301625" cy="173990"/>
                <wp:wrapTopAndBottom/>
                <wp:docPr id="22" name="Shape 22"/>
                <a:graphic xmlns:a="http://schemas.openxmlformats.org/drawingml/2006/main">
                  <a:graphicData uri="http://schemas.microsoft.com/office/word/2010/wordprocessingShape">
                    <wps:wsp>
                      <wps:cNvSpPr txBox="1"/>
                      <wps:spPr>
                        <a:xfrm>
                          <a:ext cx="301625"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xbxContent>
                      </wps:txbx>
                      <wps:bodyPr wrap="none" lIns="0" tIns="0" rIns="0" bIns="0">
                        <a:noAutoFit/>
                      </wps:bodyPr>
                    </wps:wsp>
                  </a:graphicData>
                </a:graphic>
              </wp:anchor>
            </w:drawing>
          </mc:Choice>
          <mc:Fallback>
            <w:pict>
              <v:shape id="_x0000_s1048" type="#_x0000_t202" style="position:absolute;margin-left:167.84999999999999pt;margin-top:370.94999999999999pt;width:23.75pt;height:13.700000000000001pt;z-index:-125829365;mso-wrap-distance-left:0;mso-wrap-distance-top:370.94999999999999pt;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xbxContent>
                </v:textbox>
                <w10:wrap type="topAndBottom" anchorx="page"/>
              </v:shape>
            </w:pict>
          </mc:Fallback>
        </mc:AlternateContent>
      </w:r>
      <w:r>
        <mc:AlternateContent>
          <mc:Choice Requires="wps">
            <w:drawing>
              <wp:anchor distT="2507615" distB="2203450" distL="0" distR="0" simplePos="0" relativeHeight="125829390" behindDoc="0" locked="0" layoutInCell="1" allowOverlap="1">
                <wp:simplePos x="0" y="0"/>
                <wp:positionH relativeFrom="page">
                  <wp:posOffset>3442335</wp:posOffset>
                </wp:positionH>
                <wp:positionV relativeFrom="paragraph">
                  <wp:posOffset>2507615</wp:posOffset>
                </wp:positionV>
                <wp:extent cx="441960" cy="173990"/>
                <wp:wrapTopAndBottom/>
                <wp:docPr id="24" name="Shape 24"/>
                <a:graphic xmlns:a="http://schemas.openxmlformats.org/drawingml/2006/main">
                  <a:graphicData uri="http://schemas.microsoft.com/office/word/2010/wordprocessingShape">
                    <wps:wsp>
                      <wps:cNvSpPr txBox="1"/>
                      <wps:spPr>
                        <a:xfrm>
                          <a:ext cx="441960"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郭晋龙</w:t>
                            </w:r>
                          </w:p>
                        </w:txbxContent>
                      </wps:txbx>
                      <wps:bodyPr wrap="none" lIns="0" tIns="0" rIns="0" bIns="0">
                        <a:noAutoFit/>
                      </wps:bodyPr>
                    </wps:wsp>
                  </a:graphicData>
                </a:graphic>
              </wp:anchor>
            </w:drawing>
          </mc:Choice>
          <mc:Fallback>
            <w:pict>
              <v:shape id="_x0000_s1050" type="#_x0000_t202" style="position:absolute;margin-left:271.05000000000001pt;margin-top:197.45000000000002pt;width:34.800000000000004pt;height:13.700000000000001pt;z-index:-125829363;mso-wrap-distance-left:0;mso-wrap-distance-top:197.45000000000002pt;mso-wrap-distance-right:0;mso-wrap-distance-bottom:173.5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郭晋龙</w:t>
                      </w:r>
                    </w:p>
                  </w:txbxContent>
                </v:textbox>
                <w10:wrap type="topAndBottom" anchorx="page"/>
              </v:shape>
            </w:pict>
          </mc:Fallback>
        </mc:AlternateContent>
      </w:r>
      <w:r>
        <mc:AlternateContent>
          <mc:Choice Requires="wps">
            <w:drawing>
              <wp:anchor distT="3693160" distB="1017905" distL="0" distR="0" simplePos="0" relativeHeight="125829392" behindDoc="0" locked="0" layoutInCell="1" allowOverlap="1">
                <wp:simplePos x="0" y="0"/>
                <wp:positionH relativeFrom="page">
                  <wp:posOffset>3591560</wp:posOffset>
                </wp:positionH>
                <wp:positionV relativeFrom="paragraph">
                  <wp:posOffset>3693160</wp:posOffset>
                </wp:positionV>
                <wp:extent cx="1410970" cy="173990"/>
                <wp:wrapTopAndBottom/>
                <wp:docPr id="26" name="Shape 26"/>
                <a:graphic xmlns:a="http://schemas.openxmlformats.org/drawingml/2006/main">
                  <a:graphicData uri="http://schemas.microsoft.com/office/word/2010/wordprocessingShape">
                    <wps:wsp>
                      <wps:cNvSpPr txBox="1"/>
                      <wps:spPr>
                        <a:xfrm>
                          <a:ext cx="1410970"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中国注册会计师：邓畅</w:t>
                            </w:r>
                          </w:p>
                        </w:txbxContent>
                      </wps:txbx>
                      <wps:bodyPr wrap="none" lIns="0" tIns="0" rIns="0" bIns="0">
                        <a:noAutoFit/>
                      </wps:bodyPr>
                    </wps:wsp>
                  </a:graphicData>
                </a:graphic>
              </wp:anchor>
            </w:drawing>
          </mc:Choice>
          <mc:Fallback>
            <w:pict>
              <v:shape id="_x0000_s1052" type="#_x0000_t202" style="position:absolute;margin-left:282.80000000000001pt;margin-top:290.80000000000001pt;width:111.10000000000001pt;height:13.700000000000001pt;z-index:-125829361;mso-wrap-distance-left:0;mso-wrap-distance-top:290.80000000000001pt;mso-wrap-distance-right:0;mso-wrap-distance-bottom:80.150000000000006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中国注册会计师：邓畅</w:t>
                      </w:r>
                    </w:p>
                  </w:txbxContent>
                </v:textbox>
                <w10:wrap type="topAndBottom" anchorx="page"/>
              </v:shape>
            </w:pict>
          </mc:Fallback>
        </mc:AlternateContent>
      </w:r>
      <w:r>
        <mc:AlternateContent>
          <mc:Choice Requires="wps">
            <w:drawing>
              <wp:anchor distT="4702175" distB="8890" distL="0" distR="0" simplePos="0" relativeHeight="125829394" behindDoc="0" locked="0" layoutInCell="1" allowOverlap="1">
                <wp:simplePos x="0" y="0"/>
                <wp:positionH relativeFrom="page">
                  <wp:posOffset>3582670</wp:posOffset>
                </wp:positionH>
                <wp:positionV relativeFrom="paragraph">
                  <wp:posOffset>4702175</wp:posOffset>
                </wp:positionV>
                <wp:extent cx="1560830" cy="173990"/>
                <wp:wrapTopAndBottom/>
                <wp:docPr id="28" name="Shape 28"/>
                <a:graphic xmlns:a="http://schemas.openxmlformats.org/drawingml/2006/main">
                  <a:graphicData uri="http://schemas.microsoft.com/office/word/2010/wordprocessingShape">
                    <wps:wsp>
                      <wps:cNvSpPr txBox="1"/>
                      <wps:spPr>
                        <a:xfrm>
                          <a:ext cx="1560830" cy="1739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2"/>
                                <w:szCs w:val="22"/>
                              </w:rPr>
                              <w:t>O</w:t>
                            </w:r>
                            <w:r>
                              <w:rPr>
                                <w:color w:val="000000"/>
                                <w:spacing w:val="0"/>
                                <w:w w:val="100"/>
                                <w:position w:val="0"/>
                              </w:rPr>
                              <w:t>二一年四月二十七日</w:t>
                            </w:r>
                          </w:p>
                        </w:txbxContent>
                      </wps:txbx>
                      <wps:bodyPr wrap="none" lIns="0" tIns="0" rIns="0" bIns="0">
                        <a:noAutoFit/>
                      </wps:bodyPr>
                    </wps:wsp>
                  </a:graphicData>
                </a:graphic>
              </wp:anchor>
            </w:drawing>
          </mc:Choice>
          <mc:Fallback>
            <w:pict>
              <v:shape id="_x0000_s1054" type="#_x0000_t202" style="position:absolute;margin-left:282.10000000000002pt;margin-top:370.25pt;width:122.90000000000001pt;height:13.700000000000001pt;z-index:-125829359;mso-wrap-distance-left:0;mso-wrap-distance-top:370.25pt;mso-wrap-distance-right:0;mso-wrap-distance-bottom:0.70000000000000007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2"/>
                          <w:szCs w:val="22"/>
                        </w:rPr>
                        <w:t>O</w:t>
                      </w:r>
                      <w:r>
                        <w:rPr>
                          <w:color w:val="000000"/>
                          <w:spacing w:val="0"/>
                          <w:w w:val="100"/>
                          <w:position w:val="0"/>
                        </w:rPr>
                        <w:t>二一年四月二十七日</w:t>
                      </w:r>
                    </w:p>
                  </w:txbxContent>
                </v:textbox>
                <w10:wrap type="topAndBottom" anchorx="page"/>
              </v:shape>
            </w:pict>
          </mc:Fallback>
        </mc:AlternateContent>
      </w:r>
    </w:p>
    <w:p>
      <w:pPr>
        <w:pStyle w:val="Style22"/>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r>
        <w:rPr>
          <w:color w:val="000000"/>
          <w:spacing w:val="0"/>
          <w:w w:val="100"/>
          <w:position w:val="0"/>
          <w:sz w:val="24"/>
          <w:szCs w:val="24"/>
        </w:rPr>
        <w:t>二、财务报表</w:t>
      </w:r>
      <w:bookmarkEnd w:id="645"/>
      <w:bookmarkEnd w:id="646"/>
      <w:bookmarkEnd w:id="64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、合并资产负债表</w:t>
      </w:r>
      <w:bookmarkEnd w:id="648"/>
      <w:bookmarkEnd w:id="649"/>
      <w:bookmarkEnd w:id="65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编制单位：深圳中青宝互动网络股份有限公司</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109,621,446.74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270,570,112.20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146,069,424.59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205,710,510.33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55,014,092.44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132,633,692.77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70,324,640.76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27,838,293.45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26,495,743.05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33,200,902.97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409,524,728.11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669,953,511.72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25,414,131.20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45,978,483.29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295,338,069.15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304,430,155.65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245,740,133.72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168,312,258.65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110,697,164.66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12,303,473.02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12,042,098.93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11,982,176.28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24,495,420.08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16,306,149.36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22,671,069.00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25,096,708.11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28,529,634.59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38,689,353.86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644,893,963.34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768,395,638.71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132,638,692.36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215,887,305.31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73,517,621.21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155,851,627.92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7,195,026.32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6,041,866.15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7,198,175.43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4,028,354.36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38,787,089.01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39,350,530.02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61,433,928.70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129,047,631.03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96" behindDoc="0" locked="0" layoutInCell="1" allowOverlap="1">
                <wp:simplePos x="0" y="0"/>
                <wp:positionH relativeFrom="page">
                  <wp:posOffset>725170</wp:posOffset>
                </wp:positionH>
                <wp:positionV relativeFrom="margin">
                  <wp:posOffset>8424545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56" type="#_x0000_t202" style="position:absolute;margin-left:57.100000000000001pt;margin-top:663.35000000000002pt;width:83.049999999999997pt;height:11.75pt;z-index:-125829357;mso-wrap-distance-left:9.pt;mso-wrap-distance-top:11.pt;mso-wrap-distance-right:405.4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39700" distB="3175" distL="2293620" distR="2519045" simplePos="0" relativeHeight="125829398" behindDoc="0" locked="0" layoutInCell="1" allowOverlap="1">
                <wp:simplePos x="0" y="0"/>
                <wp:positionH relativeFrom="page">
                  <wp:posOffset>2904490</wp:posOffset>
                </wp:positionH>
                <wp:positionV relativeFrom="margin">
                  <wp:posOffset>8424545</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wps:txbx>
                      <wps:bodyPr wrap="none" lIns="0" tIns="0" rIns="0" bIns="0">
                        <a:noAutoFit/>
                      </wps:bodyPr>
                    </wps:wsp>
                  </a:graphicData>
                </a:graphic>
              </wp:anchor>
            </w:drawing>
          </mc:Choice>
          <mc:Fallback>
            <w:pict>
              <v:shape id="_x0000_s1058" type="#_x0000_t202" style="position:absolute;margin-left:228.70000000000002pt;margin-top:663.35000000000002pt;width:118.55pt;height:11.5pt;z-index:-125829355;mso-wrap-distance-left:180.59999999999999pt;mso-wrap-distance-top:11.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v:textbox>
                <w10:wrap type="topAndBottom" anchorx="page" anchory="margin"/>
              </v:shape>
            </w:pict>
          </mc:Fallback>
        </mc:AlternateContent>
      </w:r>
      <w:r>
        <mc:AlternateContent>
          <mc:Choice Requires="wps">
            <w:drawing>
              <wp:anchor distT="139700" distB="0" distL="4918075" distR="113665" simplePos="0" relativeHeight="125829400" behindDoc="0" locked="0" layoutInCell="1" allowOverlap="1">
                <wp:simplePos x="0" y="0"/>
                <wp:positionH relativeFrom="page">
                  <wp:posOffset>5528945</wp:posOffset>
                </wp:positionH>
                <wp:positionV relativeFrom="margin">
                  <wp:posOffset>8424545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60" type="#_x0000_t202" style="position:absolute;margin-left:435.35000000000002pt;margin-top:663.35000000000002pt;width:101.3pt;height:11.75pt;z-index:-125829353;mso-wrap-distance-left:387.25pt;mso-wrap-distance-top:11.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319,776,586.62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551,360,474.96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7,825,361.79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17,946,273.70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34,822,695.80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44,943,607.71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354,599,282.42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596,304,082.67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263,034,300.00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263,269,300.00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386,754,450.86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388,819,327.17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7,241,634.40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13,785,726.00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-34,132,150.02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-38,936,290.90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32,274,747.27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696,528,257.00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834,144,421.73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3,291,152.03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7,900,646.03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699,819,409.03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842,045,067.76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、母公司资产负债表</w:t>
      </w:r>
      <w:bookmarkEnd w:id="652"/>
      <w:bookmarkEnd w:id="653"/>
      <w:bookmarkEnd w:id="65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54,279,374.70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21,260,957.48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29,661,869.34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53,001,855.39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13,881,291.78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542,042,323.10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408,826,499.65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7,944,210.10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632,001,271.90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504,914,814.40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452,242,785.04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531,443,112.97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240,430,269.15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238,889,682.42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11,328,559.00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12,098,191.07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3,138,068.55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10,064,483.37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11,758,523.70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21,140,244.10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23,391,724.40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2,797,967.73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735,206,340.66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823,517,270.84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125,238,692.36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116,748,658.96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4,164,381.45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1,130,728.51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2,498,666.48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3,695,893.75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1,858,220.33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1,279,011.06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4,969,575.68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11,090,793.19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372,120,530.84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319,452,972.48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512,047,294.41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452,200,830.68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7,825,361.79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17,946,273.70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26,997,334.01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34,822,695.80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44,943,607.71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546,869,990.21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497,144,438.39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263,034,300.00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263,269,300.00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309,791,394.81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311,645,492.69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13,785,726.00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-14,268,277.55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-10,583,864.28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55,838,543.29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213,183,296.20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224,903,901.15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820,337,622.35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831,287,646.85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、合并利润表</w:t>
      </w:r>
      <w:bookmarkEnd w:id="656"/>
      <w:bookmarkEnd w:id="657"/>
      <w:bookmarkEnd w:id="6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293,843,947.62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468,826,313.50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293,843,947.62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468,826,313.50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360,580,857.60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442,842,125.64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202,048,413.43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248,503,115.63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406,110.31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655,135.13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83,410,679.37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101,373,805.62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27,274,854.63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39,664,241.26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35,906,392.53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42,488,546.37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11,534,407.33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10,157,281.63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7,221,570.06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13,316,640.70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606,518.95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3,036,544.46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7,162,035.36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3,564,915.27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10,803,044.86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44,233,044.96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4,128,031.34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-1,095,915.39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5,868,493.15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-37,381,732.71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-21,386,512.77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-46,423,299.59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-6,802,855.53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-132,576,862.06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51,346,105.64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5,198,102.15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6,138,297.31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751,803.11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1,790,391.38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-128,130,563.02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55,694,011.57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9,198,096.07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6,116,060.16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-137,328,659.09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49,577,951.41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-137,328,659.09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49,577,951.41</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-134,958,387.66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51,723,043.25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-2,370,271.43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-2,145,091.84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4,804,140.88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-35,767,217.11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4,804,140.88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-35,767,217.11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1,082,800.95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-34,851,078.50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-6,992,086.50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-34,851,078.50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8,074,887.45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3,721,339.93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-916,138.61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3,721,339.93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-916,138.61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-132,524,518.21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13,810,734.30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-130,154,246.78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15,955,826.14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-2,370,271.43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-2,145,091.84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368300" distB="0" distL="114300" distR="5149215" simplePos="0" relativeHeight="125829402" behindDoc="0" locked="0" layoutInCell="1" allowOverlap="1">
                <wp:simplePos x="0" y="0"/>
                <wp:positionH relativeFrom="page">
                  <wp:posOffset>702310</wp:posOffset>
                </wp:positionH>
                <wp:positionV relativeFrom="margin">
                  <wp:posOffset>1499870</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62" type="#_x0000_t202" style="position:absolute;margin-left:55.300000000000004pt;margin-top:118.10000000000001pt;width:83.049999999999997pt;height:11.75pt;z-index:-125829351;mso-wrap-distance-left:9.pt;mso-wrap-distance-top:29.pt;mso-wrap-distance-right:405.4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368300" distB="3175" distL="2293620" distR="2519045" simplePos="0" relativeHeight="125829404" behindDoc="0" locked="0" layoutInCell="1" allowOverlap="1">
                <wp:simplePos x="0" y="0"/>
                <wp:positionH relativeFrom="page">
                  <wp:posOffset>2881630</wp:posOffset>
                </wp:positionH>
                <wp:positionV relativeFrom="margin">
                  <wp:posOffset>1499870</wp:posOffset>
                </wp:positionV>
                <wp:extent cx="1505585" cy="146050"/>
                <wp:wrapTopAndBottom/>
                <wp:docPr id="38" name="Shape 3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wps:txbx>
                      <wps:bodyPr wrap="none" lIns="0" tIns="0" rIns="0" bIns="0">
                        <a:noAutoFit/>
                      </wps:bodyPr>
                    </wps:wsp>
                  </a:graphicData>
                </a:graphic>
              </wp:anchor>
            </w:drawing>
          </mc:Choice>
          <mc:Fallback>
            <w:pict>
              <v:shape id="_x0000_s1064" type="#_x0000_t202" style="position:absolute;margin-left:226.90000000000001pt;margin-top:118.10000000000001pt;width:118.55pt;height:11.5pt;z-index:-125829349;mso-wrap-distance-left:180.59999999999999pt;mso-wrap-distance-top:29.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v:textbox>
                <w10:wrap type="topAndBottom" anchorx="page" anchory="margin"/>
              </v:shape>
            </w:pict>
          </mc:Fallback>
        </mc:AlternateContent>
      </w:r>
      <w:r>
        <mc:AlternateContent>
          <mc:Choice Requires="wps">
            <w:drawing>
              <wp:anchor distT="368300" distB="0" distL="4918075" distR="113665" simplePos="0" relativeHeight="125829406" behindDoc="0" locked="0" layoutInCell="1" allowOverlap="1">
                <wp:simplePos x="0" y="0"/>
                <wp:positionH relativeFrom="page">
                  <wp:posOffset>5506085</wp:posOffset>
                </wp:positionH>
                <wp:positionV relativeFrom="margin">
                  <wp:posOffset>1499870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66" type="#_x0000_t202" style="position:absolute;margin-left:433.55000000000001pt;margin-top:118.10000000000001pt;width:101.3pt;height:11.75pt;z-index:-125829347;mso-wrap-distance-left:387.25pt;mso-wrap-distance-top:29.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4</w:t>
      </w:r>
      <w:bookmarkEnd w:id="662"/>
      <w:r>
        <w:rPr>
          <w:color w:val="000000"/>
          <w:spacing w:val="0"/>
          <w:w w:val="100"/>
          <w:position w:val="0"/>
        </w:rPr>
        <w:t>、母公司利润表</w:t>
      </w:r>
      <w:bookmarkEnd w:id="660"/>
      <w:bookmarkEnd w:id="661"/>
      <w:bookmarkEnd w:id="66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38,344,924.31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141,975,428.98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12,546,406.61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60,586,879.14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469,914.97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12,846,746.75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17,655,149.50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18,051,244.63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25,392,743.87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6,861,312.90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15,188,704.12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6,216,229.27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7,117,908.43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6,225,914.27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6,784,062.95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4,332,950.08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2,515,131.67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99,928,369.47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-702,835.48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left"/>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-14,411,042.79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-8,291,317.36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-79,128,697.40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-4,658,001.01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-7,455,421.34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4,311,939.47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3,446,168.84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3,334,585.35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1,169,523.13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-4,209,978.65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6,477,001.69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2,251,480.30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-1,185,732.01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-6,461,458.95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7,662,733.70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-6,461,458.95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7,662,733.70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-3,684,413.27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-10,583,864.28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-3,684,413.27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-10,583,864.28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-3,684,413.27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-10,583,864.28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-10,145,872.22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-2,921,130.58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5</w:t>
      </w:r>
      <w:bookmarkEnd w:id="666"/>
      <w:r>
        <w:rPr>
          <w:color w:val="000000"/>
          <w:spacing w:val="0"/>
          <w:w w:val="100"/>
          <w:position w:val="0"/>
        </w:rPr>
        <w:t>、合并现金流量表</w:t>
      </w:r>
      <w:bookmarkEnd w:id="664"/>
      <w:bookmarkEnd w:id="665"/>
      <w:bookmarkEnd w:id="66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359,754,362.65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452,526,699.17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113,274.41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20,069,907.79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8,909,725.14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379,857,267.51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461,549,698.72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160,377,261.16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262,028,160.07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61,986,560.90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62,189,138.59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5,077,956.51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4,776,676.67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116,246,928.49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129,482,811.20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343,688,707.06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458,476,786.53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36,168,560.45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3,072,912.19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109,732,066.87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187,142,511.85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6,675,013.52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23,151,487.69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129,341,460.39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210,347,352.96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37,572,950.87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107,484,536.16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214,412,800.00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46,232,950.87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321,897,338.16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83,108,509.52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-111,549,985.20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2,667,906.00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336,167,906.00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15,040,955.01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18,269,707.38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89,399,935.89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92,241,258.26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331,540,890.90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288,510,965.64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-187,540,890.90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47,656,940.36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-68,355,093.79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-60,858,418.84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169,116,169.53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229,974,588.37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100,761,075.74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169,116,169.53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6</w:t>
      </w:r>
      <w:bookmarkEnd w:id="670"/>
      <w:r>
        <w:rPr>
          <w:color w:val="000000"/>
          <w:spacing w:val="0"/>
          <w:w w:val="100"/>
          <w:position w:val="0"/>
        </w:rPr>
        <w:t>、母公司现金流量表</w:t>
      </w:r>
      <w:bookmarkEnd w:id="668"/>
      <w:bookmarkEnd w:id="669"/>
      <w:bookmarkEnd w:id="6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60,827,708.81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157,555,017.21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128,910,325.51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76,086,770.81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189,738,034.32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233,641,788.02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5,177,195.18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59,271,161.73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17,997,541.17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22,675,973.49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1,159,391.04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2,802,119.36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52,385,087.43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189,629,167.62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76,719,214.82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274,378,422.20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113,018,819.50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-40,736,634.18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23,132,883.48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23,186,236.90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1,278,548.90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96,787,512.49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93,800,834.49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96,903,088.17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95,079,383.39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-83,968,708.17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-71,893,146.49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2,667,906.00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132,667,906.00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11,456,652.87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11,875,775.98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11,779,423.77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139,219,076.27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97,155,199.75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-4,219,076.27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35,512,706.25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24,782,402.08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-77,125,275.62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21,260,957.48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98,386,233.10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46,043,359.56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21,260,957.48</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7</w:t>
      </w:r>
      <w:bookmarkEnd w:id="674"/>
      <w:r>
        <w:rPr>
          <w:color w:val="000000"/>
          <w:spacing w:val="0"/>
          <w:w w:val="100"/>
          <w:position w:val="0"/>
        </w:rPr>
        <w:t>、合并所有者权益变动表</w:t>
      </w:r>
      <w:bookmarkEnd w:id="672"/>
      <w:bookmarkEnd w:id="673"/>
      <w:bookmarkEnd w:id="67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834,14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834,14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842,04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64,520</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16,164</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30,487</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22,573</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92,845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081.05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08,60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-3,169,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08,60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2,057.</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22,754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133,23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66,287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84,515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940.78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51,723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16,871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-4,655,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-4,655,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68,197</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,645.4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834,14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842,045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,067.76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8</w:t>
      </w:r>
      <w:bookmarkEnd w:id="678"/>
      <w:r>
        <w:rPr>
          <w:color w:val="000000"/>
          <w:spacing w:val="0"/>
          <w:w w:val="100"/>
          <w:position w:val="0"/>
        </w:rPr>
        <w:t>、母公司所有者权益变动表</w:t>
      </w:r>
      <w:bookmarkEnd w:id="676"/>
      <w:bookmarkEnd w:id="677"/>
      <w:bookmarkEnd w:id="679"/>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311,645,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13,785,7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831,287,6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311,645,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13,785,7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831,287,6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-1,854,0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-6,544,0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-10,950,02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-10,145,87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-5,251,934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-5,251,934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-635,257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-635,257.8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309,791,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7,241,63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820,337,6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264,70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280,258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22,754,0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223,264,1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800,549,47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264,70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280,258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22,754,0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223,264,1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800,549,47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96"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-8,968,2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1,639,708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30,738,170.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7,662,733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-2,921,130.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-2,826,5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-8,932,2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4,666,479.3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4,666,479.3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-5,220,772.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-5,220,772.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34,213,593.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311,645,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13,785,7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831,287,64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r>
    </w:tbl>
    <w:p>
      <w:pPr>
        <w:pStyle w:val="Style22"/>
        <w:keepNext/>
        <w:keepLines/>
        <w:widowControl w:val="0"/>
        <w:shd w:val="clear" w:color="auto" w:fill="auto"/>
        <w:bidi w:val="0"/>
        <w:spacing w:before="0" w:after="340" w:line="310" w:lineRule="exact"/>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三</w:t>
      </w:r>
      <w:bookmarkEnd w:id="682"/>
      <w:r>
        <w:rPr>
          <w:color w:val="000000"/>
          <w:spacing w:val="0"/>
          <w:w w:val="100"/>
          <w:position w:val="0"/>
          <w:sz w:val="24"/>
          <w:szCs w:val="24"/>
        </w:rPr>
        <w:t>、公司基本情况</w:t>
      </w:r>
      <w:bookmarkEnd w:id="680"/>
      <w:bookmarkEnd w:id="681"/>
      <w:bookmarkEnd w:id="683"/>
    </w:p>
    <w:p>
      <w:pPr>
        <w:pStyle w:val="Style49"/>
        <w:keepNext w:val="0"/>
        <w:keepLines w:val="0"/>
        <w:widowControl w:val="0"/>
        <w:shd w:val="clear" w:color="auto" w:fill="auto"/>
        <w:bidi w:val="0"/>
        <w:spacing w:before="0" w:after="220" w:line="240" w:lineRule="auto"/>
        <w:ind w:left="0" w:right="0" w:firstLine="460"/>
        <w:jc w:val="left"/>
      </w:pPr>
      <w:r>
        <w:rPr>
          <w:b/>
          <w:bCs/>
          <w:color w:val="000000"/>
          <w:spacing w:val="0"/>
          <w:w w:val="100"/>
          <w:position w:val="0"/>
        </w:rPr>
        <w:t>（一）企业概况</w:t>
      </w:r>
    </w:p>
    <w:p>
      <w:pPr>
        <w:pStyle w:val="Style49"/>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深圳中青宝互动网络股份有限公司（以下简称本公司、公司）原名深圳市中青宝网网络科技股份 有限公司，系由深圳市宝德网络技术有限公司整体变更设立。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日，深圳市宝德网络技术 有限公司股东会通过关于公司股份制改制的决议：同意以经审计的净资产折股方式整体变更为股份有 限公司。具体方案为：截至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日公司经深圳市鹏城会计事务所有限公司审计（深鹏所审字 </w:t>
      </w:r>
      <w:r>
        <w:rPr>
          <w:rFonts w:ascii="Times New Roman" w:eastAsia="Times New Roman" w:hAnsi="Times New Roman" w:cs="Times New Roman"/>
          <w:color w:val="000000"/>
          <w:spacing w:val="0"/>
          <w:w w:val="100"/>
          <w:position w:val="0"/>
        </w:rPr>
        <w:t>[2008]565</w:t>
      </w:r>
      <w:r>
        <w:rPr>
          <w:color w:val="000000"/>
          <w:spacing w:val="0"/>
          <w:w w:val="100"/>
          <w:position w:val="0"/>
        </w:rPr>
        <w:t>号《审计报告》）的净资产为人民币</w:t>
      </w:r>
      <w:r>
        <w:rPr>
          <w:rFonts w:ascii="Times New Roman" w:eastAsia="Times New Roman" w:hAnsi="Times New Roman" w:cs="Times New Roman"/>
          <w:color w:val="000000"/>
          <w:spacing w:val="0"/>
          <w:w w:val="100"/>
          <w:position w:val="0"/>
        </w:rPr>
        <w:t>113,045,163.7</w:t>
      </w:r>
      <w:r>
        <w:rPr>
          <w:rFonts w:ascii="Times New Roman" w:eastAsia="Times New Roman" w:hAnsi="Times New Roman" w:cs="Times New Roman"/>
          <w:color w:val="000000"/>
          <w:spacing w:val="0"/>
          <w:w w:val="100"/>
          <w:position w:val="0"/>
        </w:rPr>
        <w:t>2</w:t>
      </w:r>
      <w:r>
        <w:rPr>
          <w:color w:val="000000"/>
          <w:spacing w:val="0"/>
          <w:w w:val="100"/>
          <w:position w:val="0"/>
        </w:rPr>
        <w:t>元，将其中的人民币</w:t>
      </w:r>
      <w:r>
        <w:rPr>
          <w:rFonts w:ascii="Times New Roman" w:eastAsia="Times New Roman" w:hAnsi="Times New Roman" w:cs="Times New Roman"/>
          <w:color w:val="000000"/>
          <w:spacing w:val="0"/>
          <w:w w:val="100"/>
          <w:position w:val="0"/>
        </w:rPr>
        <w:t>75,000,000.00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的比例折为</w:t>
      </w:r>
      <w:r>
        <w:rPr>
          <w:rFonts w:ascii="Times New Roman" w:eastAsia="Times New Roman" w:hAnsi="Times New Roman" w:cs="Times New Roman"/>
          <w:color w:val="000000"/>
          <w:spacing w:val="0"/>
          <w:w w:val="100"/>
          <w:position w:val="0"/>
        </w:rPr>
        <w:t>75,000,000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元，其余人民币</w:t>
      </w:r>
      <w:r>
        <w:rPr>
          <w:rFonts w:ascii="Times New Roman" w:eastAsia="Times New Roman" w:hAnsi="Times New Roman" w:cs="Times New Roman"/>
          <w:color w:val="000000"/>
          <w:spacing w:val="0"/>
          <w:w w:val="100"/>
          <w:position w:val="0"/>
        </w:rPr>
        <w:t>38,045,163.7</w:t>
      </w:r>
      <w:r>
        <w:rPr>
          <w:rFonts w:ascii="Times New Roman" w:eastAsia="Times New Roman" w:hAnsi="Times New Roman" w:cs="Times New Roman"/>
          <w:color w:val="000000"/>
          <w:spacing w:val="0"/>
          <w:w w:val="100"/>
          <w:position w:val="0"/>
        </w:rPr>
        <w:t>2</w:t>
      </w:r>
      <w:r>
        <w:rPr>
          <w:color w:val="000000"/>
          <w:spacing w:val="0"/>
          <w:w w:val="100"/>
          <w:position w:val="0"/>
        </w:rPr>
        <w:t>元转入资本公积，公司 全体股东以其所持公司股权所对应的经审计的净资产作为出资，认购本公司的全部股份，股权比例保 持不变。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日深圳市工商行政管理局核准了股份公司设立登记，并颁发了统一社会信用代 码为</w:t>
      </w:r>
      <w:r>
        <w:rPr>
          <w:rFonts w:ascii="Times New Roman" w:eastAsia="Times New Roman" w:hAnsi="Times New Roman" w:cs="Times New Roman"/>
          <w:color w:val="000000"/>
          <w:spacing w:val="0"/>
          <w:w w:val="100"/>
          <w:position w:val="0"/>
        </w:rPr>
        <w:t>914403007525245953</w:t>
      </w:r>
      <w:r>
        <w:rPr>
          <w:color w:val="000000"/>
          <w:spacing w:val="0"/>
          <w:w w:val="100"/>
          <w:position w:val="0"/>
        </w:rPr>
        <w:t>的《企业法人营业执照》。</w:t>
      </w:r>
    </w:p>
    <w:p>
      <w:pPr>
        <w:pStyle w:val="Style49"/>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日在深圳证券交易所创业板上市，股票代码</w:t>
      </w:r>
      <w:r>
        <w:rPr>
          <w:rFonts w:ascii="Times New Roman" w:eastAsia="Times New Roman" w:hAnsi="Times New Roman" w:cs="Times New Roman"/>
          <w:color w:val="000000"/>
          <w:spacing w:val="0"/>
          <w:w w:val="100"/>
          <w:position w:val="0"/>
        </w:rPr>
        <w:t>300052</w:t>
      </w:r>
      <w:r>
        <w:rPr>
          <w:color w:val="000000"/>
          <w:spacing w:val="0"/>
          <w:w w:val="100"/>
          <w:position w:val="0"/>
        </w:rPr>
        <w:t>。</w:t>
      </w:r>
    </w:p>
    <w:p>
      <w:pPr>
        <w:pStyle w:val="Style49"/>
        <w:keepNext w:val="0"/>
        <w:keepLines w:val="0"/>
        <w:widowControl w:val="0"/>
        <w:shd w:val="clear" w:color="auto" w:fill="auto"/>
        <w:bidi w:val="0"/>
        <w:spacing w:before="0" w:after="280" w:line="322"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日，本公司累计股本总数</w:t>
      </w:r>
      <w:r>
        <w:rPr>
          <w:rFonts w:ascii="Times New Roman" w:eastAsia="Times New Roman" w:hAnsi="Times New Roman" w:cs="Times New Roman"/>
          <w:color w:val="000000"/>
          <w:spacing w:val="0"/>
          <w:w w:val="100"/>
          <w:position w:val="0"/>
        </w:rPr>
        <w:t>263,034,300.00</w:t>
      </w:r>
      <w:r>
        <w:rPr>
          <w:color w:val="000000"/>
          <w:spacing w:val="0"/>
          <w:w w:val="100"/>
          <w:position w:val="0"/>
        </w:rPr>
        <w:t>股，注册资本为</w:t>
      </w:r>
      <w:r>
        <w:rPr>
          <w:rFonts w:ascii="Times New Roman" w:eastAsia="Times New Roman" w:hAnsi="Times New Roman" w:cs="Times New Roman"/>
          <w:color w:val="000000"/>
          <w:spacing w:val="0"/>
          <w:w w:val="100"/>
          <w:position w:val="0"/>
        </w:rPr>
        <w:t>263,034,300.00</w:t>
      </w:r>
      <w:r>
        <w:rPr>
          <w:color w:val="000000"/>
          <w:spacing w:val="0"/>
          <w:w w:val="100"/>
          <w:position w:val="0"/>
        </w:rPr>
        <w:t>元，股 本及股权结构情况如下：</w:t>
      </w:r>
    </w:p>
    <w:tbl>
      <w:tblPr>
        <w:tblOverlap w:val="never"/>
        <w:jc w:val="left"/>
        <w:tblLayout w:type="fixed"/>
      </w:tblPr>
      <w:tblGrid>
        <w:gridCol w:w="3730"/>
        <w:gridCol w:w="2246"/>
        <w:gridCol w:w="258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股份数量（股）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SimSun" w:eastAsia="SimSun" w:hAnsi="SimSun" w:cs="SimSun"/>
                <w:b/>
                <w:bCs/>
                <w:color w:val="000000"/>
                <w:spacing w:val="0"/>
                <w:w w:val="100"/>
                <w:position w:val="0"/>
                <w:sz w:val="19"/>
                <w:szCs w:val="19"/>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645,457.00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0.25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w:t>
            </w:r>
            <w:r>
              <w:rPr>
                <w:rFonts w:ascii="SimSun" w:eastAsia="SimSun" w:hAnsi="SimSun" w:cs="SimSun"/>
                <w:color w:val="000000"/>
                <w:spacing w:val="0"/>
                <w:w w:val="100"/>
                <w:position w:val="0"/>
                <w:sz w:val="19"/>
                <w:szCs w:val="19"/>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1,175,590.00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1,821,047.00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b/>
                <w:bCs/>
                <w:color w:val="000000"/>
                <w:spacing w:val="0"/>
                <w:w w:val="100"/>
                <w:position w:val="0"/>
                <w:sz w:val="20"/>
                <w:szCs w:val="20"/>
              </w:rPr>
              <w:t>0.69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261,213,253.00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261,213,253.00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99.31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三、股份总额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263,034,300.00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widowControl w:val="0"/>
        <w:spacing w:after="219" w:line="1" w:lineRule="exact"/>
      </w:pPr>
    </w:p>
    <w:p>
      <w:pPr>
        <w:pStyle w:val="Style4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日召开第五届董事会第二次会议审议通过了《关于回购注销部分限制性股票 的议案》，回购注销了</w:t>
      </w:r>
      <w:r>
        <w:rPr>
          <w:rFonts w:ascii="Times New Roman" w:eastAsia="Times New Roman" w:hAnsi="Times New Roman" w:cs="Times New Roman"/>
          <w:color w:val="000000"/>
          <w:spacing w:val="0"/>
          <w:w w:val="100"/>
          <w:position w:val="0"/>
        </w:rPr>
        <w:t>200,000</w:t>
      </w:r>
      <w:r>
        <w:rPr>
          <w:color w:val="000000"/>
          <w:spacing w:val="0"/>
          <w:w w:val="100"/>
          <w:position w:val="0"/>
        </w:rPr>
        <w:t>股限制性股票；公司于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日召开第五届董事会第三次会议，审 议通过了《关于回购注销部分限制性股票的议案》，回购注销了</w:t>
      </w:r>
      <w:r>
        <w:rPr>
          <w:rFonts w:ascii="Times New Roman" w:eastAsia="Times New Roman" w:hAnsi="Times New Roman" w:cs="Times New Roman"/>
          <w:color w:val="000000"/>
          <w:spacing w:val="0"/>
          <w:w w:val="100"/>
          <w:position w:val="0"/>
        </w:rPr>
        <w:t>35,000</w:t>
      </w:r>
      <w:r>
        <w:rPr>
          <w:color w:val="000000"/>
          <w:spacing w:val="0"/>
          <w:w w:val="100"/>
          <w:position w:val="0"/>
        </w:rPr>
        <w:t>股限制性股票，上述回购</w:t>
      </w:r>
      <w:r>
        <w:rPr>
          <w:rFonts w:ascii="Times New Roman" w:eastAsia="Times New Roman" w:hAnsi="Times New Roman" w:cs="Times New Roman"/>
          <w:color w:val="000000"/>
          <w:spacing w:val="0"/>
          <w:w w:val="100"/>
          <w:position w:val="0"/>
        </w:rPr>
        <w:t xml:space="preserve">235,000 </w:t>
      </w:r>
      <w:r>
        <w:rPr>
          <w:color w:val="000000"/>
          <w:spacing w:val="0"/>
          <w:w w:val="100"/>
          <w:position w:val="0"/>
        </w:rPr>
        <w:t>股限制性股票尚未在中国证券登记结算有限公司办理回购注销手续，导致本公司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 记录的股份总数与在中国证券登记结算有限公司所登记的总股本</w:t>
      </w:r>
      <w:r>
        <w:rPr>
          <w:rFonts w:ascii="Times New Roman" w:eastAsia="Times New Roman" w:hAnsi="Times New Roman" w:cs="Times New Roman"/>
          <w:color w:val="000000"/>
          <w:spacing w:val="0"/>
          <w:w w:val="100"/>
          <w:position w:val="0"/>
        </w:rPr>
        <w:t>263,269,300.00</w:t>
      </w:r>
      <w:r>
        <w:rPr>
          <w:color w:val="000000"/>
          <w:spacing w:val="0"/>
          <w:w w:val="100"/>
          <w:position w:val="0"/>
        </w:rPr>
        <w:t>股股数不一致。</w:t>
      </w:r>
    </w:p>
    <w:p>
      <w:pPr>
        <w:pStyle w:val="Style49"/>
        <w:keepNext w:val="0"/>
        <w:keepLines w:val="0"/>
        <w:widowControl w:val="0"/>
        <w:shd w:val="clear" w:color="auto" w:fill="auto"/>
        <w:bidi w:val="0"/>
        <w:spacing w:before="0" w:after="280" w:line="307" w:lineRule="exact"/>
        <w:ind w:left="0" w:right="0" w:firstLine="460"/>
        <w:jc w:val="both"/>
      </w:pPr>
      <w:r>
        <w:rPr>
          <w:color w:val="000000"/>
          <w:spacing w:val="0"/>
          <w:w w:val="100"/>
          <w:position w:val="0"/>
        </w:rPr>
        <w:t>公司工商登记信息上显示注册资本为</w:t>
      </w:r>
      <w:r>
        <w:rPr>
          <w:rFonts w:ascii="Times New Roman" w:eastAsia="Times New Roman" w:hAnsi="Times New Roman" w:cs="Times New Roman"/>
          <w:color w:val="000000"/>
          <w:spacing w:val="0"/>
          <w:w w:val="100"/>
          <w:position w:val="0"/>
        </w:rPr>
        <w:t>263,671,800.00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系公司</w:t>
      </w:r>
      <w:r>
        <w:rPr>
          <w:rFonts w:ascii="Times New Roman" w:eastAsia="Times New Roman" w:hAnsi="Times New Roman" w:cs="Times New Roman"/>
          <w:color w:val="000000"/>
          <w:spacing w:val="0"/>
          <w:w w:val="100"/>
          <w:position w:val="0"/>
        </w:rPr>
        <w:t>2019</w:t>
      </w:r>
      <w:r>
        <w:rPr>
          <w:color w:val="000000"/>
          <w:spacing w:val="0"/>
          <w:w w:val="100"/>
          <w:position w:val="0"/>
        </w:rPr>
        <w:t>年回购注销限制性股票</w:t>
      </w:r>
      <w:r>
        <w:rPr>
          <w:rFonts w:ascii="Times New Roman" w:eastAsia="Times New Roman" w:hAnsi="Times New Roman" w:cs="Times New Roman"/>
          <w:color w:val="000000"/>
          <w:spacing w:val="0"/>
          <w:w w:val="100"/>
          <w:position w:val="0"/>
        </w:rPr>
        <w:t xml:space="preserve">402,500 </w:t>
      </w:r>
      <w:r>
        <w:rPr>
          <w:color w:val="000000"/>
          <w:spacing w:val="0"/>
          <w:w w:val="100"/>
          <w:position w:val="0"/>
        </w:rPr>
        <w:t>股和</w:t>
      </w:r>
      <w:r>
        <w:rPr>
          <w:rFonts w:ascii="Times New Roman" w:eastAsia="Times New Roman" w:hAnsi="Times New Roman" w:cs="Times New Roman"/>
          <w:color w:val="000000"/>
          <w:spacing w:val="0"/>
          <w:w w:val="100"/>
          <w:position w:val="0"/>
        </w:rPr>
        <w:t>2020</w:t>
      </w:r>
      <w:r>
        <w:rPr>
          <w:color w:val="000000"/>
          <w:spacing w:val="0"/>
          <w:w w:val="100"/>
          <w:position w:val="0"/>
        </w:rPr>
        <w:t>年回购限制性股票</w:t>
      </w:r>
      <w:r>
        <w:rPr>
          <w:rFonts w:ascii="Times New Roman" w:eastAsia="Times New Roman" w:hAnsi="Times New Roman" w:cs="Times New Roman"/>
          <w:color w:val="000000"/>
          <w:spacing w:val="0"/>
          <w:w w:val="100"/>
          <w:position w:val="0"/>
        </w:rPr>
        <w:t>235,000</w:t>
      </w:r>
      <w:r>
        <w:rPr>
          <w:color w:val="000000"/>
          <w:spacing w:val="0"/>
          <w:w w:val="100"/>
          <w:position w:val="0"/>
        </w:rPr>
        <w:t>股，尚未做工商登记变更。</w:t>
      </w:r>
    </w:p>
    <w:p>
      <w:pPr>
        <w:pStyle w:val="Style27"/>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日，本公司前十大股东的股本及股权结构情况如下:</w:t>
      </w:r>
    </w:p>
    <w:tbl>
      <w:tblPr>
        <w:tblOverlap w:val="never"/>
        <w:jc w:val="left"/>
        <w:tblLayout w:type="fixed"/>
      </w:tblPr>
      <w:tblGrid>
        <w:gridCol w:w="792"/>
        <w:gridCol w:w="4762"/>
        <w:gridCol w:w="1666"/>
        <w:gridCol w:w="134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9"/>
                <w:szCs w:val="19"/>
              </w:rPr>
              <w:t>占比（</w:t>
            </w:r>
            <w:r>
              <w:rPr>
                <w:b/>
                <w:bCs/>
                <w:color w:val="000000"/>
                <w:spacing w:val="0"/>
                <w:w w:val="100"/>
                <w:position w:val="0"/>
                <w:sz w:val="20"/>
                <w:szCs w:val="20"/>
              </w:rPr>
              <w:t>%</w:t>
            </w:r>
            <w:r>
              <w:rPr>
                <w:rFonts w:ascii="SimSun" w:eastAsia="SimSun" w:hAnsi="SimSun" w:cs="SimSun"/>
                <w:b/>
                <w:bCs/>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宝德科技集团股份有限公司（以下简称</w:t>
            </w:r>
            <w:r>
              <w:rPr>
                <w:color w:val="000000"/>
                <w:spacing w:val="0"/>
                <w:w w:val="100"/>
                <w:position w:val="0"/>
                <w:sz w:val="20"/>
                <w:szCs w:val="20"/>
              </w:rPr>
              <w:t>“</w:t>
            </w:r>
            <w:r>
              <w:rPr>
                <w:rFonts w:ascii="SimSun" w:eastAsia="SimSun" w:hAnsi="SimSun" w:cs="SimSun"/>
                <w:color w:val="000000"/>
                <w:spacing w:val="0"/>
                <w:w w:val="100"/>
                <w:position w:val="0"/>
                <w:sz w:val="19"/>
                <w:szCs w:val="19"/>
              </w:rPr>
              <w:t>宝德科技</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32,763,400.00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深圳市宝德投资控股有限公司（以下简称</w:t>
            </w:r>
            <w:r>
              <w:rPr>
                <w:color w:val="000000"/>
                <w:spacing w:val="0"/>
                <w:w w:val="100"/>
                <w:position w:val="0"/>
                <w:sz w:val="20"/>
                <w:szCs w:val="20"/>
              </w:rPr>
              <w:t>“</w:t>
            </w:r>
            <w:r>
              <w:rPr>
                <w:rFonts w:ascii="SimSun" w:eastAsia="SimSun" w:hAnsi="SimSun" w:cs="SimSun"/>
                <w:color w:val="000000"/>
                <w:spacing w:val="0"/>
                <w:w w:val="100"/>
                <w:position w:val="0"/>
                <w:sz w:val="19"/>
                <w:szCs w:val="19"/>
              </w:rPr>
              <w:t>宝德控股</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19,141,478.00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闫明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1,014,700.00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0.39</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乌鲁木齐南博股权投资管理合伙企业（有限合伙）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972,428.00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0.37</w:t>
            </w:r>
          </w:p>
        </w:tc>
      </w:tr>
    </w:tbl>
    <w:p>
      <w:pPr>
        <w:widowControl w:val="0"/>
        <w:spacing w:line="1" w:lineRule="exact"/>
      </w:pPr>
      <w:r>
        <w:br w:type="page"/>
      </w:r>
    </w:p>
    <w:tbl>
      <w:tblPr>
        <w:tblOverlap w:val="never"/>
        <w:jc w:val="left"/>
        <w:tblLayout w:type="fixed"/>
      </w:tblPr>
      <w:tblGrid>
        <w:gridCol w:w="792"/>
        <w:gridCol w:w="4762"/>
        <w:gridCol w:w="1666"/>
        <w:gridCol w:w="134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郭振忠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856,845.00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童凤美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833,943.00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李华旭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李梅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金岩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0.28</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58,759,694.00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22.35</w:t>
            </w:r>
          </w:p>
        </w:tc>
      </w:tr>
    </w:tbl>
    <w:p>
      <w:pPr>
        <w:widowControl w:val="0"/>
        <w:spacing w:after="279" w:line="1" w:lineRule="exact"/>
      </w:pPr>
    </w:p>
    <w:p>
      <w:pPr>
        <w:pStyle w:val="Style49"/>
        <w:keepNext w:val="0"/>
        <w:keepLines w:val="0"/>
        <w:widowControl w:val="0"/>
        <w:shd w:val="clear" w:color="auto" w:fill="auto"/>
        <w:bidi w:val="0"/>
        <w:spacing w:before="0" w:after="280" w:line="307" w:lineRule="exact"/>
        <w:ind w:left="0" w:right="0" w:firstLine="460"/>
        <w:jc w:val="left"/>
      </w:pPr>
      <w:r>
        <w:rPr>
          <w:color w:val="000000"/>
          <w:spacing w:val="0"/>
          <w:w w:val="100"/>
          <w:position w:val="0"/>
        </w:rPr>
        <w:t>注册地址：广东省深圳市福田区深南大道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号国际创新中心</w:t>
      </w:r>
      <w:r>
        <w:rPr>
          <w:rFonts w:ascii="Times New Roman" w:eastAsia="Times New Roman" w:hAnsi="Times New Roman" w:cs="Times New Roman"/>
          <w:color w:val="000000"/>
          <w:spacing w:val="0"/>
          <w:w w:val="100"/>
          <w:position w:val="0"/>
        </w:rPr>
        <w:t>C</w:t>
      </w:r>
      <w:r>
        <w:rPr>
          <w:color w:val="000000"/>
          <w:spacing w:val="0"/>
          <w:w w:val="100"/>
          <w:position w:val="0"/>
        </w:rPr>
        <w:t>栋</w:t>
      </w:r>
      <w:r>
        <w:rPr>
          <w:rFonts w:ascii="Times New Roman" w:eastAsia="Times New Roman" w:hAnsi="Times New Roman" w:cs="Times New Roman"/>
          <w:color w:val="000000"/>
          <w:spacing w:val="0"/>
          <w:w w:val="100"/>
          <w:position w:val="0"/>
        </w:rPr>
        <w:t>10</w:t>
      </w:r>
      <w:r>
        <w:rPr>
          <w:color w:val="000000"/>
          <w:spacing w:val="0"/>
          <w:w w:val="100"/>
          <w:position w:val="0"/>
        </w:rPr>
        <w:t>楼，办公地址：广东省深圳 市南山区深圳湾科技生态园三期</w:t>
      </w:r>
      <w:r>
        <w:rPr>
          <w:rFonts w:ascii="Times New Roman" w:eastAsia="Times New Roman" w:hAnsi="Times New Roman" w:cs="Times New Roman"/>
          <w:color w:val="000000"/>
          <w:spacing w:val="0"/>
          <w:w w:val="100"/>
          <w:position w:val="0"/>
        </w:rPr>
        <w:t>10A</w:t>
      </w:r>
      <w:r>
        <w:rPr>
          <w:color w:val="000000"/>
          <w:spacing w:val="0"/>
          <w:w w:val="100"/>
          <w:position w:val="0"/>
        </w:rPr>
        <w:t>栋</w:t>
      </w:r>
      <w:r>
        <w:rPr>
          <w:rFonts w:ascii="Times New Roman" w:eastAsia="Times New Roman" w:hAnsi="Times New Roman" w:cs="Times New Roman"/>
          <w:color w:val="000000"/>
          <w:spacing w:val="0"/>
          <w:w w:val="100"/>
          <w:position w:val="0"/>
        </w:rPr>
        <w:t>23</w:t>
      </w:r>
      <w:r>
        <w:rPr>
          <w:color w:val="000000"/>
          <w:spacing w:val="0"/>
          <w:w w:val="100"/>
          <w:position w:val="0"/>
        </w:rPr>
        <w:t>层，实际控制人为李瑞杰和张云霞夫妇。</w:t>
      </w:r>
    </w:p>
    <w:p>
      <w:pPr>
        <w:pStyle w:val="Style49"/>
        <w:keepNext w:val="0"/>
        <w:keepLines w:val="0"/>
        <w:widowControl w:val="0"/>
        <w:shd w:val="clear" w:color="auto" w:fill="auto"/>
        <w:bidi w:val="0"/>
        <w:spacing w:before="0" w:after="280" w:line="314" w:lineRule="exact"/>
        <w:ind w:left="0" w:right="0" w:firstLine="460"/>
        <w:jc w:val="left"/>
      </w:pPr>
      <w:r>
        <w:rPr>
          <w:color w:val="000000"/>
          <w:spacing w:val="0"/>
          <w:w w:val="100"/>
          <w:position w:val="0"/>
        </w:rPr>
        <w:t>本公司属网络游戏行业，根据《上市公司行业分类指引》，归类为</w:t>
      </w:r>
      <w:r>
        <w:rPr>
          <w:rFonts w:ascii="Times New Roman" w:eastAsia="Times New Roman" w:hAnsi="Times New Roman" w:cs="Times New Roman"/>
          <w:color w:val="000000"/>
          <w:spacing w:val="0"/>
          <w:w w:val="100"/>
          <w:position w:val="0"/>
        </w:rPr>
        <w:t>“G87</w:t>
      </w:r>
      <w:r>
        <w:rPr>
          <w:color w:val="000000"/>
          <w:spacing w:val="0"/>
          <w:w w:val="100"/>
          <w:position w:val="0"/>
        </w:rPr>
        <w:t>计算机应用服务业</w:t>
      </w:r>
      <w:r>
        <w:rPr>
          <w:rFonts w:ascii="Times New Roman" w:eastAsia="Times New Roman" w:hAnsi="Times New Roman" w:cs="Times New Roman"/>
          <w:color w:val="000000"/>
          <w:spacing w:val="0"/>
          <w:w w:val="100"/>
          <w:position w:val="0"/>
        </w:rPr>
        <w:t>”</w:t>
      </w:r>
      <w:r>
        <w:rPr>
          <w:color w:val="000000"/>
          <w:spacing w:val="0"/>
          <w:w w:val="100"/>
          <w:position w:val="0"/>
        </w:rPr>
        <w:t>行业, 主要产品或服务为网络游戏的开发与运营。经营范围主要为：计算机软、硬件及网络系统的技术开发; 电子通讯产品的技术开发及外观设计以及相关产品的销售和咨询服务</w:t>
      </w:r>
      <w:r>
        <w:rPr>
          <w:rFonts w:ascii="Times New Roman" w:eastAsia="Times New Roman" w:hAnsi="Times New Roman" w:cs="Times New Roman"/>
          <w:color w:val="000000"/>
          <w:spacing w:val="0"/>
          <w:w w:val="100"/>
          <w:position w:val="0"/>
        </w:rPr>
        <w:t>（</w:t>
      </w:r>
      <w:r>
        <w:rPr>
          <w:color w:val="000000"/>
          <w:spacing w:val="0"/>
          <w:w w:val="100"/>
          <w:position w:val="0"/>
        </w:rPr>
        <w:t>不含专营、专控、专卖商品及 限制项目</w:t>
      </w:r>
      <w:r>
        <w:rPr>
          <w:rFonts w:ascii="Times New Roman" w:eastAsia="Times New Roman" w:hAnsi="Times New Roman" w:cs="Times New Roman"/>
          <w:color w:val="000000"/>
          <w:spacing w:val="0"/>
          <w:w w:val="100"/>
          <w:position w:val="0"/>
        </w:rPr>
        <w:t>）</w:t>
      </w:r>
      <w:r>
        <w:rPr>
          <w:color w:val="000000"/>
          <w:spacing w:val="0"/>
          <w:w w:val="100"/>
          <w:position w:val="0"/>
        </w:rPr>
        <w:t>；经营进出口业务</w:t>
      </w:r>
      <w:r>
        <w:rPr>
          <w:rFonts w:ascii="Times New Roman" w:eastAsia="Times New Roman" w:hAnsi="Times New Roman" w:cs="Times New Roman"/>
          <w:color w:val="000000"/>
          <w:spacing w:val="0"/>
          <w:w w:val="100"/>
          <w:position w:val="0"/>
        </w:rPr>
        <w:t>（</w:t>
      </w:r>
      <w:r>
        <w:rPr>
          <w:color w:val="000000"/>
          <w:spacing w:val="0"/>
          <w:w w:val="100"/>
          <w:position w:val="0"/>
        </w:rPr>
        <w:t>法律、行政法规、国务院决定禁止的项目除外</w:t>
      </w:r>
      <w:r>
        <w:rPr>
          <w:color w:val="000000"/>
          <w:spacing w:val="0"/>
          <w:w w:val="100"/>
          <w:position w:val="0"/>
        </w:rPr>
        <w:t>，</w:t>
      </w:r>
      <w:r>
        <w:rPr>
          <w:color w:val="000000"/>
          <w:spacing w:val="0"/>
          <w:w w:val="100"/>
          <w:position w:val="0"/>
        </w:rPr>
        <w:t>限制的项目须取得许可后 方可经营</w:t>
      </w:r>
      <w:r>
        <w:rPr>
          <w:rFonts w:ascii="Times New Roman" w:eastAsia="Times New Roman" w:hAnsi="Times New Roman" w:cs="Times New Roman"/>
          <w:color w:val="000000"/>
          <w:spacing w:val="0"/>
          <w:w w:val="100"/>
          <w:position w:val="0"/>
        </w:rPr>
        <w:t>）</w:t>
      </w:r>
      <w:r>
        <w:rPr>
          <w:color w:val="000000"/>
          <w:spacing w:val="0"/>
          <w:w w:val="100"/>
          <w:position w:val="0"/>
        </w:rPr>
        <w:t>；从事广告业务</w:t>
      </w:r>
      <w:r>
        <w:rPr>
          <w:rFonts w:ascii="Times New Roman" w:eastAsia="Times New Roman" w:hAnsi="Times New Roman" w:cs="Times New Roman"/>
          <w:color w:val="000000"/>
          <w:spacing w:val="0"/>
          <w:w w:val="100"/>
          <w:position w:val="0"/>
        </w:rPr>
        <w:t>（</w:t>
      </w:r>
      <w:r>
        <w:rPr>
          <w:color w:val="000000"/>
          <w:spacing w:val="0"/>
          <w:w w:val="100"/>
          <w:position w:val="0"/>
        </w:rPr>
        <w:t>法律、行政法规、国务院决定规定需另行办理广告经营项目审批的</w:t>
      </w:r>
      <w:r>
        <w:rPr>
          <w:color w:val="000000"/>
          <w:spacing w:val="0"/>
          <w:w w:val="100"/>
          <w:position w:val="0"/>
        </w:rPr>
        <w:t>，</w:t>
      </w:r>
      <w:r>
        <w:rPr>
          <w:color w:val="000000"/>
          <w:spacing w:val="0"/>
          <w:w w:val="100"/>
          <w:position w:val="0"/>
        </w:rPr>
        <w:t>需取得 许可后方可经营</w:t>
      </w:r>
      <w:r>
        <w:rPr>
          <w:rFonts w:ascii="Times New Roman" w:eastAsia="Times New Roman" w:hAnsi="Times New Roman" w:cs="Times New Roman"/>
          <w:color w:val="000000"/>
          <w:spacing w:val="0"/>
          <w:w w:val="100"/>
          <w:position w:val="0"/>
        </w:rPr>
        <w:t>）</w:t>
      </w:r>
      <w:r>
        <w:rPr>
          <w:color w:val="000000"/>
          <w:spacing w:val="0"/>
          <w:w w:val="100"/>
          <w:position w:val="0"/>
        </w:rPr>
        <w:t>。许可经营项目是</w:t>
      </w:r>
      <w:r>
        <w:rPr>
          <w:rFonts w:ascii="Times New Roman" w:eastAsia="Times New Roman" w:hAnsi="Times New Roman" w:cs="Times New Roman"/>
          <w:color w:val="000000"/>
          <w:spacing w:val="0"/>
          <w:w w:val="100"/>
          <w:position w:val="0"/>
        </w:rPr>
        <w:t>:</w:t>
      </w:r>
      <w:r>
        <w:rPr>
          <w:color w:val="000000"/>
          <w:spacing w:val="0"/>
          <w:w w:val="100"/>
          <w:position w:val="0"/>
        </w:rPr>
        <w:t>因特网接入服务业务、信息服务业务</w:t>
      </w:r>
      <w:r>
        <w:rPr>
          <w:rFonts w:ascii="Times New Roman" w:eastAsia="Times New Roman" w:hAnsi="Times New Roman" w:cs="Times New Roman"/>
          <w:color w:val="000000"/>
          <w:spacing w:val="0"/>
          <w:w w:val="100"/>
          <w:position w:val="0"/>
        </w:rPr>
        <w:t>（</w:t>
      </w:r>
      <w:r>
        <w:rPr>
          <w:color w:val="000000"/>
          <w:spacing w:val="0"/>
          <w:w w:val="100"/>
          <w:position w:val="0"/>
        </w:rPr>
        <w:t>仅限互联网信息服务和移动 网信息服务业务</w:t>
      </w:r>
      <w:r>
        <w:rPr>
          <w:rFonts w:ascii="Times New Roman" w:eastAsia="Times New Roman" w:hAnsi="Times New Roman" w:cs="Times New Roman"/>
          <w:color w:val="000000"/>
          <w:spacing w:val="0"/>
          <w:w w:val="100"/>
          <w:position w:val="0"/>
        </w:rPr>
        <w:t>）</w:t>
      </w:r>
      <w:r>
        <w:rPr>
          <w:color w:val="000000"/>
          <w:spacing w:val="0"/>
          <w:w w:val="100"/>
          <w:position w:val="0"/>
        </w:rPr>
        <w:t>；互联网游戏出版物；手机游戏出版物</w:t>
      </w:r>
    </w:p>
    <w:p>
      <w:pPr>
        <w:pStyle w:val="Style49"/>
        <w:keepNext w:val="0"/>
        <w:keepLines w:val="0"/>
        <w:widowControl w:val="0"/>
        <w:shd w:val="clear" w:color="auto" w:fill="auto"/>
        <w:bidi w:val="0"/>
        <w:spacing w:before="0" w:after="280" w:line="240" w:lineRule="auto"/>
        <w:ind w:left="0" w:right="0" w:firstLine="460"/>
        <w:jc w:val="both"/>
      </w:pPr>
      <w:r>
        <w:rPr>
          <w:b/>
          <w:bCs/>
          <w:color w:val="000000"/>
          <w:spacing w:val="0"/>
          <w:w w:val="100"/>
          <w:position w:val="0"/>
        </w:rPr>
        <w:t>（二）历史沿革</w:t>
      </w:r>
    </w:p>
    <w:p>
      <w:pPr>
        <w:pStyle w:val="Style27"/>
        <w:keepNext w:val="0"/>
        <w:keepLines w:val="0"/>
        <w:widowControl w:val="0"/>
        <w:shd w:val="clear" w:color="auto" w:fill="auto"/>
        <w:bidi w:val="0"/>
        <w:spacing w:before="0" w:after="0" w:line="240" w:lineRule="auto"/>
        <w:ind w:left="442" w:right="0" w:firstLine="0"/>
        <w:jc w:val="left"/>
        <w:rPr>
          <w:sz w:val="22"/>
          <w:szCs w:val="22"/>
        </w:rPr>
      </w:pPr>
      <w:r>
        <w:rPr>
          <w:color w:val="000000"/>
          <w:spacing w:val="0"/>
          <w:w w:val="100"/>
          <w:position w:val="0"/>
          <w:sz w:val="22"/>
          <w:szCs w:val="22"/>
        </w:rPr>
        <w:t>公司设立时的股权结构如下:</w:t>
      </w:r>
    </w:p>
    <w:tbl>
      <w:tblPr>
        <w:tblOverlap w:val="never"/>
        <w:jc w:val="center"/>
        <w:tblLayout w:type="fixed"/>
      </w:tblPr>
      <w:tblGrid>
        <w:gridCol w:w="979"/>
        <w:gridCol w:w="3336"/>
        <w:gridCol w:w="1987"/>
        <w:gridCol w:w="203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持股数量（万股）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19"/>
                <w:szCs w:val="19"/>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34.00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深圳宝德科技股份有限公司</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20.40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中青联创科技（北京）有限公司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深圳市创新投资集团有限公司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深圳市网诚科技有限公司</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深圳市众志和科技有限公司</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深圳市中科招商投资管理有限公司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深圳市南博投资有限公司</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295.50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3.94</w:t>
            </w:r>
          </w:p>
        </w:tc>
      </w:tr>
      <w:tr>
        <w:trPr>
          <w:trHeight w:val="36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b/>
                <w:bCs/>
                <w:color w:val="000000"/>
                <w:spacing w:val="0"/>
                <w:w w:val="100"/>
                <w:position w:val="0"/>
                <w:sz w:val="20"/>
                <w:szCs w:val="20"/>
              </w:rPr>
              <w:t>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现更名为宝德科技，发行后公司的股权结构下同。</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现更名为乌鲁木齐网诚股权投资管理合伙企业（有限合伙），发行后公司的股权结构下同。</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现更名为乌鲁木齐众志和股权投资管理合伙企业（有限合伙），发行后公司的股权结构下同。</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现更名为乌鲁木齐南博股权投资管理合伙企业（有限合伙），发行后公司的股权结构下同。</w:t>
      </w:r>
    </w:p>
    <w:p>
      <w:pPr>
        <w:widowControl w:val="0"/>
        <w:spacing w:after="279" w:line="1" w:lineRule="exact"/>
      </w:pPr>
    </w:p>
    <w:p>
      <w:pPr>
        <w:pStyle w:val="Style49"/>
        <w:keepNext w:val="0"/>
        <w:keepLines w:val="0"/>
        <w:widowControl w:val="0"/>
        <w:shd w:val="clear" w:color="auto" w:fill="auto"/>
        <w:bidi w:val="0"/>
        <w:spacing w:before="0" w:after="280" w:line="314"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日中国证券监督管理委员会《关于核准深圳市中青宝网网络科技股份有限公司首次 公开发行股票的批复》（证监许可</w:t>
      </w:r>
      <w:r>
        <w:rPr>
          <w:rFonts w:ascii="Times New Roman" w:eastAsia="Times New Roman" w:hAnsi="Times New Roman" w:cs="Times New Roman"/>
          <w:color w:val="000000"/>
          <w:spacing w:val="0"/>
          <w:w w:val="100"/>
          <w:position w:val="0"/>
        </w:rPr>
        <w:t>[2010]94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核准，由主承销商长江证券承销保荐有限公司采用网下 询价配售与网上资金申购定价发行相结合的方式发行人民币普通股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万股，发行价格为每 股人民币</w:t>
      </w:r>
      <w:r>
        <w:rPr>
          <w:rFonts w:ascii="Times New Roman" w:eastAsia="Times New Roman" w:hAnsi="Times New Roman" w:cs="Times New Roman"/>
          <w:color w:val="000000"/>
          <w:spacing w:val="0"/>
          <w:w w:val="100"/>
          <w:position w:val="0"/>
        </w:rPr>
        <w:t>30.00</w:t>
      </w:r>
      <w:r>
        <w:rPr>
          <w:color w:val="000000"/>
          <w:spacing w:val="0"/>
          <w:w w:val="100"/>
          <w:position w:val="0"/>
        </w:rPr>
        <w:t>元。发行后公司的股权结构如下：</w:t>
      </w:r>
    </w:p>
    <w:tbl>
      <w:tblPr>
        <w:tblOverlap w:val="never"/>
        <w:jc w:val="left"/>
        <w:tblLayout w:type="fixed"/>
      </w:tblPr>
      <w:tblGrid>
        <w:gridCol w:w="1003"/>
        <w:gridCol w:w="3514"/>
        <w:gridCol w:w="1987"/>
        <w:gridCol w:w="183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b/>
                <w:bCs/>
                <w:color w:val="000000"/>
                <w:spacing w:val="0"/>
                <w:w w:val="100"/>
                <w:position w:val="0"/>
                <w:sz w:val="19"/>
                <w:szCs w:val="19"/>
              </w:rPr>
              <w:t>持股数量（万股）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b/>
                <w:bCs/>
                <w:color w:val="000000"/>
                <w:spacing w:val="0"/>
                <w:w w:val="100"/>
                <w:position w:val="0"/>
                <w:sz w:val="19"/>
                <w:szCs w:val="19"/>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一、发起人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25.50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深圳宝德科技股份有限公司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15.30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中青联创科技（北京）有限公司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15.00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深圳市创新投资集团有限公司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深圳市网诚科技有限公司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深圳市众志和科技有限公司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深圳市中科招商投资管理有限公司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深圳市南博投资有限公司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295.50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2.95</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75.00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二、社会公众股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25.00</w:t>
            </w:r>
          </w:p>
        </w:tc>
      </w:tr>
      <w:tr>
        <w:trPr>
          <w:trHeight w:val="36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widowControl w:val="0"/>
        <w:spacing w:after="219" w:line="1" w:lineRule="exact"/>
      </w:pPr>
    </w:p>
    <w:p>
      <w:pPr>
        <w:pStyle w:val="Style49"/>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日，公司第一届董事会第十七次会议审议通过了《</w:t>
      </w:r>
      <w:r>
        <w:rPr>
          <w:rFonts w:ascii="Times New Roman" w:eastAsia="Times New Roman" w:hAnsi="Times New Roman" w:cs="Times New Roman"/>
          <w:color w:val="000000"/>
          <w:spacing w:val="0"/>
          <w:w w:val="100"/>
          <w:position w:val="0"/>
        </w:rPr>
        <w:t>2009</w:t>
      </w:r>
      <w:r>
        <w:rPr>
          <w:color w:val="000000"/>
          <w:spacing w:val="0"/>
          <w:w w:val="100"/>
          <w:position w:val="0"/>
        </w:rPr>
        <w:t>年度利润分配和资本公积转 增股本预案》以现有总股本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w:t>
      </w:r>
      <w:r>
        <w:rPr>
          <w:color w:val="000000"/>
          <w:spacing w:val="0"/>
          <w:w w:val="100"/>
          <w:position w:val="0"/>
        </w:rPr>
        <w:t>元（含税），派发 现金股利共人民币</w:t>
      </w:r>
      <w:r>
        <w:rPr>
          <w:rFonts w:ascii="Times New Roman" w:eastAsia="Times New Roman" w:hAnsi="Times New Roman" w:cs="Times New Roman"/>
          <w:color w:val="000000"/>
          <w:spacing w:val="0"/>
          <w:w w:val="100"/>
          <w:position w:val="0"/>
        </w:rPr>
        <w:t>20,000,000</w:t>
      </w:r>
      <w:r>
        <w:rPr>
          <w:color w:val="000000"/>
          <w:spacing w:val="0"/>
          <w:w w:val="100"/>
          <w:position w:val="0"/>
        </w:rPr>
        <w:t>元，剩余未分配利润结转以后年度，同时，以总股本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 数，由资本公积向全体股东每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股，合计转增股本</w:t>
      </w:r>
      <w:r>
        <w:rPr>
          <w:rFonts w:ascii="Times New Roman" w:eastAsia="Times New Roman" w:hAnsi="Times New Roman" w:cs="Times New Roman"/>
          <w:color w:val="000000"/>
          <w:spacing w:val="0"/>
          <w:w w:val="100"/>
          <w:position w:val="0"/>
        </w:rPr>
        <w:t>30,000,000</w:t>
      </w:r>
      <w:r>
        <w:rPr>
          <w:color w:val="000000"/>
          <w:spacing w:val="0"/>
          <w:w w:val="100"/>
          <w:position w:val="0"/>
        </w:rPr>
        <w:t>股。以上方案已经</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日召开的公司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年年度股东大会审议通过，转增后总股本为</w:t>
      </w:r>
      <w:r>
        <w:rPr>
          <w:rFonts w:ascii="Times New Roman" w:eastAsia="Times New Roman" w:hAnsi="Times New Roman" w:cs="Times New Roman"/>
          <w:color w:val="000000"/>
          <w:spacing w:val="0"/>
          <w:w w:val="100"/>
          <w:position w:val="0"/>
        </w:rPr>
        <w:t>130,000,000</w:t>
      </w:r>
      <w:r>
        <w:rPr>
          <w:color w:val="000000"/>
          <w:spacing w:val="0"/>
          <w:w w:val="100"/>
          <w:position w:val="0"/>
        </w:rPr>
        <w:t>股。</w:t>
      </w:r>
    </w:p>
    <w:p>
      <w:pPr>
        <w:pStyle w:val="Style49"/>
        <w:keepNext w:val="0"/>
        <w:keepLines w:val="0"/>
        <w:widowControl w:val="0"/>
        <w:shd w:val="clear" w:color="auto" w:fill="auto"/>
        <w:bidi w:val="0"/>
        <w:spacing w:before="0" w:after="220" w:line="331" w:lineRule="exact"/>
        <w:ind w:left="0" w:right="0" w:firstLine="5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日，经深圳市市场监督管理局核准，公司名称变更为深圳中青宝互动网络股份有限 公司。</w:t>
      </w:r>
    </w:p>
    <w:p>
      <w:pPr>
        <w:pStyle w:val="Style49"/>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年半年度权益分派方案》， 以现有总股本</w:t>
      </w:r>
      <w:r>
        <w:rPr>
          <w:rFonts w:ascii="Times New Roman" w:eastAsia="Times New Roman" w:hAnsi="Times New Roman" w:cs="Times New Roman"/>
          <w:color w:val="000000"/>
          <w:spacing w:val="0"/>
          <w:w w:val="100"/>
          <w:position w:val="0"/>
        </w:rPr>
        <w:t>130,000,000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rPr>
        <w:t>130,000,000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rPr>
        <w:t>260,000,000</w:t>
      </w:r>
      <w:r>
        <w:rPr>
          <w:color w:val="000000"/>
          <w:spacing w:val="0"/>
          <w:w w:val="100"/>
          <w:position w:val="0"/>
        </w:rPr>
        <w:t>股。</w:t>
      </w:r>
    </w:p>
    <w:p>
      <w:pPr>
        <w:pStyle w:val="Style49"/>
        <w:keepNext w:val="0"/>
        <w:keepLines w:val="0"/>
        <w:widowControl w:val="0"/>
        <w:shd w:val="clear" w:color="auto" w:fill="auto"/>
        <w:bidi w:val="0"/>
        <w:spacing w:before="0" w:after="220" w:line="310"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日公司召开的第三届董事会第十八次（临时）会议审议通过了《关于股票期权激励 计划中首次授予的期权第二个行权期可行权的议案》，公司股票期权激励计划中首次授权股票期权的 </w:t>
      </w:r>
      <w:r>
        <w:rPr>
          <w:rFonts w:ascii="Times New Roman" w:eastAsia="Times New Roman" w:hAnsi="Times New Roman" w:cs="Times New Roman"/>
          <w:color w:val="000000"/>
          <w:spacing w:val="0"/>
          <w:w w:val="100"/>
          <w:position w:val="0"/>
        </w:rPr>
        <w:t>59</w:t>
      </w:r>
      <w:r>
        <w:rPr>
          <w:color w:val="000000"/>
          <w:spacing w:val="0"/>
          <w:w w:val="100"/>
          <w:position w:val="0"/>
        </w:rPr>
        <w:t>名激励对象在第二个行权期行权的股票期权共计</w:t>
      </w:r>
      <w:r>
        <w:rPr>
          <w:rFonts w:ascii="Times New Roman" w:eastAsia="Times New Roman" w:hAnsi="Times New Roman" w:cs="Times New Roman"/>
          <w:color w:val="000000"/>
          <w:spacing w:val="0"/>
          <w:w w:val="100"/>
          <w:position w:val="0"/>
        </w:rPr>
        <w:t>103.86</w:t>
      </w:r>
      <w:r>
        <w:rPr>
          <w:color w:val="000000"/>
          <w:spacing w:val="0"/>
          <w:w w:val="100"/>
          <w:position w:val="0"/>
        </w:rPr>
        <w:t>万份，行权价格为</w:t>
      </w:r>
      <w:r>
        <w:rPr>
          <w:rFonts w:ascii="Times New Roman" w:eastAsia="Times New Roman" w:hAnsi="Times New Roman" w:cs="Times New Roman"/>
          <w:color w:val="000000"/>
          <w:spacing w:val="0"/>
          <w:w w:val="100"/>
          <w:position w:val="0"/>
        </w:rPr>
        <w:t>6.54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股，其中 </w:t>
      </w:r>
      <w:r>
        <w:rPr>
          <w:rFonts w:ascii="Times New Roman" w:eastAsia="Times New Roman" w:hAnsi="Times New Roman" w:cs="Times New Roman"/>
          <w:color w:val="000000"/>
          <w:spacing w:val="0"/>
          <w:w w:val="100"/>
          <w:position w:val="0"/>
        </w:rPr>
        <w:t>1,038,600.00</w:t>
      </w:r>
      <w:r>
        <w:rPr>
          <w:color w:val="000000"/>
          <w:spacing w:val="0"/>
          <w:w w:val="100"/>
          <w:position w:val="0"/>
        </w:rPr>
        <w:t>元增加股本，其余</w:t>
      </w:r>
      <w:r>
        <w:rPr>
          <w:rFonts w:ascii="Times New Roman" w:eastAsia="Times New Roman" w:hAnsi="Times New Roman" w:cs="Times New Roman"/>
          <w:color w:val="000000"/>
          <w:spacing w:val="0"/>
          <w:w w:val="100"/>
          <w:position w:val="0"/>
        </w:rPr>
        <w:t>5,753,844.00</w:t>
      </w:r>
      <w:r>
        <w:rPr>
          <w:color w:val="000000"/>
          <w:spacing w:val="0"/>
          <w:w w:val="100"/>
          <w:position w:val="0"/>
        </w:rPr>
        <w:t>元计入资本公积。</w:t>
      </w:r>
    </w:p>
    <w:p>
      <w:pPr>
        <w:pStyle w:val="Style49"/>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日公司召开的第四届董事会第十七次（临时）会议审议通过了《关于向激励对象首 次授予限制性股票的议案》，公司授予</w:t>
      </w:r>
      <w:r>
        <w:rPr>
          <w:rFonts w:ascii="Times New Roman" w:eastAsia="Times New Roman" w:hAnsi="Times New Roman" w:cs="Times New Roman"/>
          <w:color w:val="000000"/>
          <w:spacing w:val="0"/>
          <w:w w:val="100"/>
          <w:position w:val="0"/>
        </w:rPr>
        <w:t>68</w:t>
      </w:r>
      <w:r>
        <w:rPr>
          <w:color w:val="000000"/>
          <w:spacing w:val="0"/>
          <w:w w:val="100"/>
          <w:position w:val="0"/>
        </w:rPr>
        <w:t>名激励对象</w:t>
      </w:r>
      <w:r>
        <w:rPr>
          <w:rFonts w:ascii="Times New Roman" w:eastAsia="Times New Roman" w:hAnsi="Times New Roman" w:cs="Times New Roman"/>
          <w:color w:val="000000"/>
          <w:spacing w:val="0"/>
          <w:w w:val="100"/>
          <w:position w:val="0"/>
        </w:rPr>
        <w:t>690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日公司召开的 第四届董事会第十九次（临时）会议审议通过《关于调整公司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年限制性股票激励计划相关事项的 议案》，公司对首次授予的激励对象名单及获授的限制性股票数量进行调整，首次授予激励对象人数 由</w:t>
      </w:r>
      <w:r>
        <w:rPr>
          <w:rFonts w:ascii="Times New Roman" w:eastAsia="Times New Roman" w:hAnsi="Times New Roman" w:cs="Times New Roman"/>
          <w:color w:val="000000"/>
          <w:spacing w:val="0"/>
          <w:w w:val="100"/>
          <w:position w:val="0"/>
        </w:rPr>
        <w:t>68</w:t>
      </w:r>
      <w:r>
        <w:rPr>
          <w:color w:val="000000"/>
          <w:spacing w:val="0"/>
          <w:w w:val="100"/>
          <w:position w:val="0"/>
        </w:rPr>
        <w:t>名调整为</w:t>
      </w:r>
      <w:r>
        <w:rPr>
          <w:rFonts w:ascii="Times New Roman" w:eastAsia="Times New Roman" w:hAnsi="Times New Roman" w:cs="Times New Roman"/>
          <w:color w:val="000000"/>
          <w:spacing w:val="0"/>
          <w:w w:val="100"/>
          <w:position w:val="0"/>
        </w:rPr>
        <w:t>46</w:t>
      </w:r>
      <w:r>
        <w:rPr>
          <w:color w:val="000000"/>
          <w:spacing w:val="0"/>
          <w:w w:val="100"/>
          <w:position w:val="0"/>
        </w:rPr>
        <w:t>名，首次授予限制性股票由</w:t>
      </w:r>
      <w:r>
        <w:rPr>
          <w:rFonts w:ascii="Times New Roman" w:eastAsia="Times New Roman" w:hAnsi="Times New Roman" w:cs="Times New Roman"/>
          <w:color w:val="000000"/>
          <w:spacing w:val="0"/>
          <w:w w:val="100"/>
          <w:position w:val="0"/>
        </w:rPr>
        <w:t>690</w:t>
      </w:r>
      <w:r>
        <w:rPr>
          <w:color w:val="000000"/>
          <w:spacing w:val="0"/>
          <w:w w:val="100"/>
          <w:position w:val="0"/>
        </w:rPr>
        <w:t>万股调整为</w:t>
      </w:r>
      <w:r>
        <w:rPr>
          <w:rFonts w:ascii="Times New Roman" w:eastAsia="Times New Roman" w:hAnsi="Times New Roman" w:cs="Times New Roman"/>
          <w:color w:val="000000"/>
          <w:spacing w:val="0"/>
          <w:w w:val="100"/>
          <w:position w:val="0"/>
        </w:rPr>
        <w:t>367</w:t>
      </w:r>
      <w:r>
        <w:rPr>
          <w:color w:val="000000"/>
          <w:spacing w:val="0"/>
          <w:w w:val="100"/>
          <w:position w:val="0"/>
        </w:rPr>
        <w:t>万，预留的限制性股票不变。</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日公司召开第四届董事会第二十次（临时）会议审议通过了《关于变更公司注册资本的议案》， 公司注册资本从</w:t>
      </w:r>
      <w:r>
        <w:rPr>
          <w:rFonts w:ascii="Times New Roman" w:eastAsia="Times New Roman" w:hAnsi="Times New Roman" w:cs="Times New Roman"/>
          <w:color w:val="000000"/>
          <w:spacing w:val="0"/>
          <w:w w:val="100"/>
          <w:position w:val="0"/>
        </w:rPr>
        <w:t>26,103.86</w:t>
      </w:r>
      <w:r>
        <w:rPr>
          <w:color w:val="000000"/>
          <w:spacing w:val="0"/>
          <w:w w:val="100"/>
          <w:position w:val="0"/>
        </w:rPr>
        <w:t>万元人民币变更为</w:t>
      </w:r>
      <w:r>
        <w:rPr>
          <w:rFonts w:ascii="Times New Roman" w:eastAsia="Times New Roman" w:hAnsi="Times New Roman" w:cs="Times New Roman"/>
          <w:color w:val="000000"/>
          <w:spacing w:val="0"/>
          <w:w w:val="100"/>
          <w:position w:val="0"/>
        </w:rPr>
        <w:t>26,470.86</w:t>
      </w:r>
      <w:r>
        <w:rPr>
          <w:color w:val="000000"/>
          <w:spacing w:val="0"/>
          <w:w w:val="100"/>
          <w:position w:val="0"/>
        </w:rPr>
        <w:t>万元人民币。</w:t>
      </w:r>
    </w:p>
    <w:p>
      <w:pPr>
        <w:pStyle w:val="Style49"/>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日，公司召开了第四届董事会第二十四次（临时）会议和第四届监事会第十五次（临 时）会议并于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年年度股东大会审议通过了《关于回购注销部分限制性股票 的议案》，同意回购注销已获授但尚未解锁的限制性股票共</w:t>
      </w:r>
      <w:r>
        <w:rPr>
          <w:rFonts w:ascii="Times New Roman" w:eastAsia="Times New Roman" w:hAnsi="Times New Roman" w:cs="Times New Roman"/>
          <w:color w:val="000000"/>
          <w:spacing w:val="0"/>
          <w:w w:val="100"/>
          <w:position w:val="0"/>
        </w:rPr>
        <w:t>1,468,500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股加银行 同期存款利息。本次回购注销完成后，公司总股本由</w:t>
      </w:r>
      <w:r>
        <w:rPr>
          <w:rFonts w:ascii="Times New Roman" w:eastAsia="Times New Roman" w:hAnsi="Times New Roman" w:cs="Times New Roman"/>
          <w:color w:val="000000"/>
          <w:spacing w:val="0"/>
          <w:w w:val="100"/>
          <w:position w:val="0"/>
        </w:rPr>
        <w:t>264,708,600</w:t>
      </w:r>
      <w:r>
        <w:rPr>
          <w:color w:val="000000"/>
          <w:spacing w:val="0"/>
          <w:w w:val="100"/>
          <w:position w:val="0"/>
        </w:rPr>
        <w:t>股减至</w:t>
      </w:r>
      <w:r>
        <w:rPr>
          <w:rFonts w:ascii="Times New Roman" w:eastAsia="Times New Roman" w:hAnsi="Times New Roman" w:cs="Times New Roman"/>
          <w:color w:val="000000"/>
          <w:spacing w:val="0"/>
          <w:w w:val="100"/>
          <w:position w:val="0"/>
        </w:rPr>
        <w:t>263,240,100</w:t>
      </w:r>
      <w:r>
        <w:rPr>
          <w:color w:val="000000"/>
          <w:spacing w:val="0"/>
          <w:w w:val="100"/>
          <w:position w:val="0"/>
        </w:rPr>
        <w:t>股。</w:t>
      </w:r>
    </w:p>
    <w:p>
      <w:pPr>
        <w:pStyle w:val="Style49"/>
        <w:keepNext w:val="0"/>
        <w:keepLines w:val="0"/>
        <w:widowControl w:val="0"/>
        <w:shd w:val="clear" w:color="auto" w:fill="auto"/>
        <w:bidi w:val="0"/>
        <w:spacing w:before="0" w:after="26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日，公司召开第四届董事会第二十六次会议及第四届监事会第十七次会议，审议通 过了《关于调整公司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年限制性股票激励计划预留授予限制性股票授予价格的议案》、《关于向激 励对象授予预留限制性股票的议案》，鉴于公司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年限制性股票激励计划预留部分股份的授予条 件已成就，公司董事会同意以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日作为限制性股票的授予日，向符合条件的</w:t>
      </w:r>
      <w:r>
        <w:rPr>
          <w:rFonts w:ascii="Times New Roman" w:eastAsia="Times New Roman" w:hAnsi="Times New Roman" w:cs="Times New Roman"/>
          <w:color w:val="000000"/>
          <w:spacing w:val="0"/>
          <w:w w:val="100"/>
          <w:position w:val="0"/>
        </w:rPr>
        <w:t>14</w:t>
      </w:r>
      <w:r>
        <w:rPr>
          <w:color w:val="000000"/>
          <w:spacing w:val="0"/>
          <w:w w:val="100"/>
          <w:position w:val="0"/>
        </w:rPr>
        <w:t>名激励对象 授予</w:t>
      </w:r>
      <w:r>
        <w:rPr>
          <w:rFonts w:ascii="Times New Roman" w:eastAsia="Times New Roman" w:hAnsi="Times New Roman" w:cs="Times New Roman"/>
          <w:color w:val="000000"/>
          <w:spacing w:val="0"/>
          <w:w w:val="100"/>
          <w:position w:val="0"/>
        </w:rPr>
        <w:t>70.77</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rPr>
        <w:t>6.18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 十七次会议及第四届监事会第十八次会议，审议通过了《关于调整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 予激励对象名单、授予数量的议案》，本次激励计划预留授予的激励对象由</w:t>
      </w:r>
      <w:r>
        <w:rPr>
          <w:rFonts w:ascii="Times New Roman" w:eastAsia="Times New Roman" w:hAnsi="Times New Roman" w:cs="Times New Roman"/>
          <w:color w:val="000000"/>
          <w:spacing w:val="0"/>
          <w:w w:val="100"/>
          <w:position w:val="0"/>
        </w:rPr>
        <w:t>14</w:t>
      </w:r>
      <w:r>
        <w:rPr>
          <w:color w:val="000000"/>
          <w:spacing w:val="0"/>
          <w:w w:val="100"/>
          <w:position w:val="0"/>
        </w:rPr>
        <w:t>名调整为</w:t>
      </w:r>
      <w:r>
        <w:rPr>
          <w:rFonts w:ascii="Times New Roman" w:eastAsia="Times New Roman" w:hAnsi="Times New Roman" w:cs="Times New Roman"/>
          <w:color w:val="000000"/>
          <w:spacing w:val="0"/>
          <w:w w:val="100"/>
          <w:position w:val="0"/>
        </w:rPr>
        <w:t>12</w:t>
      </w:r>
      <w:r>
        <w:rPr>
          <w:color w:val="000000"/>
          <w:spacing w:val="0"/>
          <w:w w:val="100"/>
          <w:position w:val="0"/>
        </w:rPr>
        <w:t>名，本次激 励计划拟授予的预留限制性股票数量由</w:t>
      </w:r>
      <w:r>
        <w:rPr>
          <w:rFonts w:ascii="Times New Roman" w:eastAsia="Times New Roman" w:hAnsi="Times New Roman" w:cs="Times New Roman"/>
          <w:color w:val="000000"/>
          <w:spacing w:val="0"/>
          <w:w w:val="100"/>
          <w:position w:val="0"/>
        </w:rPr>
        <w:t>70.77</w:t>
      </w:r>
      <w:r>
        <w:rPr>
          <w:color w:val="000000"/>
          <w:spacing w:val="0"/>
          <w:w w:val="100"/>
          <w:position w:val="0"/>
        </w:rPr>
        <w:t>万股调整为</w:t>
      </w:r>
      <w:r>
        <w:rPr>
          <w:rFonts w:ascii="Times New Roman" w:eastAsia="Times New Roman" w:hAnsi="Times New Roman" w:cs="Times New Roman"/>
          <w:color w:val="000000"/>
          <w:spacing w:val="0"/>
          <w:w w:val="100"/>
          <w:position w:val="0"/>
        </w:rPr>
        <w:t>43.17</w:t>
      </w:r>
      <w:r>
        <w:rPr>
          <w:color w:val="000000"/>
          <w:spacing w:val="0"/>
          <w:w w:val="100"/>
          <w:position w:val="0"/>
        </w:rPr>
        <w:t>万股。本次授予预留限制性股票事项完 成后，公司总股本由</w:t>
      </w:r>
      <w:r>
        <w:rPr>
          <w:rFonts w:ascii="Times New Roman" w:eastAsia="Times New Roman" w:hAnsi="Times New Roman" w:cs="Times New Roman"/>
          <w:color w:val="000000"/>
          <w:spacing w:val="0"/>
          <w:w w:val="100"/>
          <w:position w:val="0"/>
        </w:rPr>
        <w:t>263,240,100</w:t>
      </w:r>
      <w:r>
        <w:rPr>
          <w:color w:val="000000"/>
          <w:spacing w:val="0"/>
          <w:w w:val="100"/>
          <w:position w:val="0"/>
        </w:rPr>
        <w:t>股增加至</w:t>
      </w:r>
      <w:r>
        <w:rPr>
          <w:rFonts w:ascii="Times New Roman" w:eastAsia="Times New Roman" w:hAnsi="Times New Roman" w:cs="Times New Roman"/>
          <w:color w:val="000000"/>
          <w:spacing w:val="0"/>
          <w:w w:val="100"/>
          <w:position w:val="0"/>
        </w:rPr>
        <w:t>263,671,800</w:t>
      </w:r>
      <w:r>
        <w:rPr>
          <w:color w:val="000000"/>
          <w:spacing w:val="0"/>
          <w:w w:val="100"/>
          <w:position w:val="0"/>
        </w:rPr>
        <w:t>股。</w:t>
      </w:r>
    </w:p>
    <w:p>
      <w:pPr>
        <w:pStyle w:val="Style49"/>
        <w:keepNext w:val="0"/>
        <w:keepLines w:val="0"/>
        <w:widowControl w:val="0"/>
        <w:shd w:val="clear" w:color="auto" w:fill="auto"/>
        <w:bidi w:val="0"/>
        <w:spacing w:before="0" w:after="26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日，公司召开了第四届董事会第二十九次会议，审议通过了《关于回购注销部分限 制性股票的议案》，同意回购注销</w:t>
      </w:r>
      <w:r>
        <w:rPr>
          <w:rFonts w:ascii="Times New Roman" w:eastAsia="Times New Roman" w:hAnsi="Times New Roman" w:cs="Times New Roman"/>
          <w:color w:val="000000"/>
          <w:spacing w:val="0"/>
          <w:w w:val="100"/>
          <w:position w:val="0"/>
        </w:rPr>
        <w:t>402,500</w:t>
      </w:r>
      <w:r>
        <w:rPr>
          <w:color w:val="000000"/>
          <w:spacing w:val="0"/>
          <w:w w:val="100"/>
          <w:position w:val="0"/>
        </w:rPr>
        <w:t xml:space="preserve">股限制性股票。本次回购注销完成后，公司总股本由 </w:t>
      </w:r>
      <w:r>
        <w:rPr>
          <w:rFonts w:ascii="Times New Roman" w:eastAsia="Times New Roman" w:hAnsi="Times New Roman" w:cs="Times New Roman"/>
          <w:color w:val="000000"/>
          <w:spacing w:val="0"/>
          <w:w w:val="100"/>
          <w:position w:val="0"/>
        </w:rPr>
        <w:t>263,671,800</w:t>
      </w:r>
      <w:r>
        <w:rPr>
          <w:color w:val="000000"/>
          <w:spacing w:val="0"/>
          <w:w w:val="100"/>
          <w:position w:val="0"/>
        </w:rPr>
        <w:t>股减至</w:t>
      </w:r>
      <w:r>
        <w:rPr>
          <w:rFonts w:ascii="Times New Roman" w:eastAsia="Times New Roman" w:hAnsi="Times New Roman" w:cs="Times New Roman"/>
          <w:color w:val="000000"/>
          <w:spacing w:val="0"/>
          <w:w w:val="100"/>
          <w:position w:val="0"/>
        </w:rPr>
        <w:t>263,269,300</w:t>
      </w:r>
      <w:r>
        <w:rPr>
          <w:color w:val="000000"/>
          <w:spacing w:val="0"/>
          <w:w w:val="100"/>
          <w:position w:val="0"/>
        </w:rPr>
        <w:t>股。</w:t>
      </w:r>
    </w:p>
    <w:p>
      <w:pPr>
        <w:pStyle w:val="Style49"/>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日，公司召开第五届董事会第二次会议及第五届监事会第二次会议，审议通过了《关 于回购注销部分限制性股票的议案》，同意回购注销已获授但尚未解锁的限制性股票共</w:t>
      </w:r>
      <w:r>
        <w:rPr>
          <w:rFonts w:ascii="Times New Roman" w:eastAsia="Times New Roman" w:hAnsi="Times New Roman" w:cs="Times New Roman"/>
          <w:color w:val="000000"/>
          <w:spacing w:val="0"/>
          <w:w w:val="100"/>
          <w:position w:val="0"/>
        </w:rPr>
        <w:t>200,000</w:t>
      </w:r>
      <w:r>
        <w:rPr>
          <w:color w:val="000000"/>
          <w:spacing w:val="0"/>
          <w:w w:val="100"/>
          <w:position w:val="0"/>
        </w:rPr>
        <w:t>股。 本次回购注销完成后，公司股本由</w:t>
      </w:r>
      <w:r>
        <w:rPr>
          <w:rFonts w:ascii="Times New Roman" w:eastAsia="Times New Roman" w:hAnsi="Times New Roman" w:cs="Times New Roman"/>
          <w:color w:val="000000"/>
          <w:spacing w:val="0"/>
          <w:w w:val="100"/>
          <w:position w:val="0"/>
        </w:rPr>
        <w:t>263,269,300</w:t>
      </w:r>
      <w:r>
        <w:rPr>
          <w:color w:val="000000"/>
          <w:spacing w:val="0"/>
          <w:w w:val="100"/>
          <w:position w:val="0"/>
        </w:rPr>
        <w:t>股减至</w:t>
      </w:r>
      <w:r>
        <w:rPr>
          <w:rFonts w:ascii="Times New Roman" w:eastAsia="Times New Roman" w:hAnsi="Times New Roman" w:cs="Times New Roman"/>
          <w:color w:val="000000"/>
          <w:spacing w:val="0"/>
          <w:w w:val="100"/>
          <w:position w:val="0"/>
        </w:rPr>
        <w:t>263,069,300</w:t>
      </w:r>
      <w:r>
        <w:rPr>
          <w:color w:val="000000"/>
          <w:spacing w:val="0"/>
          <w:w w:val="100"/>
          <w:position w:val="0"/>
        </w:rPr>
        <w:t>股。</w:t>
      </w:r>
    </w:p>
    <w:p>
      <w:pPr>
        <w:pStyle w:val="Style4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日，公司召开第五届董事会第三次会议及第五届监事会第三次会议，审议通过了《关于 </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年限制性股票激励计划首次授予第二个解除限售期解除限售条件成就的议案》及《关于回购注 销部分限制性股票的议案》，首次授予第二个解除限售期解除限售条件已满足，根据公司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 二次临时股东大会的授权，办理首次授予限制性股票符合解除限售条件部分的股票解除限售事宜；同 意回购注销已获授但尚未解锁的限制性股票共</w:t>
      </w:r>
      <w:r>
        <w:rPr>
          <w:rFonts w:ascii="Times New Roman" w:eastAsia="Times New Roman" w:hAnsi="Times New Roman" w:cs="Times New Roman"/>
          <w:color w:val="000000"/>
          <w:spacing w:val="0"/>
          <w:w w:val="100"/>
          <w:position w:val="0"/>
        </w:rPr>
        <w:t>35,000</w:t>
      </w:r>
      <w:r>
        <w:rPr>
          <w:color w:val="000000"/>
          <w:spacing w:val="0"/>
          <w:w w:val="100"/>
          <w:position w:val="0"/>
        </w:rPr>
        <w:t xml:space="preserve">股。本次回购注销完成后，公司股本由 </w:t>
      </w:r>
      <w:r>
        <w:rPr>
          <w:rFonts w:ascii="Times New Roman" w:eastAsia="Times New Roman" w:hAnsi="Times New Roman" w:cs="Times New Roman"/>
          <w:color w:val="000000"/>
          <w:spacing w:val="0"/>
          <w:w w:val="100"/>
          <w:position w:val="0"/>
        </w:rPr>
        <w:t>263,069,300</w:t>
      </w:r>
      <w:r>
        <w:rPr>
          <w:color w:val="000000"/>
          <w:spacing w:val="0"/>
          <w:w w:val="100"/>
          <w:position w:val="0"/>
        </w:rPr>
        <w:t>股减至</w:t>
      </w:r>
      <w:r>
        <w:rPr>
          <w:rFonts w:ascii="Times New Roman" w:eastAsia="Times New Roman" w:hAnsi="Times New Roman" w:cs="Times New Roman"/>
          <w:color w:val="000000"/>
          <w:spacing w:val="0"/>
          <w:w w:val="100"/>
          <w:position w:val="0"/>
        </w:rPr>
        <w:t>263,034,300</w:t>
      </w:r>
      <w:r>
        <w:rPr>
          <w:color w:val="000000"/>
          <w:spacing w:val="0"/>
          <w:w w:val="100"/>
          <w:position w:val="0"/>
        </w:rPr>
        <w:t>股。</w:t>
      </w:r>
    </w:p>
    <w:p>
      <w:pPr>
        <w:pStyle w:val="Style4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本财务报告于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sz w:val="22"/>
          <w:szCs w:val="22"/>
        </w:rPr>
        <w:t>0</w:t>
      </w:r>
      <w:r>
        <w:rPr>
          <w:color w:val="000000"/>
          <w:spacing w:val="0"/>
          <w:w w:val="100"/>
          <w:position w:val="0"/>
        </w:rPr>
        <w:t>由本公司董事会批准报出。</w:t>
      </w:r>
    </w:p>
    <w:p>
      <w:pPr>
        <w:pStyle w:val="Style49"/>
        <w:keepNext w:val="0"/>
        <w:keepLines w:val="0"/>
        <w:widowControl w:val="0"/>
        <w:shd w:val="clear" w:color="auto" w:fill="auto"/>
        <w:bidi w:val="0"/>
        <w:spacing w:before="0" w:after="320" w:line="310" w:lineRule="exact"/>
        <w:ind w:left="0" w:right="0" w:firstLine="460"/>
        <w:jc w:val="left"/>
      </w:pPr>
      <w:r>
        <w:rPr>
          <w:color w:val="000000"/>
          <w:spacing w:val="0"/>
          <w:w w:val="100"/>
          <w:position w:val="0"/>
        </w:rPr>
        <w:t>本公司合并财务报表范围包括深圳卓页、深圳时代首游、</w:t>
      </w:r>
      <w:r>
        <w:rPr>
          <w:rFonts w:ascii="Times New Roman" w:eastAsia="Times New Roman" w:hAnsi="Times New Roman" w:cs="Times New Roman"/>
          <w:color w:val="000000"/>
          <w:spacing w:val="0"/>
          <w:w w:val="100"/>
          <w:position w:val="0"/>
        </w:rPr>
        <w:t>CUPLAY</w:t>
      </w:r>
      <w:r>
        <w:rPr>
          <w:color w:val="000000"/>
          <w:spacing w:val="0"/>
          <w:w w:val="100"/>
          <w:position w:val="0"/>
        </w:rPr>
        <w:t>、</w:t>
      </w:r>
      <w:r>
        <w:rPr>
          <w:color w:val="000000"/>
          <w:spacing w:val="0"/>
          <w:w w:val="100"/>
          <w:position w:val="0"/>
        </w:rPr>
        <w:t xml:space="preserve">深圳苏摩、深圳宝腾互联等 </w:t>
      </w:r>
      <w:r>
        <w:rPr>
          <w:rFonts w:ascii="Times New Roman" w:eastAsia="Times New Roman" w:hAnsi="Times New Roman" w:cs="Times New Roman"/>
          <w:color w:val="000000"/>
          <w:spacing w:val="0"/>
          <w:w w:val="100"/>
          <w:position w:val="0"/>
        </w:rPr>
        <w:t>41</w:t>
      </w:r>
      <w:r>
        <w:rPr>
          <w:color w:val="000000"/>
          <w:spacing w:val="0"/>
          <w:w w:val="100"/>
          <w:position w:val="0"/>
        </w:rPr>
        <w:t>家子公司（见附注九、在其他主体中的权益）。与上年相比，因新设增加掌心烈焰、区块链促进会、 区块链促进中心</w:t>
      </w:r>
      <w:r>
        <w:rPr>
          <w:rFonts w:ascii="Times New Roman" w:eastAsia="Times New Roman" w:hAnsi="Times New Roman" w:cs="Times New Roman"/>
          <w:color w:val="000000"/>
          <w:spacing w:val="0"/>
          <w:w w:val="100"/>
          <w:position w:val="0"/>
        </w:rPr>
        <w:t>3</w:t>
      </w:r>
      <w:r>
        <w:rPr>
          <w:color w:val="000000"/>
          <w:spacing w:val="0"/>
          <w:w w:val="100"/>
          <w:position w:val="0"/>
        </w:rPr>
        <w:t>家子公司，因注销减少</w:t>
      </w:r>
      <w:r>
        <w:rPr>
          <w:rFonts w:ascii="Times New Roman" w:eastAsia="Times New Roman" w:hAnsi="Times New Roman" w:cs="Times New Roman"/>
          <w:color w:val="000000"/>
          <w:spacing w:val="0"/>
          <w:w w:val="100"/>
          <w:position w:val="0"/>
        </w:rPr>
        <w:t>LEEPLAY</w:t>
      </w:r>
      <w:r>
        <w:rPr>
          <w:color w:val="000000"/>
          <w:spacing w:val="0"/>
          <w:w w:val="100"/>
          <w:position w:val="0"/>
        </w:rPr>
        <w:t>、</w:t>
      </w:r>
      <w:r>
        <w:rPr>
          <w:rFonts w:ascii="Times New Roman" w:eastAsia="Times New Roman" w:hAnsi="Times New Roman" w:cs="Times New Roman"/>
          <w:color w:val="000000"/>
          <w:spacing w:val="0"/>
          <w:w w:val="100"/>
          <w:position w:val="0"/>
        </w:rPr>
        <w:t>LEEGAME</w:t>
      </w:r>
      <w:r>
        <w:rPr>
          <w:color w:val="000000"/>
          <w:spacing w:val="0"/>
          <w:w w:val="100"/>
          <w:position w:val="0"/>
        </w:rPr>
        <w:t>、天地间文化传媒、山东科讯达恒、 区块链促进中心</w:t>
      </w:r>
      <w:r>
        <w:rPr>
          <w:rFonts w:ascii="Times New Roman" w:eastAsia="Times New Roman" w:hAnsi="Times New Roman" w:cs="Times New Roman"/>
          <w:color w:val="000000"/>
          <w:spacing w:val="0"/>
          <w:w w:val="100"/>
          <w:position w:val="0"/>
        </w:rPr>
        <w:t>5</w:t>
      </w:r>
      <w:r>
        <w:rPr>
          <w:color w:val="000000"/>
          <w:spacing w:val="0"/>
          <w:w w:val="100"/>
          <w:position w:val="0"/>
        </w:rPr>
        <w:t>家子公司（见附注八、合并范围的变更）。</w:t>
      </w:r>
    </w:p>
    <w:p>
      <w:pPr>
        <w:pStyle w:val="Style22"/>
        <w:keepNext/>
        <w:keepLines/>
        <w:widowControl w:val="0"/>
        <w:shd w:val="clear" w:color="auto" w:fill="auto"/>
        <w:tabs>
          <w:tab w:pos="455" w:val="left"/>
        </w:tabs>
        <w:bidi w:val="0"/>
        <w:spacing w:before="0" w:after="260" w:line="312" w:lineRule="exact"/>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四</w:t>
      </w:r>
      <w:bookmarkEnd w:id="686"/>
      <w:r>
        <w:rPr>
          <w:color w:val="000000"/>
          <w:spacing w:val="0"/>
          <w:w w:val="100"/>
          <w:position w:val="0"/>
          <w:sz w:val="24"/>
          <w:szCs w:val="24"/>
        </w:rPr>
        <w:t>、</w:t>
        <w:tab/>
        <w:t>财务报表的编制基础</w:t>
      </w:r>
      <w:bookmarkEnd w:id="684"/>
      <w:bookmarkEnd w:id="685"/>
      <w:bookmarkEnd w:id="687"/>
    </w:p>
    <w:p>
      <w:pPr>
        <w:pStyle w:val="Style31"/>
        <w:keepNext/>
        <w:keepLines/>
        <w:widowControl w:val="0"/>
        <w:shd w:val="clear" w:color="auto" w:fill="auto"/>
        <w:tabs>
          <w:tab w:pos="394" w:val="left"/>
        </w:tabs>
        <w:bidi w:val="0"/>
        <w:spacing w:before="0" w:after="260" w:line="312" w:lineRule="exact"/>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编制基础</w:t>
      </w:r>
      <w:bookmarkEnd w:id="688"/>
      <w:bookmarkEnd w:id="689"/>
      <w:bookmarkEnd w:id="691"/>
    </w:p>
    <w:p>
      <w:pPr>
        <w:pStyle w:val="Style49"/>
        <w:keepNext w:val="0"/>
        <w:keepLines w:val="0"/>
        <w:widowControl w:val="0"/>
        <w:shd w:val="clear" w:color="auto" w:fill="auto"/>
        <w:bidi w:val="0"/>
        <w:spacing w:before="0" w:after="260" w:line="317" w:lineRule="exact"/>
        <w:ind w:left="0" w:right="0" w:firstLine="460"/>
        <w:jc w:val="both"/>
      </w:pPr>
      <w:r>
        <w:rPr>
          <w:color w:val="000000"/>
          <w:spacing w:val="0"/>
          <w:w w:val="100"/>
          <w:position w:val="0"/>
        </w:rPr>
        <w:t>本公司财务报表以持续经营为基础，根据实际发生的交易和事项，按照财政部颁布的《企业会计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1"/>
        <w:keepNext/>
        <w:keepLines/>
        <w:widowControl w:val="0"/>
        <w:shd w:val="clear" w:color="auto" w:fill="auto"/>
        <w:tabs>
          <w:tab w:pos="394" w:val="left"/>
        </w:tabs>
        <w:bidi w:val="0"/>
        <w:spacing w:before="0" w:after="260" w:line="312" w:lineRule="exact"/>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持续经营</w:t>
      </w:r>
      <w:bookmarkEnd w:id="692"/>
      <w:bookmarkEnd w:id="693"/>
      <w:bookmarkEnd w:id="695"/>
    </w:p>
    <w:p>
      <w:pPr>
        <w:pStyle w:val="Style49"/>
        <w:keepNext w:val="0"/>
        <w:keepLines w:val="0"/>
        <w:widowControl w:val="0"/>
        <w:shd w:val="clear" w:color="auto" w:fill="auto"/>
        <w:bidi w:val="0"/>
        <w:spacing w:before="0" w:after="320" w:line="312" w:lineRule="exact"/>
        <w:ind w:left="0" w:right="0" w:firstLine="460"/>
        <w:jc w:val="left"/>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tabs>
          <w:tab w:pos="474" w:val="left"/>
        </w:tabs>
        <w:bidi w:val="0"/>
        <w:spacing w:before="0" w:line="312"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w:t>
        <w:tab/>
        <w:t>重要会计政策及会计估计</w:t>
      </w:r>
      <w:bookmarkEnd w:id="696"/>
      <w:bookmarkEnd w:id="697"/>
      <w:bookmarkEnd w:id="69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具体会计政策和会计估计提示：</w:t>
      </w:r>
    </w:p>
    <w:p>
      <w:pPr>
        <w:pStyle w:val="Style49"/>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 xml:space="preserve">本公司根据实际生产经营特点制定的具体会计政策和会计估计包括营业周期、应收款项坏账准备 </w:t>
      </w:r>
      <w:r>
        <w:rPr>
          <w:color w:val="000000"/>
          <w:spacing w:val="0"/>
          <w:w w:val="100"/>
          <w:position w:val="0"/>
        </w:rPr>
        <w:t>的确认和计量、固定资产分类及折旧方法、无形资产摊销、长期待摊费用摊销、收入确认和计量、政 府补助等。</w:t>
      </w:r>
    </w:p>
    <w:p>
      <w:pPr>
        <w:pStyle w:val="Style31"/>
        <w:keepNext/>
        <w:keepLines/>
        <w:widowControl w:val="0"/>
        <w:shd w:val="clear" w:color="auto" w:fill="auto"/>
        <w:tabs>
          <w:tab w:pos="361" w:val="left"/>
        </w:tabs>
        <w:bidi w:val="0"/>
        <w:spacing w:before="0" w:after="200" w:line="326"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遵循企业会计准则的声明</w:t>
      </w:r>
      <w:bookmarkEnd w:id="700"/>
      <w:bookmarkEnd w:id="701"/>
      <w:bookmarkEnd w:id="703"/>
    </w:p>
    <w:p>
      <w:pPr>
        <w:pStyle w:val="Style49"/>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本公司编制的财务报表符合企业会计准则的要求，真实、完整地反映了本公司的财务状况、经营 成果和现金流量等有关信息。</w:t>
      </w:r>
    </w:p>
    <w:p>
      <w:pPr>
        <w:pStyle w:val="Style31"/>
        <w:keepNext/>
        <w:keepLines/>
        <w:widowControl w:val="0"/>
        <w:shd w:val="clear" w:color="auto" w:fill="auto"/>
        <w:tabs>
          <w:tab w:pos="370" w:val="left"/>
        </w:tabs>
        <w:bidi w:val="0"/>
        <w:spacing w:before="0" w:after="200" w:line="326"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会计期间</w:t>
      </w:r>
      <w:bookmarkEnd w:id="704"/>
      <w:bookmarkEnd w:id="705"/>
      <w:bookmarkEnd w:id="707"/>
    </w:p>
    <w:p>
      <w:pPr>
        <w:pStyle w:val="Style49"/>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keepLines/>
        <w:widowControl w:val="0"/>
        <w:shd w:val="clear" w:color="auto" w:fill="auto"/>
        <w:tabs>
          <w:tab w:pos="370" w:val="left"/>
        </w:tabs>
        <w:bidi w:val="0"/>
        <w:spacing w:before="0" w:after="200" w:line="326"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记账本位币</w:t>
      </w:r>
      <w:bookmarkEnd w:id="708"/>
      <w:bookmarkEnd w:id="709"/>
      <w:bookmarkEnd w:id="711"/>
    </w:p>
    <w:p>
      <w:pPr>
        <w:pStyle w:val="Style49"/>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本公司以人民币为记账本位币。</w:t>
      </w:r>
    </w:p>
    <w:p>
      <w:pPr>
        <w:pStyle w:val="Style49"/>
        <w:keepNext w:val="0"/>
        <w:keepLines w:val="0"/>
        <w:widowControl w:val="0"/>
        <w:shd w:val="clear" w:color="auto" w:fill="auto"/>
        <w:bidi w:val="0"/>
        <w:spacing w:before="0" w:after="380" w:line="302" w:lineRule="exact"/>
        <w:ind w:left="0" w:right="0" w:firstLine="460"/>
        <w:jc w:val="both"/>
      </w:pPr>
      <w:r>
        <w:rPr>
          <w:color w:val="000000"/>
          <w:spacing w:val="0"/>
          <w:w w:val="100"/>
          <w:position w:val="0"/>
        </w:rPr>
        <w:t>本公司全资孙公司美国中青宝采用美元为记账本位币，本公司编制财务报表时已经折算为人民 币。</w:t>
      </w:r>
    </w:p>
    <w:p>
      <w:pPr>
        <w:pStyle w:val="Style31"/>
        <w:keepNext/>
        <w:keepLines/>
        <w:widowControl w:val="0"/>
        <w:shd w:val="clear" w:color="auto" w:fill="auto"/>
        <w:tabs>
          <w:tab w:pos="370" w:val="left"/>
        </w:tabs>
        <w:bidi w:val="0"/>
        <w:spacing w:before="0" w:after="200" w:line="326"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w:t>
        <w:tab/>
        <w:t>同一控制下和非同一控制下企业合并的会计处理方法</w:t>
      </w:r>
      <w:bookmarkEnd w:id="712"/>
      <w:bookmarkEnd w:id="713"/>
      <w:bookmarkEnd w:id="715"/>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49"/>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在非同一控制下企业合并中取得的被购买方可辨认资产、负债及或有负债在收购日以公允价值计 量。合并成本为本公司在购买日为取得对被购买方的控制权而支付的现金或非现金资产、发行或承担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1"/>
        <w:keepNext/>
        <w:keepLines/>
        <w:widowControl w:val="0"/>
        <w:shd w:val="clear" w:color="auto" w:fill="auto"/>
        <w:tabs>
          <w:tab w:pos="370" w:val="left"/>
        </w:tabs>
        <w:bidi w:val="0"/>
        <w:spacing w:before="0" w:after="200" w:line="326"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w:t>
        <w:tab/>
        <w:t>合并财务报表的编制方法</w:t>
      </w:r>
      <w:bookmarkEnd w:id="716"/>
      <w:bookmarkEnd w:id="717"/>
      <w:bookmarkEnd w:id="719"/>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本公司将所有控制的子公司及结构化主体纳入合并财务报表范围。</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在编制合并财务报表时，子公司与本公司采用的会计政策或会计期间不一致的，按照本公司的会 计政策或会计期间对子公司财务报表进行必要的调整。</w:t>
      </w:r>
    </w:p>
    <w:p>
      <w:pPr>
        <w:pStyle w:val="Style49"/>
        <w:keepNext w:val="0"/>
        <w:keepLines w:val="0"/>
        <w:widowControl w:val="0"/>
        <w:shd w:val="clear" w:color="auto" w:fill="auto"/>
        <w:bidi w:val="0"/>
        <w:spacing w:before="0" w:after="120" w:line="315" w:lineRule="exact"/>
        <w:ind w:left="0" w:right="0" w:firstLine="46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49"/>
        <w:keepNext w:val="0"/>
        <w:keepLines w:val="0"/>
        <w:widowControl w:val="0"/>
        <w:shd w:val="clear" w:color="auto" w:fill="auto"/>
        <w:bidi w:val="0"/>
        <w:spacing w:before="0" w:after="200" w:line="302" w:lineRule="exact"/>
        <w:ind w:left="0" w:right="0" w:firstLine="460"/>
        <w:jc w:val="both"/>
      </w:pPr>
      <w:r>
        <w:rPr>
          <w:color w:val="000000"/>
          <w:spacing w:val="0"/>
          <w:w w:val="100"/>
          <w:position w:val="0"/>
        </w:rPr>
        <w:t>对于同一控制下企业合并取得的子公司，其经营成果和现金流量自合并当期期初纳入合并财务报 表。编制比较合并财务报表时，对上年财务报表的相关项目进行调整，视同合并后形成的报告主体自</w:t>
      </w:r>
    </w:p>
    <w:p>
      <w:pPr>
        <w:pStyle w:val="Style4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最终控制方开始控制时点起一直存在。</w:t>
      </w:r>
    </w:p>
    <w:p>
      <w:pPr>
        <w:pStyle w:val="Style49"/>
        <w:keepNext w:val="0"/>
        <w:keepLines w:val="0"/>
        <w:widowControl w:val="0"/>
        <w:shd w:val="clear" w:color="auto" w:fill="auto"/>
        <w:bidi w:val="0"/>
        <w:spacing w:before="0" w:after="100" w:line="313" w:lineRule="exact"/>
        <w:ind w:left="360" w:right="0" w:firstLine="440"/>
        <w:jc w:val="both"/>
      </w:pPr>
      <w:r>
        <w:rPr>
          <w:color w:val="000000"/>
          <w:spacing w:val="0"/>
          <w:w w:val="100"/>
          <w:position w:val="0"/>
        </w:rPr>
        <w:t>通过多次交易分步取得同一控制下被投资单位的股权，最终形成企业合并的，应在取得控制权的 报告期，补充披露在合并财务报表中的处理方法。例如：通过多次交易分步取得同一控制下被投资单 位的股权，最终形成企业合并，编制合并报表时，视同在最终控制方开始控制时即以目前的状态存在 进行调整，在编制比较报表时，以不早于本公司和被合并方同处于最终控制方的控制之下的时点为限， 将被合并方的有关资产、负债并入本公司合并财务报表的比较报表中，并将合并而增加的净资产在比 较报表中调整所有者权益项下的相关项目。为避免对被合并方净资产的价值进行重复计算，本公司在 达到合并之前持有的长期股权投资，在取得原股权之日与本公司和被合并方处于同一方最终控制之日 孰晚日起至合并日之间已确认有关损益、其他综合收益和其他净资产变动，应分别冲减比较报表期间 的期初留存收益和当期损益。</w:t>
      </w:r>
    </w:p>
    <w:p>
      <w:pPr>
        <w:pStyle w:val="Style49"/>
        <w:keepNext w:val="0"/>
        <w:keepLines w:val="0"/>
        <w:widowControl w:val="0"/>
        <w:shd w:val="clear" w:color="auto" w:fill="auto"/>
        <w:bidi w:val="0"/>
        <w:spacing w:before="0" w:after="100" w:line="310" w:lineRule="exact"/>
        <w:ind w:left="360" w:right="0" w:firstLine="440"/>
        <w:jc w:val="both"/>
      </w:pPr>
      <w:r>
        <w:rPr>
          <w:color w:val="000000"/>
          <w:spacing w:val="0"/>
          <w:w w:val="100"/>
          <w:position w:val="0"/>
        </w:rPr>
        <w:t>对于非同一控制下企业合并取得子公司，经营成果和现金流量自本公司取得控制权之日起纳入合 并财务报表。在编制合并财务报表时，以购买日确定的各项可辨认资产、负债及或有负债的公允价值 为基础对子公司的财务报表进行调整。</w:t>
      </w:r>
    </w:p>
    <w:p>
      <w:pPr>
        <w:pStyle w:val="Style49"/>
        <w:keepNext w:val="0"/>
        <w:keepLines w:val="0"/>
        <w:widowControl w:val="0"/>
        <w:shd w:val="clear" w:color="auto" w:fill="auto"/>
        <w:bidi w:val="0"/>
        <w:spacing w:before="0" w:after="100" w:line="314" w:lineRule="exact"/>
        <w:ind w:left="360" w:right="0" w:firstLine="440"/>
        <w:jc w:val="both"/>
      </w:pPr>
      <w:r>
        <w:rPr>
          <w:color w:val="000000"/>
          <w:spacing w:val="0"/>
          <w:w w:val="100"/>
          <w:position w:val="0"/>
        </w:rPr>
        <w:t>通过多次交易分步取得非同一控制下被投资单位的股权，最终形成企业合并的，应在取得控制权 的报告期，补充披露在合并财务报表中的处理方法。例如：通过多次交易分步取得非同一控制下被投 资单位的股权，最终形成企业合并，编制合并报表时，对于购买日之前持有的被购买方的股权，按照 该股权在购买日的公允价值进行重新计量，公允价值与其账面价值的差额计入当期投资收益；与其相 关的购买日之前持有的被购买方的股权涉及权益法核算下的其他综合收益以及除净损益、其他综合收 益和利润分配外的其他所有者权益变动，在购买日所属当期转为投资损益，由于被投资方重新计量设 定受益计划净负债或净资产变动而产生的其他综合收益除外。</w:t>
      </w:r>
    </w:p>
    <w:p>
      <w:pPr>
        <w:pStyle w:val="Style49"/>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本公司在不丧失控制权的情况下部分处置对子公司的长期股权投资，在合并财务报表中，处置价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49"/>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本公司因处置部分股权投资等原因丧失了对被投资方的控制权的，在编制合并财务报表时，对于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49"/>
        <w:keepNext w:val="0"/>
        <w:keepLines w:val="0"/>
        <w:widowControl w:val="0"/>
        <w:shd w:val="clear" w:color="auto" w:fill="auto"/>
        <w:bidi w:val="0"/>
        <w:spacing w:before="0" w:after="600" w:line="317" w:lineRule="exact"/>
        <w:ind w:left="360" w:right="0" w:firstLine="440"/>
        <w:jc w:val="both"/>
      </w:pPr>
      <w:r>
        <w:rPr>
          <w:color w:val="000000"/>
          <w:spacing w:val="0"/>
          <w:w w:val="100"/>
          <w:position w:val="0"/>
        </w:rPr>
        <w:t>本公司通过多次交易分步处置对子公司股权投资直至丧失控制权的，如果处置对子公司股权投资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份额的差额，在合并财务报表中确认为其他综合收益，在丧失控制权时一并转入丧失控制权当期的投 资损益。</w:t>
      </w:r>
    </w:p>
    <w:p>
      <w:pPr>
        <w:pStyle w:val="Style31"/>
        <w:keepNext/>
        <w:keepLines/>
        <w:widowControl w:val="0"/>
        <w:shd w:val="clear" w:color="auto" w:fill="auto"/>
        <w:bidi w:val="0"/>
        <w:spacing w:before="0" w:after="280" w:line="312" w:lineRule="exact"/>
        <w:ind w:left="0" w:right="0" w:firstLine="36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、合营安排分类及共同经营会计处理方法</w:t>
      </w:r>
      <w:bookmarkEnd w:id="720"/>
      <w:bookmarkEnd w:id="721"/>
      <w:bookmarkEnd w:id="723"/>
    </w:p>
    <w:p>
      <w:pPr>
        <w:pStyle w:val="Style49"/>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本公司的合营安排包括共同经营和合营企业。对于共同经营项目</w:t>
      </w:r>
      <w:r>
        <w:rPr>
          <w:color w:val="000000"/>
          <w:spacing w:val="0"/>
          <w:w w:val="100"/>
          <w:position w:val="0"/>
        </w:rPr>
        <w:t>，</w:t>
      </w:r>
      <w:r>
        <w:rPr>
          <w:color w:val="000000"/>
          <w:spacing w:val="0"/>
          <w:w w:val="100"/>
          <w:position w:val="0"/>
        </w:rPr>
        <w:t>本公司作为共同经营中的合营方 确认单独持有的资产和承担的负债，以及按份额确认持有的资产和承担的负债，根据相关约定单独或 按份额确认相关的收入和费用。与共同经营发生购买、销售不构成业务的资产交易的，仅确认因该交 易产生的损益中归属于共同经营其他参与方的部分。</w:t>
      </w:r>
    </w:p>
    <w:p>
      <w:pPr>
        <w:pStyle w:val="Style31"/>
        <w:keepNext/>
        <w:keepLines/>
        <w:widowControl w:val="0"/>
        <w:shd w:val="clear" w:color="auto" w:fill="auto"/>
        <w:bidi w:val="0"/>
        <w:spacing w:before="0" w:after="300" w:line="298" w:lineRule="exact"/>
        <w:ind w:left="0" w:right="0" w:firstLine="36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7</w:t>
      </w:r>
      <w:bookmarkEnd w:id="726"/>
      <w:r>
        <w:rPr>
          <w:color w:val="000000"/>
          <w:spacing w:val="0"/>
          <w:w w:val="100"/>
          <w:position w:val="0"/>
        </w:rPr>
        <w:t>、现金及现金等价物的确定标准</w:t>
      </w:r>
      <w:bookmarkEnd w:id="724"/>
      <w:bookmarkEnd w:id="725"/>
      <w:bookmarkEnd w:id="727"/>
    </w:p>
    <w:p>
      <w:pPr>
        <w:pStyle w:val="Style49"/>
        <w:keepNext w:val="0"/>
        <w:keepLines w:val="0"/>
        <w:widowControl w:val="0"/>
        <w:shd w:val="clear" w:color="auto" w:fill="auto"/>
        <w:bidi w:val="0"/>
        <w:spacing w:before="0" w:after="620" w:line="298" w:lineRule="exact"/>
        <w:ind w:left="360" w:right="0" w:firstLine="440"/>
        <w:jc w:val="both"/>
      </w:pPr>
      <w:r>
        <w:rPr>
          <w:color w:val="000000"/>
          <w:spacing w:val="0"/>
          <w:w w:val="100"/>
          <w:position w:val="0"/>
        </w:rPr>
        <w:t>本公司现金流量表之现金指库存现金以及可以随时用于支付的存款。现金流量表之现金等价物指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个月、流动性强、易于转换为已知金额现金且价值变动风险很小的投资。</w:t>
      </w:r>
    </w:p>
    <w:p>
      <w:pPr>
        <w:pStyle w:val="Style31"/>
        <w:keepNext/>
        <w:keepLines/>
        <w:widowControl w:val="0"/>
        <w:shd w:val="clear" w:color="auto" w:fill="auto"/>
        <w:bidi w:val="0"/>
        <w:spacing w:before="0" w:after="300" w:line="311" w:lineRule="exact"/>
        <w:ind w:left="0" w:right="0" w:firstLine="36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、外币业务和外币报表折算</w:t>
      </w:r>
      <w:bookmarkEnd w:id="728"/>
      <w:bookmarkEnd w:id="729"/>
      <w:bookmarkEnd w:id="731"/>
    </w:p>
    <w:p>
      <w:pPr>
        <w:pStyle w:val="Style49"/>
        <w:keepNext w:val="0"/>
        <w:keepLines w:val="0"/>
        <w:widowControl w:val="0"/>
        <w:shd w:val="clear" w:color="auto" w:fill="auto"/>
        <w:bidi w:val="0"/>
        <w:spacing w:before="0" w:after="100" w:line="311" w:lineRule="exact"/>
        <w:ind w:left="0" w:right="0" w:firstLine="72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）外币交易</w:t>
      </w:r>
    </w:p>
    <w:p>
      <w:pPr>
        <w:pStyle w:val="Style49"/>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本公司外币交易按交易发生日的即期汇率将外币金额折算为人民币金额。于资产负债表日，外币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49"/>
        <w:keepNext w:val="0"/>
        <w:keepLines w:val="0"/>
        <w:widowControl w:val="0"/>
        <w:shd w:val="clear" w:color="auto" w:fill="auto"/>
        <w:bidi w:val="0"/>
        <w:spacing w:before="0" w:after="100" w:line="311" w:lineRule="exact"/>
        <w:ind w:left="0" w:right="0" w:firstLine="80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49"/>
        <w:keepNext w:val="0"/>
        <w:keepLines w:val="0"/>
        <w:widowControl w:val="0"/>
        <w:shd w:val="clear" w:color="auto" w:fill="auto"/>
        <w:bidi w:val="0"/>
        <w:spacing w:before="0" w:after="1040" w:line="310" w:lineRule="exact"/>
        <w:ind w:left="360" w:right="0" w:firstLine="44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w:t>
      </w:r>
      <w:r>
        <w:rPr>
          <w:rFonts w:ascii="Times New Roman" w:eastAsia="Times New Roman" w:hAnsi="Times New Roman" w:cs="Times New Roman"/>
          <w:color w:val="000000"/>
          <w:spacing w:val="0"/>
          <w:w w:val="100"/>
          <w:position w:val="0"/>
        </w:rPr>
        <w:t>”</w:t>
      </w:r>
      <w:r>
        <w:rPr>
          <w:color w:val="000000"/>
          <w:spacing w:val="0"/>
          <w:w w:val="100"/>
          <w:position w:val="0"/>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31"/>
        <w:keepNext/>
        <w:keepLines/>
        <w:widowControl w:val="0"/>
        <w:shd w:val="clear" w:color="auto" w:fill="auto"/>
        <w:bidi w:val="0"/>
        <w:spacing w:before="0" w:after="300" w:line="314" w:lineRule="exact"/>
        <w:ind w:left="0" w:right="0" w:firstLine="36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9</w:t>
      </w:r>
      <w:bookmarkEnd w:id="736"/>
      <w:r>
        <w:rPr>
          <w:color w:val="000000"/>
          <w:spacing w:val="0"/>
          <w:w w:val="100"/>
          <w:position w:val="0"/>
        </w:rPr>
        <w:t>、金融工具</w:t>
      </w:r>
      <w:bookmarkEnd w:id="734"/>
      <w:bookmarkEnd w:id="735"/>
      <w:bookmarkEnd w:id="737"/>
    </w:p>
    <w:p>
      <w:pPr>
        <w:pStyle w:val="Style49"/>
        <w:keepNext w:val="0"/>
        <w:keepLines w:val="0"/>
        <w:widowControl w:val="0"/>
        <w:shd w:val="clear" w:color="auto" w:fill="auto"/>
        <w:bidi w:val="0"/>
        <w:spacing w:before="0" w:after="300" w:line="314" w:lineRule="exact"/>
        <w:ind w:left="0" w:right="0" w:firstLine="800"/>
        <w:jc w:val="both"/>
      </w:pPr>
      <w:r>
        <w:rPr>
          <w:color w:val="000000"/>
          <w:spacing w:val="0"/>
          <w:w w:val="100"/>
          <w:position w:val="0"/>
        </w:rPr>
        <w:t>本公司成为金融工具合同的一方时确认一项金融资产或金融负债。</w:t>
      </w:r>
    </w:p>
    <w:p>
      <w:pPr>
        <w:pStyle w:val="Style49"/>
        <w:keepNext w:val="0"/>
        <w:keepLines w:val="0"/>
        <w:widowControl w:val="0"/>
        <w:shd w:val="clear" w:color="auto" w:fill="auto"/>
        <w:bidi w:val="0"/>
        <w:spacing w:before="0" w:after="100" w:line="314" w:lineRule="exact"/>
        <w:ind w:left="0" w:right="0" w:firstLine="36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9"/>
        <w:keepNext w:val="0"/>
        <w:keepLines w:val="0"/>
        <w:widowControl w:val="0"/>
        <w:numPr>
          <w:ilvl w:val="0"/>
          <w:numId w:val="21"/>
        </w:numPr>
        <w:shd w:val="clear" w:color="auto" w:fill="auto"/>
        <w:tabs>
          <w:tab w:pos="360" w:val="left"/>
        </w:tabs>
        <w:bidi w:val="0"/>
        <w:spacing w:before="0" w:after="100" w:line="314" w:lineRule="exact"/>
        <w:ind w:left="0" w:right="0" w:firstLine="0"/>
        <w:jc w:val="left"/>
      </w:pPr>
      <w:bookmarkStart w:id="739" w:name="bookmark739"/>
      <w:bookmarkEnd w:id="739"/>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49"/>
        <w:keepNext w:val="0"/>
        <w:keepLines w:val="0"/>
        <w:widowControl w:val="0"/>
        <w:shd w:val="clear" w:color="auto" w:fill="auto"/>
        <w:bidi w:val="0"/>
        <w:spacing w:before="0" w:after="100" w:line="314" w:lineRule="exact"/>
        <w:ind w:left="360" w:right="0" w:firstLine="440"/>
        <w:jc w:val="both"/>
      </w:pPr>
      <w:r>
        <w:rPr>
          <w:color w:val="000000"/>
          <w:spacing w:val="0"/>
          <w:w w:val="100"/>
          <w:position w:val="0"/>
        </w:rPr>
        <w:t>本公司根据管理金融资产的业务模式和金融资产的合同现金流特征，将金融资产分类为以摊余成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49"/>
        <w:keepNext w:val="0"/>
        <w:keepLines w:val="0"/>
        <w:widowControl w:val="0"/>
        <w:shd w:val="clear" w:color="auto" w:fill="auto"/>
        <w:bidi w:val="0"/>
        <w:spacing w:before="0" w:after="100" w:line="313" w:lineRule="exact"/>
        <w:ind w:left="360" w:right="0" w:firstLine="440"/>
        <w:jc w:val="both"/>
      </w:pPr>
      <w:r>
        <w:rPr>
          <w:color w:val="000000"/>
          <w:spacing w:val="0"/>
          <w:w w:val="100"/>
          <w:position w:val="0"/>
        </w:rPr>
        <w:t>本公司将同时符合下列条件的金融资产分类为以摊余成本计量的金融资产：①管理该金融资产的 业务模式是以收取合同现金流量为目标。②该金融资产的合同条款规定，在特定日期产生的现金流量,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49"/>
        <w:keepNext w:val="0"/>
        <w:keepLines w:val="0"/>
        <w:widowControl w:val="0"/>
        <w:shd w:val="clear" w:color="auto" w:fill="auto"/>
        <w:bidi w:val="0"/>
        <w:spacing w:before="0" w:after="200" w:line="314" w:lineRule="exact"/>
        <w:ind w:left="360" w:right="0" w:firstLine="440"/>
        <w:jc w:val="both"/>
      </w:pPr>
      <w:r>
        <w:rPr>
          <w:color w:val="000000"/>
          <w:spacing w:val="0"/>
          <w:w w:val="100"/>
          <w:position w:val="0"/>
        </w:rPr>
        <w:t>本公司将同时符合下列条件的金融资产分类为以公允价值计量且其变动计入其他综合收益的金 融资产：①管理该金融资产的业务模式既以收取合同现金流量为目标又以出售该金融资产为目标。② 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49"/>
        <w:keepNext w:val="0"/>
        <w:keepLines w:val="0"/>
        <w:widowControl w:val="0"/>
        <w:shd w:val="clear" w:color="auto" w:fill="auto"/>
        <w:bidi w:val="0"/>
        <w:spacing w:before="0" w:after="120" w:line="311" w:lineRule="exact"/>
        <w:ind w:left="360" w:right="0" w:firstLine="440"/>
        <w:jc w:val="both"/>
      </w:pPr>
      <w:r>
        <w:rPr>
          <w:color w:val="000000"/>
          <w:spacing w:val="0"/>
          <w:w w:val="100"/>
          <w:position w:val="0"/>
        </w:rPr>
        <w:t>本公司按照实际利率法确认利息收入。利息收入根据金融资产账面余额乘以实际利率计算确定， 但下列情况除外：①对于购入或源生的已发生信用减值的金融资产，自初始确认起，按照该金融资产 的摊余成本和经信用调整的实际利率计算确定其利息收入。②对于购入或源生的未发生信用减值、但 在后续期间成为已发生信用减值的金融资产，在后续期间，按照该金融资产的摊余成本和实际利率计 算确定其利息收入。</w:t>
      </w:r>
    </w:p>
    <w:p>
      <w:pPr>
        <w:pStyle w:val="Style49"/>
        <w:keepNext w:val="0"/>
        <w:keepLines w:val="0"/>
        <w:widowControl w:val="0"/>
        <w:shd w:val="clear" w:color="auto" w:fill="auto"/>
        <w:bidi w:val="0"/>
        <w:spacing w:before="0" w:after="120" w:line="311" w:lineRule="exact"/>
        <w:ind w:left="360" w:right="0" w:firstLine="440"/>
        <w:jc w:val="both"/>
      </w:pPr>
      <w:r>
        <w:rPr>
          <w:color w:val="000000"/>
          <w:spacing w:val="0"/>
          <w:w w:val="100"/>
          <w:position w:val="0"/>
        </w:rPr>
        <w:t>本公司将非交易性权益工具投资指定为以公允价值计量且其变动计入其他综合收益的金融资产。 该指定一经作出，不得撤销。本公司指定的以公允价值计量且其变动计入其他综合收益的非交易性权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综合收益中转出，计入留存收益。指定为以公允价值计量且其变动计入其他综合收益的权益性工具投 资包括：其他权益工具投资。</w:t>
      </w:r>
    </w:p>
    <w:p>
      <w:pPr>
        <w:pStyle w:val="Style49"/>
        <w:keepNext w:val="0"/>
        <w:keepLines w:val="0"/>
        <w:widowControl w:val="0"/>
        <w:shd w:val="clear" w:color="auto" w:fill="auto"/>
        <w:bidi w:val="0"/>
        <w:spacing w:before="0" w:after="120" w:line="314" w:lineRule="exact"/>
        <w:ind w:left="360" w:right="0" w:firstLine="440"/>
        <w:jc w:val="both"/>
      </w:pPr>
      <w:r>
        <w:rPr>
          <w:color w:val="000000"/>
          <w:spacing w:val="0"/>
          <w:w w:val="100"/>
          <w:position w:val="0"/>
        </w:rPr>
        <w:t>除上述分类为以摊余成本计量的金融资产和分类为以公允价值计量且其变动计入其他综合收益 的金融资产之外的金融资产，本公司将其分类为以公允价值计量且其变动计入当期损益的金融资产。 此类金融资产按照公允价值进行初始计量，相关交易费用直接计入当期损益。此类金融资产的利得或 损失，计入当期损益。</w:t>
      </w:r>
    </w:p>
    <w:p>
      <w:pPr>
        <w:pStyle w:val="Style49"/>
        <w:keepNext w:val="0"/>
        <w:keepLines w:val="0"/>
        <w:widowControl w:val="0"/>
        <w:shd w:val="clear" w:color="auto" w:fill="auto"/>
        <w:bidi w:val="0"/>
        <w:spacing w:before="0" w:after="120" w:line="307" w:lineRule="exact"/>
        <w:ind w:left="360" w:right="0" w:firstLine="440"/>
        <w:jc w:val="both"/>
      </w:pPr>
      <w:r>
        <w:rPr>
          <w:color w:val="000000"/>
          <w:spacing w:val="0"/>
          <w:w w:val="100"/>
          <w:position w:val="0"/>
        </w:rPr>
        <w:t>本公司在非同一控制下的企业合并中确认的或有对价构成金融资产的，该金融资产分类为以公允 价值计量且其变动计入当期损益的金融资产。</w:t>
      </w:r>
    </w:p>
    <w:p>
      <w:pPr>
        <w:pStyle w:val="Style49"/>
        <w:keepNext w:val="0"/>
        <w:keepLines w:val="0"/>
        <w:widowControl w:val="0"/>
        <w:shd w:val="clear" w:color="auto" w:fill="auto"/>
        <w:bidi w:val="0"/>
        <w:spacing w:before="0" w:after="240" w:line="317" w:lineRule="exact"/>
        <w:ind w:left="360" w:right="0" w:firstLine="440"/>
        <w:jc w:val="both"/>
      </w:pPr>
      <w:r>
        <w:rPr>
          <w:color w:val="000000"/>
          <w:spacing w:val="0"/>
          <w:w w:val="100"/>
          <w:position w:val="0"/>
        </w:rPr>
        <w:t>本公司在改变管理金融资产的业务模式时，对所有受影响的相关金融资产进行重分类。本年无重 分类资产。</w:t>
      </w:r>
    </w:p>
    <w:p>
      <w:pPr>
        <w:pStyle w:val="Style49"/>
        <w:keepNext w:val="0"/>
        <w:keepLines w:val="0"/>
        <w:widowControl w:val="0"/>
        <w:shd w:val="clear" w:color="auto" w:fill="auto"/>
        <w:tabs>
          <w:tab w:pos="336" w:val="left"/>
        </w:tabs>
        <w:bidi w:val="0"/>
        <w:spacing w:before="0" w:after="240" w:line="311" w:lineRule="exact"/>
        <w:ind w:left="0" w:right="0" w:firstLine="0"/>
        <w:jc w:val="left"/>
      </w:pPr>
      <w:r>
        <w:rPr>
          <w:color w:val="000000"/>
          <w:spacing w:val="0"/>
          <w:w w:val="100"/>
          <w:position w:val="0"/>
          <w:sz w:val="22"/>
          <w:szCs w:val="22"/>
        </w:rPr>
        <w:t>1.</w:t>
        <w:tab/>
      </w: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49"/>
        <w:keepNext w:val="0"/>
        <w:keepLines w:val="0"/>
        <w:widowControl w:val="0"/>
        <w:shd w:val="clear" w:color="auto" w:fill="auto"/>
        <w:bidi w:val="0"/>
        <w:spacing w:before="0" w:after="120" w:line="310" w:lineRule="exact"/>
        <w:ind w:left="360" w:right="0" w:firstLine="440"/>
        <w:jc w:val="both"/>
      </w:pPr>
      <w:r>
        <w:rPr>
          <w:color w:val="000000"/>
          <w:spacing w:val="0"/>
          <w:w w:val="100"/>
          <w:position w:val="0"/>
        </w:rPr>
        <w:t>本公司将满足下列条件之一的金融资产予以终止确认：①收取该金融资产现金流量的合同权利终 止；②金融资产发生转移，本公司转移了金融资产所有权上几乎所有风险和报酬；③金融资产发生转 移，本公司既没有转移也没有保留金融资产所有权上几乎所有风险和报酬，且未保留对该金融资产控 制的。</w:t>
      </w:r>
    </w:p>
    <w:p>
      <w:pPr>
        <w:pStyle w:val="Style49"/>
        <w:keepNext w:val="0"/>
        <w:keepLines w:val="0"/>
        <w:widowControl w:val="0"/>
        <w:shd w:val="clear" w:color="auto" w:fill="auto"/>
        <w:bidi w:val="0"/>
        <w:spacing w:before="0" w:after="120" w:line="312" w:lineRule="exact"/>
        <w:ind w:left="360" w:right="0" w:firstLine="440"/>
        <w:jc w:val="both"/>
      </w:pPr>
      <w:r>
        <w:rPr>
          <w:color w:val="000000"/>
          <w:spacing w:val="0"/>
          <w:w w:val="100"/>
          <w:position w:val="0"/>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49"/>
        <w:keepNext w:val="0"/>
        <w:keepLines w:val="0"/>
        <w:widowControl w:val="0"/>
        <w:shd w:val="clear" w:color="auto" w:fill="auto"/>
        <w:bidi w:val="0"/>
        <w:spacing w:before="0" w:after="240" w:line="312" w:lineRule="exact"/>
        <w:ind w:left="360" w:right="0" w:firstLine="44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49"/>
        <w:keepNext w:val="0"/>
        <w:keepLines w:val="0"/>
        <w:widowControl w:val="0"/>
        <w:shd w:val="clear" w:color="auto" w:fill="auto"/>
        <w:bidi w:val="0"/>
        <w:spacing w:before="0" w:after="320" w:line="311" w:lineRule="exact"/>
        <w:ind w:left="0" w:right="0" w:firstLine="36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9"/>
        <w:keepNext w:val="0"/>
        <w:keepLines w:val="0"/>
        <w:widowControl w:val="0"/>
        <w:shd w:val="clear" w:color="auto" w:fill="auto"/>
        <w:bidi w:val="0"/>
        <w:spacing w:before="0" w:after="40" w:line="295" w:lineRule="auto"/>
        <w:ind w:left="0" w:right="0" w:firstLine="600"/>
        <w:jc w:val="both"/>
      </w:pPr>
      <w:bookmarkStart w:id="741" w:name="bookmark741"/>
      <w:r>
        <w:rPr>
          <w:rFonts w:ascii="Times New Roman" w:eastAsia="Times New Roman" w:hAnsi="Times New Roman" w:cs="Times New Roman"/>
          <w:color w:val="000000"/>
          <w:spacing w:val="0"/>
          <w:w w:val="100"/>
          <w:position w:val="0"/>
        </w:rPr>
        <w:t>1</w:t>
      </w:r>
      <w:bookmarkEnd w:id="741"/>
      <w:r>
        <w:rPr>
          <w:color w:val="000000"/>
          <w:spacing w:val="0"/>
          <w:w w:val="100"/>
          <w:position w:val="0"/>
        </w:rPr>
        <w:t>）金融负债分类、确认依据和计量方法</w:t>
      </w:r>
    </w:p>
    <w:p>
      <w:pPr>
        <w:pStyle w:val="Style49"/>
        <w:keepNext w:val="0"/>
        <w:keepLines w:val="0"/>
        <w:widowControl w:val="0"/>
        <w:shd w:val="clear" w:color="auto" w:fill="auto"/>
        <w:bidi w:val="0"/>
        <w:spacing w:before="0" w:after="120" w:line="307" w:lineRule="exact"/>
        <w:ind w:left="360" w:right="0" w:firstLine="440"/>
        <w:jc w:val="both"/>
      </w:pPr>
      <w:r>
        <w:rPr>
          <w:color w:val="000000"/>
          <w:spacing w:val="0"/>
          <w:w w:val="100"/>
          <w:position w:val="0"/>
        </w:rPr>
        <w:t>本公司的金融负债于初始确认时分类为以公允价值计量且其变动计入当期损益的金融负债和其 他金融负债。</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49"/>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其他金融负债，包括应付账款和短期借款。采用实际利率法，按照摊余成本进行后续计量。除下 列各项外，本公司将金融负债分类为以摊余成本计量的金融负债：①以公允价值计量且其变动计入当 期损益的金融负债，包括交易性金融负债（含属于金融负债的衍生工具）和指定为以公允价值计量且 其变动计入当期损益的金融负债。②不符合终止确认条件的金融资产转移或继续涉入被转移金融资产 所形成的金融负债。③不属于以上①或②情形的财务担保合同，以及不属于以上①情形的以低于市场 利率贷款的贷款承诺。</w:t>
      </w:r>
    </w:p>
    <w:p>
      <w:pPr>
        <w:pStyle w:val="Style4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本公司将在非同一控制下的企业合并中作为购买方确认的或有对价形成金融负债的，按照以公允 价值计量且其变动计入当期损益进行会计处理。本公司的金融负债于初始确认时分类为以公允价值计 量且其变动计入当期损益的金融负债和其他金融负债。</w:t>
      </w:r>
    </w:p>
    <w:p>
      <w:pPr>
        <w:pStyle w:val="Style49"/>
        <w:keepNext w:val="0"/>
        <w:keepLines w:val="0"/>
        <w:widowControl w:val="0"/>
        <w:shd w:val="clear" w:color="auto" w:fill="auto"/>
        <w:bidi w:val="0"/>
        <w:spacing w:before="0" w:after="120" w:line="315" w:lineRule="exact"/>
        <w:ind w:left="0" w:right="0" w:firstLine="46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公允价值计量且其变动计入当期损益的金融负债，（相关分类依据参照金融资产分类依据进行披露）。 按照公允价值进行后续计量，公允价值变动形成的利得或损失以及与该金融负债相关的股利和利息支 出计入当期损益。</w:t>
      </w:r>
    </w:p>
    <w:p>
      <w:pPr>
        <w:pStyle w:val="Style49"/>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其他金融负债，采用实际利率法，按照摊余成本进行后续计量。</w:t>
      </w:r>
    </w:p>
    <w:p>
      <w:pPr>
        <w:pStyle w:val="Style49"/>
        <w:keepNext w:val="0"/>
        <w:keepLines w:val="0"/>
        <w:widowControl w:val="0"/>
        <w:shd w:val="clear" w:color="auto" w:fill="auto"/>
        <w:bidi w:val="0"/>
        <w:spacing w:before="0" w:after="40" w:line="298" w:lineRule="auto"/>
        <w:ind w:left="0" w:right="0" w:firstLine="0"/>
        <w:jc w:val="left"/>
      </w:pPr>
      <w:bookmarkStart w:id="742" w:name="bookmark742"/>
      <w:r>
        <w:rPr>
          <w:rFonts w:ascii="Times New Roman" w:eastAsia="Times New Roman" w:hAnsi="Times New Roman" w:cs="Times New Roman"/>
          <w:color w:val="000000"/>
          <w:spacing w:val="0"/>
          <w:w w:val="100"/>
          <w:position w:val="0"/>
        </w:rPr>
        <w:t>2</w:t>
      </w:r>
      <w:bookmarkEnd w:id="742"/>
      <w:r>
        <w:rPr>
          <w:color w:val="000000"/>
          <w:spacing w:val="0"/>
          <w:w w:val="100"/>
          <w:position w:val="0"/>
        </w:rPr>
        <w:t>）金融负债终止确认条件</w:t>
      </w:r>
    </w:p>
    <w:p>
      <w:pPr>
        <w:pStyle w:val="Style4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当金融负债的现时义务全部或部分已经解除时，终止确认该金融负债或义务已解除的部分。本公 司与债权人之间签订协议，以承担新金融负债方式替换现存金融负债，且新金融负债与现存金融负债 的合同条款实质上不同的，终止确认现存金融负债，并同时确认新金融负债。本公司对现存金融负债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49"/>
        <w:keepNext w:val="0"/>
        <w:keepLines w:val="0"/>
        <w:widowControl w:val="0"/>
        <w:shd w:val="clear" w:color="auto" w:fill="auto"/>
        <w:tabs>
          <w:tab w:pos="442" w:val="left"/>
        </w:tabs>
        <w:bidi w:val="0"/>
        <w:spacing w:before="0" w:after="120" w:line="312" w:lineRule="exact"/>
        <w:ind w:left="0" w:right="0" w:firstLine="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负债直接或间接可观察的输入值；第三层次输入值是相关资产或负债的不可观察输入值。本公司优先 使用第一层次输入值，最后再使用第三层次输入值，其他权益工具投资、其他非流动金融资产使用第 三层次输入值。公允价值计量结果所属的层次，由对公允价值计量整体而言具有重大意义的输入值所 属的最低层次决定。</w:t>
      </w:r>
    </w:p>
    <w:p>
      <w:pPr>
        <w:pStyle w:val="Style49"/>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该成本可代表其在该分布范围内对公允价值的恰当估计。这类权益工具投资包括：其他权益工具投资、 其他非流动金融资产。</w:t>
      </w:r>
    </w:p>
    <w:p>
      <w:pPr>
        <w:pStyle w:val="Style49"/>
        <w:keepNext w:val="0"/>
        <w:keepLines w:val="0"/>
        <w:widowControl w:val="0"/>
        <w:shd w:val="clear" w:color="auto" w:fill="auto"/>
        <w:tabs>
          <w:tab w:pos="442" w:val="left"/>
        </w:tabs>
        <w:bidi w:val="0"/>
        <w:spacing w:before="0" w:after="120" w:line="312" w:lineRule="exact"/>
        <w:ind w:left="0" w:right="0" w:firstLine="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49"/>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本公司的金融资产和金融负债在资产负债表内分别列示，不相互抵销。但同时满足下列条件时， 以相互抵销后的净额在资产负债表内列示：（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 xml:space="preserve">）本公司具有抵销已确认金额的法定权利，且该种法 </w:t>
      </w:r>
      <w:r>
        <w:rPr>
          <w:color w:val="000000"/>
          <w:spacing w:val="0"/>
          <w:w w:val="100"/>
          <w:position w:val="0"/>
        </w:rPr>
        <w:t>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49"/>
        <w:keepNext w:val="0"/>
        <w:keepLines w:val="0"/>
        <w:widowControl w:val="0"/>
        <w:shd w:val="clear" w:color="auto" w:fill="auto"/>
        <w:bidi w:val="0"/>
        <w:spacing w:before="0" w:after="100" w:line="312" w:lineRule="exact"/>
        <w:ind w:left="0" w:right="0" w:firstLine="46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5</w:t>
      </w:r>
      <w:r>
        <w:rPr>
          <w:color w:val="000000"/>
          <w:spacing w:val="0"/>
          <w:w w:val="100"/>
          <w:position w:val="0"/>
        </w:rPr>
        <w:t>）金融负债与权益工具的区分及相关处理方法</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）如果本公司不能无条件地避免以交付现金 或其他金融资产来履行一项合同义务，则该合同义务符合金融负债的定义。有些金融工具虽然没有明 确地包含交付现金或其他金融资产义务的条款和条件，但有可能通过其他条款和条件间接地形成合同 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）如果一项金融工具须用或可用本公司自身权益工具进行结算，需要考虑用于结算该工具 的本公司自身权益工具，是作为现金或其他金融资产的替代品，还是为了使该工具持有方享有在发行 方扣除所有负债后的资产中的剩余权益。如果是前者，该工具是发行方的金融负债；如果是后者，该 工具是发行方的权益工具。在某些情况下，一项金融工具合同规定本公司须用或可用自身权益工具结 算该金融工具，其中合同权利或合同义务的金额等于可获取或需交付的自身权益工具的数量乘以其结 算时的公允价值，则无论该合同权利或义务的金额是固定的，还是完全或部分地基于除本公司自身权 益工具的市场价格以外的变量（例如利率、某种商品的价格或某项金融工具的价格）的变动而变动， 该合同分类为金融负债。</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金融工具或其组成部分属于金融负债的，相关利息、股利（或股息）、利得或损失，以及赎回或 再融资产生的利得或损失等，本公司计入当期损益。</w:t>
      </w:r>
    </w:p>
    <w:p>
      <w:pPr>
        <w:pStyle w:val="Style49"/>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金融工具或其组成部分属于权益工具的，其发行（含再融资）、回购、出售或注销时，本公司作 为权益的变动处理，不确认权益工具的公允价值变动。</w:t>
      </w:r>
    </w:p>
    <w:p>
      <w:pPr>
        <w:pStyle w:val="Style31"/>
        <w:keepNext/>
        <w:keepLines/>
        <w:widowControl w:val="0"/>
        <w:shd w:val="clear" w:color="auto" w:fill="auto"/>
        <w:bidi w:val="0"/>
        <w:spacing w:before="0" w:after="280" w:line="312" w:lineRule="exact"/>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746"/>
      <w:bookmarkEnd w:id="747"/>
      <w:bookmarkEnd w:id="749"/>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应收账款的预期信用损失的确定方法及会计处理方法：</w:t>
      </w:r>
    </w:p>
    <w:p>
      <w:pPr>
        <w:pStyle w:val="Style49"/>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收入准则》规范的交易形成且不含重大融资成分的应收账款, 始终按照相当于整个存续期内预期信用损失的金额计量其损失准备。</w:t>
      </w:r>
    </w:p>
    <w:p>
      <w:pPr>
        <w:pStyle w:val="Style49"/>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信用风险自初始确认后是否显著增加的判断。本公司通过比较金融工具在初始确认时所确定的预 计存续期内的违约概率和该工具在资产负债表日所确定的预计存续期内的违约概率，来判定金融工具 信用风险是否显著增加。但是，如果本公司确定金融工具在资产负债表日只具有较低的信用风险的， 可以假设该金融工具的信用风险自初始确认后并未显著增加。通常情况下，如果逾期超过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sz w:val="22"/>
          <w:szCs w:val="22"/>
        </w:rPr>
        <w:t>0，</w:t>
      </w:r>
      <w:r>
        <w:rPr>
          <w:color w:val="000000"/>
          <w:spacing w:val="0"/>
          <w:w w:val="100"/>
          <w:position w:val="0"/>
        </w:rPr>
        <w:t>则表 明金融工具的信用风险已经显著增加。除非本公司在无须付出不必要的额外成本或努力的情况下即可 获得合理且有依据的信息，证明即使逾期超过</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，信用风险自初始确认后仍未显著增加。在确定信 用风险自初始确认后是否显著增加时，本公司考虑无须付出不必要的额外成本或努力即可获得的合理 且有依据的信息，包括前瞻性信息。</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以组合为基础的评估。对于应收账款，本公司在单项工具层面无法以合理成本获得关于信用风险 显著增加的充分证据，而在组合的基础上评估信用风险是否显著增加是可行的，所以本公司按照金融 工具类型、信用风险评级、初始确认日期、剩余合同期限为共同风险特征，对应收账款进行分组并以 组合为基础考虑评估信用风险是否显著增加。</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预期信用损失计量。预期信用损失，是指以发生违约的风险为权重的金融工具信用损失的加权平 均值。信用损失，是指本公司按照原实际利率折现的、根据合同应收的所有合同现金流量与预期收取 </w:t>
      </w:r>
      <w:r>
        <w:rPr>
          <w:color w:val="000000"/>
          <w:spacing w:val="0"/>
          <w:w w:val="100"/>
          <w:position w:val="0"/>
        </w:rPr>
        <w:t>的所有现金流量之间的差额，即全部现金短缺的现值。</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本公司在资产负债表日计算应收账款预期信用损失，如果该预期信用损失大于当前应收账款减值 准备的账面金额，本公司将其差额确认为应收账款减值损失，借记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 相反，本公司将差额确认为减值利得，做相反的会计记录。</w:t>
      </w:r>
    </w:p>
    <w:p>
      <w:pPr>
        <w:pStyle w:val="Style49"/>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本公司实际发生信用损失，认定相关应收账款无法收回，经批准予以核销的，根据批准的核销金 额，借记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应收账款若核销金额大于已计提的损失准备，按其差额借记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信用减 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9"/>
        <w:keepNext w:val="0"/>
        <w:keepLines w:val="0"/>
        <w:widowControl w:val="0"/>
        <w:shd w:val="clear" w:color="auto" w:fill="auto"/>
        <w:bidi w:val="0"/>
        <w:spacing w:before="0" w:after="580" w:line="317" w:lineRule="exact"/>
        <w:ind w:left="0" w:right="0" w:firstLine="460"/>
        <w:jc w:val="both"/>
      </w:pPr>
      <w:r>
        <w:rPr>
          <w:color w:val="000000"/>
          <w:spacing w:val="0"/>
          <w:w w:val="100"/>
          <w:position w:val="0"/>
        </w:rPr>
        <w:t>本公司根据以前年度的实际信用损失，并考虑本年的前瞻性信息，作为计量预期信用损失的会计 估计政策。</w:t>
      </w:r>
    </w:p>
    <w:p>
      <w:pPr>
        <w:pStyle w:val="Style31"/>
        <w:keepNext/>
        <w:keepLines/>
        <w:widowControl w:val="0"/>
        <w:shd w:val="clear" w:color="auto" w:fill="auto"/>
        <w:bidi w:val="0"/>
        <w:spacing w:before="0" w:after="420" w:line="313"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750"/>
      <w:bookmarkEnd w:id="751"/>
      <w:bookmarkEnd w:id="753"/>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其他应收款的预期信用损失的确定方法及会计处理方法</w:t>
      </w:r>
    </w:p>
    <w:p>
      <w:pPr>
        <w:pStyle w:val="Style49"/>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本公司按照下列情形计量其他应收款损失准备：①信用风险自初始确认后未显著增加的金融资 产，处于第一阶段，本公司按照未来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 确认后已显著增加但尚未发生信用减值的，处于第二阶段，本公司按照相当于该金融工具整个存续期 内预期信用损失的金额计量损失准备；③购买或源生已发生信用减值的金融资产，处于第三阶段，本 公司按照相当于整个存续期内预期信用损失的金额计量损失准备。</w:t>
      </w:r>
    </w:p>
    <w:p>
      <w:pPr>
        <w:pStyle w:val="Style49"/>
        <w:keepNext w:val="0"/>
        <w:keepLines w:val="0"/>
        <w:widowControl w:val="0"/>
        <w:shd w:val="clear" w:color="auto" w:fill="auto"/>
        <w:bidi w:val="0"/>
        <w:spacing w:before="0" w:after="580" w:line="312" w:lineRule="exact"/>
        <w:ind w:left="0" w:right="0" w:firstLine="460"/>
        <w:jc w:val="both"/>
      </w:pPr>
      <w:r>
        <w:rPr>
          <w:color w:val="000000"/>
          <w:spacing w:val="0"/>
          <w:w w:val="100"/>
          <w:position w:val="0"/>
        </w:rPr>
        <w:t>以组合为基础的评估。对于其他应收款，本公司在单项工具层面无法以合理成本获得关于信用风 险显著增加的充分证据，而在组合的基础上评估信用风险是否显著增加是可行的，所以本公司按照金 融工具类型、信用风险评级、担保物类型、初始确认日期、剩余合同期限、借款人所处的行业、借款 人所在的地理位置、贷款抵押率为共同风险特征，对其他应收款进行分组并以组合为基础考虑评估信 用风险是否显著增加。</w:t>
      </w:r>
    </w:p>
    <w:p>
      <w:pPr>
        <w:pStyle w:val="Style31"/>
        <w:keepNext/>
        <w:keepLines/>
        <w:widowControl w:val="0"/>
        <w:shd w:val="clear" w:color="auto" w:fill="auto"/>
        <w:bidi w:val="0"/>
        <w:spacing w:before="0" w:after="300" w:line="312" w:lineRule="exact"/>
        <w:ind w:left="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4"/>
      <w:bookmarkEnd w:id="755"/>
      <w:bookmarkEnd w:id="756"/>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本公司存货主要包括发出商品等。</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存货实行实地盘存制，存货在取得时按实际成本计价；领用或发出存货，采用加权平均法确定其 实际成本。低值易耗品和包装物采用一次转销法进行摊销。</w:t>
      </w:r>
    </w:p>
    <w:p>
      <w:pPr>
        <w:pStyle w:val="Style49"/>
        <w:keepNext w:val="0"/>
        <w:keepLines w:val="0"/>
        <w:widowControl w:val="0"/>
        <w:shd w:val="clear" w:color="auto" w:fill="auto"/>
        <w:bidi w:val="0"/>
        <w:spacing w:before="0" w:after="580" w:line="312" w:lineRule="exact"/>
        <w:ind w:left="0" w:right="0" w:firstLine="460"/>
        <w:jc w:val="both"/>
      </w:pPr>
      <w:r>
        <w:rPr>
          <w:color w:val="000000"/>
          <w:spacing w:val="0"/>
          <w:w w:val="100"/>
          <w:position w:val="0"/>
        </w:rPr>
        <w:t>库存商品和用于出售的材料等直接用于出售的商品存货，其可变现净值按该存货的估计售价减去 估计的销售费用和相关税费后的金额确定；用于生产而持有的材料存货，其可变现净值按所生产的产 成品的估计售价减去至完工时估计将要发生的成本、估计的销售费用和相关税费后的金额确定。</w:t>
      </w:r>
    </w:p>
    <w:p>
      <w:pPr>
        <w:pStyle w:val="Style31"/>
        <w:keepNext/>
        <w:keepLines/>
        <w:widowControl w:val="0"/>
        <w:shd w:val="clear" w:color="auto" w:fill="auto"/>
        <w:bidi w:val="0"/>
        <w:spacing w:before="0" w:after="300" w:line="317"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3</w:t>
      </w:r>
      <w:r>
        <w:rPr>
          <w:color w:val="000000"/>
          <w:spacing w:val="0"/>
          <w:w w:val="100"/>
          <w:position w:val="0"/>
        </w:rPr>
        <w:t>、合同资产</w:t>
      </w:r>
      <w:bookmarkEnd w:id="757"/>
      <w:bookmarkEnd w:id="758"/>
      <w:bookmarkEnd w:id="760"/>
    </w:p>
    <w:p>
      <w:pPr>
        <w:pStyle w:val="Style49"/>
        <w:keepNext w:val="0"/>
        <w:keepLines w:val="0"/>
        <w:widowControl w:val="0"/>
        <w:shd w:val="clear" w:color="auto" w:fill="auto"/>
        <w:bidi w:val="0"/>
        <w:spacing w:before="0" w:after="100" w:line="317" w:lineRule="exact"/>
        <w:ind w:left="0" w:right="0" w:firstLine="46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）合同资产的确认方法及标准</w:t>
      </w:r>
    </w:p>
    <w:p>
      <w:pPr>
        <w:pStyle w:val="Style49"/>
        <w:keepNext w:val="0"/>
        <w:keepLines w:val="0"/>
        <w:widowControl w:val="0"/>
        <w:shd w:val="clear" w:color="auto" w:fill="auto"/>
        <w:bidi w:val="0"/>
        <w:spacing w:before="0" w:after="860" w:line="317" w:lineRule="exact"/>
        <w:ind w:left="0" w:right="0" w:firstLine="460"/>
        <w:jc w:val="both"/>
      </w:pPr>
      <w:r>
        <w:rPr>
          <w:color w:val="000000"/>
          <w:spacing w:val="0"/>
          <w:w w:val="100"/>
          <w:position w:val="0"/>
        </w:rPr>
        <w:t xml:space="preserve">合同资产，是指本公司已向客户转让商品而有权收取对价的权利，且该权利取决于时间流逝之外 的其他因素。如本公司向客户销售两项可明确区分的商品，因已交付其中一项商品而有权收取款项， </w:t>
      </w:r>
      <w:r>
        <w:rPr>
          <w:color w:val="000000"/>
          <w:spacing w:val="0"/>
          <w:w w:val="100"/>
          <w:position w:val="0"/>
        </w:rPr>
        <w:t>但收取该款项还取决于交付另一项商品的，本公司将该收款权利作为合同资产。</w:t>
      </w:r>
    </w:p>
    <w:p>
      <w:pPr>
        <w:pStyle w:val="Style49"/>
        <w:keepNext w:val="0"/>
        <w:keepLines w:val="0"/>
        <w:widowControl w:val="0"/>
        <w:shd w:val="clear" w:color="auto" w:fill="auto"/>
        <w:bidi w:val="0"/>
        <w:spacing w:before="0" w:after="100" w:line="313" w:lineRule="exact"/>
        <w:ind w:left="0" w:right="0" w:firstLine="46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）合同资产的预期信用损失的确定方法及会计处理方法</w:t>
      </w:r>
    </w:p>
    <w:p>
      <w:pPr>
        <w:pStyle w:val="Style49"/>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rPr>
        <w:t>10.</w:t>
      </w:r>
      <w:r>
        <w:rPr>
          <w:color w:val="000000"/>
          <w:spacing w:val="0"/>
          <w:w w:val="100"/>
          <w:position w:val="0"/>
        </w:rPr>
        <w:t>应收账款相关内容描述。</w:t>
      </w:r>
    </w:p>
    <w:p>
      <w:pPr>
        <w:pStyle w:val="Style49"/>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会计处理方法，本公司在资产负债表日计算合同资产预期信用损失，如果该预期信用损失大于当 前合同资产减值准备的账面金额，本公司将其差额确认为减值损失，借记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 同资产减值准备相反，本公司将差额确认为减值利得，做相反的会计记录。 本公司实际发生信用损失，认定相关合同资产无法收回，经批准予以核销的，根据批准的核销金额， 借记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 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bidi w:val="0"/>
        <w:spacing w:before="0" w:after="280" w:line="313" w:lineRule="exact"/>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63"/>
      <w:bookmarkEnd w:id="764"/>
      <w:bookmarkEnd w:id="766"/>
    </w:p>
    <w:p>
      <w:pPr>
        <w:pStyle w:val="Style49"/>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本公司长期股权投资主要是对子公司的投资、对联营企业的投资和对合营企业的投资。</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本公司对共同控制的判断依据是所有参与方或参与方组合集体控制该安排，并且该安排相关活动 的政策必须经过这些集体控制该安排的参与方一致同意。</w:t>
      </w:r>
    </w:p>
    <w:p>
      <w:pPr>
        <w:pStyle w:val="Style49"/>
        <w:keepNext w:val="0"/>
        <w:keepLines w:val="0"/>
        <w:widowControl w:val="0"/>
        <w:shd w:val="clear" w:color="auto" w:fill="auto"/>
        <w:bidi w:val="0"/>
        <w:spacing w:before="0" w:after="100" w:line="304" w:lineRule="exact"/>
        <w:ind w:left="0" w:right="0" w:firstLine="46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 资单位具有重大影响。持有被投资单位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 类似权力机构中派有代表、或参与被投资单位财务和经营政策制定过程、或与被投资单位之间发生重 要交易、或向被投资单位派出管理人员、或向被投资单位提供关键技术资料等事实和情况判断对被投 资单位具有重大影响。</w:t>
      </w:r>
    </w:p>
    <w:p>
      <w:pPr>
        <w:pStyle w:val="Style49"/>
        <w:keepNext w:val="0"/>
        <w:keepLines w:val="0"/>
        <w:widowControl w:val="0"/>
        <w:shd w:val="clear" w:color="auto" w:fill="auto"/>
        <w:bidi w:val="0"/>
        <w:spacing w:before="0" w:after="100" w:line="334" w:lineRule="exact"/>
        <w:ind w:left="0" w:right="0" w:firstLine="460"/>
        <w:jc w:val="both"/>
      </w:pPr>
      <w:r>
        <w:rPr>
          <w:color w:val="000000"/>
          <w:spacing w:val="0"/>
          <w:w w:val="100"/>
          <w:position w:val="0"/>
        </w:rPr>
        <w:t>对被投资单位形成控制的，为本公司的子公司。通过同一控制下的企业合并取得的长期股权投资，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49"/>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通过多次交易分步取得同一控制下被投资单位的股权，最终形成企业合并的，应在取得控制权的 报告期，补充披露在母公司财务报表中的长期股权投资的处理方法。例如：通过多次交易分步取得同 一控制下被投资单位的股权，最终形成企业合并，属于一揽子交易的，本公司将各项交易作为一项取 得控制权的交易进行会计处理。不属于一揽子交易的，在合并日，根据合并后享有被合并方净资产在 最终控制方合并财务报表中的账面价值的份额作为长期股权投资的的初始投资成本。初始投资成本与 达到合并前的长期股权投资账面价值加上合并日进一步取得股份新支付对价的账面价值之和的差额， 调整资本公积，资本公积不足冲减的，冲减留存收益。</w:t>
      </w:r>
    </w:p>
    <w:p>
      <w:pPr>
        <w:pStyle w:val="Style49"/>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通过非同一控制下的企业合并取得的长期股权投资，以合并成本作为初始投资成本。</w:t>
      </w:r>
    </w:p>
    <w:p>
      <w:pPr>
        <w:pStyle w:val="Style49"/>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 xml:space="preserve">通过多次交易分步取得非同一控制下被投资单位的股权，最终形成企业合并的，应在取得控制权 的报告期，补充披露在母公司财务报表中的长期股权投资成本处理方法。例如：通过多次交易分步取 得非同一控制下被投资单位的股权，最终形成企业合并，属于一揽子交易的，本公司将各项交易作为 一项取得控制权的交易进行会计处理。不属于一揽子交易的，按照原持有的股权投资账面价值加上新 增投资成本之和，作为改按成本法核算的初始投资成本。购买日之前持有的股权如果是指定为以公允 价值计量且其变动计入其他综合收益的金融资产，该股权原计入其他综合收益的累计利得或损失应当 从其他综合收益中转出，计入留存收益；如果是以公允价值计量且其变动计入当期损益的金融资产， 该股权原计入公允价值变动损益的利得或损失无需转入投资收益。购买日之前持有的股权为其他权益 </w:t>
      </w:r>
      <w:r>
        <w:rPr>
          <w:color w:val="000000"/>
          <w:spacing w:val="0"/>
          <w:w w:val="100"/>
          <w:position w:val="0"/>
        </w:rPr>
        <w:t>工具投资的，该权益工具投资在购买日之前累计在其他综合收益的公允价值变动转入留存收益。</w:t>
      </w:r>
    </w:p>
    <w:p>
      <w:pPr>
        <w:pStyle w:val="Style49"/>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为投资成本；投资者投入的长期股权投资，按照投资合同或协议约定的价值作为投资成本；公司如有 以债务重组、非货币性资产交换等方式取得的长期股权投资，应根据相关企业会计准则的规定并结合 公司的实际情况披露确定投资成本的方法。</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本公司对子公司投资采用成本法核算，对合营企业及联营企业投资采用权益法核算。</w:t>
      </w:r>
    </w:p>
    <w:p>
      <w:pPr>
        <w:pStyle w:val="Style49"/>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49"/>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单位各项可辨认资产等的公允价值为基础，按照本公司的会计政策及会计期间，并抵销与联营企业及 合营企业之间发生的内部交易损益按照持股比例计算归属于投资企业的部分，对被投资单位的净利润 进行调整后确认。</w:t>
      </w:r>
    </w:p>
    <w:p>
      <w:pPr>
        <w:pStyle w:val="Style49"/>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处置长期股权投资，其账面价值与实际取得价款的差额，计入当期投资收益。采用权益法核算的 长期股权投资，原权益法核算的相关其他综合收益应当在终止采用权益法核算时采用与被投资单位直 接处置相关资产或负债相同的基础进行会计处理，因被投资方除净损益、其他综合收益和利润分配以 外的其他所有者权益变动而确认的所有者权益，应当在终止采用权益法核算时全部转入当期投资收 益。</w:t>
      </w:r>
    </w:p>
    <w:p>
      <w:pPr>
        <w:pStyle w:val="Style49"/>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因处置部分股权投资等原因丧失了对被投资单位的共同控制或重大影响的，处置后的剩余股权改 按金融工具确认和计量准则的有关规定核算，剩余股权在丧失共同控制或重大影响之日的公允价值与 账面价值之间的差额计入当期损益。原股权投资因采用权益法核算而确认的其他综合收益，在终止采 用权益法核算时采用与被投资单位直接处置相关资产或负债相同的基础处理并按比例结转，因被投资 方除净损益、其他综合收益和利润分配以外的其他所有者权益变动而确认的所有者权益，应当按比例 转入当期投资收益。</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共同控制或施加重大影响的，改按金融工具确认和计量准则的有关规定进行会计处理，处置股权账面 价值和处置对价的差额计入投资收益，剩余股权在丧失控制之日的公允价值与账面价值间的差额计入 当期损益。</w:t>
      </w:r>
    </w:p>
    <w:p>
      <w:pPr>
        <w:pStyle w:val="Style49"/>
        <w:keepNext w:val="0"/>
        <w:keepLines w:val="0"/>
        <w:widowControl w:val="0"/>
        <w:shd w:val="clear" w:color="auto" w:fill="auto"/>
        <w:bidi w:val="0"/>
        <w:spacing w:before="0" w:after="120" w:line="315" w:lineRule="exact"/>
        <w:ind w:left="0" w:right="0" w:firstLine="460"/>
        <w:jc w:val="both"/>
      </w:pPr>
      <w:r>
        <w:rPr>
          <w:color w:val="000000"/>
          <w:spacing w:val="0"/>
          <w:w w:val="100"/>
          <w:position w:val="0"/>
        </w:rPr>
        <w:t>本公司对于分步处置股权至丧失控股权的各项交易不属于一揽子交易的，对每一项交易分别进行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1"/>
        <w:keepNext/>
        <w:keepLines/>
        <w:widowControl w:val="0"/>
        <w:shd w:val="clear" w:color="auto" w:fill="auto"/>
        <w:bidi w:val="0"/>
        <w:spacing w:before="0" w:after="38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67"/>
      <w:bookmarkEnd w:id="768"/>
      <w:bookmarkEnd w:id="770"/>
    </w:p>
    <w:p>
      <w:pPr>
        <w:pStyle w:val="Style37"/>
        <w:keepNext/>
        <w:keepLines/>
        <w:widowControl w:val="0"/>
        <w:numPr>
          <w:ilvl w:val="0"/>
          <w:numId w:val="23"/>
        </w:numPr>
        <w:shd w:val="clear" w:color="auto" w:fill="auto"/>
        <w:bidi w:val="0"/>
        <w:spacing w:before="0" w:after="280" w:line="240" w:lineRule="auto"/>
        <w:ind w:left="0" w:right="0" w:firstLine="0"/>
        <w:jc w:val="both"/>
      </w:pPr>
      <w:bookmarkStart w:id="771" w:name="bookmark771"/>
      <w:bookmarkStart w:id="772" w:name="bookmark772"/>
      <w:bookmarkStart w:id="773" w:name="bookmark773"/>
      <w:bookmarkStart w:id="774" w:name="bookmark774"/>
      <w:bookmarkEnd w:id="773"/>
      <w:r>
        <w:rPr>
          <w:color w:val="000000"/>
          <w:spacing w:val="0"/>
          <w:w w:val="100"/>
          <w:position w:val="0"/>
        </w:rPr>
        <w:t>确认条件</w:t>
      </w:r>
      <w:bookmarkEnd w:id="771"/>
      <w:bookmarkEnd w:id="772"/>
      <w:bookmarkEnd w:id="774"/>
    </w:p>
    <w:p>
      <w:pPr>
        <w:pStyle w:val="Style24"/>
        <w:keepNext w:val="0"/>
        <w:keepLines w:val="0"/>
        <w:widowControl w:val="0"/>
        <w:shd w:val="clear" w:color="auto" w:fill="auto"/>
        <w:bidi w:val="0"/>
        <w:spacing w:before="0" w:after="380" w:line="301" w:lineRule="exact"/>
        <w:ind w:left="0" w:right="0" w:firstLine="0"/>
        <w:jc w:val="both"/>
      </w:pPr>
      <w:r>
        <w:rPr>
          <w:color w:val="000000"/>
          <w:spacing w:val="0"/>
          <w:w w:val="100"/>
          <w:position w:val="0"/>
        </w:rPr>
        <w:t>本公司固定资产是指同时具有以下特征，即为游戏开发及运营、提供劳务、出租或经营管理而持有的，使用年限超过一年的 有形资产。固定资产在与其有关的经济利益很可能流入本公司、且其成本能够可靠计量时予以确认。本公司固定资产包括房 屋及建筑物、机器设备、运输设备、电子办公设备和其他设备。除已提足折旧仍继续使用的固定资产和单独计价入账的土地 外，本公司对所有固定资产计提折旧。</w:t>
      </w:r>
    </w:p>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775" w:name="bookmark77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7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59" w:line="1" w:lineRule="exact"/>
      </w:pPr>
    </w:p>
    <w:p>
      <w:pPr>
        <w:pStyle w:val="Style49"/>
        <w:keepNext w:val="0"/>
        <w:keepLines w:val="0"/>
        <w:widowControl w:val="0"/>
        <w:shd w:val="clear" w:color="auto" w:fill="auto"/>
        <w:bidi w:val="0"/>
        <w:spacing w:before="0" w:after="280" w:line="322" w:lineRule="exact"/>
        <w:ind w:left="0" w:right="0" w:firstLine="460"/>
        <w:jc w:val="both"/>
      </w:pPr>
      <w:r>
        <w:rPr>
          <w:color w:val="000000"/>
          <w:spacing w:val="0"/>
          <w:w w:val="100"/>
          <w:position w:val="0"/>
        </w:rPr>
        <w:t>本公司于每年年度终了，对固定资产的预计使用寿命、预计净残值和折旧方法进行复核，如发生 改变，则作为会计估计变更处理。</w:t>
      </w:r>
    </w:p>
    <w:p>
      <w:pPr>
        <w:pStyle w:val="Style31"/>
        <w:keepNext/>
        <w:keepLines/>
        <w:widowControl w:val="0"/>
        <w:shd w:val="clear" w:color="auto" w:fill="auto"/>
        <w:tabs>
          <w:tab w:pos="431" w:val="left"/>
        </w:tabs>
        <w:bidi w:val="0"/>
        <w:spacing w:before="0" w:after="280" w:line="312" w:lineRule="exact"/>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776"/>
      <w:bookmarkEnd w:id="777"/>
      <w:bookmarkEnd w:id="779"/>
    </w:p>
    <w:p>
      <w:pPr>
        <w:pStyle w:val="Style49"/>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1"/>
        <w:keepNext/>
        <w:keepLines/>
        <w:widowControl w:val="0"/>
        <w:shd w:val="clear" w:color="auto" w:fill="auto"/>
        <w:tabs>
          <w:tab w:pos="431" w:val="left"/>
        </w:tabs>
        <w:bidi w:val="0"/>
        <w:spacing w:before="0" w:after="280" w:line="312" w:lineRule="exact"/>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80"/>
      <w:bookmarkEnd w:id="781"/>
      <w:bookmarkEnd w:id="783"/>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暂停借款费用的资本化，直至资产的购建或生产活动重新开始。</w:t>
      </w:r>
    </w:p>
    <w:p>
      <w:pPr>
        <w:pStyle w:val="Style49"/>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31"/>
        <w:keepNext/>
        <w:keepLines/>
        <w:widowControl w:val="0"/>
        <w:shd w:val="clear" w:color="auto" w:fill="auto"/>
        <w:bidi w:val="0"/>
        <w:spacing w:before="0" w:after="300" w:line="24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784"/>
      <w:bookmarkEnd w:id="785"/>
      <w:bookmarkEnd w:id="787"/>
    </w:p>
    <w:p>
      <w:pPr>
        <w:pStyle w:val="Style37"/>
        <w:keepNext/>
        <w:keepLines/>
        <w:widowControl w:val="0"/>
        <w:shd w:val="clear" w:color="auto" w:fill="auto"/>
        <w:bidi w:val="0"/>
        <w:spacing w:before="0" w:after="300" w:line="314" w:lineRule="exact"/>
        <w:ind w:left="0" w:right="0" w:firstLine="0"/>
        <w:jc w:val="both"/>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88"/>
      <w:bookmarkEnd w:id="789"/>
      <w:bookmarkEnd w:id="791"/>
    </w:p>
    <w:p>
      <w:pPr>
        <w:pStyle w:val="Style49"/>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本公司无形资产包括系统软件、开发工具、游戏产品、运营工具、土地使用权、办公软件等。</w:t>
      </w:r>
    </w:p>
    <w:p>
      <w:pPr>
        <w:pStyle w:val="Style49"/>
        <w:keepNext w:val="0"/>
        <w:keepLines w:val="0"/>
        <w:widowControl w:val="0"/>
        <w:shd w:val="clear" w:color="auto" w:fill="auto"/>
        <w:tabs>
          <w:tab w:pos="838" w:val="left"/>
        </w:tabs>
        <w:bidi w:val="0"/>
        <w:spacing w:before="0" w:after="100" w:line="314" w:lineRule="exact"/>
        <w:ind w:left="0" w:right="0" w:firstLine="460"/>
        <w:jc w:val="left"/>
      </w:pPr>
      <w:bookmarkStart w:id="792" w:name="bookmark792"/>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无形资产的初始计量</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49"/>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4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49"/>
        <w:keepNext w:val="0"/>
        <w:keepLines w:val="0"/>
        <w:widowControl w:val="0"/>
        <w:shd w:val="clear" w:color="auto" w:fill="auto"/>
        <w:tabs>
          <w:tab w:pos="862" w:val="left"/>
        </w:tabs>
        <w:bidi w:val="0"/>
        <w:spacing w:before="0" w:after="100" w:line="314" w:lineRule="exact"/>
        <w:ind w:left="0" w:right="0" w:firstLine="460"/>
        <w:jc w:val="both"/>
      </w:pPr>
      <w:bookmarkStart w:id="793" w:name="bookmark793"/>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无形资产的后续计量</w:t>
      </w:r>
    </w:p>
    <w:p>
      <w:pPr>
        <w:pStyle w:val="Style49"/>
        <w:keepNext w:val="0"/>
        <w:keepLines w:val="0"/>
        <w:widowControl w:val="0"/>
        <w:shd w:val="clear" w:color="auto" w:fill="auto"/>
        <w:bidi w:val="0"/>
        <w:spacing w:before="0" w:after="220" w:line="326" w:lineRule="exact"/>
        <w:ind w:left="0" w:right="0" w:firstLine="460"/>
        <w:jc w:val="both"/>
      </w:pPr>
      <w:r>
        <w:rPr>
          <w:color w:val="000000"/>
          <w:spacing w:val="0"/>
          <w:w w:val="100"/>
          <w:position w:val="0"/>
        </w:rPr>
        <w:t>本公司在取得无形资产时分析判断其使用寿命，划分为使用寿命有限和使用寿命不确定的无形资 产。</w:t>
      </w:r>
    </w:p>
    <w:p>
      <w:pPr>
        <w:pStyle w:val="Style49"/>
        <w:keepNext w:val="0"/>
        <w:keepLines w:val="0"/>
        <w:widowControl w:val="0"/>
        <w:numPr>
          <w:ilvl w:val="0"/>
          <w:numId w:val="25"/>
        </w:numPr>
        <w:shd w:val="clear" w:color="auto" w:fill="auto"/>
        <w:bidi w:val="0"/>
        <w:spacing w:before="0" w:after="100" w:line="314" w:lineRule="exact"/>
        <w:ind w:left="0" w:right="0" w:firstLine="460"/>
        <w:jc w:val="left"/>
      </w:pPr>
      <w:bookmarkStart w:id="794" w:name="bookmark794"/>
      <w:bookmarkEnd w:id="794"/>
      <w:r>
        <w:rPr>
          <w:color w:val="000000"/>
          <w:spacing w:val="0"/>
          <w:w w:val="100"/>
          <w:position w:val="0"/>
        </w:rPr>
        <w:t>使用寿命有限的无形资产</w:t>
      </w:r>
    </w:p>
    <w:p>
      <w:pPr>
        <w:pStyle w:val="Style49"/>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对于使用寿命有限的无形资产，在为企业带来经济利益的期限内按直线法摊销。使用寿命有限的 无形资产预计寿命及依据如下：</w:t>
      </w:r>
    </w:p>
    <w:tbl>
      <w:tblPr>
        <w:tblOverlap w:val="never"/>
        <w:jc w:val="left"/>
        <w:tblLayout w:type="fixed"/>
      </w:tblPr>
      <w:tblGrid>
        <w:gridCol w:w="2818"/>
        <w:gridCol w:w="1872"/>
        <w:gridCol w:w="377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合同规定的受益年限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开发工具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其中：客户端网络游戏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SimSun" w:eastAsia="SimSun" w:hAnsi="SimSun" w:cs="SimSun"/>
                <w:color w:val="000000"/>
                <w:spacing w:val="0"/>
                <w:w w:val="100"/>
                <w:position w:val="0"/>
                <w:sz w:val="19"/>
                <w:szCs w:val="19"/>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SimSun" w:eastAsia="SimSun" w:hAnsi="SimSun" w:cs="SimSun"/>
                <w:color w:val="000000"/>
                <w:spacing w:val="0"/>
                <w:w w:val="100"/>
                <w:position w:val="0"/>
                <w:sz w:val="19"/>
                <w:szCs w:val="19"/>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SimSun" w:eastAsia="SimSun" w:hAnsi="SimSun" w:cs="SimSun"/>
                <w:color w:val="000000"/>
                <w:spacing w:val="0"/>
                <w:w w:val="100"/>
                <w:position w:val="0"/>
                <w:sz w:val="19"/>
                <w:szCs w:val="19"/>
              </w:rPr>
              <w:t>社交游戏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运营工具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系统软件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预计使用年限</w:t>
            </w:r>
          </w:p>
        </w:tc>
      </w:tr>
    </w:tbl>
    <w:p>
      <w:pPr>
        <w:widowControl w:val="0"/>
        <w:spacing w:after="219" w:line="1" w:lineRule="exact"/>
      </w:pPr>
    </w:p>
    <w:p>
      <w:pPr>
        <w:pStyle w:val="Style4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每期末，对使用寿命有限的无形资产的使用寿命及摊销方法进行复核，如与原先估计数存在差异 的，进行相应的调整。</w:t>
      </w:r>
    </w:p>
    <w:p>
      <w:pPr>
        <w:pStyle w:val="Style49"/>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经复核，本期期末无形资产的使用寿命及摊销方法与以前估计未有不同。</w:t>
      </w:r>
    </w:p>
    <w:p>
      <w:pPr>
        <w:pStyle w:val="Style49"/>
        <w:keepNext w:val="0"/>
        <w:keepLines w:val="0"/>
        <w:widowControl w:val="0"/>
        <w:numPr>
          <w:ilvl w:val="0"/>
          <w:numId w:val="25"/>
        </w:numPr>
        <w:shd w:val="clear" w:color="auto" w:fill="auto"/>
        <w:bidi w:val="0"/>
        <w:spacing w:before="0" w:after="100" w:line="312" w:lineRule="exact"/>
        <w:ind w:left="0" w:right="0" w:firstLine="460"/>
        <w:jc w:val="left"/>
      </w:pPr>
      <w:bookmarkStart w:id="795" w:name="bookmark795"/>
      <w:bookmarkEnd w:id="795"/>
      <w:r>
        <w:rPr>
          <w:color w:val="000000"/>
          <w:spacing w:val="0"/>
          <w:w w:val="100"/>
          <w:position w:val="0"/>
        </w:rPr>
        <w:t>使用寿命不确定的无形资产</w:t>
      </w:r>
    </w:p>
    <w:p>
      <w:pPr>
        <w:pStyle w:val="Style49"/>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本公司无使用寿命不确定的无形资产。</w:t>
      </w:r>
    </w:p>
    <w:p>
      <w:pPr>
        <w:pStyle w:val="Style37"/>
        <w:keepNext/>
        <w:keepLines/>
        <w:widowControl w:val="0"/>
        <w:shd w:val="clear" w:color="auto" w:fill="auto"/>
        <w:bidi w:val="0"/>
        <w:spacing w:before="0" w:after="300" w:line="312" w:lineRule="exact"/>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96"/>
      <w:bookmarkEnd w:id="797"/>
      <w:bookmarkEnd w:id="799"/>
    </w:p>
    <w:p>
      <w:pPr>
        <w:pStyle w:val="Style49"/>
        <w:keepNext w:val="0"/>
        <w:keepLines w:val="0"/>
        <w:widowControl w:val="0"/>
        <w:shd w:val="clear" w:color="auto" w:fill="auto"/>
        <w:tabs>
          <w:tab w:pos="838" w:val="left"/>
        </w:tabs>
        <w:bidi w:val="0"/>
        <w:spacing w:before="0" w:after="100" w:line="312" w:lineRule="exact"/>
        <w:ind w:left="0" w:right="0" w:firstLine="460"/>
        <w:jc w:val="both"/>
      </w:pPr>
      <w:bookmarkStart w:id="800" w:name="bookmark800"/>
      <w:r>
        <w:rPr>
          <w:rFonts w:ascii="Times New Roman" w:eastAsia="Times New Roman" w:hAnsi="Times New Roman" w:cs="Times New Roman"/>
          <w:color w:val="000000"/>
          <w:spacing w:val="0"/>
          <w:w w:val="100"/>
          <w:position w:val="0"/>
        </w:rPr>
        <w:t>1</w:t>
      </w:r>
      <w:bookmarkEnd w:id="800"/>
      <w:r>
        <w:rPr>
          <w:color w:val="000000"/>
          <w:spacing w:val="0"/>
          <w:w w:val="100"/>
          <w:position w:val="0"/>
        </w:rPr>
        <w:t>）</w:t>
        <w:tab/>
        <w:t>划分公司内部研究开发项目的研究阶段和开发阶段具体标准</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本公司根据《研发项目管理和会计核算制度》的流程，将内部研究开发项目划分研究阶段和开发 阶段。其中，项目策划阶段与项目立项阶段作为研究阶段；项目计划阶段、项目实施与执行阶段和项 目验收阶段作为开发阶段。</w:t>
      </w:r>
    </w:p>
    <w:p>
      <w:pPr>
        <w:pStyle w:val="Style49"/>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研究阶段起点为游戏策划，终点为立项评审通过，表明公司研发中心判断该项目在技术上、商业 上等具有可行性；开发阶段的起点为项目开发计划，终点为项目相关测试完成后可进入商业运营。研 究阶段的项目支出直接记入当期损益；进入开发阶段的项目支出，则予以资本化，先在</w:t>
      </w:r>
      <w:r>
        <w:rPr>
          <w:rFonts w:ascii="Times New Roman" w:eastAsia="Times New Roman" w:hAnsi="Times New Roman" w:cs="Times New Roman"/>
          <w:color w:val="000000"/>
          <w:spacing w:val="0"/>
          <w:w w:val="100"/>
          <w:position w:val="0"/>
        </w:rPr>
        <w:t>“</w:t>
      </w:r>
      <w:r>
        <w:rPr>
          <w:color w:val="000000"/>
          <w:spacing w:val="0"/>
          <w:w w:val="100"/>
          <w:position w:val="0"/>
        </w:rPr>
        <w:t>开发支出</w:t>
      </w:r>
      <w:r>
        <w:rPr>
          <w:rFonts w:ascii="Times New Roman" w:eastAsia="Times New Roman" w:hAnsi="Times New Roman" w:cs="Times New Roman"/>
          <w:color w:val="000000"/>
          <w:spacing w:val="0"/>
          <w:w w:val="100"/>
          <w:position w:val="0"/>
        </w:rPr>
        <w:t>”</w:t>
      </w:r>
      <w:r>
        <w:rPr>
          <w:color w:val="000000"/>
          <w:spacing w:val="0"/>
          <w:w w:val="100"/>
          <w:position w:val="0"/>
        </w:rPr>
        <w:t>科 目分项目进行明细核算，可商业运营时，再转入</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科目分项目进行明细核算。</w:t>
      </w:r>
    </w:p>
    <w:p>
      <w:pPr>
        <w:pStyle w:val="Style49"/>
        <w:keepNext w:val="0"/>
        <w:keepLines w:val="0"/>
        <w:widowControl w:val="0"/>
        <w:shd w:val="clear" w:color="auto" w:fill="auto"/>
        <w:tabs>
          <w:tab w:pos="862" w:val="left"/>
        </w:tabs>
        <w:bidi w:val="0"/>
        <w:spacing w:before="0" w:after="100" w:line="312" w:lineRule="exact"/>
        <w:ind w:left="0" w:right="0" w:firstLine="460"/>
        <w:jc w:val="both"/>
      </w:pPr>
      <w:bookmarkStart w:id="801" w:name="bookmark801"/>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开发阶段支出符合资本化的具体标准</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内部研究开发项目开发阶段的支出，同时满足下列条件时确认为无形资产：</w:t>
      </w:r>
    </w:p>
    <w:p>
      <w:pPr>
        <w:pStyle w:val="Style49"/>
        <w:keepNext w:val="0"/>
        <w:keepLines w:val="0"/>
        <w:widowControl w:val="0"/>
        <w:numPr>
          <w:ilvl w:val="0"/>
          <w:numId w:val="27"/>
        </w:numPr>
        <w:shd w:val="clear" w:color="auto" w:fill="auto"/>
        <w:tabs>
          <w:tab w:pos="862" w:val="left"/>
        </w:tabs>
        <w:bidi w:val="0"/>
        <w:spacing w:before="0" w:after="100" w:line="312" w:lineRule="exact"/>
        <w:ind w:left="0" w:right="0" w:firstLine="460"/>
        <w:jc w:val="both"/>
      </w:pPr>
      <w:bookmarkStart w:id="802" w:name="bookmark802"/>
      <w:bookmarkEnd w:id="802"/>
      <w:r>
        <w:rPr>
          <w:color w:val="000000"/>
          <w:spacing w:val="0"/>
          <w:w w:val="100"/>
          <w:position w:val="0"/>
        </w:rPr>
        <w:t>完成该无形资产以使其能够使用或出售在技术上具有可行性；</w:t>
      </w:r>
    </w:p>
    <w:p>
      <w:pPr>
        <w:pStyle w:val="Style49"/>
        <w:keepNext w:val="0"/>
        <w:keepLines w:val="0"/>
        <w:widowControl w:val="0"/>
        <w:numPr>
          <w:ilvl w:val="0"/>
          <w:numId w:val="27"/>
        </w:numPr>
        <w:shd w:val="clear" w:color="auto" w:fill="auto"/>
        <w:tabs>
          <w:tab w:pos="862" w:val="left"/>
        </w:tabs>
        <w:bidi w:val="0"/>
        <w:spacing w:before="0" w:after="100" w:line="312" w:lineRule="exact"/>
        <w:ind w:left="0" w:right="0" w:firstLine="460"/>
        <w:jc w:val="both"/>
      </w:pPr>
      <w:bookmarkStart w:id="803" w:name="bookmark803"/>
      <w:bookmarkEnd w:id="803"/>
      <w:r>
        <w:rPr>
          <w:color w:val="000000"/>
          <w:spacing w:val="0"/>
          <w:w w:val="100"/>
          <w:position w:val="0"/>
        </w:rPr>
        <w:t>具有完成该无形资产并使用或出售的意图；</w:t>
      </w:r>
    </w:p>
    <w:p>
      <w:pPr>
        <w:pStyle w:val="Style49"/>
        <w:keepNext w:val="0"/>
        <w:keepLines w:val="0"/>
        <w:widowControl w:val="0"/>
        <w:numPr>
          <w:ilvl w:val="0"/>
          <w:numId w:val="27"/>
        </w:numPr>
        <w:shd w:val="clear" w:color="auto" w:fill="auto"/>
        <w:tabs>
          <w:tab w:pos="810" w:val="left"/>
        </w:tabs>
        <w:bidi w:val="0"/>
        <w:spacing w:before="0" w:after="100" w:line="317" w:lineRule="exact"/>
        <w:ind w:left="0" w:right="0" w:firstLine="460"/>
        <w:jc w:val="both"/>
      </w:pPr>
      <w:bookmarkStart w:id="804" w:name="bookmark804"/>
      <w:bookmarkEnd w:id="804"/>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49"/>
        <w:keepNext w:val="0"/>
        <w:keepLines w:val="0"/>
        <w:widowControl w:val="0"/>
        <w:numPr>
          <w:ilvl w:val="0"/>
          <w:numId w:val="27"/>
        </w:numPr>
        <w:shd w:val="clear" w:color="auto" w:fill="auto"/>
        <w:tabs>
          <w:tab w:pos="838" w:val="left"/>
        </w:tabs>
        <w:bidi w:val="0"/>
        <w:spacing w:before="0" w:after="100" w:line="298" w:lineRule="exact"/>
        <w:ind w:left="0" w:right="0" w:firstLine="460"/>
        <w:jc w:val="both"/>
      </w:pPr>
      <w:bookmarkStart w:id="805" w:name="bookmark805"/>
      <w:bookmarkEnd w:id="805"/>
      <w:r>
        <w:rPr>
          <w:color w:val="000000"/>
          <w:spacing w:val="0"/>
          <w:w w:val="100"/>
          <w:position w:val="0"/>
        </w:rPr>
        <w:t>有足够的技术、财务资源和其他资源支持，以完成该无形资产的开发，并有能力使用或出售该 无形资产；</w:t>
      </w:r>
    </w:p>
    <w:p>
      <w:pPr>
        <w:pStyle w:val="Style49"/>
        <w:keepNext w:val="0"/>
        <w:keepLines w:val="0"/>
        <w:widowControl w:val="0"/>
        <w:numPr>
          <w:ilvl w:val="0"/>
          <w:numId w:val="27"/>
        </w:numPr>
        <w:shd w:val="clear" w:color="auto" w:fill="auto"/>
        <w:tabs>
          <w:tab w:pos="862" w:val="left"/>
        </w:tabs>
        <w:bidi w:val="0"/>
        <w:spacing w:before="0" w:after="100" w:line="312" w:lineRule="exact"/>
        <w:ind w:left="0" w:right="0" w:firstLine="460"/>
        <w:jc w:val="both"/>
      </w:pPr>
      <w:bookmarkStart w:id="806" w:name="bookmark806"/>
      <w:bookmarkEnd w:id="806"/>
      <w:r>
        <w:rPr>
          <w:color w:val="000000"/>
          <w:spacing w:val="0"/>
          <w:w w:val="100"/>
          <w:position w:val="0"/>
        </w:rPr>
        <w:t>归属于该无形资产开发阶段的支出能够可靠地计量。</w:t>
      </w:r>
    </w:p>
    <w:p>
      <w:pPr>
        <w:pStyle w:val="Style49"/>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不满足上述条件的开发阶段的支出，于发生时计入当期损益。以前期间已计入损益的开发支出不 在以后期间重新确认为资产。已资本化的开发阶段的支出在资产负债表上列示为开发支出，自该项目 达到预定用途之日起转为无形资产。</w:t>
      </w:r>
    </w:p>
    <w:p>
      <w:pPr>
        <w:pStyle w:val="Style31"/>
        <w:keepNext/>
        <w:keepLines/>
        <w:widowControl w:val="0"/>
        <w:shd w:val="clear" w:color="auto" w:fill="auto"/>
        <w:bidi w:val="0"/>
        <w:spacing w:before="0" w:after="260" w:line="312"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07"/>
      <w:bookmarkEnd w:id="808"/>
      <w:bookmarkEnd w:id="810"/>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本公司在资产负债表日判断长期资产是否存在可能发生减值的迹象。如果长期资产存在减值迹象 的，以单项资产为基础估计其可收回金额；难以对单项资产的可收回金额进行估计的，以该资产所属 的资产组为基础确定资产组的可收回金额。</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资产可收回金额的估计，根据其公允价值减去处置费用后的净额与资产预计未来现金流量的现值 两者之间较高者确定。</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可收回金额的计量结果表明，长期资产的可收回金额低于其账面价值的，将长期资产的账面价值 减记至可收回金额，减记的金额确认为资产减值损失，计入当期损益，同时计提相应的资产减值准备。 资产减值损失一经确认，在以后会计期间不得转回。</w:t>
      </w:r>
    </w:p>
    <w:p>
      <w:pPr>
        <w:pStyle w:val="Style49"/>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资产减值损失确认后，减值资产的折旧或者摊销费用在未来期间作相应调整，以使该资产在剩余 使用寿命内，系统地分摊调整后的资产账面价值（扣除预计净残值）。</w:t>
      </w:r>
    </w:p>
    <w:p>
      <w:pPr>
        <w:pStyle w:val="Style49"/>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因企业合并所形成的商誉和使用寿命不确定的无形资产，无论是否存在减值迹象，每年都进行减 值测试。</w:t>
      </w:r>
    </w:p>
    <w:p>
      <w:pPr>
        <w:pStyle w:val="Style49"/>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商誉结合与其相关的资产组或者资产组组合进行减值测试。在对包含商誉的相关资产组或者资产 组组合进行减值测试时，如与商誉相关的资产组或者资产组组合存在减值迹象的，先对不包含商誉的 资产组或者资产组组合进行减值测试，计算可收回金额，并与相关账面价值相比较，确认相应的减值 损失。再对包含商誉的资产组或者资产组组合进行减值测试，比较这些相关资产组或者资产组组合的 账面价值（包括所分摊的商誉的账面价值部分）与其可收回金额，如相关资产组或者资产组组合的可 收回金额低于其账面价值的，确认商誉的减值损失。</w:t>
      </w:r>
    </w:p>
    <w:p>
      <w:pPr>
        <w:pStyle w:val="Style31"/>
        <w:keepNext/>
        <w:keepLines/>
        <w:widowControl w:val="0"/>
        <w:shd w:val="clear" w:color="auto" w:fill="auto"/>
        <w:bidi w:val="0"/>
        <w:spacing w:before="0" w:after="300" w:line="314"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811"/>
      <w:bookmarkEnd w:id="812"/>
      <w:bookmarkEnd w:id="814"/>
    </w:p>
    <w:p>
      <w:pPr>
        <w:pStyle w:val="Style4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本公司的长期待摊费用包括版权金代理费和装修费等。该等费用在受益期内平均摊销，如果长期 待摊费用项目不能使以后会计期间受益，则将尚未摊销的该项目的摊余价值全部转入当期损益。摊销 年限如下：</w:t>
      </w:r>
    </w:p>
    <w:tbl>
      <w:tblPr>
        <w:tblOverlap w:val="never"/>
        <w:jc w:val="left"/>
        <w:tblLayout w:type="fixed"/>
      </w:tblPr>
      <w:tblGrid>
        <w:gridCol w:w="2851"/>
        <w:gridCol w:w="2846"/>
        <w:gridCol w:w="28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摊销年限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备注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版权金代理费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按照游戏授权运营期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按照剩余租赁期</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按照实际受益期</w:t>
            </w:r>
          </w:p>
        </w:tc>
      </w:tr>
    </w:tbl>
    <w:p>
      <w:pPr>
        <w:widowControl w:val="0"/>
        <w:spacing w:after="599" w:line="1" w:lineRule="exact"/>
      </w:pPr>
    </w:p>
    <w:p>
      <w:pPr>
        <w:pStyle w:val="Style31"/>
        <w:keepNext/>
        <w:keepLines/>
        <w:widowControl w:val="0"/>
        <w:shd w:val="clear" w:color="auto" w:fill="auto"/>
        <w:bidi w:val="0"/>
        <w:spacing w:before="0" w:after="300" w:line="310"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815"/>
      <w:bookmarkEnd w:id="816"/>
      <w:bookmarkEnd w:id="818"/>
    </w:p>
    <w:p>
      <w:pPr>
        <w:pStyle w:val="Style49"/>
        <w:keepNext w:val="0"/>
        <w:keepLines w:val="0"/>
        <w:widowControl w:val="0"/>
        <w:shd w:val="clear" w:color="auto" w:fill="auto"/>
        <w:bidi w:val="0"/>
        <w:spacing w:before="0" w:after="600" w:line="310" w:lineRule="exact"/>
        <w:ind w:left="0" w:right="0" w:firstLine="460"/>
        <w:jc w:val="both"/>
      </w:pPr>
      <w:r>
        <w:rPr>
          <w:color w:val="000000"/>
          <w:spacing w:val="0"/>
          <w:w w:val="100"/>
          <w:position w:val="0"/>
        </w:rPr>
        <w:t>合同负债反映本公司已收或应收客户对价而应向客户转让商品的义务。本公司在向客户转让商品 之前，客户已经支付了合同对价或本公司已经取得了无条件收取合同对价权利的，在客户实际支付款 项与到期应支付款项孰早时点，按照已收或应收的金额确认合同负债。</w:t>
      </w:r>
    </w:p>
    <w:p>
      <w:pPr>
        <w:pStyle w:val="Style31"/>
        <w:keepNext/>
        <w:keepLines/>
        <w:widowControl w:val="0"/>
        <w:shd w:val="clear" w:color="auto" w:fill="auto"/>
        <w:bidi w:val="0"/>
        <w:spacing w:before="0" w:after="380" w:line="314"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19"/>
      <w:bookmarkEnd w:id="820"/>
      <w:bookmarkEnd w:id="822"/>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本公司职工薪酬包括短期薪酬、离职后福利和辞退福利。</w:t>
      </w:r>
    </w:p>
    <w:p>
      <w:pPr>
        <w:pStyle w:val="Style37"/>
        <w:keepNext/>
        <w:keepLines/>
        <w:widowControl w:val="0"/>
        <w:shd w:val="clear" w:color="auto" w:fill="auto"/>
        <w:bidi w:val="0"/>
        <w:spacing w:before="0" w:after="300" w:line="314"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23"/>
      <w:bookmarkEnd w:id="824"/>
      <w:bookmarkEnd w:id="826"/>
    </w:p>
    <w:p>
      <w:pPr>
        <w:pStyle w:val="Style49"/>
        <w:keepNext w:val="0"/>
        <w:keepLines w:val="0"/>
        <w:widowControl w:val="0"/>
        <w:shd w:val="clear" w:color="auto" w:fill="auto"/>
        <w:bidi w:val="0"/>
        <w:spacing w:before="0" w:after="600" w:line="314" w:lineRule="exact"/>
        <w:ind w:left="0" w:right="0" w:firstLine="460"/>
        <w:jc w:val="both"/>
      </w:pPr>
      <w:r>
        <w:rPr>
          <w:color w:val="000000"/>
          <w:spacing w:val="0"/>
          <w:w w:val="100"/>
          <w:position w:val="0"/>
        </w:rPr>
        <w:t>短期薪酬主要包括职工工资、奖金、津贴和补贴、职工福利费、医疗保险费、工伤保险费和生育 保险费等社会保险费、住房公积金、工会经费和职工教育经费、短期带薪缺勤以及其他短期薪酬等， 在职工提供服务的会计期间，将实际发生的短期薪酬确认为负债，并按照受益对象计入当期损益或相 关资产成本。</w:t>
      </w:r>
    </w:p>
    <w:p>
      <w:pPr>
        <w:pStyle w:val="Style37"/>
        <w:keepNext/>
        <w:keepLines/>
        <w:widowControl w:val="0"/>
        <w:shd w:val="clear" w:color="auto" w:fill="auto"/>
        <w:bidi w:val="0"/>
        <w:spacing w:before="0" w:after="300" w:line="312"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27"/>
      <w:bookmarkEnd w:id="828"/>
      <w:bookmarkEnd w:id="830"/>
    </w:p>
    <w:p>
      <w:pPr>
        <w:pStyle w:val="Style49"/>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离职后福利主要包括基本养老保险费、失业保险等，按照公司承担的风险和义务，分类为设定提 存计划。对于设定提存计划在根据在资产负债表日为换取职工在会计期间提供的服务而向单独主体缴 存的提存金确认为负债，并按照受益对象计入当期损益或相关资产成本。</w:t>
      </w:r>
    </w:p>
    <w:p>
      <w:pPr>
        <w:pStyle w:val="Style37"/>
        <w:keepNext/>
        <w:keepLines/>
        <w:widowControl w:val="0"/>
        <w:shd w:val="clear" w:color="auto" w:fill="auto"/>
        <w:bidi w:val="0"/>
        <w:spacing w:before="0" w:after="300" w:line="312" w:lineRule="exact"/>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31"/>
      <w:bookmarkEnd w:id="832"/>
      <w:bookmarkEnd w:id="834"/>
    </w:p>
    <w:p>
      <w:pPr>
        <w:pStyle w:val="Style49"/>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辞退福利是由于因解除与职工的劳动关系而给予的补偿产生，在劳动合同解除日日确认辞退福利 产生的职工薪酬负债，并计入当期损益。</w:t>
      </w:r>
    </w:p>
    <w:p>
      <w:pPr>
        <w:pStyle w:val="Style31"/>
        <w:keepNext/>
        <w:keepLines/>
        <w:widowControl w:val="0"/>
        <w:shd w:val="clear" w:color="auto" w:fill="auto"/>
        <w:bidi w:val="0"/>
        <w:spacing w:before="0" w:after="240" w:line="314"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35"/>
      <w:bookmarkEnd w:id="836"/>
      <w:bookmarkEnd w:id="838"/>
    </w:p>
    <w:p>
      <w:pPr>
        <w:pStyle w:val="Style49"/>
        <w:keepNext w:val="0"/>
        <w:keepLines w:val="0"/>
        <w:widowControl w:val="0"/>
        <w:shd w:val="clear" w:color="auto" w:fill="auto"/>
        <w:bidi w:val="0"/>
        <w:spacing w:before="0" w:after="100" w:line="341" w:lineRule="exact"/>
        <w:ind w:left="0" w:right="0" w:firstLine="460"/>
        <w:jc w:val="both"/>
      </w:pPr>
      <w:r>
        <w:rPr>
          <w:color w:val="000000"/>
          <w:spacing w:val="0"/>
          <w:w w:val="100"/>
          <w:position w:val="0"/>
        </w:rPr>
        <w:t>当与或有事项相关的业务同时符合以下条件时，本公司将其确认为负债：该义务是本公司承担的 现时义务；该义务的履行很可能导致经济利益流出企业；该义务的金额能够可靠地计量。</w:t>
      </w:r>
    </w:p>
    <w:p>
      <w:pPr>
        <w:pStyle w:val="Style49"/>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预计负债的计量方法：</w:t>
      </w:r>
    </w:p>
    <w:p>
      <w:pPr>
        <w:pStyle w:val="Style49"/>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本公司预计负债按履行相关现时义务所需的支出的最佳估计数进行初始计量。</w:t>
      </w:r>
    </w:p>
    <w:p>
      <w:pPr>
        <w:pStyle w:val="Style49"/>
        <w:keepNext w:val="0"/>
        <w:keepLines w:val="0"/>
        <w:widowControl w:val="0"/>
        <w:shd w:val="clear" w:color="auto" w:fill="auto"/>
        <w:bidi w:val="0"/>
        <w:spacing w:before="0" w:after="100" w:line="317" w:lineRule="exact"/>
        <w:ind w:left="0" w:right="0" w:firstLine="460"/>
        <w:jc w:val="left"/>
      </w:pPr>
      <w:r>
        <w:rPr>
          <w:color w:val="000000"/>
          <w:spacing w:val="0"/>
          <w:w w:val="100"/>
          <w:position w:val="0"/>
        </w:rPr>
        <w:t>本公司在确定最佳估计数时，综合考虑与或有事项有关的风险、不确定性和货币时间价值等因素。 对于货币时间价值影响重大的，通过对相关未来现金流出进行折现后确定最佳估计数。</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最佳估计数分别以下情况处理：</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所需支出存在一个连续范围（或区间），且该范围内各种结果发生的可能性相同的，则最佳估计 数按照该范围的中间值即上下限金额的平均数确定。</w:t>
      </w:r>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所需支出不存在一个连续范围（或区间），或虽然存在一个连续范围但该范围内各种结果发生的 可能性不相同的，如或有事项涉及单个项目的，则最佳估计数按照最可能发生金额确定；如或有事项 涉及多个项目的，则最佳估计数按各种可能结果及相关概率计算确定。</w:t>
      </w:r>
    </w:p>
    <w:p>
      <w:pPr>
        <w:pStyle w:val="Style49"/>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本公司清偿预计负债所需支出全部或部分预期由第三方补偿的，补偿金额在基本确定能够收到 时，作为资产单独确认，确认的补偿金额不超过预计负债的账面价值。</w:t>
      </w:r>
    </w:p>
    <w:p>
      <w:pPr>
        <w:pStyle w:val="Style31"/>
        <w:keepNext/>
        <w:keepLines/>
        <w:widowControl w:val="0"/>
        <w:shd w:val="clear" w:color="auto" w:fill="auto"/>
        <w:bidi w:val="0"/>
        <w:spacing w:before="0" w:after="300" w:line="312"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839"/>
      <w:bookmarkEnd w:id="840"/>
      <w:bookmarkEnd w:id="842"/>
    </w:p>
    <w:p>
      <w:pPr>
        <w:pStyle w:val="Style4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以现金结算的股份支付，按照本公司承担的以股份或其他权益工具为基础确定的负债的公允价值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行权情况的最佳估计为基础，按照本公司承担负债的公允价值金额，将当期取得的服务计入成本或费 用，相应调整负债。</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在相关负债结算前的每个资产负债表日以及结算日，对负债的公允价值重新计量，其变动计入当 期损益。</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本公司在等待期内取消所授予权益工具的（因未满足可行权条件而被取消的除外），作为加速行 权处理，即视同剩余等待期内的股权支付计划已经全部满足可行权条件，在取消所授予权益工具的当 期确认剩余等待期内的所有费用。</w:t>
      </w:r>
    </w:p>
    <w:p>
      <w:pPr>
        <w:pStyle w:val="Style31"/>
        <w:keepNext/>
        <w:keepLines/>
        <w:widowControl w:val="0"/>
        <w:shd w:val="clear" w:color="auto" w:fill="auto"/>
        <w:bidi w:val="0"/>
        <w:spacing w:before="0" w:after="380" w:line="312" w:lineRule="exact"/>
        <w:ind w:left="0" w:right="0" w:firstLine="0"/>
        <w:jc w:val="left"/>
      </w:pPr>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843"/>
      <w:bookmarkEnd w:id="844"/>
      <w:bookmarkEnd w:id="845"/>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本公司的营业收入主要包括网络游戏收入（含广告代理收入）、云服务收入、提供劳务收入和让 渡资产使用权收入。</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49"/>
        <w:keepNext w:val="0"/>
        <w:keepLines w:val="0"/>
        <w:widowControl w:val="0"/>
        <w:shd w:val="clear" w:color="auto" w:fill="auto"/>
        <w:tabs>
          <w:tab w:pos="942" w:val="left"/>
        </w:tabs>
        <w:bidi w:val="0"/>
        <w:spacing w:before="0" w:after="100" w:line="312" w:lineRule="exact"/>
        <w:ind w:left="0" w:right="0" w:firstLine="44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一般原则</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本公司在履行了合同中的履约义务，即在客户取得相关商品或服务的控制权时，确认收入。</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交易价格是本公司因向客户转让商品或服务而预期有权收取的对价金额，不包括代第三方收取的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 价之间的差额，在合同期间内采用实际利率法摊销。合同开始日，本公司预计客户取得商品或服务控 制权与客户支付价款间隔不超过一年的，不考虑合同中存在的重大融资成分。</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满足下列条件之一时，本公司属于在某一时段内履行履约义务；否则，属于在某一时点履行履约 义务：</w:t>
      </w:r>
    </w:p>
    <w:p>
      <w:pPr>
        <w:pStyle w:val="Style49"/>
        <w:keepNext w:val="0"/>
        <w:keepLines w:val="0"/>
        <w:widowControl w:val="0"/>
        <w:numPr>
          <w:ilvl w:val="0"/>
          <w:numId w:val="29"/>
        </w:numPr>
        <w:shd w:val="clear" w:color="auto" w:fill="auto"/>
        <w:tabs>
          <w:tab w:pos="402" w:val="left"/>
        </w:tabs>
        <w:bidi w:val="0"/>
        <w:spacing w:before="0" w:after="100" w:line="312" w:lineRule="exact"/>
        <w:ind w:left="0" w:right="0" w:firstLine="0"/>
        <w:jc w:val="both"/>
      </w:pPr>
      <w:bookmarkStart w:id="847" w:name="bookmark847"/>
      <w:bookmarkEnd w:id="847"/>
      <w:r>
        <w:rPr>
          <w:color w:val="000000"/>
          <w:spacing w:val="0"/>
          <w:w w:val="100"/>
          <w:position w:val="0"/>
        </w:rPr>
        <w:t>客户在本公司履约的同时即取得并消耗本公司履约所带来的经济利益；</w:t>
      </w:r>
    </w:p>
    <w:p>
      <w:pPr>
        <w:pStyle w:val="Style49"/>
        <w:keepNext w:val="0"/>
        <w:keepLines w:val="0"/>
        <w:widowControl w:val="0"/>
        <w:numPr>
          <w:ilvl w:val="0"/>
          <w:numId w:val="29"/>
        </w:numPr>
        <w:shd w:val="clear" w:color="auto" w:fill="auto"/>
        <w:tabs>
          <w:tab w:pos="402" w:val="left"/>
        </w:tabs>
        <w:bidi w:val="0"/>
        <w:spacing w:before="0" w:after="100" w:line="312" w:lineRule="exact"/>
        <w:ind w:left="0" w:right="0" w:firstLine="0"/>
        <w:jc w:val="both"/>
      </w:pPr>
      <w:bookmarkStart w:id="848" w:name="bookmark848"/>
      <w:bookmarkEnd w:id="848"/>
      <w:r>
        <w:rPr>
          <w:color w:val="000000"/>
          <w:spacing w:val="0"/>
          <w:w w:val="100"/>
          <w:position w:val="0"/>
        </w:rPr>
        <w:t>客户能够控制本公司履约过程中在建的商品；</w:t>
      </w:r>
    </w:p>
    <w:p>
      <w:pPr>
        <w:pStyle w:val="Style49"/>
        <w:keepNext w:val="0"/>
        <w:keepLines w:val="0"/>
        <w:widowControl w:val="0"/>
        <w:numPr>
          <w:ilvl w:val="0"/>
          <w:numId w:val="29"/>
        </w:numPr>
        <w:shd w:val="clear" w:color="auto" w:fill="auto"/>
        <w:tabs>
          <w:tab w:pos="402" w:val="left"/>
        </w:tabs>
        <w:bidi w:val="0"/>
        <w:spacing w:before="0" w:after="100" w:line="312" w:lineRule="exact"/>
        <w:ind w:left="0" w:right="0" w:firstLine="0"/>
        <w:jc w:val="both"/>
      </w:pPr>
      <w:bookmarkStart w:id="849" w:name="bookmark849"/>
      <w:bookmarkEnd w:id="849"/>
      <w:r>
        <w:rPr>
          <w:color w:val="000000"/>
          <w:spacing w:val="0"/>
          <w:w w:val="100"/>
          <w:position w:val="0"/>
        </w:rPr>
        <w:t>在本公司履约过程中所产出的商品具有不可替代用途，且本公司在整个合同期间内有权就累计至今 已完成的履约部分收取款项。</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对于在某一时段内履行的履约义务，本公司在该段时间内按照履约进度确认收入，并按照</w:t>
      </w:r>
      <w:r>
        <w:rPr>
          <w:rFonts w:ascii="Times New Roman" w:eastAsia="Times New Roman" w:hAnsi="Times New Roman" w:cs="Times New Roman"/>
          <w:color w:val="000000"/>
          <w:spacing w:val="0"/>
          <w:w w:val="100"/>
          <w:position w:val="0"/>
        </w:rPr>
        <w:t>XX</w:t>
      </w:r>
      <w:r>
        <w:rPr>
          <w:color w:val="000000"/>
          <w:spacing w:val="0"/>
          <w:w w:val="100"/>
          <w:position w:val="0"/>
        </w:rPr>
        <w:t>法确 定履约进度。履约进度不能合理确定时，本公司已经发生的成本预计能够得到补偿的，按照已经发生 的成本金额确认收入，直到履约进度能够合理确定为止。</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49"/>
        <w:keepNext w:val="0"/>
        <w:keepLines w:val="0"/>
        <w:widowControl w:val="0"/>
        <w:numPr>
          <w:ilvl w:val="0"/>
          <w:numId w:val="31"/>
        </w:numPr>
        <w:shd w:val="clear" w:color="auto" w:fill="auto"/>
        <w:tabs>
          <w:tab w:pos="402" w:val="left"/>
        </w:tabs>
        <w:bidi w:val="0"/>
        <w:spacing w:before="0" w:after="100" w:line="312" w:lineRule="exact"/>
        <w:ind w:left="0" w:right="0" w:firstLine="0"/>
        <w:jc w:val="left"/>
      </w:pPr>
      <w:bookmarkStart w:id="850" w:name="bookmark850"/>
      <w:bookmarkEnd w:id="850"/>
      <w:r>
        <w:rPr>
          <w:color w:val="000000"/>
          <w:spacing w:val="0"/>
          <w:w w:val="100"/>
          <w:position w:val="0"/>
        </w:rPr>
        <w:t>本公司就该商品或服务享有现时收款权利；</w:t>
      </w:r>
    </w:p>
    <w:p>
      <w:pPr>
        <w:pStyle w:val="Style49"/>
        <w:keepNext w:val="0"/>
        <w:keepLines w:val="0"/>
        <w:widowControl w:val="0"/>
        <w:numPr>
          <w:ilvl w:val="0"/>
          <w:numId w:val="31"/>
        </w:numPr>
        <w:shd w:val="clear" w:color="auto" w:fill="auto"/>
        <w:tabs>
          <w:tab w:pos="402" w:val="left"/>
        </w:tabs>
        <w:bidi w:val="0"/>
        <w:spacing w:before="0" w:after="100" w:line="312" w:lineRule="exact"/>
        <w:ind w:left="0" w:right="0" w:firstLine="0"/>
        <w:jc w:val="left"/>
      </w:pPr>
      <w:bookmarkStart w:id="851" w:name="bookmark851"/>
      <w:bookmarkEnd w:id="851"/>
      <w:r>
        <w:rPr>
          <w:color w:val="000000"/>
          <w:spacing w:val="0"/>
          <w:w w:val="100"/>
          <w:position w:val="0"/>
        </w:rPr>
        <w:t>本公司已将该商品的法定所有权转移给客户；</w:t>
      </w:r>
    </w:p>
    <w:p>
      <w:pPr>
        <w:pStyle w:val="Style49"/>
        <w:keepNext w:val="0"/>
        <w:keepLines w:val="0"/>
        <w:widowControl w:val="0"/>
        <w:numPr>
          <w:ilvl w:val="0"/>
          <w:numId w:val="31"/>
        </w:numPr>
        <w:shd w:val="clear" w:color="auto" w:fill="auto"/>
        <w:tabs>
          <w:tab w:pos="402" w:val="left"/>
        </w:tabs>
        <w:bidi w:val="0"/>
        <w:spacing w:before="0" w:after="100" w:line="312" w:lineRule="exact"/>
        <w:ind w:left="0" w:right="0" w:firstLine="0"/>
        <w:jc w:val="left"/>
      </w:pPr>
      <w:bookmarkStart w:id="852" w:name="bookmark852"/>
      <w:bookmarkEnd w:id="852"/>
      <w:r>
        <w:rPr>
          <w:color w:val="000000"/>
          <w:spacing w:val="0"/>
          <w:w w:val="100"/>
          <w:position w:val="0"/>
        </w:rPr>
        <w:t>本公司已将该商品的实物转移给客户；</w:t>
      </w:r>
    </w:p>
    <w:p>
      <w:pPr>
        <w:pStyle w:val="Style49"/>
        <w:keepNext w:val="0"/>
        <w:keepLines w:val="0"/>
        <w:widowControl w:val="0"/>
        <w:numPr>
          <w:ilvl w:val="0"/>
          <w:numId w:val="31"/>
        </w:numPr>
        <w:shd w:val="clear" w:color="auto" w:fill="auto"/>
        <w:tabs>
          <w:tab w:pos="402" w:val="left"/>
        </w:tabs>
        <w:bidi w:val="0"/>
        <w:spacing w:before="0" w:after="100" w:line="312" w:lineRule="exact"/>
        <w:ind w:left="0" w:right="0" w:firstLine="0"/>
        <w:jc w:val="left"/>
      </w:pPr>
      <w:bookmarkStart w:id="853" w:name="bookmark853"/>
      <w:bookmarkEnd w:id="853"/>
      <w:r>
        <w:rPr>
          <w:color w:val="000000"/>
          <w:spacing w:val="0"/>
          <w:w w:val="100"/>
          <w:position w:val="0"/>
        </w:rPr>
        <w:t>本公司已将该商品所有权上的主要风险和报酬转移给客户；</w:t>
      </w:r>
    </w:p>
    <w:p>
      <w:pPr>
        <w:pStyle w:val="Style49"/>
        <w:keepNext w:val="0"/>
        <w:keepLines w:val="0"/>
        <w:widowControl w:val="0"/>
        <w:numPr>
          <w:ilvl w:val="0"/>
          <w:numId w:val="31"/>
        </w:numPr>
        <w:shd w:val="clear" w:color="auto" w:fill="auto"/>
        <w:tabs>
          <w:tab w:pos="402" w:val="left"/>
        </w:tabs>
        <w:bidi w:val="0"/>
        <w:spacing w:before="0" w:after="100" w:line="312" w:lineRule="exact"/>
        <w:ind w:left="0" w:right="0" w:firstLine="0"/>
        <w:jc w:val="left"/>
      </w:pPr>
      <w:bookmarkStart w:id="854" w:name="bookmark854"/>
      <w:bookmarkEnd w:id="854"/>
      <w:r>
        <w:rPr>
          <w:color w:val="000000"/>
          <w:spacing w:val="0"/>
          <w:w w:val="100"/>
          <w:position w:val="0"/>
        </w:rPr>
        <w:t>客户已接受该商品或服务等。</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本公司已向客户转让商品或服务而有权收取对价的权利作为合同资产列示，合同资产以预期信用 损失为基础计提减值。本公司拥有的无条件向客户收取对价的权利作为应收款项列示。本公司已收货 应收客户对价而应向客户转让商品或服务的义务作为合同负债列示。</w:t>
      </w:r>
    </w:p>
    <w:p>
      <w:pPr>
        <w:pStyle w:val="Style49"/>
        <w:keepNext w:val="0"/>
        <w:keepLines w:val="0"/>
        <w:widowControl w:val="0"/>
        <w:shd w:val="clear" w:color="auto" w:fill="auto"/>
        <w:tabs>
          <w:tab w:pos="942" w:val="left"/>
        </w:tabs>
        <w:bidi w:val="0"/>
        <w:spacing w:before="0" w:after="100" w:line="312" w:lineRule="exact"/>
        <w:ind w:left="0" w:right="0" w:firstLine="44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具体方法</w:t>
      </w:r>
    </w:p>
    <w:p>
      <w:pPr>
        <w:pStyle w:val="Style49"/>
        <w:keepNext w:val="0"/>
        <w:keepLines w:val="0"/>
        <w:widowControl w:val="0"/>
        <w:shd w:val="clear" w:color="auto" w:fill="auto"/>
        <w:bidi w:val="0"/>
        <w:spacing w:before="0" w:after="120" w:line="312" w:lineRule="exact"/>
        <w:ind w:left="0" w:right="0" w:firstLine="460"/>
        <w:jc w:val="both"/>
      </w:pPr>
      <w:bookmarkStart w:id="856" w:name="bookmark856"/>
      <w:r>
        <w:rPr>
          <w:rFonts w:ascii="Times New Roman" w:eastAsia="Times New Roman" w:hAnsi="Times New Roman" w:cs="Times New Roman"/>
          <w:color w:val="000000"/>
          <w:spacing w:val="0"/>
          <w:w w:val="100"/>
          <w:position w:val="0"/>
        </w:rPr>
        <w:t>1</w:t>
      </w:r>
      <w:bookmarkEnd w:id="856"/>
      <w:r>
        <w:rPr>
          <w:color w:val="000000"/>
          <w:spacing w:val="0"/>
          <w:w w:val="100"/>
          <w:position w:val="0"/>
        </w:rPr>
        <w:t>）网络游戏收入主要包括游戏运营和游戏著作权、运营权转让、广告代理，游戏运营模式主要 包括官方运营（包括公司自主运营、与游戏平台联合运营）和分服运营。</w:t>
      </w:r>
    </w:p>
    <w:p>
      <w:pPr>
        <w:pStyle w:val="Style49"/>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①公司自主运营收入的确认原则、方式和流程</w:t>
      </w:r>
    </w:p>
    <w:p>
      <w:pPr>
        <w:pStyle w:val="Style49"/>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公司是通过游戏玩家在网络游戏中购买虚拟游戏装备、某些特殊游戏功能模块或为游戏在线时间 支付费用的方式取得在线网络游戏运营收入。游戏玩家可以从公司的游戏点卡经销商处购得游戏点 卡，也可以从公司的官方运营网站上通过银行借记卡、信用卡、手机支付以及银行转账等方式购得游 戏点卡。游戏玩家可以使用上述游戏点卡进入公司的运营网络游戏中进行消费（如购买游戏虚拟装备 及其他特殊游戏功能体验或购买游戏在线时间等）。</w:t>
      </w:r>
    </w:p>
    <w:p>
      <w:pPr>
        <w:pStyle w:val="Style49"/>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公司在道具收费模式下，游戏玩家可以免费体验公司在线运营的网络游戏的基本功能，只有游戏 玩家购买游戏中的虚拟道具时才需要支付费用。销售游戏虚拟道具所取得的收入在游戏玩家实际使用 虚拟货币购买道具时予以确认。其收入确认流程如下：</w:t>
      </w:r>
    </w:p>
    <w:p>
      <w:pPr>
        <w:widowControl w:val="0"/>
        <w:jc w:val="center"/>
        <w:rPr>
          <w:sz w:val="2"/>
          <w:szCs w:val="2"/>
        </w:rPr>
      </w:pPr>
      <w:r>
        <w:drawing>
          <wp:inline>
            <wp:extent cx="4949825" cy="225552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stretch/>
                  </pic:blipFill>
                  <pic:spPr>
                    <a:xfrm>
                      <a:ext cx="4949825" cy="2255520"/>
                    </a:xfrm>
                    <a:prstGeom prst="rect"/>
                  </pic:spPr>
                </pic:pic>
              </a:graphicData>
            </a:graphic>
          </wp:inline>
        </w:drawing>
      </w:r>
    </w:p>
    <w:p>
      <w:pPr>
        <w:widowControl w:val="0"/>
        <w:spacing w:after="3559" w:line="1" w:lineRule="exact"/>
      </w:pP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②与游戏平台联合运营收入的确认原则、方式和流程：</w:t>
      </w:r>
    </w:p>
    <w:p>
      <w:pPr>
        <w:pStyle w:val="Style49"/>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公司与多家大型网络游戏平台签订合作运营网络游戏协议，其玩家通过平台的宣传了解公司游戏 产品，直接通过平台提供的游戏链接下载游戏客户端，注册后进入游戏。游戏用户通过购买平台发行 的点卡充值到账户中兑换成虚拟货币，在游戏中购买道具等虚拟物品。虽然游戏玩家购买的是平台发 行的点卡，并通过平台的链接进入到游戏，但是游戏的服务器由公司提供，游戏的维护、升级、客户 服务等仍由公司负责。网络游戏平台将其在合作运营游戏中取得的收入按协议约定的比例分成给公 司，在双方核对数据确认无误后，公司确认营业收入。其收入确认流程如下：</w:t>
      </w:r>
      <w:r>
        <w:br w:type="page"/>
      </w:r>
    </w:p>
    <w:p>
      <w:pPr>
        <w:widowControl w:val="0"/>
        <w:jc w:val="center"/>
        <w:rPr>
          <w:sz w:val="2"/>
          <w:szCs w:val="2"/>
        </w:rPr>
      </w:pPr>
      <w:r>
        <w:drawing>
          <wp:inline>
            <wp:extent cx="5303520" cy="293814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stretch/>
                  </pic:blipFill>
                  <pic:spPr>
                    <a:xfrm>
                      <a:ext cx="5303520" cy="2938145"/>
                    </a:xfrm>
                    <a:prstGeom prst="rect"/>
                  </pic:spPr>
                </pic:pic>
              </a:graphicData>
            </a:graphic>
          </wp:inline>
        </w:drawing>
      </w:r>
    </w:p>
    <w:p>
      <w:pPr>
        <w:widowControl w:val="0"/>
        <w:spacing w:after="3919" w:line="1" w:lineRule="exact"/>
      </w:pPr>
    </w:p>
    <w:p>
      <w:pPr>
        <w:pStyle w:val="Style49"/>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公司与分服商签订合作运营协议，由公司为其提供约定的后续服务，分服商将其在合作运营游戏 中取得的收入按协议约定的比例分成给公司，在双方核对数据确认无误后，公司确认营业收入。其收 入确认流程如下：</w:t>
      </w:r>
    </w:p>
    <w:p>
      <w:pPr>
        <w:widowControl w:val="0"/>
        <w:jc w:val="left"/>
        <w:rPr>
          <w:sz w:val="2"/>
          <w:szCs w:val="2"/>
        </w:rPr>
        <w:sectPr>
          <w:footnotePr>
            <w:pos w:val="pageBottom"/>
            <w:numFmt w:val="decimal"/>
            <w:numRestart w:val="continuous"/>
          </w:footnotePr>
          <w:pgSz w:w="11900" w:h="16840"/>
          <w:pgMar w:top="1388" w:right="890" w:bottom="1441" w:left="878" w:header="0" w:footer="3" w:gutter="0"/>
          <w:cols w:space="720"/>
          <w:noEndnote/>
          <w:rtlGutter w:val="0"/>
          <w:docGrid w:linePitch="360"/>
        </w:sectPr>
      </w:pPr>
      <w:r>
        <w:drawing>
          <wp:inline>
            <wp:extent cx="5041265" cy="257238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stretch/>
                  </pic:blipFill>
                  <pic:spPr>
                    <a:xfrm>
                      <a:ext cx="5041265" cy="2572385"/>
                    </a:xfrm>
                    <a:prstGeom prst="rect"/>
                  </pic:spPr>
                </pic:pic>
              </a:graphicData>
            </a:graphic>
          </wp:inline>
        </w:drawing>
      </w:r>
    </w:p>
    <w:p>
      <w:pPr>
        <w:pStyle w:val="Style49"/>
        <w:keepNext w:val="0"/>
        <w:keepLines w:val="0"/>
        <w:widowControl w:val="0"/>
        <w:shd w:val="clear" w:color="auto" w:fill="auto"/>
        <w:bidi w:val="0"/>
        <w:spacing w:before="3860" w:after="100" w:line="312" w:lineRule="exact"/>
        <w:ind w:left="0" w:right="0" w:firstLine="500"/>
        <w:jc w:val="both"/>
      </w:pPr>
      <w:r>
        <w:rPr>
          <w:color w:val="000000"/>
          <w:spacing w:val="0"/>
          <w:w w:val="100"/>
          <w:position w:val="0"/>
        </w:rPr>
        <w:t>公司与分服运营商签订合作运营网络游戏协议，由于公司需后续不断提供服务，将一次性收取的 版权金予以递延并列为其他流动负债项下的递延收益，分别于协议约定的受益期间内对其按直线法摊 销确认营业收入。</w:t>
      </w:r>
    </w:p>
    <w:p>
      <w:pPr>
        <w:pStyle w:val="Style49"/>
        <w:keepNext w:val="0"/>
        <w:keepLines w:val="0"/>
        <w:widowControl w:val="0"/>
        <w:numPr>
          <w:ilvl w:val="0"/>
          <w:numId w:val="25"/>
        </w:numPr>
        <w:shd w:val="clear" w:color="auto" w:fill="auto"/>
        <w:bidi w:val="0"/>
        <w:spacing w:before="0" w:after="100" w:line="312" w:lineRule="exact"/>
        <w:ind w:left="0" w:right="0" w:firstLine="460"/>
        <w:jc w:val="both"/>
      </w:pPr>
      <w:bookmarkStart w:id="857" w:name="bookmark857"/>
      <w:bookmarkEnd w:id="857"/>
      <w:r>
        <w:rPr>
          <w:color w:val="000000"/>
          <w:spacing w:val="0"/>
          <w:w w:val="100"/>
          <w:position w:val="0"/>
        </w:rPr>
        <w:t>游戏产品著作权、运营权转让收入的确认原则、方式和流程</w:t>
      </w:r>
    </w:p>
    <w:p>
      <w:pPr>
        <w:pStyle w:val="Style49"/>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公司按照合同条款将游戏产品交付对方后，由于公司不再提供与该款游戏相关的任何服务，同时 也不再享有该游戏相关的权益，于对方验收合格后一次性确认营业收入。</w:t>
      </w:r>
    </w:p>
    <w:p>
      <w:pPr>
        <w:pStyle w:val="Style49"/>
        <w:keepNext w:val="0"/>
        <w:keepLines w:val="0"/>
        <w:widowControl w:val="0"/>
        <w:numPr>
          <w:ilvl w:val="0"/>
          <w:numId w:val="25"/>
        </w:numPr>
        <w:shd w:val="clear" w:color="auto" w:fill="auto"/>
        <w:bidi w:val="0"/>
        <w:spacing w:before="0" w:after="220" w:line="312" w:lineRule="exact"/>
        <w:ind w:left="0" w:right="0" w:firstLine="0"/>
        <w:jc w:val="both"/>
      </w:pPr>
      <w:bookmarkStart w:id="858" w:name="bookmark858"/>
      <w:bookmarkEnd w:id="858"/>
      <w:r>
        <w:rPr>
          <w:color w:val="000000"/>
          <w:spacing w:val="0"/>
          <w:w w:val="100"/>
          <w:position w:val="0"/>
        </w:rPr>
        <w:t>广告代理收入确认原则和方法</w:t>
      </w:r>
    </w:p>
    <w:p>
      <w:pPr>
        <w:pStyle w:val="Style49"/>
        <w:keepNext w:val="0"/>
        <w:keepLines w:val="0"/>
        <w:widowControl w:val="0"/>
        <w:shd w:val="clear" w:color="auto" w:fill="auto"/>
        <w:bidi w:val="0"/>
        <w:spacing w:before="0" w:after="440" w:line="312" w:lineRule="exact"/>
        <w:ind w:left="0" w:right="0" w:firstLine="500"/>
        <w:jc w:val="both"/>
      </w:pPr>
      <w:r>
        <w:rPr>
          <w:color w:val="000000"/>
          <w:spacing w:val="0"/>
          <w:w w:val="100"/>
          <w:position w:val="0"/>
        </w:rPr>
        <w:t>公司在广告代理业务中的身份是代理人，公司对终端客户己完成的推广投放部分对应的金额，采 用净额法确认收入。</w:t>
      </w:r>
    </w:p>
    <w:p>
      <w:pPr>
        <w:pStyle w:val="Style49"/>
        <w:keepNext w:val="0"/>
        <w:keepLines w:val="0"/>
        <w:widowControl w:val="0"/>
        <w:shd w:val="clear" w:color="auto" w:fill="auto"/>
        <w:bidi w:val="0"/>
        <w:spacing w:before="0" w:after="0" w:line="432" w:lineRule="exact"/>
        <w:ind w:left="0" w:right="0" w:firstLine="46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）云服务收入主要包括数据中心机房出租及相关增值服务收入。</w:t>
      </w:r>
    </w:p>
    <w:p>
      <w:pPr>
        <w:pStyle w:val="Style49"/>
        <w:keepNext w:val="0"/>
        <w:keepLines w:val="0"/>
        <w:widowControl w:val="0"/>
        <w:shd w:val="clear" w:color="auto" w:fill="auto"/>
        <w:bidi w:val="0"/>
        <w:spacing w:before="0" w:after="100" w:line="432" w:lineRule="exact"/>
        <w:ind w:left="460" w:right="0" w:firstLine="40"/>
        <w:jc w:val="both"/>
      </w:pPr>
      <w:r>
        <w:rPr>
          <w:color w:val="000000"/>
          <w:spacing w:val="0"/>
          <w:w w:val="100"/>
          <w:position w:val="0"/>
        </w:rPr>
        <w:t>①机房出租收入的确认原则：相关资产已经由承租人使用，根据合同约定的方法确认租金收入。 具体的收入确认方法为：</w:t>
      </w:r>
    </w:p>
    <w:p>
      <w:pPr>
        <w:pStyle w:val="Style49"/>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合同约定收取固定租用费的，根据合同约定，按月与客户确认《数据中心月度结算表》，并根据 月度结算表开具发票，确认收入。</w:t>
      </w:r>
    </w:p>
    <w:p>
      <w:pPr>
        <w:pStyle w:val="Style49"/>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合同约定机柜租赁及带宽租赁分成的，按合同约定分成比例，同时取得由运营商确认的结算清单 时确认收入。</w:t>
      </w:r>
    </w:p>
    <w:p>
      <w:pPr>
        <w:pStyle w:val="Style49"/>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②增值服务收入</w:t>
      </w:r>
    </w:p>
    <w:p>
      <w:pPr>
        <w:pStyle w:val="Style49"/>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本公司数据中心的增值服务收入包括：数据中心运维服务收入、运维管理系统和区块链系统销售 收入、带宽及短信销售收入、设备销售收入。其中：</w:t>
      </w:r>
    </w:p>
    <w:p>
      <w:pPr>
        <w:pStyle w:val="Style49"/>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数据中心运维服务收入确认方法：根据合同约定，按月与客户确认维保清单，即在相关运维服务 已经提供，取得客户对运维服务内容的验收确认单时确认收入。</w:t>
      </w:r>
    </w:p>
    <w:p>
      <w:pPr>
        <w:pStyle w:val="Style49"/>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数据中心运维管理系统和区块链系统销售收入确认方法:合同约定的软件系统使用费用在系统验 收并移交给客户后一次性确认收入，合同约定的售后服务费则在售后服务期间分期确认收入。</w:t>
      </w:r>
    </w:p>
    <w:p>
      <w:pPr>
        <w:pStyle w:val="Style49"/>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 xml:space="preserve">带宽业务销售收入确认方法：带宽流量已经由客户消耗及使用，根据带宽流量监控系统记录的数 </w:t>
      </w:r>
      <w:r>
        <w:rPr>
          <w:color w:val="000000"/>
          <w:spacing w:val="0"/>
          <w:w w:val="100"/>
          <w:position w:val="0"/>
        </w:rPr>
        <w:t>据，按月与客户确认当月带宽流量，以双方《对账单》上双方认可的结果确认收入。</w:t>
      </w:r>
    </w:p>
    <w:p>
      <w:pPr>
        <w:pStyle w:val="Style49"/>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设备销售收入确认方法：在设备交付客户并完成验收后确认收入。</w:t>
      </w:r>
    </w:p>
    <w:p>
      <w:pPr>
        <w:pStyle w:val="Style49"/>
        <w:keepNext w:val="0"/>
        <w:keepLines w:val="0"/>
        <w:widowControl w:val="0"/>
        <w:shd w:val="clear" w:color="auto" w:fill="auto"/>
        <w:bidi w:val="0"/>
        <w:spacing w:before="0" w:after="1160" w:line="317" w:lineRule="exact"/>
        <w:ind w:left="0" w:right="0" w:firstLine="520"/>
        <w:jc w:val="both"/>
      </w:pPr>
      <w:r>
        <w:rPr>
          <w:color w:val="000000"/>
          <w:spacing w:val="0"/>
          <w:w w:val="100"/>
          <w:position w:val="0"/>
        </w:rPr>
        <w:t>短信业务销售收入确认方法：公司在短信业务中的身份是代理人，公司按月与客户确认当月短信 发送数量，采用净额法确认收入。</w:t>
      </w:r>
    </w:p>
    <w:p>
      <w:pPr>
        <w:pStyle w:val="Style31"/>
        <w:keepNext/>
        <w:keepLines/>
        <w:widowControl w:val="0"/>
        <w:shd w:val="clear" w:color="auto" w:fill="auto"/>
        <w:bidi w:val="0"/>
        <w:spacing w:before="0" w:after="300" w:line="312"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859"/>
      <w:bookmarkEnd w:id="860"/>
      <w:bookmarkEnd w:id="862"/>
    </w:p>
    <w:p>
      <w:pPr>
        <w:pStyle w:val="Style49"/>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本公司的政府补助包括发展专项资金、国家高新技术企业培育资助等。其中，与资产相关的政府 补助，是指本公司取得的、用于购建或以其他方式形成长期资产的政府补助；与收益相关的政府补助， 是指除与资产相关的政府补助之外的政府补助。如果政府文件中未明确规定补助对象，本公司按照上 述区分原则进行判断，难以区分的，整体归类为与收益相关的政府补助。</w:t>
      </w:r>
    </w:p>
    <w:p>
      <w:pPr>
        <w:pStyle w:val="Style49"/>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49"/>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与资产相关的政府补助确认为递延收益，确认为递延收益的与资产相关的政府补助，在相关资产 使用寿命内平均分配计入当期损益。</w:t>
      </w:r>
    </w:p>
    <w:p>
      <w:pPr>
        <w:pStyle w:val="Style49"/>
        <w:keepNext w:val="0"/>
        <w:keepLines w:val="0"/>
        <w:widowControl w:val="0"/>
        <w:shd w:val="clear" w:color="auto" w:fill="auto"/>
        <w:bidi w:val="0"/>
        <w:spacing w:before="0" w:after="100" w:line="307" w:lineRule="exact"/>
        <w:ind w:left="0" w:right="0" w:firstLine="520"/>
        <w:jc w:val="both"/>
      </w:pPr>
      <w:r>
        <w:rPr>
          <w:color w:val="000000"/>
          <w:spacing w:val="0"/>
          <w:w w:val="100"/>
          <w:position w:val="0"/>
        </w:rPr>
        <w:t>相关资产在使用寿命结束前被出售、转让、报废或发生毁损的，将尚未分配的相关递延收益余额 转入资产处置当期的损益。</w:t>
      </w:r>
    </w:p>
    <w:p>
      <w:pPr>
        <w:pStyle w:val="Style49"/>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其他收益或冲减相关成本费用。与日常活动无关的政府补助，计入营业外收支。</w:t>
      </w:r>
    </w:p>
    <w:p>
      <w:pPr>
        <w:pStyle w:val="Style49"/>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本公司已确认的政府补助需要退回的，在需要退回的当期分情况按照以下规定进行会计处理：</w:t>
      </w:r>
    </w:p>
    <w:p>
      <w:pPr>
        <w:pStyle w:val="Style49"/>
        <w:keepNext w:val="0"/>
        <w:keepLines w:val="0"/>
        <w:widowControl w:val="0"/>
        <w:shd w:val="clear" w:color="auto" w:fill="auto"/>
        <w:tabs>
          <w:tab w:pos="898" w:val="left"/>
        </w:tabs>
        <w:bidi w:val="0"/>
        <w:spacing w:before="0" w:after="100" w:line="312" w:lineRule="exact"/>
        <w:ind w:left="0" w:right="0" w:firstLine="520"/>
        <w:jc w:val="left"/>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w:t>
        <w:tab/>
        <w:t>初始确认时冲减相关资产账面价值的，调整资产账面价值。</w:t>
      </w:r>
    </w:p>
    <w:p>
      <w:pPr>
        <w:pStyle w:val="Style49"/>
        <w:keepNext w:val="0"/>
        <w:keepLines w:val="0"/>
        <w:widowControl w:val="0"/>
        <w:shd w:val="clear" w:color="auto" w:fill="auto"/>
        <w:bidi w:val="0"/>
        <w:spacing w:before="0" w:after="100" w:line="312" w:lineRule="exact"/>
        <w:ind w:left="0" w:right="0" w:firstLine="520"/>
        <w:jc w:val="left"/>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 存在相关递延收益的，冲减相关递延收益账面余额，超出部分计入当期损益。</w:t>
      </w:r>
    </w:p>
    <w:p>
      <w:pPr>
        <w:pStyle w:val="Style49"/>
        <w:keepNext w:val="0"/>
        <w:keepLines w:val="0"/>
        <w:widowControl w:val="0"/>
        <w:shd w:val="clear" w:color="auto" w:fill="auto"/>
        <w:tabs>
          <w:tab w:pos="922" w:val="left"/>
        </w:tabs>
        <w:bidi w:val="0"/>
        <w:spacing w:before="0" w:after="580" w:line="312" w:lineRule="exact"/>
        <w:ind w:left="0" w:right="0" w:firstLine="520"/>
        <w:jc w:val="both"/>
      </w:pPr>
      <w:bookmarkStart w:id="865" w:name="bookmark865"/>
      <w:r>
        <w:rPr>
          <w:rFonts w:ascii="Times New Roman" w:eastAsia="Times New Roman" w:hAnsi="Times New Roman" w:cs="Times New Roman"/>
          <w:color w:val="000000"/>
          <w:spacing w:val="0"/>
          <w:w w:val="100"/>
          <w:position w:val="0"/>
        </w:rPr>
        <w:t>3</w:t>
      </w:r>
      <w:bookmarkEnd w:id="865"/>
      <w:r>
        <w:rPr>
          <w:color w:val="000000"/>
          <w:spacing w:val="0"/>
          <w:w w:val="100"/>
          <w:position w:val="0"/>
        </w:rPr>
        <w:t>）</w:t>
        <w:tab/>
        <w:t>属于其他情况的，直接计入当期损益。</w:t>
      </w:r>
    </w:p>
    <w:p>
      <w:pPr>
        <w:pStyle w:val="Style31"/>
        <w:keepNext/>
        <w:keepLines/>
        <w:widowControl w:val="0"/>
        <w:shd w:val="clear" w:color="auto" w:fill="auto"/>
        <w:bidi w:val="0"/>
        <w:spacing w:before="0" w:after="300" w:line="313"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6"/>
      <w:bookmarkEnd w:id="867"/>
      <w:bookmarkEnd w:id="869"/>
    </w:p>
    <w:p>
      <w:pPr>
        <w:pStyle w:val="Style49"/>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 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 确认形成的暂时性差异，不确认相应的递延所得税资产和递延所得税负债。于资产负债表日，递延所 得税资产和递延所得税负债，按照预期收回该资产或清偿该负债期间的适用税率计量。</w:t>
      </w:r>
    </w:p>
    <w:p>
      <w:pPr>
        <w:pStyle w:val="Style49"/>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本公司以很可能取得用来抵扣可抵扣暂时性差异、可抵扣亏损和税款抵减的未来应纳税所得额为</w:t>
      </w:r>
    </w:p>
    <w:p>
      <w:pPr>
        <w:pStyle w:val="Style49"/>
        <w:keepNext w:val="0"/>
        <w:keepLines w:val="0"/>
        <w:widowControl w:val="0"/>
        <w:shd w:val="clear" w:color="auto" w:fill="auto"/>
        <w:bidi w:val="0"/>
        <w:spacing w:before="0" w:after="600" w:line="240" w:lineRule="auto"/>
        <w:ind w:left="0" w:right="0" w:firstLine="0"/>
        <w:jc w:val="both"/>
      </w:pPr>
      <w:r>
        <w:rPr>
          <w:color w:val="000000"/>
          <w:spacing w:val="0"/>
          <w:w w:val="100"/>
          <w:position w:val="0"/>
        </w:rPr>
        <w:t>限，确认递延所得税资产。</w:t>
      </w:r>
    </w:p>
    <w:p>
      <w:pPr>
        <w:pStyle w:val="Style31"/>
        <w:keepNext/>
        <w:keepLines/>
        <w:widowControl w:val="0"/>
        <w:shd w:val="clear" w:color="auto" w:fill="auto"/>
        <w:tabs>
          <w:tab w:pos="483" w:val="left"/>
        </w:tabs>
        <w:bidi w:val="0"/>
        <w:spacing w:before="0" w:after="300" w:line="307" w:lineRule="exact"/>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870"/>
      <w:bookmarkEnd w:id="871"/>
      <w:bookmarkEnd w:id="873"/>
    </w:p>
    <w:p>
      <w:pPr>
        <w:pStyle w:val="Style37"/>
        <w:keepNext/>
        <w:keepLines/>
        <w:widowControl w:val="0"/>
        <w:shd w:val="clear" w:color="auto" w:fill="auto"/>
        <w:bidi w:val="0"/>
        <w:spacing w:before="0" w:after="300" w:line="307" w:lineRule="exact"/>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4"/>
      <w:bookmarkEnd w:id="875"/>
      <w:bookmarkEnd w:id="877"/>
    </w:p>
    <w:p>
      <w:pPr>
        <w:pStyle w:val="Style49"/>
        <w:keepNext w:val="0"/>
        <w:keepLines w:val="0"/>
        <w:widowControl w:val="0"/>
        <w:shd w:val="clear" w:color="auto" w:fill="auto"/>
        <w:bidi w:val="0"/>
        <w:spacing w:before="0" w:after="80" w:line="307" w:lineRule="exact"/>
        <w:ind w:left="0" w:right="0" w:firstLine="460"/>
        <w:jc w:val="both"/>
      </w:pPr>
      <w:r>
        <w:rPr>
          <w:color w:val="000000"/>
          <w:spacing w:val="0"/>
          <w:w w:val="100"/>
          <w:position w:val="0"/>
        </w:rPr>
        <w:t>本公司的租赁业务包括经营租赁租入房屋建筑物。</w:t>
      </w:r>
    </w:p>
    <w:p>
      <w:pPr>
        <w:pStyle w:val="Style49"/>
        <w:keepNext w:val="0"/>
        <w:keepLines w:val="0"/>
        <w:widowControl w:val="0"/>
        <w:shd w:val="clear" w:color="auto" w:fill="auto"/>
        <w:bidi w:val="0"/>
        <w:spacing w:before="0" w:after="600" w:line="307" w:lineRule="exact"/>
        <w:ind w:left="0" w:right="0" w:firstLine="500"/>
        <w:jc w:val="both"/>
      </w:pPr>
      <w:r>
        <w:rPr>
          <w:color w:val="000000"/>
          <w:spacing w:val="0"/>
          <w:w w:val="100"/>
          <w:position w:val="0"/>
        </w:rPr>
        <w:t>本公司作为经营租赁承租方的租金在租赁期内的各个期间按直线法计入相关资产成本或当期损 益。</w:t>
      </w:r>
    </w:p>
    <w:p>
      <w:pPr>
        <w:pStyle w:val="Style31"/>
        <w:keepNext/>
        <w:keepLines/>
        <w:widowControl w:val="0"/>
        <w:shd w:val="clear" w:color="auto" w:fill="auto"/>
        <w:tabs>
          <w:tab w:pos="483" w:val="left"/>
        </w:tabs>
        <w:bidi w:val="0"/>
        <w:spacing w:before="0" w:after="300" w:line="307" w:lineRule="exact"/>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878"/>
      <w:bookmarkEnd w:id="879"/>
      <w:bookmarkEnd w:id="881"/>
    </w:p>
    <w:p>
      <w:pPr>
        <w:pStyle w:val="Style37"/>
        <w:keepNext/>
        <w:keepLines/>
        <w:widowControl w:val="0"/>
        <w:shd w:val="clear" w:color="auto" w:fill="auto"/>
        <w:bidi w:val="0"/>
        <w:spacing w:before="0" w:after="360" w:line="307" w:lineRule="exact"/>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82"/>
      <w:bookmarkEnd w:id="883"/>
      <w:bookmarkEnd w:id="88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日财政部发布了《企业会 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w:t>
            </w:r>
            <w:r>
              <w:rPr>
                <w:color w:val="000000"/>
                <w:spacing w:val="0"/>
                <w:w w:val="100"/>
                <w:position w:val="0"/>
                <w:sz w:val="18"/>
                <w:szCs w:val="18"/>
              </w:rPr>
              <w:t>2017</w:t>
            </w:r>
            <w:r>
              <w:rPr>
                <w:rFonts w:ascii="SimSun" w:eastAsia="SimSun" w:hAnsi="SimSun" w:cs="SimSun"/>
                <w:color w:val="000000"/>
                <w:spacing w:val="0"/>
                <w:w w:val="100"/>
                <w:position w:val="0"/>
                <w:sz w:val="17"/>
                <w:szCs w:val="17"/>
              </w:rPr>
              <w:t>修订）（财 会</w:t>
            </w:r>
            <w:r>
              <w:rPr>
                <w:color w:val="000000"/>
                <w:spacing w:val="0"/>
                <w:w w:val="100"/>
                <w:position w:val="0"/>
                <w:sz w:val="18"/>
                <w:szCs w:val="18"/>
              </w:rPr>
              <w:t>[2017]22</w:t>
            </w:r>
            <w:r>
              <w:rPr>
                <w:rFonts w:ascii="SimSun" w:eastAsia="SimSun" w:hAnsi="SimSun" w:cs="SimSun"/>
                <w:color w:val="000000"/>
                <w:spacing w:val="0"/>
                <w:w w:val="100"/>
                <w:position w:val="0"/>
                <w:sz w:val="17"/>
                <w:szCs w:val="17"/>
              </w:rPr>
              <w:t xml:space="preserve">号），要求境内上市企业自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日起执行相关规定。本公 司按前述文件规定的起始日开始执行。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日召开第四届董 事会第三十六次会议及第四届监事会第 二十五次会议审议通过。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说明</w:t>
            </w:r>
            <w:r>
              <w:rPr>
                <w:color w:val="000000"/>
                <w:spacing w:val="0"/>
                <w:w w:val="100"/>
                <w:position w:val="0"/>
              </w:rPr>
              <w:t>1</w:t>
            </w:r>
          </w:p>
        </w:tc>
      </w:tr>
    </w:tbl>
    <w:p>
      <w:pPr>
        <w:widowControl w:val="0"/>
        <w:spacing w:after="79" w:line="1" w:lineRule="exact"/>
      </w:pPr>
    </w:p>
    <w:p>
      <w:pPr>
        <w:pStyle w:val="Style49"/>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日起执行新收入准则。本公司详细的收入确认和计量的会计政策参见附注 五、</w:t>
      </w:r>
      <w:r>
        <w:rPr>
          <w:rFonts w:ascii="Times New Roman" w:eastAsia="Times New Roman" w:hAnsi="Times New Roman" w:cs="Times New Roman"/>
          <w:color w:val="000000"/>
          <w:spacing w:val="0"/>
          <w:w w:val="100"/>
          <w:position w:val="0"/>
        </w:rPr>
        <w:t>26</w:t>
      </w:r>
      <w:r>
        <w:rPr>
          <w:color w:val="000000"/>
          <w:spacing w:val="0"/>
          <w:w w:val="100"/>
          <w:position w:val="0"/>
        </w:rPr>
        <w:t>。新收入准则要求执行该准则的累积影响数调整首次执行当年年初（即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 益及财务报表其他相关项目金额，对可比期间信息不予调整。</w:t>
      </w:r>
    </w:p>
    <w:p>
      <w:pPr>
        <w:pStyle w:val="Style37"/>
        <w:keepNext/>
        <w:keepLines/>
        <w:widowControl w:val="0"/>
        <w:shd w:val="clear" w:color="auto" w:fill="auto"/>
        <w:tabs>
          <w:tab w:pos="493" w:val="left"/>
        </w:tabs>
        <w:bidi w:val="0"/>
        <w:spacing w:before="0" w:after="360" w:line="240" w:lineRule="auto"/>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86"/>
      <w:bookmarkEnd w:id="887"/>
      <w:bookmarkEnd w:id="889"/>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60" w:line="240" w:lineRule="auto"/>
        <w:ind w:left="0" w:right="0" w:firstLine="0"/>
        <w:jc w:val="both"/>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890"/>
      <w:bookmarkEnd w:id="891"/>
      <w:bookmarkEnd w:id="893"/>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270,570,112.20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270,570,112.20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205,710,510.33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205,710,510.33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132,633,692.77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132,633,692.77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27,838,293.45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27,838,293.45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33,200,902.97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33,200,902.97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669,953,511.72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669,953,511.72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45,978,483.29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45,978,483.29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304,430,155.65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304,430,155.65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168,312,258.65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168,312,258.65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110,697,164.66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110,697,164.66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12,042,098.93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12,042,098.93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24,495,420.08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24,495,420.08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22,671,069.00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22,671,069.00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28,529,634.59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28,529,634.59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38,689,353.86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38,689,353.86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768,395,638.71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768,395,638.71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215,887,305.31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215,887,305.31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155,851,627.92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155,851,627.92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7,195,026.32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-7,195,026.32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6,957,141.53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6,957,141.53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4,028,354.36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4,028,354.36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39,350,530.02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39,350,530.02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129,047,631.03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129,047,631.03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237,884.79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551,360,474.96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551,360,474.96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17,946,273.70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17,946,273.70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44,943,607.71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44,943,607.71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596,304,082.67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596,304,082.67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263,269,300.00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263,269,300.00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388,819,327.17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388,819,327.17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13,785,726.00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-38,936,290.90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-38,936,290.90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834,144,421.73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834,144,421.73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7,900,646.03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7,900,646.03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842,045,067.76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842,045,067.76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21,260,957.48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21,260,957.48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53,001,855.39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53,001,855.39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13,881,291.78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13,881,291.78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408,826,499.65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408,826,499.65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7,944,210.10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7,944,210.10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504,914,814.40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504,914,814.40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531,443,112.97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531,443,112.97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238,889,682.42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238,889,682.42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12,098,191.07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12,098,191.07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3,138,068.55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3,138,068.55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11,758,523.70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11,758,523.70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23,391,724.40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23,391,724.40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2,797,967.73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823,517,270.84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823,517,270.84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116,748,658.96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116,748,658.96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1,130,728.51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1,130,728.51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2,498,666.48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-2,498,666.48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2,498,666.48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2,498,666.48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1,279,011.06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1,279,011.06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11,090,793.19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11,090,793.19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319,452,972.48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319,452,972.48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452,200,830.68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452,200,830.68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17,946,273.70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17,946,273.70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26,997,334.01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44,943,607.71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44,943,607.71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497,144,438.39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497,144,438.39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263,269,300.00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263,269,300.00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311,645,492.69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311,645,492.69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13,785,726.00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13,785,726.00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-10,583,864.28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-10,583,864.28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55,838,543.29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224,903,901.15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224,903,901.15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831,287,646.85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831,287,646.85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1,328,432,085.24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219" w:line="1" w:lineRule="exact"/>
      </w:pPr>
    </w:p>
    <w:p>
      <w:pPr>
        <w:pStyle w:val="Style22"/>
        <w:keepNext/>
        <w:keepLines/>
        <w:widowControl w:val="0"/>
        <w:shd w:val="clear" w:color="auto" w:fill="auto"/>
        <w:bidi w:val="0"/>
        <w:spacing w:before="0" w:after="34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sz w:val="24"/>
          <w:szCs w:val="24"/>
        </w:rPr>
        <w:t>六</w:t>
      </w:r>
      <w:bookmarkEnd w:id="896"/>
      <w:r>
        <w:rPr>
          <w:color w:val="000000"/>
          <w:spacing w:val="0"/>
          <w:w w:val="100"/>
          <w:position w:val="0"/>
          <w:sz w:val="24"/>
          <w:szCs w:val="24"/>
        </w:rPr>
        <w:t>、税项</w:t>
      </w:r>
      <w:bookmarkEnd w:id="894"/>
      <w:bookmarkEnd w:id="895"/>
      <w:bookmarkEnd w:id="897"/>
    </w:p>
    <w:p>
      <w:pPr>
        <w:pStyle w:val="Style31"/>
        <w:keepNext/>
        <w:keepLines/>
        <w:widowControl w:val="0"/>
        <w:shd w:val="clear" w:color="auto" w:fill="auto"/>
        <w:bidi w:val="0"/>
        <w:spacing w:before="0" w:after="340" w:line="240" w:lineRule="auto"/>
        <w:ind w:left="0" w:right="0" w:firstLine="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98"/>
      <w:bookmarkEnd w:id="899"/>
      <w:bookmarkEnd w:id="90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经营自用的房屋，按照房产原值的</w:t>
            </w:r>
            <w:r>
              <w:rPr>
                <w:color w:val="000000"/>
                <w:spacing w:val="0"/>
                <w:w w:val="100"/>
                <w:position w:val="0"/>
                <w:sz w:val="18"/>
                <w:szCs w:val="18"/>
              </w:rPr>
              <w:t xml:space="preserve">70% </w:t>
            </w:r>
            <w:r>
              <w:rPr>
                <w:rFonts w:ascii="SimSun" w:eastAsia="SimSun" w:hAnsi="SimSun" w:cs="SimSun"/>
                <w:color w:val="000000"/>
                <w:spacing w:val="0"/>
                <w:w w:val="100"/>
                <w:position w:val="0"/>
                <w:sz w:val="17"/>
                <w:szCs w:val="17"/>
              </w:rPr>
              <w:t>为纳税基准，税率为</w:t>
            </w:r>
            <w:r>
              <w:rPr>
                <w:color w:val="000000"/>
                <w:spacing w:val="0"/>
                <w:w w:val="100"/>
                <w:position w:val="0"/>
                <w:sz w:val="18"/>
                <w:szCs w:val="18"/>
              </w:rPr>
              <w:t>1.2%</w:t>
            </w:r>
            <w:r>
              <w:rPr>
                <w:rFonts w:ascii="SimSun" w:eastAsia="SimSun" w:hAnsi="SimSun" w:cs="SimSun"/>
                <w:color w:val="000000"/>
                <w:spacing w:val="0"/>
                <w:w w:val="100"/>
                <w:position w:val="0"/>
                <w:sz w:val="17"/>
                <w:szCs w:val="17"/>
              </w:rPr>
              <w:t>；出租的房屋， 以租金收入为计税依据，税率</w:t>
            </w:r>
            <w:r>
              <w:rPr>
                <w:color w:val="000000"/>
                <w:spacing w:val="0"/>
                <w:w w:val="100"/>
                <w:position w:val="0"/>
                <w:sz w:val="18"/>
                <w:szCs w:val="18"/>
              </w:rPr>
              <w:t>12%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员工个人所得税由本公司代扣代缴。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深圳老友互动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深圳宝腾大数据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深圳娱游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深圳比格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CUPLAY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美国中青宝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香港中青宝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259" w:line="1" w:lineRule="exact"/>
      </w:pPr>
    </w:p>
    <w:p>
      <w:pPr>
        <w:pStyle w:val="Style31"/>
        <w:keepNext/>
        <w:keepLines/>
        <w:widowControl w:val="0"/>
        <w:shd w:val="clear" w:color="auto" w:fill="auto"/>
        <w:bidi w:val="0"/>
        <w:spacing w:before="0" w:after="300" w:line="312"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color w:val="000000"/>
          <w:spacing w:val="0"/>
          <w:w w:val="100"/>
          <w:position w:val="0"/>
        </w:rPr>
        <w:t>、税收优惠</w:t>
      </w:r>
      <w:bookmarkEnd w:id="901"/>
      <w:bookmarkEnd w:id="902"/>
      <w:bookmarkEnd w:id="904"/>
    </w:p>
    <w:p>
      <w:pPr>
        <w:pStyle w:val="Style49"/>
        <w:keepNext w:val="0"/>
        <w:keepLines w:val="0"/>
        <w:widowControl w:val="0"/>
        <w:shd w:val="clear" w:color="auto" w:fill="auto"/>
        <w:tabs>
          <w:tab w:pos="786" w:val="left"/>
        </w:tabs>
        <w:bidi w:val="0"/>
        <w:spacing w:before="0" w:after="120" w:line="312" w:lineRule="exact"/>
        <w:ind w:left="0" w:right="0" w:firstLine="460"/>
        <w:jc w:val="left"/>
      </w:pPr>
      <w:bookmarkStart w:id="905" w:name="bookmark905"/>
      <w:r>
        <w:rPr>
          <w:rFonts w:ascii="Times New Roman" w:eastAsia="Times New Roman" w:hAnsi="Times New Roman" w:cs="Times New Roman"/>
          <w:color w:val="000000"/>
          <w:spacing w:val="0"/>
          <w:w w:val="100"/>
          <w:position w:val="0"/>
        </w:rPr>
        <w:t>1</w:t>
      </w:r>
      <w:bookmarkEnd w:id="905"/>
      <w:r>
        <w:rPr>
          <w:color w:val="000000"/>
          <w:spacing w:val="0"/>
          <w:w w:val="100"/>
          <w:position w:val="0"/>
        </w:rPr>
        <w:t>、</w:t>
        <w:tab/>
        <w:t>增值税</w:t>
      </w:r>
    </w:p>
    <w:p>
      <w:pPr>
        <w:pStyle w:val="Style49"/>
        <w:keepNext w:val="0"/>
        <w:keepLines w:val="0"/>
        <w:widowControl w:val="0"/>
        <w:shd w:val="clear" w:color="auto" w:fill="auto"/>
        <w:tabs>
          <w:tab w:pos="1016" w:val="left"/>
        </w:tabs>
        <w:bidi w:val="0"/>
        <w:spacing w:before="0" w:after="120" w:line="312" w:lineRule="exact"/>
        <w:ind w:left="0" w:right="0" w:firstLine="46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根椐国发【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号《国务院关于印发进一步鼓励软件产业和集成电路产业发展若干政策 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号《关于软件产品增值税政策的通知》及《深圳市软件产品增值税即征 即退管理办法》对增值税一般纳税人销售其自行开发生产的软件产品，按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 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49"/>
        <w:keepNext w:val="0"/>
        <w:keepLines w:val="0"/>
        <w:widowControl w:val="0"/>
        <w:shd w:val="clear" w:color="auto" w:fill="auto"/>
        <w:tabs>
          <w:tab w:pos="1021" w:val="left"/>
        </w:tabs>
        <w:bidi w:val="0"/>
        <w:spacing w:before="0" w:after="120" w:line="312" w:lineRule="exact"/>
        <w:ind w:left="0" w:right="0" w:firstLine="46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根据《财政部、国家税务总局关于在全国开展交通运输业和部分现代服务业营业税改征增 值税试点税收政策的通知》（财税〔</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号）及《国家税务总局关于印发</w:t>
      </w:r>
      <w:r>
        <w:rPr>
          <w:color w:val="000000"/>
          <w:spacing w:val="0"/>
          <w:w w:val="100"/>
          <w:position w:val="0"/>
        </w:rPr>
        <w:t>〈</w:t>
      </w:r>
      <w:r>
        <w:rPr>
          <w:color w:val="000000"/>
          <w:spacing w:val="0"/>
          <w:w w:val="100"/>
          <w:position w:val="0"/>
        </w:rPr>
        <w:t>税收减免管理办法（实 行）</w:t>
      </w:r>
      <w:r>
        <w:rPr>
          <w:rFonts w:ascii="Times New Roman" w:eastAsia="Times New Roman" w:hAnsi="Times New Roman" w:cs="Times New Roman"/>
          <w:color w:val="000000"/>
          <w:spacing w:val="0"/>
          <w:w w:val="100"/>
          <w:position w:val="0"/>
        </w:rPr>
        <w:t>＞</w:t>
      </w:r>
      <w:r>
        <w:rPr>
          <w:color w:val="000000"/>
          <w:spacing w:val="0"/>
          <w:w w:val="100"/>
          <w:position w:val="0"/>
        </w:rPr>
        <w:t>的通知》（国税发〔</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129</w:t>
      </w:r>
      <w:r>
        <w:rPr>
          <w:color w:val="000000"/>
          <w:spacing w:val="0"/>
          <w:w w:val="100"/>
          <w:position w:val="0"/>
        </w:rPr>
        <w:t>号），技术转让、技术开发和与之相关的技术咨询、技术服务免 征增值税，已取得福田区国税局深国税福减免备【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1663</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1664</w:t>
      </w:r>
      <w:r>
        <w:rPr>
          <w:color w:val="000000"/>
          <w:spacing w:val="0"/>
          <w:w w:val="100"/>
          <w:position w:val="0"/>
        </w:rPr>
        <w:t>号、 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2070</w:t>
      </w:r>
      <w:r>
        <w:rPr>
          <w:color w:val="000000"/>
          <w:spacing w:val="0"/>
          <w:w w:val="100"/>
          <w:position w:val="0"/>
        </w:rPr>
        <w:t>号增值税税收优惠备案通知书。</w:t>
      </w:r>
    </w:p>
    <w:p>
      <w:pPr>
        <w:pStyle w:val="Style49"/>
        <w:keepNext w:val="0"/>
        <w:keepLines w:val="0"/>
        <w:widowControl w:val="0"/>
        <w:shd w:val="clear" w:color="auto" w:fill="auto"/>
        <w:tabs>
          <w:tab w:pos="1011" w:val="left"/>
        </w:tabs>
        <w:bidi w:val="0"/>
        <w:spacing w:before="0" w:after="120" w:line="322" w:lineRule="exact"/>
        <w:ind w:left="0" w:right="0" w:firstLine="46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年度取得福田区国税局深国税福减免备【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1343</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0424 </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1506</w:t>
      </w:r>
      <w:r>
        <w:rPr>
          <w:color w:val="000000"/>
          <w:spacing w:val="0"/>
          <w:w w:val="100"/>
          <w:position w:val="0"/>
        </w:rPr>
        <w:t>号的增值税税收优惠备案通知书，软件出口免税。</w:t>
      </w:r>
    </w:p>
    <w:p>
      <w:pPr>
        <w:pStyle w:val="Style49"/>
        <w:keepNext w:val="0"/>
        <w:keepLines w:val="0"/>
        <w:widowControl w:val="0"/>
        <w:numPr>
          <w:ilvl w:val="0"/>
          <w:numId w:val="33"/>
        </w:numPr>
        <w:shd w:val="clear" w:color="auto" w:fill="auto"/>
        <w:tabs>
          <w:tab w:pos="358" w:val="left"/>
        </w:tabs>
        <w:bidi w:val="0"/>
        <w:spacing w:before="0" w:after="120" w:line="312" w:lineRule="exact"/>
        <w:ind w:left="380" w:right="0" w:hanging="380"/>
        <w:jc w:val="left"/>
      </w:pPr>
      <w:bookmarkStart w:id="909" w:name="bookmark909"/>
      <w:bookmarkEnd w:id="909"/>
      <w:r>
        <w:rPr>
          <w:color w:val="000000"/>
          <w:spacing w:val="0"/>
          <w:w w:val="100"/>
          <w:position w:val="0"/>
        </w:rPr>
        <w:t>财税</w:t>
      </w:r>
      <w:r>
        <w:rPr>
          <w:rFonts w:ascii="Times New Roman" w:eastAsia="Times New Roman" w:hAnsi="Times New Roman" w:cs="Times New Roman"/>
          <w:color w:val="000000"/>
          <w:spacing w:val="0"/>
          <w:w w:val="100"/>
          <w:position w:val="0"/>
        </w:rPr>
        <w:t>[2018]32</w:t>
      </w:r>
      <w:r>
        <w:rPr>
          <w:color w:val="000000"/>
          <w:spacing w:val="0"/>
          <w:w w:val="100"/>
          <w:position w:val="0"/>
        </w:rPr>
        <w:t>号调整增值税税率：纳税人发生增值税应税销售行为或者进口货物，原适用</w:t>
      </w:r>
      <w:r>
        <w:rPr>
          <w:rFonts w:ascii="Times New Roman" w:eastAsia="Times New Roman" w:hAnsi="Times New Roman" w:cs="Times New Roman"/>
          <w:color w:val="000000"/>
          <w:spacing w:val="0"/>
          <w:w w:val="100"/>
          <w:position w:val="0"/>
        </w:rPr>
        <w:t>17%</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11%</w:t>
      </w:r>
      <w:r>
        <w:rPr>
          <w:color w:val="000000"/>
          <w:spacing w:val="0"/>
          <w:w w:val="100"/>
          <w:position w:val="0"/>
        </w:rPr>
        <w:t>税率的，税率分别调整为</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。财税</w:t>
      </w:r>
      <w:r>
        <w:rPr>
          <w:rFonts w:ascii="Times New Roman" w:eastAsia="Times New Roman" w:hAnsi="Times New Roman" w:cs="Times New Roman"/>
          <w:color w:val="000000"/>
          <w:spacing w:val="0"/>
          <w:w w:val="100"/>
          <w:position w:val="0"/>
        </w:rPr>
        <w:t>[2019]39</w:t>
      </w:r>
      <w:r>
        <w:rPr>
          <w:color w:val="000000"/>
          <w:spacing w:val="0"/>
          <w:w w:val="100"/>
          <w:position w:val="0"/>
        </w:rPr>
        <w:t>号调整增值税税率：增值税一般纳税人发 生增值税应税销售行为或者进口货物，原适用</w:t>
      </w:r>
      <w:r>
        <w:rPr>
          <w:rFonts w:ascii="Times New Roman" w:eastAsia="Times New Roman" w:hAnsi="Times New Roman" w:cs="Times New Roman"/>
          <w:color w:val="000000"/>
          <w:spacing w:val="0"/>
          <w:w w:val="100"/>
          <w:position w:val="0"/>
        </w:rPr>
        <w:t>16%</w:t>
      </w:r>
      <w:r>
        <w:rPr>
          <w:color w:val="000000"/>
          <w:spacing w:val="0"/>
          <w:w w:val="100"/>
          <w:position w:val="0"/>
        </w:rPr>
        <w:t>税率的，税率调整为</w:t>
      </w:r>
      <w:r>
        <w:rPr>
          <w:rFonts w:ascii="Times New Roman" w:eastAsia="Times New Roman" w:hAnsi="Times New Roman" w:cs="Times New Roman"/>
          <w:color w:val="000000"/>
          <w:spacing w:val="0"/>
          <w:w w:val="100"/>
          <w:position w:val="0"/>
        </w:rPr>
        <w:t>13%</w:t>
      </w:r>
      <w:r>
        <w:rPr>
          <w:color w:val="000000"/>
          <w:spacing w:val="0"/>
          <w:w w:val="100"/>
          <w:position w:val="0"/>
        </w:rPr>
        <w:t>；原适用</w:t>
      </w:r>
      <w:r>
        <w:rPr>
          <w:rFonts w:ascii="Times New Roman" w:eastAsia="Times New Roman" w:hAnsi="Times New Roman" w:cs="Times New Roman"/>
          <w:color w:val="000000"/>
          <w:spacing w:val="0"/>
          <w:w w:val="100"/>
          <w:position w:val="0"/>
        </w:rPr>
        <w:t>10%</w:t>
      </w:r>
      <w:r>
        <w:rPr>
          <w:color w:val="000000"/>
          <w:spacing w:val="0"/>
          <w:w w:val="100"/>
          <w:position w:val="0"/>
        </w:rPr>
        <w:t>税率的， 税率调整为</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49"/>
        <w:keepNext w:val="0"/>
        <w:keepLines w:val="0"/>
        <w:widowControl w:val="0"/>
        <w:numPr>
          <w:ilvl w:val="0"/>
          <w:numId w:val="33"/>
        </w:numPr>
        <w:shd w:val="clear" w:color="auto" w:fill="auto"/>
        <w:tabs>
          <w:tab w:pos="358" w:val="left"/>
        </w:tabs>
        <w:bidi w:val="0"/>
        <w:spacing w:before="0" w:after="120" w:line="317" w:lineRule="exact"/>
        <w:ind w:left="380" w:right="0" w:hanging="380"/>
        <w:jc w:val="left"/>
      </w:pPr>
      <w:bookmarkStart w:id="910" w:name="bookmark910"/>
      <w:bookmarkEnd w:id="910"/>
      <w:r>
        <w:rPr>
          <w:color w:val="000000"/>
          <w:spacing w:val="0"/>
          <w:w w:val="100"/>
          <w:position w:val="0"/>
        </w:rPr>
        <w:t>财税</w:t>
      </w:r>
      <w:r>
        <w:rPr>
          <w:rFonts w:ascii="Times New Roman" w:eastAsia="Times New Roman" w:hAnsi="Times New Roman" w:cs="Times New Roman"/>
          <w:color w:val="000000"/>
          <w:spacing w:val="0"/>
          <w:w w:val="100"/>
          <w:position w:val="0"/>
        </w:rPr>
        <w:t>[2019]39</w:t>
      </w:r>
      <w:r>
        <w:rPr>
          <w:color w:val="000000"/>
          <w:spacing w:val="0"/>
          <w:w w:val="100"/>
          <w:position w:val="0"/>
        </w:rPr>
        <w:t>号公布自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允许生产、生活性服务业纳税人按照当期 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49"/>
        <w:keepNext w:val="0"/>
        <w:keepLines w:val="0"/>
        <w:widowControl w:val="0"/>
        <w:numPr>
          <w:ilvl w:val="0"/>
          <w:numId w:val="33"/>
        </w:numPr>
        <w:shd w:val="clear" w:color="auto" w:fill="auto"/>
        <w:tabs>
          <w:tab w:pos="358" w:val="left"/>
        </w:tabs>
        <w:bidi w:val="0"/>
        <w:spacing w:before="0" w:after="120" w:line="312" w:lineRule="exact"/>
        <w:ind w:left="0" w:right="0" w:firstLine="0"/>
        <w:jc w:val="left"/>
      </w:pPr>
      <w:bookmarkStart w:id="911" w:name="bookmark911"/>
      <w:bookmarkEnd w:id="911"/>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号公布对月销售额</w:t>
      </w:r>
      <w:r>
        <w:rPr>
          <w:rFonts w:ascii="Times New Roman" w:eastAsia="Times New Roman" w:hAnsi="Times New Roman" w:cs="Times New Roman"/>
          <w:color w:val="000000"/>
          <w:spacing w:val="0"/>
          <w:w w:val="100"/>
          <w:position w:val="0"/>
        </w:rPr>
        <w:t>10</w:t>
      </w:r>
      <w:r>
        <w:rPr>
          <w:color w:val="000000"/>
          <w:spacing w:val="0"/>
          <w:w w:val="100"/>
          <w:position w:val="0"/>
        </w:rPr>
        <w:t>万元以下（含本数）的增值税小规模纳税人，免征增值税。</w:t>
      </w:r>
    </w:p>
    <w:p>
      <w:pPr>
        <w:pStyle w:val="Style49"/>
        <w:keepNext w:val="0"/>
        <w:keepLines w:val="0"/>
        <w:widowControl w:val="0"/>
        <w:shd w:val="clear" w:color="auto" w:fill="auto"/>
        <w:tabs>
          <w:tab w:pos="804" w:val="left"/>
        </w:tabs>
        <w:bidi w:val="0"/>
        <w:spacing w:before="0" w:after="120" w:line="312" w:lineRule="exact"/>
        <w:ind w:left="0" w:right="0" w:firstLine="460"/>
        <w:jc w:val="left"/>
      </w:pPr>
      <w:bookmarkStart w:id="912" w:name="bookmark912"/>
      <w:r>
        <w:rPr>
          <w:rFonts w:ascii="Times New Roman" w:eastAsia="Times New Roman" w:hAnsi="Times New Roman" w:cs="Times New Roman"/>
          <w:color w:val="000000"/>
          <w:spacing w:val="0"/>
          <w:w w:val="100"/>
          <w:position w:val="0"/>
        </w:rPr>
        <w:t>2</w:t>
      </w:r>
      <w:bookmarkEnd w:id="912"/>
      <w:r>
        <w:rPr>
          <w:color w:val="000000"/>
          <w:spacing w:val="0"/>
          <w:w w:val="100"/>
          <w:position w:val="0"/>
        </w:rPr>
        <w:t>、</w:t>
        <w:tab/>
        <w:t>企业所得税</w:t>
      </w:r>
    </w:p>
    <w:p>
      <w:pPr>
        <w:pStyle w:val="Style49"/>
        <w:keepNext w:val="0"/>
        <w:keepLines w:val="0"/>
        <w:widowControl w:val="0"/>
        <w:shd w:val="clear" w:color="auto" w:fill="auto"/>
        <w:bidi w:val="0"/>
        <w:spacing w:before="0" w:after="120" w:line="314" w:lineRule="exact"/>
        <w:ind w:left="0" w:right="0" w:firstLine="46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日，本公司高新技术企业资格复审合格，取得深圳市科技创新委员会、深圳 市财政局、国家税务总局深圳市税务局联合颁发的《高新技术企业证书》，证书编号：</w:t>
      </w:r>
      <w:r>
        <w:rPr>
          <w:rFonts w:ascii="Times New Roman" w:eastAsia="Times New Roman" w:hAnsi="Times New Roman" w:cs="Times New Roman"/>
          <w:color w:val="000000"/>
          <w:spacing w:val="0"/>
          <w:w w:val="100"/>
          <w:position w:val="0"/>
        </w:rPr>
        <w:t>GR202044206408</w:t>
      </w:r>
      <w:r>
        <w:rPr>
          <w:color w:val="000000"/>
          <w:spacing w:val="0"/>
          <w:w w:val="100"/>
          <w:position w:val="0"/>
        </w:rPr>
        <w:t xml:space="preserve">, </w:t>
      </w:r>
      <w:r>
        <w:rPr>
          <w:color w:val="000000"/>
          <w:spacing w:val="0"/>
          <w:w w:val="100"/>
          <w:position w:val="0"/>
        </w:rPr>
        <w:t>企业所得税税率自</w:t>
      </w:r>
      <w:r>
        <w:rPr>
          <w:rFonts w:ascii="Times New Roman" w:eastAsia="Times New Roman" w:hAnsi="Times New Roman" w:cs="Times New Roman"/>
          <w:color w:val="000000"/>
          <w:spacing w:val="0"/>
          <w:w w:val="100"/>
          <w:position w:val="0"/>
        </w:rPr>
        <w:t>2020</w:t>
      </w:r>
      <w:r>
        <w:rPr>
          <w:color w:val="000000"/>
          <w:spacing w:val="0"/>
          <w:w w:val="100"/>
          <w:position w:val="0"/>
        </w:rPr>
        <w:t>年起（包括</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w:t>
      </w:r>
    </w:p>
    <w:p>
      <w:pPr>
        <w:pStyle w:val="Style49"/>
        <w:keepNext w:val="0"/>
        <w:keepLines w:val="0"/>
        <w:widowControl w:val="0"/>
        <w:shd w:val="clear" w:color="auto" w:fill="auto"/>
        <w:tabs>
          <w:tab w:pos="1015" w:val="left"/>
        </w:tabs>
        <w:bidi w:val="0"/>
        <w:spacing w:before="0" w:after="100" w:line="312" w:lineRule="exact"/>
        <w:ind w:left="0" w:right="0" w:firstLine="46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日，控股子公司深圳老友互动获取深圳市科技创新委员会、深圳市财政委员会、 国家税务总局深圳市税务局联合颁发的《高新技术企业资格证书》，证书编号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GR201844203500</w:t>
      </w:r>
      <w:r>
        <w:rPr>
          <w:color w:val="000000"/>
          <w:spacing w:val="0"/>
          <w:w w:val="100"/>
          <w:position w:val="0"/>
        </w:rPr>
        <w:t>，</w:t>
      </w:r>
      <w:r>
        <w:rPr>
          <w:color w:val="000000"/>
          <w:spacing w:val="0"/>
          <w:w w:val="100"/>
          <w:position w:val="0"/>
        </w:rPr>
        <w:t>企业 所得税税率自</w:t>
      </w:r>
      <w:r>
        <w:rPr>
          <w:rFonts w:ascii="Times New Roman" w:eastAsia="Times New Roman" w:hAnsi="Times New Roman" w:cs="Times New Roman"/>
          <w:color w:val="000000"/>
          <w:spacing w:val="0"/>
          <w:w w:val="100"/>
          <w:position w:val="0"/>
        </w:rPr>
        <w:t>2018</w:t>
      </w:r>
      <w:r>
        <w:rPr>
          <w:color w:val="000000"/>
          <w:spacing w:val="0"/>
          <w:w w:val="100"/>
          <w:position w:val="0"/>
        </w:rPr>
        <w:t>年起（包括</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的政策优惠。</w:t>
      </w:r>
    </w:p>
    <w:p>
      <w:pPr>
        <w:pStyle w:val="Style49"/>
        <w:keepNext w:val="0"/>
        <w:keepLines w:val="0"/>
        <w:widowControl w:val="0"/>
        <w:shd w:val="clear" w:color="auto" w:fill="auto"/>
        <w:tabs>
          <w:tab w:pos="1020" w:val="left"/>
        </w:tabs>
        <w:bidi w:val="0"/>
        <w:spacing w:before="0" w:after="100" w:line="312" w:lineRule="exact"/>
        <w:ind w:left="0" w:right="0" w:firstLine="46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全资子公司深圳宝腾互联于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日获得高新技术企业资格，取得深圳市科技创新 委员会、深圳市财政局、国家税务总局深圳税务局联合颁发的《高新技术企业证书》，证书编号： </w:t>
      </w:r>
      <w:r>
        <w:rPr>
          <w:rFonts w:ascii="Times New Roman" w:eastAsia="Times New Roman" w:hAnsi="Times New Roman" w:cs="Times New Roman"/>
          <w:color w:val="000000"/>
          <w:spacing w:val="0"/>
          <w:w w:val="100"/>
          <w:position w:val="0"/>
        </w:rPr>
        <w:t>GR202044201016</w:t>
      </w:r>
      <w:r>
        <w:rPr>
          <w:color w:val="000000"/>
          <w:spacing w:val="0"/>
          <w:w w:val="100"/>
          <w:position w:val="0"/>
        </w:rPr>
        <w:t>，企业所得税税率自</w:t>
      </w:r>
      <w:r>
        <w:rPr>
          <w:rFonts w:ascii="Times New Roman" w:eastAsia="Times New Roman" w:hAnsi="Times New Roman" w:cs="Times New Roman"/>
          <w:color w:val="000000"/>
          <w:spacing w:val="0"/>
          <w:w w:val="100"/>
          <w:position w:val="0"/>
        </w:rPr>
        <w:t>2020</w:t>
      </w:r>
      <w:r>
        <w:rPr>
          <w:color w:val="000000"/>
          <w:spacing w:val="0"/>
          <w:w w:val="100"/>
          <w:position w:val="0"/>
        </w:rPr>
        <w:t>年起（包括</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w:t>
      </w:r>
    </w:p>
    <w:p>
      <w:pPr>
        <w:pStyle w:val="Style49"/>
        <w:keepNext w:val="0"/>
        <w:keepLines w:val="0"/>
        <w:widowControl w:val="0"/>
        <w:shd w:val="clear" w:color="auto" w:fill="auto"/>
        <w:tabs>
          <w:tab w:pos="1015" w:val="left"/>
        </w:tabs>
        <w:bidi w:val="0"/>
        <w:spacing w:before="0" w:after="100" w:line="314" w:lineRule="exact"/>
        <w:ind w:left="0" w:right="0" w:firstLine="46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4</w:t>
      </w:r>
      <w:r>
        <w:rPr>
          <w:color w:val="000000"/>
          <w:spacing w:val="0"/>
          <w:w w:val="100"/>
          <w:position w:val="0"/>
        </w:rPr>
        <w:t>）</w:t>
        <w:tab/>
        <w:t>全资孙公司深圳宝腾大数据于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日成立，属于信息传输、软件和信息技术服务业, 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号为支持集成电路设计和软件产业发展，依法成立且符合条件的 集成电路设计企业和软件企业，在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 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w:t>
      </w:r>
    </w:p>
    <w:p>
      <w:pPr>
        <w:pStyle w:val="Style49"/>
        <w:keepNext w:val="0"/>
        <w:keepLines w:val="0"/>
        <w:widowControl w:val="0"/>
        <w:shd w:val="clear" w:color="auto" w:fill="auto"/>
        <w:bidi w:val="0"/>
        <w:spacing w:before="0" w:after="100" w:line="314" w:lineRule="exact"/>
        <w:ind w:left="0" w:right="0" w:firstLine="46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5</w:t>
      </w:r>
      <w:r>
        <w:rPr>
          <w:color w:val="000000"/>
          <w:spacing w:val="0"/>
          <w:w w:val="100"/>
          <w:position w:val="0"/>
        </w:rPr>
        <w:t>） 间接控股孙公司深圳娱游于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日成立，属于软件和信息技术服务业，根据财政部 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号为支持集成电路设计和软件产业发展，依法成立且符合条件的集成电路设 计企业和软件企业，在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 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w:t>
      </w:r>
    </w:p>
    <w:p>
      <w:pPr>
        <w:pStyle w:val="Style49"/>
        <w:keepNext w:val="0"/>
        <w:keepLines w:val="0"/>
        <w:widowControl w:val="0"/>
        <w:shd w:val="clear" w:color="auto" w:fill="auto"/>
        <w:tabs>
          <w:tab w:pos="1015" w:val="left"/>
        </w:tabs>
        <w:bidi w:val="0"/>
        <w:spacing w:before="0" w:after="600" w:line="316" w:lineRule="exact"/>
        <w:ind w:left="0" w:right="0" w:firstLine="46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6</w:t>
      </w:r>
      <w:r>
        <w:rPr>
          <w:color w:val="000000"/>
          <w:spacing w:val="0"/>
          <w:w w:val="100"/>
          <w:position w:val="0"/>
        </w:rPr>
        <w:t>）</w:t>
        <w:tab/>
        <w:t>全资孙公司深圳比格</w:t>
      </w:r>
      <w:r>
        <w:rPr>
          <w:color w:val="333333"/>
          <w:spacing w:val="0"/>
          <w:w w:val="100"/>
          <w:position w:val="0"/>
        </w:rPr>
        <w:t>同时符合年度应纳税所得额不超过</w:t>
      </w:r>
      <w:r>
        <w:rPr>
          <w:rFonts w:ascii="Times New Roman" w:eastAsia="Times New Roman" w:hAnsi="Times New Roman" w:cs="Times New Roman"/>
          <w:color w:val="333333"/>
          <w:spacing w:val="0"/>
          <w:w w:val="100"/>
          <w:position w:val="0"/>
        </w:rPr>
        <w:t>300</w:t>
      </w:r>
      <w:r>
        <w:rPr>
          <w:color w:val="333333"/>
          <w:spacing w:val="0"/>
          <w:w w:val="100"/>
          <w:position w:val="0"/>
        </w:rPr>
        <w:t>万元、从业人数不超过</w:t>
      </w:r>
      <w:r>
        <w:rPr>
          <w:rFonts w:ascii="Times New Roman" w:eastAsia="Times New Roman" w:hAnsi="Times New Roman" w:cs="Times New Roman"/>
          <w:color w:val="333333"/>
          <w:spacing w:val="0"/>
          <w:w w:val="100"/>
          <w:position w:val="0"/>
        </w:rPr>
        <w:t>300</w:t>
      </w:r>
      <w:r>
        <w:rPr>
          <w:color w:val="333333"/>
          <w:spacing w:val="0"/>
          <w:w w:val="100"/>
          <w:position w:val="0"/>
        </w:rPr>
        <w:t>人、 资产总额不超过</w:t>
      </w:r>
      <w:r>
        <w:rPr>
          <w:rFonts w:ascii="Times New Roman" w:eastAsia="Times New Roman" w:hAnsi="Times New Roman" w:cs="Times New Roman"/>
          <w:color w:val="333333"/>
          <w:spacing w:val="0"/>
          <w:w w:val="100"/>
          <w:position w:val="0"/>
        </w:rPr>
        <w:t>5000</w:t>
      </w:r>
      <w:r>
        <w:rPr>
          <w:color w:val="333333"/>
          <w:spacing w:val="0"/>
          <w:w w:val="100"/>
          <w:position w:val="0"/>
        </w:rPr>
        <w:t>万元等三个条件的企业，为小型微利企业。根据</w:t>
      </w:r>
      <w:r>
        <w:rPr>
          <w:color w:val="000000"/>
          <w:spacing w:val="0"/>
          <w:w w:val="100"/>
          <w:position w:val="0"/>
        </w:rPr>
        <w:t>（</w:t>
      </w:r>
      <w:r>
        <w:rPr>
          <w:color w:val="333333"/>
          <w:spacing w:val="0"/>
          <w:w w:val="100"/>
          <w:position w:val="0"/>
        </w:rPr>
        <w:t>财税〔</w:t>
      </w:r>
      <w:r>
        <w:rPr>
          <w:rFonts w:ascii="Times New Roman" w:eastAsia="Times New Roman" w:hAnsi="Times New Roman" w:cs="Times New Roman"/>
          <w:color w:val="333333"/>
          <w:spacing w:val="0"/>
          <w:w w:val="100"/>
          <w:position w:val="0"/>
        </w:rPr>
        <w:t>2019</w:t>
      </w:r>
      <w:r>
        <w:rPr>
          <w:color w:val="333333"/>
          <w:spacing w:val="0"/>
          <w:w w:val="100"/>
          <w:position w:val="0"/>
        </w:rPr>
        <w:t>〕</w:t>
      </w:r>
      <w:r>
        <w:rPr>
          <w:rFonts w:ascii="Times New Roman" w:eastAsia="Times New Roman" w:hAnsi="Times New Roman" w:cs="Times New Roman"/>
          <w:color w:val="333333"/>
          <w:spacing w:val="0"/>
          <w:w w:val="100"/>
          <w:position w:val="0"/>
        </w:rPr>
        <w:t>13</w:t>
      </w:r>
      <w:r>
        <w:rPr>
          <w:color w:val="333333"/>
          <w:spacing w:val="0"/>
          <w:w w:val="100"/>
          <w:position w:val="0"/>
        </w:rPr>
        <w:t>号</w:t>
      </w:r>
      <w:r>
        <w:rPr>
          <w:color w:val="000000"/>
          <w:spacing w:val="0"/>
          <w:w w:val="100"/>
          <w:position w:val="0"/>
        </w:rPr>
        <w:t>），</w:t>
      </w:r>
      <w:r>
        <w:rPr>
          <w:color w:val="333333"/>
          <w:spacing w:val="0"/>
          <w:w w:val="100"/>
          <w:position w:val="0"/>
        </w:rPr>
        <w:t>对小型 微利企业年应纳税所得额不超过</w:t>
      </w:r>
      <w:r>
        <w:rPr>
          <w:rFonts w:ascii="Times New Roman" w:eastAsia="Times New Roman" w:hAnsi="Times New Roman" w:cs="Times New Roman"/>
          <w:color w:val="333333"/>
          <w:spacing w:val="0"/>
          <w:w w:val="100"/>
          <w:position w:val="0"/>
        </w:rPr>
        <w:t>100</w:t>
      </w:r>
      <w:r>
        <w:rPr>
          <w:color w:val="333333"/>
          <w:spacing w:val="0"/>
          <w:w w:val="100"/>
          <w:position w:val="0"/>
        </w:rPr>
        <w:t>万元的部分，减按</w:t>
      </w:r>
      <w:r>
        <w:rPr>
          <w:rFonts w:ascii="Times New Roman" w:eastAsia="Times New Roman" w:hAnsi="Times New Roman" w:cs="Times New Roman"/>
          <w:color w:val="333333"/>
          <w:spacing w:val="0"/>
          <w:w w:val="100"/>
          <w:position w:val="0"/>
        </w:rPr>
        <w:t>25%</w:t>
      </w:r>
      <w:r>
        <w:rPr>
          <w:color w:val="333333"/>
          <w:spacing w:val="0"/>
          <w:w w:val="100"/>
          <w:position w:val="0"/>
        </w:rPr>
        <w:t>计入应纳税所得额，按</w:t>
      </w:r>
      <w:r>
        <w:rPr>
          <w:rFonts w:ascii="Times New Roman" w:eastAsia="Times New Roman" w:hAnsi="Times New Roman" w:cs="Times New Roman"/>
          <w:color w:val="333333"/>
          <w:spacing w:val="0"/>
          <w:w w:val="100"/>
          <w:position w:val="0"/>
        </w:rPr>
        <w:t>20%</w:t>
      </w:r>
      <w:r>
        <w:rPr>
          <w:color w:val="333333"/>
          <w:spacing w:val="0"/>
          <w:w w:val="100"/>
          <w:position w:val="0"/>
        </w:rPr>
        <w:t>的税率缴纳企业 所得税；对年应纳税所得额超过</w:t>
      </w:r>
      <w:r>
        <w:rPr>
          <w:rFonts w:ascii="Times New Roman" w:eastAsia="Times New Roman" w:hAnsi="Times New Roman" w:cs="Times New Roman"/>
          <w:color w:val="333333"/>
          <w:spacing w:val="0"/>
          <w:w w:val="100"/>
          <w:position w:val="0"/>
        </w:rPr>
        <w:t>100</w:t>
      </w:r>
      <w:r>
        <w:rPr>
          <w:color w:val="333333"/>
          <w:spacing w:val="0"/>
          <w:w w:val="100"/>
          <w:position w:val="0"/>
        </w:rPr>
        <w:t>万元但不超过</w:t>
      </w:r>
      <w:r>
        <w:rPr>
          <w:rFonts w:ascii="Times New Roman" w:eastAsia="Times New Roman" w:hAnsi="Times New Roman" w:cs="Times New Roman"/>
          <w:color w:val="333333"/>
          <w:spacing w:val="0"/>
          <w:w w:val="100"/>
          <w:position w:val="0"/>
        </w:rPr>
        <w:t>300</w:t>
      </w:r>
      <w:r>
        <w:rPr>
          <w:color w:val="333333"/>
          <w:spacing w:val="0"/>
          <w:w w:val="100"/>
          <w:position w:val="0"/>
        </w:rPr>
        <w:t>万元的部分，减按</w:t>
      </w:r>
      <w:r>
        <w:rPr>
          <w:rFonts w:ascii="Times New Roman" w:eastAsia="Times New Roman" w:hAnsi="Times New Roman" w:cs="Times New Roman"/>
          <w:color w:val="333333"/>
          <w:spacing w:val="0"/>
          <w:w w:val="100"/>
          <w:position w:val="0"/>
        </w:rPr>
        <w:t>50%</w:t>
      </w:r>
      <w:r>
        <w:rPr>
          <w:color w:val="333333"/>
          <w:spacing w:val="0"/>
          <w:w w:val="100"/>
          <w:position w:val="0"/>
        </w:rPr>
        <w:t>计入应纳税所得额，按</w:t>
      </w:r>
      <w:r>
        <w:rPr>
          <w:rFonts w:ascii="Times New Roman" w:eastAsia="Times New Roman" w:hAnsi="Times New Roman" w:cs="Times New Roman"/>
          <w:color w:val="333333"/>
          <w:spacing w:val="0"/>
          <w:w w:val="100"/>
          <w:position w:val="0"/>
        </w:rPr>
        <w:t xml:space="preserve">20% </w:t>
      </w:r>
      <w:r>
        <w:rPr>
          <w:color w:val="333333"/>
          <w:spacing w:val="0"/>
          <w:w w:val="100"/>
          <w:position w:val="0"/>
        </w:rPr>
        <w:t>的税率缴纳企业所得税。</w:t>
      </w:r>
    </w:p>
    <w:p>
      <w:pPr>
        <w:pStyle w:val="Style31"/>
        <w:keepNext/>
        <w:keepLines/>
        <w:widowControl w:val="0"/>
        <w:shd w:val="clear" w:color="auto" w:fill="auto"/>
        <w:bidi w:val="0"/>
        <w:spacing w:before="0" w:after="280" w:line="322"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color w:val="000000"/>
          <w:spacing w:val="0"/>
          <w:w w:val="100"/>
          <w:position w:val="0"/>
        </w:rPr>
        <w:t>、其他</w:t>
      </w:r>
      <w:bookmarkEnd w:id="919"/>
      <w:bookmarkEnd w:id="920"/>
      <w:bookmarkEnd w:id="922"/>
    </w:p>
    <w:p>
      <w:pPr>
        <w:pStyle w:val="Style49"/>
        <w:keepNext w:val="0"/>
        <w:keepLines w:val="0"/>
        <w:widowControl w:val="0"/>
        <w:shd w:val="clear" w:color="auto" w:fill="auto"/>
        <w:tabs>
          <w:tab w:pos="775" w:val="left"/>
        </w:tabs>
        <w:bidi w:val="0"/>
        <w:spacing w:before="0" w:after="100" w:line="322" w:lineRule="exact"/>
        <w:ind w:left="0" w:right="0" w:firstLine="460"/>
        <w:jc w:val="both"/>
      </w:pPr>
      <w:bookmarkStart w:id="923" w:name="bookmark923"/>
      <w:r>
        <w:rPr>
          <w:rFonts w:ascii="Times New Roman" w:eastAsia="Times New Roman" w:hAnsi="Times New Roman" w:cs="Times New Roman"/>
          <w:color w:val="000000"/>
          <w:spacing w:val="0"/>
          <w:w w:val="100"/>
          <w:position w:val="0"/>
        </w:rPr>
        <w:t>1</w:t>
      </w:r>
      <w:bookmarkEnd w:id="923"/>
      <w:r>
        <w:rPr>
          <w:color w:val="000000"/>
          <w:spacing w:val="0"/>
          <w:w w:val="100"/>
          <w:position w:val="0"/>
        </w:rPr>
        <w:t>、</w:t>
        <w:tab/>
        <w:t>本公司全资子公司</w:t>
      </w:r>
      <w:r>
        <w:rPr>
          <w:rFonts w:ascii="Times New Roman" w:eastAsia="Times New Roman" w:hAnsi="Times New Roman" w:cs="Times New Roman"/>
          <w:color w:val="000000"/>
          <w:spacing w:val="0"/>
          <w:w w:val="100"/>
          <w:position w:val="0"/>
        </w:rPr>
        <w:t>CUPLAY</w:t>
      </w:r>
      <w:r>
        <w:rPr>
          <w:color w:val="000000"/>
          <w:spacing w:val="0"/>
          <w:w w:val="100"/>
          <w:position w:val="0"/>
        </w:rPr>
        <w:t>系在英属维尔京群岛、开曼群岛注册登记的公司，该公司无需缴 纳企业所得税。</w:t>
      </w:r>
    </w:p>
    <w:p>
      <w:pPr>
        <w:pStyle w:val="Style49"/>
        <w:keepNext w:val="0"/>
        <w:keepLines w:val="0"/>
        <w:widowControl w:val="0"/>
        <w:shd w:val="clear" w:color="auto" w:fill="auto"/>
        <w:tabs>
          <w:tab w:pos="770" w:val="left"/>
        </w:tabs>
        <w:bidi w:val="0"/>
        <w:spacing w:before="0" w:after="100" w:line="331" w:lineRule="exact"/>
        <w:ind w:left="0" w:right="0" w:firstLine="460"/>
        <w:jc w:val="both"/>
      </w:pPr>
      <w:bookmarkStart w:id="924" w:name="bookmark924"/>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本公司全资孙公司美国中青宝按照美国政府税法规定，依法缴纳州税（加利福尼亚）和联邦 企业所得税。</w:t>
      </w:r>
    </w:p>
    <w:p>
      <w:pPr>
        <w:pStyle w:val="Style49"/>
        <w:keepNext w:val="0"/>
        <w:keepLines w:val="0"/>
        <w:widowControl w:val="0"/>
        <w:shd w:val="clear" w:color="auto" w:fill="auto"/>
        <w:tabs>
          <w:tab w:pos="765" w:val="left"/>
        </w:tabs>
        <w:bidi w:val="0"/>
        <w:spacing w:before="0" w:after="680" w:line="312" w:lineRule="exact"/>
        <w:ind w:left="0" w:right="0" w:firstLine="460"/>
        <w:jc w:val="both"/>
      </w:pPr>
      <w:bookmarkStart w:id="925" w:name="bookmark925"/>
      <w:r>
        <w:rPr>
          <w:rFonts w:ascii="Times New Roman" w:eastAsia="Times New Roman" w:hAnsi="Times New Roman" w:cs="Times New Roman"/>
          <w:color w:val="000000"/>
          <w:spacing w:val="0"/>
          <w:w w:val="100"/>
          <w:position w:val="0"/>
        </w:rPr>
        <w:t>3</w:t>
      </w:r>
      <w:bookmarkEnd w:id="925"/>
      <w:r>
        <w:rPr>
          <w:color w:val="000000"/>
          <w:spacing w:val="0"/>
          <w:w w:val="100"/>
          <w:position w:val="0"/>
        </w:rPr>
        <w:t>、</w:t>
        <w:tab/>
        <w:t>本公司全资子公司香港中青宝按照利润来源地征税的原则缴纳利得税，对于来源于香港地区 的企业利得按照</w:t>
      </w:r>
      <w:r>
        <w:rPr>
          <w:rFonts w:ascii="Times New Roman" w:eastAsia="Times New Roman" w:hAnsi="Times New Roman" w:cs="Times New Roman"/>
          <w:color w:val="000000"/>
          <w:spacing w:val="0"/>
          <w:w w:val="100"/>
          <w:position w:val="0"/>
        </w:rPr>
        <w:t>16.5%</w:t>
      </w:r>
      <w:r>
        <w:rPr>
          <w:color w:val="000000"/>
          <w:spacing w:val="0"/>
          <w:w w:val="100"/>
          <w:position w:val="0"/>
        </w:rPr>
        <w:t>的税率缴纳利得税，对于来源于香港地区以外的利得则免交利得税。</w:t>
      </w:r>
    </w:p>
    <w:p>
      <w:pPr>
        <w:pStyle w:val="Style22"/>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sz w:val="24"/>
          <w:szCs w:val="24"/>
        </w:rPr>
        <w:t>七</w:t>
      </w:r>
      <w:bookmarkEnd w:id="928"/>
      <w:r>
        <w:rPr>
          <w:color w:val="000000"/>
          <w:spacing w:val="0"/>
          <w:w w:val="100"/>
          <w:position w:val="0"/>
          <w:sz w:val="24"/>
          <w:szCs w:val="24"/>
        </w:rPr>
        <w:t>、合并财务报表项目注释</w:t>
      </w:r>
      <w:bookmarkEnd w:id="926"/>
      <w:bookmarkEnd w:id="927"/>
      <w:bookmarkEnd w:id="929"/>
    </w:p>
    <w:p>
      <w:pPr>
        <w:pStyle w:val="Style31"/>
        <w:keepNext/>
        <w:keepLines/>
        <w:widowControl w:val="0"/>
        <w:shd w:val="clear" w:color="auto" w:fill="auto"/>
        <w:bidi w:val="0"/>
        <w:spacing w:before="0" w:line="240" w:lineRule="auto"/>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0"/>
      <w:bookmarkEnd w:id="931"/>
      <w:bookmarkEnd w:id="9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109,582,228.12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169,110,294.23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101,453,942.67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109,621,446.74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270,570,112.20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3,332,727.64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4,539,790.34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8,860,371.00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9"/>
        <w:keepNext w:val="0"/>
        <w:keepLines w:val="0"/>
        <w:widowControl w:val="0"/>
        <w:shd w:val="clear" w:color="auto" w:fill="auto"/>
        <w:bidi w:val="0"/>
        <w:spacing w:before="0" w:after="680" w:line="312" w:lineRule="exact"/>
        <w:ind w:left="0" w:right="0" w:firstLine="0"/>
        <w:jc w:val="both"/>
        <w:rPr>
          <w:sz w:val="17"/>
          <w:szCs w:val="17"/>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日，银行存款中共</w:t>
      </w:r>
      <w:r>
        <w:rPr>
          <w:rFonts w:ascii="Times New Roman" w:eastAsia="Times New Roman" w:hAnsi="Times New Roman" w:cs="Times New Roman"/>
          <w:color w:val="000000"/>
          <w:spacing w:val="0"/>
          <w:w w:val="100"/>
          <w:position w:val="0"/>
          <w:sz w:val="24"/>
          <w:szCs w:val="24"/>
        </w:rPr>
        <w:t>8,860,371.00</w:t>
      </w:r>
      <w:r>
        <w:rPr>
          <w:color w:val="000000"/>
          <w:spacing w:val="0"/>
          <w:w w:val="100"/>
          <w:position w:val="0"/>
          <w:sz w:val="22"/>
          <w:szCs w:val="22"/>
        </w:rPr>
        <w:t>元因账户冻结受限</w:t>
      </w:r>
      <w:r>
        <w:rPr>
          <w:color w:val="000000"/>
          <w:spacing w:val="0"/>
          <w:w w:val="100"/>
          <w:position w:val="0"/>
          <w:sz w:val="17"/>
          <w:szCs w:val="17"/>
        </w:rPr>
        <w:t>，详见十六、</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百度广告代理推广 业务。</w:t>
      </w:r>
    </w:p>
    <w:p>
      <w:pPr>
        <w:pStyle w:val="Style31"/>
        <w:keepNext/>
        <w:keepLines/>
        <w:widowControl w:val="0"/>
        <w:shd w:val="clear" w:color="auto" w:fill="auto"/>
        <w:bidi w:val="0"/>
        <w:spacing w:before="0" w:after="380" w:line="240" w:lineRule="auto"/>
        <w:ind w:left="0" w:right="0" w:firstLine="0"/>
        <w:jc w:val="both"/>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33"/>
      <w:bookmarkEnd w:id="934"/>
      <w:bookmarkEnd w:id="93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结构性存款及收益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color w:val="000000"/>
          <w:spacing w:val="0"/>
          <w:w w:val="100"/>
          <w:position w:val="0"/>
        </w:rPr>
        <w:t>、应收账款</w:t>
      </w:r>
      <w:bookmarkEnd w:id="936"/>
      <w:bookmarkEnd w:id="937"/>
      <w:bookmarkEnd w:id="939"/>
    </w:p>
    <w:p>
      <w:pPr>
        <w:pStyle w:val="Style37"/>
        <w:keepNext/>
        <w:keepLines/>
        <w:widowControl w:val="0"/>
        <w:numPr>
          <w:ilvl w:val="0"/>
          <w:numId w:val="35"/>
        </w:numPr>
        <w:shd w:val="clear" w:color="auto" w:fill="auto"/>
        <w:bidi w:val="0"/>
        <w:spacing w:before="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应收账款分类披露</w:t>
      </w:r>
      <w:bookmarkEnd w:id="940"/>
      <w:bookmarkEnd w:id="941"/>
      <w:bookmarkEnd w:id="94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单项不重大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187,740,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41,670,7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232,102,0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26,391,51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205,710,51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187,740,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41,670,7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232,102,0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26,391,51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205,710,51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232,274,7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26,564,22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205,710,51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乐视网信息技术（北京）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因乐视自身经营风险， 导致账款难以收回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187,740,201.19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41,670,776.60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187,740,201.19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41,670,776.60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left"/>
        <w:tblLayout w:type="fixed"/>
      </w:tblPr>
      <w:tblGrid>
        <w:gridCol w:w="3019"/>
        <w:gridCol w:w="1829"/>
        <w:gridCol w:w="1891"/>
        <w:gridCol w:w="1805"/>
      </w:tblGrid>
      <w:tr>
        <w:trPr>
          <w:trHeight w:val="35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名称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期末余额</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116,376,475.29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4,740,338.17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47,957,709.15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14,936,205.46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10,084,169.83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8,672,386.04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3</w:t>
            </w:r>
            <w:r>
              <w:rPr>
                <w:rFonts w:ascii="SimSun" w:eastAsia="SimSun" w:hAnsi="SimSun" w:cs="SimSun"/>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13,321,846.92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13,321,846.93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187,740,201.19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41,670,776.60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79" w:line="1" w:lineRule="exact"/>
      </w:pPr>
    </w:p>
    <w:p>
      <w:pPr>
        <w:pStyle w:val="Style24"/>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26,564,229.85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26,564,229.85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15,279,260.33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15,279,260.33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41,843,490.18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41,843,490.18</w:t>
            </w:r>
          </w:p>
        </w:tc>
      </w:tr>
    </w:tbl>
    <w:p>
      <w:pPr>
        <w:widowControl w:val="0"/>
        <w:spacing w:after="439" w:line="1" w:lineRule="exact"/>
      </w:pPr>
    </w:p>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116,376,475.29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47,957,709.15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10,084,169.83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13,494,560.50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187,912,914.77</w:t>
            </w:r>
          </w:p>
        </w:tc>
      </w:tr>
    </w:tbl>
    <w:p>
      <w:pPr>
        <w:widowControl w:val="0"/>
        <w:spacing w:after="399" w:line="1" w:lineRule="exact"/>
      </w:pPr>
    </w:p>
    <w:p>
      <w:pPr>
        <w:pStyle w:val="Style49"/>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账龄超过三年的单项金额重大的应收账款:</w:t>
      </w:r>
    </w:p>
    <w:tbl>
      <w:tblPr>
        <w:tblOverlap w:val="never"/>
        <w:jc w:val="center"/>
        <w:tblLayout w:type="fixed"/>
      </w:tblPr>
      <w:tblGrid>
        <w:gridCol w:w="1901"/>
        <w:gridCol w:w="1766"/>
        <w:gridCol w:w="2232"/>
        <w:gridCol w:w="2054"/>
        <w:gridCol w:w="1978"/>
      </w:tblGrid>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应收账款余额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b/>
                <w:bCs/>
                <w:color w:val="000000"/>
                <w:spacing w:val="0"/>
                <w:w w:val="100"/>
                <w:position w:val="0"/>
                <w:sz w:val="19"/>
                <w:szCs w:val="19"/>
              </w:rPr>
              <w:t>其中：账龄超过三年的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账龄较长原因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回收风险</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9"/>
                <w:szCs w:val="19"/>
              </w:rPr>
            </w:pPr>
            <w:r>
              <w:rPr>
                <w:rFonts w:ascii="SimSun" w:eastAsia="SimSun" w:hAnsi="SimSun" w:cs="SimSun"/>
                <w:color w:val="000000"/>
                <w:spacing w:val="0"/>
                <w:w w:val="100"/>
                <w:position w:val="0"/>
                <w:sz w:val="19"/>
                <w:szCs w:val="19"/>
              </w:rPr>
              <w:t>杭州烈焰网络技术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Arial" w:eastAsia="Arial" w:hAnsi="Arial" w:cs="Arial"/>
                <w:color w:val="000000"/>
                <w:spacing w:val="0"/>
                <w:w w:val="100"/>
                <w:position w:val="0"/>
                <w:sz w:val="17"/>
                <w:szCs w:val="17"/>
              </w:rPr>
              <w:t xml:space="preserve">6, 037, </w:t>
            </w:r>
            <w:r>
              <w:rPr>
                <w:rFonts w:ascii="Arial" w:eastAsia="Arial" w:hAnsi="Arial" w:cs="Arial"/>
                <w:color w:val="000000"/>
                <w:spacing w:val="0"/>
                <w:w w:val="100"/>
                <w:position w:val="0"/>
                <w:sz w:val="17"/>
                <w:szCs w:val="17"/>
              </w:rPr>
              <w:t xml:space="preserve">807. </w:t>
            </w:r>
            <w:r>
              <w:rPr>
                <w:rFonts w:ascii="Arial" w:eastAsia="Arial" w:hAnsi="Arial" w:cs="Arial"/>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rFonts w:ascii="Arial" w:eastAsia="Arial" w:hAnsi="Arial" w:cs="Arial"/>
                <w:color w:val="000000"/>
                <w:spacing w:val="0"/>
                <w:w w:val="100"/>
                <w:position w:val="0"/>
                <w:sz w:val="17"/>
                <w:szCs w:val="17"/>
              </w:rPr>
              <w:t xml:space="preserve">2, 544, </w:t>
            </w:r>
            <w:r>
              <w:rPr>
                <w:rFonts w:ascii="Arial" w:eastAsia="Arial" w:hAnsi="Arial" w:cs="Arial"/>
                <w:color w:val="000000"/>
                <w:spacing w:val="0"/>
                <w:w w:val="100"/>
                <w:position w:val="0"/>
                <w:sz w:val="17"/>
                <w:szCs w:val="17"/>
              </w:rPr>
              <w:t xml:space="preserve">398. </w:t>
            </w:r>
            <w:r>
              <w:rPr>
                <w:rFonts w:ascii="Arial" w:eastAsia="Arial" w:hAnsi="Arial" w:cs="Arial"/>
                <w:color w:val="000000"/>
                <w:spacing w:val="0"/>
                <w:w w:val="100"/>
                <w:position w:val="0"/>
                <w:sz w:val="17"/>
                <w:szCs w:val="17"/>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公司正在催款，尚未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己全额计提坏账准 备</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rPr>
              <w:t>Canagame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Arial" w:eastAsia="Arial" w:hAnsi="Arial" w:cs="Arial"/>
                <w:color w:val="000000"/>
                <w:spacing w:val="0"/>
                <w:w w:val="100"/>
                <w:position w:val="0"/>
                <w:sz w:val="17"/>
                <w:szCs w:val="17"/>
              </w:rPr>
              <w:t xml:space="preserve">2, 936, </w:t>
            </w:r>
            <w:r>
              <w:rPr>
                <w:rFonts w:ascii="Arial" w:eastAsia="Arial" w:hAnsi="Arial" w:cs="Arial"/>
                <w:color w:val="000000"/>
                <w:spacing w:val="0"/>
                <w:w w:val="100"/>
                <w:position w:val="0"/>
                <w:sz w:val="17"/>
                <w:szCs w:val="17"/>
              </w:rPr>
              <w:t xml:space="preserve">205. </w:t>
            </w:r>
            <w:r>
              <w:rPr>
                <w:rFonts w:ascii="Arial" w:eastAsia="Arial" w:hAnsi="Arial" w:cs="Arial"/>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rFonts w:ascii="Arial" w:eastAsia="Arial" w:hAnsi="Arial" w:cs="Arial"/>
                <w:color w:val="000000"/>
                <w:spacing w:val="0"/>
                <w:w w:val="100"/>
                <w:position w:val="0"/>
                <w:sz w:val="17"/>
                <w:szCs w:val="17"/>
              </w:rPr>
              <w:t xml:space="preserve">2,468, </w:t>
            </w:r>
            <w:r>
              <w:rPr>
                <w:rFonts w:ascii="Arial" w:eastAsia="Arial" w:hAnsi="Arial" w:cs="Arial"/>
                <w:color w:val="000000"/>
                <w:spacing w:val="0"/>
                <w:w w:val="100"/>
                <w:position w:val="0"/>
                <w:sz w:val="17"/>
                <w:szCs w:val="17"/>
              </w:rPr>
              <w:t xml:space="preserve">475. </w:t>
            </w:r>
            <w:r>
              <w:rPr>
                <w:rFonts w:ascii="Arial" w:eastAsia="Arial" w:hAnsi="Arial" w:cs="Arial"/>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公司正在催款，尚未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己全额计提坏账准 备</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40" w:right="0" w:firstLine="0"/>
              <w:jc w:val="left"/>
              <w:rPr>
                <w:sz w:val="19"/>
                <w:szCs w:val="19"/>
              </w:rPr>
            </w:pPr>
            <w:r>
              <w:rPr>
                <w:rFonts w:ascii="SimSun" w:eastAsia="SimSun" w:hAnsi="SimSun" w:cs="SimSun"/>
                <w:color w:val="000000"/>
                <w:spacing w:val="0"/>
                <w:w w:val="100"/>
                <w:position w:val="0"/>
                <w:sz w:val="19"/>
                <w:szCs w:val="19"/>
              </w:rPr>
              <w:t>郑州市星凝文化传</w:t>
            </w:r>
          </w:p>
          <w:p>
            <w:pPr>
              <w:pStyle w:val="Style2"/>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Arial" w:eastAsia="Arial" w:hAnsi="Arial" w:cs="Arial"/>
                <w:color w:val="000000"/>
                <w:spacing w:val="0"/>
                <w:w w:val="100"/>
                <w:position w:val="0"/>
                <w:sz w:val="17"/>
                <w:szCs w:val="17"/>
              </w:rPr>
              <w:t xml:space="preserve">2, 005, </w:t>
            </w:r>
            <w:r>
              <w:rPr>
                <w:rFonts w:ascii="Arial" w:eastAsia="Arial" w:hAnsi="Arial" w:cs="Arial"/>
                <w:color w:val="000000"/>
                <w:spacing w:val="0"/>
                <w:w w:val="100"/>
                <w:position w:val="0"/>
                <w:sz w:val="17"/>
                <w:szCs w:val="17"/>
              </w:rPr>
              <w:t xml:space="preserve">224. </w:t>
            </w:r>
            <w:r>
              <w:rPr>
                <w:rFonts w:ascii="Arial" w:eastAsia="Arial" w:hAnsi="Arial" w:cs="Arial"/>
                <w:color w:val="000000"/>
                <w:spacing w:val="0"/>
                <w:w w:val="100"/>
                <w:position w:val="0"/>
                <w:sz w:val="17"/>
                <w:szCs w:val="17"/>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rFonts w:ascii="Arial" w:eastAsia="Arial" w:hAnsi="Arial" w:cs="Arial"/>
                <w:color w:val="000000"/>
                <w:spacing w:val="0"/>
                <w:w w:val="100"/>
                <w:position w:val="0"/>
                <w:sz w:val="17"/>
                <w:szCs w:val="17"/>
              </w:rPr>
              <w:t xml:space="preserve">1, 943, </w:t>
            </w:r>
            <w:r>
              <w:rPr>
                <w:rFonts w:ascii="Arial" w:eastAsia="Arial" w:hAnsi="Arial" w:cs="Arial"/>
                <w:color w:val="000000"/>
                <w:spacing w:val="0"/>
                <w:w w:val="100"/>
                <w:position w:val="0"/>
                <w:sz w:val="17"/>
                <w:szCs w:val="17"/>
              </w:rPr>
              <w:t>138.48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公司正在催款，尚未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己全额计提坏账准 备</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Arial" w:eastAsia="Arial" w:hAnsi="Arial" w:cs="Arial"/>
                <w:b/>
                <w:bCs/>
                <w:color w:val="000000"/>
                <w:spacing w:val="0"/>
                <w:w w:val="100"/>
                <w:position w:val="0"/>
                <w:sz w:val="17"/>
                <w:szCs w:val="17"/>
              </w:rPr>
              <w:t>10,979,237.44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rFonts w:ascii="Arial" w:eastAsia="Arial" w:hAnsi="Arial" w:cs="Arial"/>
                <w:b/>
                <w:bCs/>
                <w:color w:val="000000"/>
                <w:spacing w:val="0"/>
                <w:w w:val="100"/>
                <w:position w:val="0"/>
                <w:sz w:val="17"/>
                <w:szCs w:val="17"/>
              </w:rPr>
              <w:t>6,956,011.81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37"/>
        <w:keepNext/>
        <w:keepLines/>
        <w:widowControl w:val="0"/>
        <w:shd w:val="clear" w:color="auto" w:fill="auto"/>
        <w:bidi w:val="0"/>
        <w:spacing w:before="0" w:after="400" w:line="240" w:lineRule="auto"/>
        <w:ind w:left="0" w:right="0" w:firstLine="140"/>
        <w:jc w:val="both"/>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44"/>
      <w:bookmarkEnd w:id="945"/>
      <w:bookmarkEnd w:id="947"/>
    </w:p>
    <w:p>
      <w:pPr>
        <w:pStyle w:val="Style24"/>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26,564,229.85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15,279,260.33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41,843,490.18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26,564,229.85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15,279,260.33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41,843,490.18</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26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48"/>
      <w:bookmarkEnd w:id="949"/>
      <w:bookmarkEnd w:id="951"/>
    </w:p>
    <w:p>
      <w:pPr>
        <w:pStyle w:val="Style24"/>
        <w:keepNext w:val="0"/>
        <w:keepLines w:val="0"/>
        <w:widowControl w:val="0"/>
        <w:shd w:val="clear" w:color="auto" w:fill="auto"/>
        <w:bidi w:val="0"/>
        <w:spacing w:before="0" w:after="360" w:line="240" w:lineRule="auto"/>
        <w:ind w:left="9060" w:right="0" w:firstLine="0"/>
        <w:jc w:val="left"/>
      </w:pPr>
      <w:r>
        <w:rPr>
          <w:color w:val="000000"/>
          <w:spacing w:val="0"/>
          <w:w w:val="100"/>
          <w:position w:val="0"/>
        </w:rPr>
        <w:t>单位：元</w:t>
      </w:r>
      <w:r>
        <w:br w:type="page"/>
      </w:r>
    </w:p>
    <w:tbl>
      <w:tblPr>
        <w:tblOverlap w:val="never"/>
        <w:jc w:val="center"/>
        <w:tblLayout w:type="fixed"/>
      </w:tblPr>
      <w:tblGrid>
        <w:gridCol w:w="1987"/>
        <w:gridCol w:w="1992"/>
        <w:gridCol w:w="1416"/>
        <w:gridCol w:w="1699"/>
        <w:gridCol w:w="21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 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上海集力文化创意有限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14,263,000.00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713,150.00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深圳市超维网络有限公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218,234.09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13,081,463.70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4,447,697.66</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深圳市圳通通信有限公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9,924,953.70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447,247.69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78,464.99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深圳优创未来信息技术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9,729,827.30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456,275.18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深圳市腾讯计算机系统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8,720,796.15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3,569.78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56,637,587.29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4</w:t>
      </w:r>
      <w:bookmarkEnd w:id="954"/>
      <w:r>
        <w:rPr>
          <w:color w:val="000000"/>
          <w:spacing w:val="0"/>
          <w:w w:val="100"/>
          <w:position w:val="0"/>
        </w:rPr>
        <w:t>、预付款项</w:t>
      </w:r>
      <w:bookmarkEnd w:id="952"/>
      <w:bookmarkEnd w:id="953"/>
      <w:bookmarkEnd w:id="955"/>
    </w:p>
    <w:p>
      <w:pPr>
        <w:pStyle w:val="Style37"/>
        <w:keepNext/>
        <w:keepLines/>
        <w:widowControl w:val="0"/>
        <w:shd w:val="clear" w:color="auto" w:fill="auto"/>
        <w:bidi w:val="0"/>
        <w:spacing w:before="0" w:after="340" w:line="240" w:lineRule="auto"/>
        <w:ind w:left="0" w:right="0" w:firstLine="0"/>
        <w:jc w:val="left"/>
      </w:pPr>
      <w:bookmarkStart w:id="956" w:name="bookmark956"/>
      <w:bookmarkStart w:id="957" w:name="bookmark957"/>
      <w:bookmarkStart w:id="958" w:name="bookmark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56"/>
      <w:bookmarkEnd w:id="957"/>
      <w:bookmarkEnd w:id="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26,283,703.90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116,626,116.44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26,407,002.90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13,819,955.23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55,014,092.44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132,633,692.77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left"/>
        <w:tblLayout w:type="fixed"/>
      </w:tblPr>
      <w:tblGrid>
        <w:gridCol w:w="3245"/>
        <w:gridCol w:w="1526"/>
        <w:gridCol w:w="1637"/>
        <w:gridCol w:w="821"/>
        <w:gridCol w:w="132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b/>
                <w:bCs/>
                <w:color w:val="000000"/>
                <w:spacing w:val="0"/>
                <w:w w:val="100"/>
                <w:position w:val="0"/>
                <w:sz w:val="19"/>
                <w:szCs w:val="19"/>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深圳市飞凡互联科技有限公司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6,216,981.13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江苏万圣广告传媒有限公司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5,418,522.65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未到结算期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深圳市汇盟网络科技有限公司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深圳市宝德计算机系统有限公司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4,199,464.00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期后已退款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20,788,967.78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59"/>
      <w:bookmarkEnd w:id="960"/>
      <w:bookmarkEnd w:id="962"/>
    </w:p>
    <w:p>
      <w:pPr>
        <w:widowControl w:val="0"/>
        <w:spacing w:line="1" w:lineRule="exact"/>
      </w:pPr>
      <w:r>
        <mc:AlternateContent>
          <mc:Choice Requires="wps">
            <w:drawing>
              <wp:anchor distT="165100" distB="0" distL="0" distR="0" simplePos="0" relativeHeight="125829408" behindDoc="0" locked="0" layoutInCell="1" allowOverlap="1">
                <wp:simplePos x="0" y="0"/>
                <wp:positionH relativeFrom="page">
                  <wp:posOffset>1403350</wp:posOffset>
                </wp:positionH>
                <wp:positionV relativeFrom="paragraph">
                  <wp:posOffset>165100</wp:posOffset>
                </wp:positionV>
                <wp:extent cx="536575" cy="167640"/>
                <wp:wrapTopAndBottom/>
                <wp:docPr id="45" name="Shape 45"/>
                <a:graphic xmlns:a="http://schemas.openxmlformats.org/drawingml/2006/main">
                  <a:graphicData uri="http://schemas.microsoft.com/office/word/2010/wordprocessingShape">
                    <wps:wsp>
                      <wps:cNvSpPr txBox="1"/>
                      <wps:spPr>
                        <a:xfrm>
                          <a:ext cx="536575"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071" type="#_x0000_t202" style="position:absolute;margin-left:110.5pt;margin-top:13.pt;width:42.25pt;height:13.200000000000001pt;z-index:-125829345;mso-wrap-distance-left:0;mso-wrap-distance-top:13.pt;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165100" distB="0" distL="0" distR="0" simplePos="0" relativeHeight="125829410" behindDoc="0" locked="0" layoutInCell="1" allowOverlap="1">
                <wp:simplePos x="0" y="0"/>
                <wp:positionH relativeFrom="page">
                  <wp:posOffset>2936240</wp:posOffset>
                </wp:positionH>
                <wp:positionV relativeFrom="paragraph">
                  <wp:posOffset>165100</wp:posOffset>
                </wp:positionV>
                <wp:extent cx="542290" cy="167640"/>
                <wp:wrapTopAndBottom/>
                <wp:docPr id="47" name="Shape 47"/>
                <a:graphic xmlns:a="http://schemas.openxmlformats.org/drawingml/2006/main">
                  <a:graphicData uri="http://schemas.microsoft.com/office/word/2010/wordprocessingShape">
                    <wps:wsp>
                      <wps:cNvSpPr txBox="1"/>
                      <wps:spPr>
                        <a:xfrm>
                          <a:ext cx="542290"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wps:txbx>
                      <wps:bodyPr wrap="none" lIns="0" tIns="0" rIns="0" bIns="0">
                        <a:noAutoFit/>
                      </wps:bodyPr>
                    </wps:wsp>
                  </a:graphicData>
                </a:graphic>
              </wp:anchor>
            </w:drawing>
          </mc:Choice>
          <mc:Fallback>
            <w:pict>
              <v:shape id="_x0000_s1073" type="#_x0000_t202" style="position:absolute;margin-left:231.20000000000002pt;margin-top:13.pt;width:42.700000000000003pt;height:13.200000000000001pt;z-index:-125829343;mso-wrap-distance-left:0;mso-wrap-distance-top:13.pt;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v:textbox>
                <w10:wrap type="topAndBottom" anchorx="page"/>
              </v:shape>
            </w:pict>
          </mc:Fallback>
        </mc:AlternateContent>
      </w:r>
      <w:r>
        <mc:AlternateContent>
          <mc:Choice Requires="wps">
            <w:drawing>
              <wp:anchor distT="165100" distB="3175" distL="0" distR="0" simplePos="0" relativeHeight="125829412" behindDoc="0" locked="0" layoutInCell="1" allowOverlap="1">
                <wp:simplePos x="0" y="0"/>
                <wp:positionH relativeFrom="page">
                  <wp:posOffset>4246880</wp:posOffset>
                </wp:positionH>
                <wp:positionV relativeFrom="paragraph">
                  <wp:posOffset>165100</wp:posOffset>
                </wp:positionV>
                <wp:extent cx="283210" cy="164465"/>
                <wp:wrapTopAndBottom/>
                <wp:docPr id="49" name="Shape 49"/>
                <a:graphic xmlns:a="http://schemas.openxmlformats.org/drawingml/2006/main">
                  <a:graphicData uri="http://schemas.microsoft.com/office/word/2010/wordprocessingShape">
                    <wps:wsp>
                      <wps:cNvSpPr txBox="1"/>
                      <wps:spPr>
                        <a:xfrm>
                          <a:ext cx="283210" cy="164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xbxContent>
                      </wps:txbx>
                      <wps:bodyPr wrap="none" lIns="0" tIns="0" rIns="0" bIns="0">
                        <a:noAutoFit/>
                      </wps:bodyPr>
                    </wps:wsp>
                  </a:graphicData>
                </a:graphic>
              </wp:anchor>
            </w:drawing>
          </mc:Choice>
          <mc:Fallback>
            <w:pict>
              <v:shape id="_x0000_s1075" type="#_x0000_t202" style="position:absolute;margin-left:334.40000000000003pt;margin-top:13.pt;width:22.300000000000001pt;height:12.950000000000001pt;z-index:-125829341;mso-wrap-distance-left:0;mso-wrap-distance-top:13.pt;mso-wrap-distance-right:0;mso-wrap-distance-bottom:0.25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xbxContent>
                </v:textbox>
                <w10:wrap type="topAndBottom" anchorx="page"/>
              </v:shape>
            </w:pict>
          </mc:Fallback>
        </mc:AlternateContent>
      </w:r>
      <w:r>
        <mc:AlternateContent>
          <mc:Choice Requires="wps">
            <w:drawing>
              <wp:anchor distT="165100" distB="0" distL="0" distR="0" simplePos="0" relativeHeight="125829414" behindDoc="0" locked="0" layoutInCell="1" allowOverlap="1">
                <wp:simplePos x="0" y="0"/>
                <wp:positionH relativeFrom="page">
                  <wp:posOffset>5052060</wp:posOffset>
                </wp:positionH>
                <wp:positionV relativeFrom="paragraph">
                  <wp:posOffset>165100</wp:posOffset>
                </wp:positionV>
                <wp:extent cx="1033145" cy="167640"/>
                <wp:wrapTopAndBottom/>
                <wp:docPr id="51" name="Shape 51"/>
                <a:graphic xmlns:a="http://schemas.openxmlformats.org/drawingml/2006/main">
                  <a:graphicData uri="http://schemas.microsoft.com/office/word/2010/wordprocessingShape">
                    <wps:wsp>
                      <wps:cNvSpPr txBox="1"/>
                      <wps:spPr>
                        <a:xfrm>
                          <a:ext cx="1033145"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占预付款项年末余</w:t>
                            </w:r>
                          </w:p>
                        </w:txbxContent>
                      </wps:txbx>
                      <wps:bodyPr wrap="none" lIns="0" tIns="0" rIns="0" bIns="0">
                        <a:noAutoFit/>
                      </wps:bodyPr>
                    </wps:wsp>
                  </a:graphicData>
                </a:graphic>
              </wp:anchor>
            </w:drawing>
          </mc:Choice>
          <mc:Fallback>
            <w:pict>
              <v:shape id="_x0000_s1077" type="#_x0000_t202" style="position:absolute;margin-left:397.80000000000001pt;margin-top:13.pt;width:81.350000000000009pt;height:13.200000000000001pt;z-index:-125829339;mso-wrap-distance-left:0;mso-wrap-distance-top:13.pt;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占预付款项年末余</w:t>
                      </w:r>
                    </w:p>
                  </w:txbxContent>
                </v:textbox>
                <w10:wrap type="topAndBottom" anchorx="page"/>
              </v:shape>
            </w:pict>
          </mc:Fallback>
        </mc:AlternateContent>
      </w:r>
      <w:r>
        <w:br w:type="page"/>
      </w:r>
    </w:p>
    <w:tbl>
      <w:tblPr>
        <w:tblOverlap w:val="never"/>
        <w:jc w:val="left"/>
        <w:tblLayout w:type="fixed"/>
      </w:tblPr>
      <w:tblGrid>
        <w:gridCol w:w="3019"/>
        <w:gridCol w:w="1829"/>
        <w:gridCol w:w="1891"/>
        <w:gridCol w:w="182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19"/>
                <w:szCs w:val="19"/>
              </w:rPr>
              <w:t>额合计数的比例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深圳市安果文化传播有限公司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8,374,972.77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15.22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深圳市飞凡互联科技有限公司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6,216,981.13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11.30</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江苏万圣广告传媒有限公司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581,477.35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1.06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5,418,522.65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9.85</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深圳市汇盟网络科技有限公司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9.00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954,546.00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1.74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深圳市高德信通信股份有限公司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4,237,735.64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7.70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30,738,235.54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55.87</w:t>
            </w:r>
          </w:p>
        </w:tc>
      </w:tr>
    </w:tbl>
    <w:p>
      <w:pPr>
        <w:widowControl w:val="0"/>
        <w:spacing w:after="979" w:line="1" w:lineRule="exact"/>
      </w:pPr>
    </w:p>
    <w:p>
      <w:pPr>
        <w:pStyle w:val="Style31"/>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5</w:t>
      </w:r>
      <w:bookmarkEnd w:id="965"/>
      <w:r>
        <w:rPr>
          <w:color w:val="000000"/>
          <w:spacing w:val="0"/>
          <w:w w:val="100"/>
          <w:position w:val="0"/>
        </w:rPr>
        <w:t>、其他应收款</w:t>
      </w:r>
      <w:bookmarkEnd w:id="963"/>
      <w:bookmarkEnd w:id="964"/>
      <w:bookmarkEnd w:id="9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70,324,640.76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27,838,293.45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70,324,640.76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27,838,293.45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967"/>
      <w:bookmarkEnd w:id="968"/>
      <w:bookmarkEnd w:id="969"/>
    </w:p>
    <w:p>
      <w:pPr>
        <w:pStyle w:val="Style76"/>
        <w:keepNext/>
        <w:keepLines/>
        <w:widowControl w:val="0"/>
        <w:shd w:val="clear" w:color="auto" w:fill="auto"/>
        <w:bidi w:val="0"/>
        <w:spacing w:before="0" w:after="3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color w:val="000000"/>
          <w:spacing w:val="0"/>
          <w:w w:val="100"/>
          <w:position w:val="0"/>
        </w:rPr>
        <w:t>）其他应收款按款项性质分类情况</w:t>
      </w:r>
      <w:bookmarkEnd w:id="970"/>
      <w:bookmarkEnd w:id="971"/>
      <w:bookmarkEnd w:id="9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待退回广告充值款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16,668,353.71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待收回定制费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14,058,316.69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13,751,056.69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待退回游戏版权金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7,977,409.50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11,193,014.10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待退回游戏分成款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14,463,993.37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694,853.10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涉案资金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3,039,169.10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3,679,468.33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个人借款和备用金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3,856,605.24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5,243,512.54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3,151,095.26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6,125,372.76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1,764,583.67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1,278,879.13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150,081.41</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115,542,648.77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54,240,757.80</w:t>
            </w:r>
          </w:p>
        </w:tc>
      </w:tr>
    </w:tbl>
    <w:p>
      <w:pPr>
        <w:widowControl w:val="0"/>
        <w:spacing w:after="8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18.61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27,838,293.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27,838,293.</w:t>
            </w: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70,324,64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27,838,293.</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r>
    </w:tbl>
    <w:p>
      <w:pPr>
        <w:widowControl w:val="0"/>
        <w:spacing w:after="43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按单项金额重大不计提坏账准备: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前海宝德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94,042,648.77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45,218,008.01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94,042,648.77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45,218,008.01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9"/>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按组合计提其他应收款坏账准备</w:t>
      </w:r>
    </w:p>
    <w:tbl>
      <w:tblPr>
        <w:tblOverlap w:val="never"/>
        <w:jc w:val="center"/>
        <w:tblLayout w:type="fixed"/>
      </w:tblPr>
      <w:tblGrid>
        <w:gridCol w:w="3518"/>
        <w:gridCol w:w="2117"/>
        <w:gridCol w:w="2184"/>
        <w:gridCol w:w="211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9"/>
                <w:szCs w:val="19"/>
              </w:rPr>
            </w:pPr>
            <w:r>
              <w:rPr>
                <w:rFonts w:ascii="SimSun" w:eastAsia="SimSun" w:hAnsi="SimSun" w:cs="SimSun"/>
                <w:b/>
                <w:bCs/>
                <w:color w:val="000000"/>
                <w:spacing w:val="0"/>
                <w:w w:val="100"/>
                <w:position w:val="0"/>
                <w:sz w:val="19"/>
                <w:szCs w:val="19"/>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rFonts w:ascii="Arial" w:eastAsia="Arial" w:hAnsi="Arial" w:cs="Arial"/>
                <w:color w:val="000000"/>
                <w:spacing w:val="0"/>
                <w:w w:val="100"/>
                <w:position w:val="0"/>
                <w:sz w:val="17"/>
                <w:szCs w:val="17"/>
              </w:rPr>
              <w:t xml:space="preserve">43, 902, </w:t>
            </w:r>
            <w:r>
              <w:rPr>
                <w:rFonts w:ascii="Arial" w:eastAsia="Arial" w:hAnsi="Arial" w:cs="Arial"/>
                <w:color w:val="000000"/>
                <w:spacing w:val="0"/>
                <w:w w:val="100"/>
                <w:position w:val="0"/>
                <w:sz w:val="17"/>
                <w:szCs w:val="17"/>
              </w:rPr>
              <w:t xml:space="preserve">889. </w:t>
            </w:r>
            <w:r>
              <w:rPr>
                <w:rFonts w:ascii="Arial" w:eastAsia="Arial" w:hAnsi="Arial" w:cs="Arial"/>
                <w:color w:val="000000"/>
                <w:spacing w:val="0"/>
                <w:w w:val="100"/>
                <w:position w:val="0"/>
                <w:sz w:val="17"/>
                <w:szCs w:val="17"/>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7"/>
                <w:szCs w:val="17"/>
              </w:rPr>
              <w:t xml:space="preserve">11, 158, </w:t>
            </w:r>
            <w:r>
              <w:rPr>
                <w:rFonts w:ascii="Arial" w:eastAsia="Arial" w:hAnsi="Arial" w:cs="Arial"/>
                <w:color w:val="000000"/>
                <w:spacing w:val="0"/>
                <w:w w:val="100"/>
                <w:position w:val="0"/>
                <w:sz w:val="17"/>
                <w:szCs w:val="17"/>
              </w:rPr>
              <w:t xml:space="preserve">501. </w:t>
            </w:r>
            <w:r>
              <w:rPr>
                <w:rFonts w:ascii="Arial" w:eastAsia="Arial" w:hAnsi="Arial" w:cs="Arial"/>
                <w:color w:val="000000"/>
                <w:spacing w:val="0"/>
                <w:w w:val="100"/>
                <w:position w:val="0"/>
                <w:sz w:val="17"/>
                <w:szCs w:val="17"/>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rPr>
              <w:t>25.42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7"/>
                <w:szCs w:val="17"/>
              </w:rPr>
              <w:t>1-2</w:t>
            </w:r>
            <w:r>
              <w:rPr>
                <w:rFonts w:ascii="SimSun" w:eastAsia="SimSun" w:hAnsi="SimSun" w:cs="SimSun"/>
                <w:color w:val="000000"/>
                <w:spacing w:val="0"/>
                <w:w w:val="100"/>
                <w:position w:val="0"/>
                <w:sz w:val="19"/>
                <w:szCs w:val="19"/>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rFonts w:ascii="Arial" w:eastAsia="Arial" w:hAnsi="Arial" w:cs="Arial"/>
                <w:color w:val="000000"/>
                <w:spacing w:val="0"/>
                <w:w w:val="100"/>
                <w:position w:val="0"/>
                <w:sz w:val="17"/>
                <w:szCs w:val="17"/>
              </w:rPr>
              <w:t xml:space="preserve">31, 156, </w:t>
            </w:r>
            <w:r>
              <w:rPr>
                <w:rFonts w:ascii="Arial" w:eastAsia="Arial" w:hAnsi="Arial" w:cs="Arial"/>
                <w:color w:val="000000"/>
                <w:spacing w:val="0"/>
                <w:w w:val="100"/>
                <w:position w:val="0"/>
                <w:sz w:val="17"/>
                <w:szCs w:val="17"/>
              </w:rPr>
              <w:t xml:space="preserve">138. </w:t>
            </w:r>
            <w:r>
              <w:rPr>
                <w:rFonts w:ascii="Arial" w:eastAsia="Arial" w:hAnsi="Arial" w:cs="Arial"/>
                <w:color w:val="000000"/>
                <w:spacing w:val="0"/>
                <w:w w:val="100"/>
                <w:position w:val="0"/>
                <w:sz w:val="17"/>
                <w:szCs w:val="17"/>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7"/>
                <w:szCs w:val="17"/>
              </w:rPr>
              <w:t xml:space="preserve">15, 203, </w:t>
            </w:r>
            <w:r>
              <w:rPr>
                <w:rFonts w:ascii="Arial" w:eastAsia="Arial" w:hAnsi="Arial" w:cs="Arial"/>
                <w:color w:val="000000"/>
                <w:spacing w:val="0"/>
                <w:w w:val="100"/>
                <w:position w:val="0"/>
                <w:sz w:val="17"/>
                <w:szCs w:val="17"/>
              </w:rPr>
              <w:t xml:space="preserve">396. </w:t>
            </w:r>
            <w:r>
              <w:rPr>
                <w:rFonts w:ascii="Arial" w:eastAsia="Arial" w:hAnsi="Arial" w:cs="Arial"/>
                <w:color w:val="000000"/>
                <w:spacing w:val="0"/>
                <w:w w:val="100"/>
                <w:position w:val="0"/>
                <w:sz w:val="17"/>
                <w:szCs w:val="17"/>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rPr>
              <w:t xml:space="preserve">48. </w:t>
            </w:r>
            <w:r>
              <w:rPr>
                <w:rFonts w:ascii="Arial" w:eastAsia="Arial" w:hAnsi="Arial" w:cs="Arial"/>
                <w:color w:val="000000"/>
                <w:spacing w:val="0"/>
                <w:w w:val="100"/>
                <w:position w:val="0"/>
                <w:sz w:val="17"/>
                <w:szCs w:val="17"/>
              </w:rPr>
              <w:t>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rFonts w:ascii="Arial" w:eastAsia="Arial" w:hAnsi="Arial" w:cs="Arial"/>
                <w:color w:val="000000"/>
                <w:spacing w:val="0"/>
                <w:w w:val="100"/>
                <w:position w:val="0"/>
                <w:sz w:val="17"/>
                <w:szCs w:val="17"/>
              </w:rPr>
              <w:t xml:space="preserve">1,416, </w:t>
            </w:r>
            <w:r>
              <w:rPr>
                <w:rFonts w:ascii="Arial" w:eastAsia="Arial" w:hAnsi="Arial" w:cs="Arial"/>
                <w:color w:val="000000"/>
                <w:spacing w:val="0"/>
                <w:w w:val="100"/>
                <w:position w:val="0"/>
                <w:sz w:val="17"/>
                <w:szCs w:val="17"/>
              </w:rPr>
              <w:t xml:space="preserve">780. </w:t>
            </w:r>
            <w:r>
              <w:rPr>
                <w:rFonts w:ascii="Arial" w:eastAsia="Arial" w:hAnsi="Arial" w:cs="Arial"/>
                <w:color w:val="000000"/>
                <w:spacing w:val="0"/>
                <w:w w:val="100"/>
                <w:position w:val="0"/>
                <w:sz w:val="17"/>
                <w:szCs w:val="17"/>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 xml:space="preserve">1, 289, </w:t>
            </w:r>
            <w:r>
              <w:rPr>
                <w:rFonts w:ascii="Arial" w:eastAsia="Arial" w:hAnsi="Arial" w:cs="Arial"/>
                <w:color w:val="000000"/>
                <w:spacing w:val="0"/>
                <w:w w:val="100"/>
                <w:position w:val="0"/>
                <w:sz w:val="17"/>
                <w:szCs w:val="17"/>
              </w:rPr>
              <w:t xml:space="preserve">270. </w:t>
            </w:r>
            <w:r>
              <w:rPr>
                <w:rFonts w:ascii="Arial" w:eastAsia="Arial" w:hAnsi="Arial" w:cs="Arial"/>
                <w:color w:val="000000"/>
                <w:spacing w:val="0"/>
                <w:w w:val="100"/>
                <w:position w:val="0"/>
                <w:sz w:val="17"/>
                <w:szCs w:val="17"/>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rPr>
              <w:t xml:space="preserve">91. </w:t>
            </w:r>
            <w:r>
              <w:rPr>
                <w:rFonts w:ascii="Arial" w:eastAsia="Arial" w:hAnsi="Arial" w:cs="Arial"/>
                <w:color w:val="000000"/>
                <w:spacing w:val="0"/>
                <w:w w:val="100"/>
                <w:position w:val="0"/>
                <w:sz w:val="17"/>
                <w:szCs w:val="17"/>
              </w:rPr>
              <w:t>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7"/>
                <w:szCs w:val="17"/>
              </w:rPr>
              <w:t>3</w:t>
            </w:r>
            <w:r>
              <w:rPr>
                <w:rFonts w:ascii="SimSun" w:eastAsia="SimSun" w:hAnsi="SimSun" w:cs="SimSun"/>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Arial" w:eastAsia="Arial" w:hAnsi="Arial" w:cs="Arial"/>
                <w:color w:val="000000"/>
                <w:spacing w:val="0"/>
                <w:w w:val="100"/>
                <w:position w:val="0"/>
                <w:sz w:val="17"/>
                <w:szCs w:val="17"/>
              </w:rPr>
              <w:t xml:space="preserve">17, 566, </w:t>
            </w:r>
            <w:r>
              <w:rPr>
                <w:rFonts w:ascii="Arial" w:eastAsia="Arial" w:hAnsi="Arial" w:cs="Arial"/>
                <w:color w:val="000000"/>
                <w:spacing w:val="0"/>
                <w:w w:val="100"/>
                <w:position w:val="0"/>
                <w:sz w:val="17"/>
                <w:szCs w:val="17"/>
              </w:rPr>
              <w:t xml:space="preserve">839. </w:t>
            </w:r>
            <w:r>
              <w:rPr>
                <w:rFonts w:ascii="Arial" w:eastAsia="Arial" w:hAnsi="Arial" w:cs="Arial"/>
                <w:color w:val="000000"/>
                <w:spacing w:val="0"/>
                <w:w w:val="100"/>
                <w:position w:val="0"/>
                <w:sz w:val="17"/>
                <w:szCs w:val="17"/>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7"/>
                <w:szCs w:val="17"/>
              </w:rPr>
              <w:t xml:space="preserve">17, 566, </w:t>
            </w:r>
            <w:r>
              <w:rPr>
                <w:rFonts w:ascii="Arial" w:eastAsia="Arial" w:hAnsi="Arial" w:cs="Arial"/>
                <w:color w:val="000000"/>
                <w:spacing w:val="0"/>
                <w:w w:val="100"/>
                <w:position w:val="0"/>
                <w:sz w:val="17"/>
                <w:szCs w:val="17"/>
              </w:rPr>
              <w:t xml:space="preserve">839. </w:t>
            </w:r>
            <w:r>
              <w:rPr>
                <w:rFonts w:ascii="Arial" w:eastAsia="Arial" w:hAnsi="Arial" w:cs="Arial"/>
                <w:color w:val="000000"/>
                <w:spacing w:val="0"/>
                <w:w w:val="100"/>
                <w:position w:val="0"/>
                <w:sz w:val="17"/>
                <w:szCs w:val="17"/>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 xml:space="preserve">100. </w:t>
            </w:r>
            <w:r>
              <w:rPr>
                <w:rFonts w:ascii="Arial" w:eastAsia="Arial" w:hAnsi="Arial" w:cs="Arial"/>
                <w:color w:val="000000"/>
                <w:spacing w:val="0"/>
                <w:w w:val="100"/>
                <w:position w:val="0"/>
                <w:sz w:val="17"/>
                <w:szCs w:val="17"/>
              </w:rPr>
              <w:t>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Arial" w:eastAsia="Arial" w:hAnsi="Arial" w:cs="Arial"/>
                <w:b/>
                <w:bCs/>
                <w:color w:val="000000"/>
                <w:spacing w:val="0"/>
                <w:w w:val="100"/>
                <w:position w:val="0"/>
                <w:sz w:val="17"/>
                <w:szCs w:val="17"/>
              </w:rPr>
              <w:t>94,042,648.77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Arial" w:eastAsia="Arial" w:hAnsi="Arial" w:cs="Arial"/>
                <w:b/>
                <w:bCs/>
                <w:color w:val="000000"/>
                <w:spacing w:val="0"/>
                <w:w w:val="100"/>
                <w:position w:val="0"/>
                <w:sz w:val="17"/>
                <w:szCs w:val="17"/>
              </w:rPr>
              <w:t>45,218,008.01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b/>
                <w:bCs/>
                <w:color w:val="000000"/>
                <w:spacing w:val="0"/>
                <w:w w:val="100"/>
                <w:position w:val="0"/>
                <w:sz w:val="17"/>
                <w:szCs w:val="17"/>
              </w:rPr>
              <w:t>48.08</w:t>
            </w:r>
          </w:p>
        </w:tc>
      </w:tr>
    </w:tbl>
    <w:p>
      <w:pPr>
        <w:widowControl w:val="0"/>
        <w:spacing w:after="679" w:line="1" w:lineRule="exact"/>
      </w:pPr>
    </w:p>
    <w:p>
      <w:pPr>
        <w:pStyle w:val="Style76"/>
        <w:keepNext/>
        <w:keepLines/>
        <w:widowControl w:val="0"/>
        <w:shd w:val="clear" w:color="auto" w:fill="auto"/>
        <w:bidi w:val="0"/>
        <w:spacing w:before="0" w:line="240" w:lineRule="auto"/>
        <w:ind w:left="0" w:right="0" w:firstLine="14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）坏账准备计提情况</w:t>
      </w:r>
      <w:bookmarkEnd w:id="974"/>
      <w:bookmarkEnd w:id="975"/>
      <w:bookmarkEnd w:id="977"/>
    </w:p>
    <w:p>
      <w:pPr>
        <w:pStyle w:val="Style2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26,402,464.35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26,402,464.35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21,606,023.66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21,606,023.66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45,218,008.01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45,218,008.01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43,902,889.92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31,156,138.67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1,416,780.91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17,566,839.27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17,566,839.27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94,042,648.77</w:t>
            </w:r>
          </w:p>
        </w:tc>
      </w:tr>
    </w:tbl>
    <w:p>
      <w:pPr>
        <w:widowControl w:val="0"/>
        <w:spacing w:after="319" w:line="1" w:lineRule="exact"/>
      </w:pPr>
    </w:p>
    <w:p>
      <w:pPr>
        <w:pStyle w:val="Style76"/>
        <w:keepNext/>
        <w:keepLines/>
        <w:widowControl w:val="0"/>
        <w:shd w:val="clear" w:color="auto" w:fill="auto"/>
        <w:bidi w:val="0"/>
        <w:spacing w:before="0" w:line="240" w:lineRule="auto"/>
        <w:ind w:left="0" w:right="0" w:firstLine="14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）本期计提、收回或转回的坏账准备情况</w:t>
      </w:r>
      <w:bookmarkEnd w:id="978"/>
      <w:bookmarkEnd w:id="979"/>
      <w:bookmarkEnd w:id="981"/>
    </w:p>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40" w:line="240" w:lineRule="auto"/>
        <w:ind w:left="9060" w:right="0" w:firstLine="0"/>
        <w:jc w:val="left"/>
      </w:pPr>
      <w:r>
        <w:rPr>
          <w:color w:val="000000"/>
          <w:spacing w:val="0"/>
          <w:w w:val="100"/>
          <w:position w:val="0"/>
        </w:rPr>
        <w:t>单位：元</w:t>
      </w:r>
      <w:r>
        <w:br w:type="page"/>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26,402,464.35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21,606,023.66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45,218,008.01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26,402,464.35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21,606,023.66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45,218,008.01</w:t>
            </w:r>
          </w:p>
        </w:tc>
      </w:tr>
    </w:tbl>
    <w:p>
      <w:pPr>
        <w:widowControl w:val="0"/>
        <w:spacing w:after="1179" w:line="1" w:lineRule="exact"/>
      </w:pPr>
    </w:p>
    <w:p>
      <w:pPr>
        <w:pStyle w:val="Style76"/>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4</w:t>
      </w:r>
      <w:bookmarkEnd w:id="984"/>
      <w:r>
        <w:rPr>
          <w:color w:val="000000"/>
          <w:spacing w:val="0"/>
          <w:w w:val="100"/>
          <w:position w:val="0"/>
        </w:rPr>
        <w:t>）按欠款方归集的期末余额前五名的其他应收款情况</w:t>
      </w:r>
      <w:bookmarkEnd w:id="982"/>
      <w:bookmarkEnd w:id="983"/>
      <w:bookmarkEnd w:id="9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百度时代网络技术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16,668,353.71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4,500,455.50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前海宝德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薛振山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桐乡市公安局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涉案资金冻结款项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1,598,400.00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64,088,353.71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16,898,855.50</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6</w:t>
      </w:r>
      <w:bookmarkEnd w:id="988"/>
      <w:r>
        <w:rPr>
          <w:color w:val="000000"/>
          <w:spacing w:val="0"/>
          <w:w w:val="100"/>
          <w:position w:val="0"/>
        </w:rPr>
        <w:t>、存货</w:t>
      </w:r>
      <w:bookmarkEnd w:id="986"/>
      <w:bookmarkEnd w:id="987"/>
      <w:bookmarkEnd w:id="98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both"/>
      </w:pPr>
      <w:bookmarkStart w:id="990" w:name="bookmark990"/>
      <w:bookmarkStart w:id="991" w:name="bookmark991"/>
      <w:bookmarkStart w:id="992" w:name="bookmark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90"/>
      <w:bookmarkEnd w:id="991"/>
      <w:bookmarkEnd w:id="99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1,989,380.53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1,989,380.53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1,989,380.53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1,989,380.53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r>
        <w:br w:type="page"/>
      </w:r>
    </w:p>
    <w:p>
      <w:pPr>
        <w:pStyle w:val="Style31"/>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7</w:t>
      </w:r>
      <w:bookmarkEnd w:id="995"/>
      <w:r>
        <w:rPr>
          <w:color w:val="000000"/>
          <w:spacing w:val="0"/>
          <w:w w:val="100"/>
          <w:position w:val="0"/>
        </w:rPr>
        <w:t>、其他流动资产</w:t>
      </w:r>
      <w:bookmarkEnd w:id="993"/>
      <w:bookmarkEnd w:id="994"/>
      <w:bookmarkEnd w:id="9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26,491,628.89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25,193,367.13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汇海易融借款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7,969,646.07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26,495,743.05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33,200,902.97</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8</w:t>
      </w:r>
      <w:bookmarkEnd w:id="999"/>
      <w:r>
        <w:rPr>
          <w:color w:val="000000"/>
          <w:spacing w:val="0"/>
          <w:w w:val="100"/>
          <w:position w:val="0"/>
        </w:rPr>
        <w:t>、长期股权投资</w:t>
      </w:r>
      <w:bookmarkEnd w:id="1000"/>
      <w:bookmarkEnd w:id="997"/>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上海巨贤 网络科技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5,066,550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11,988,73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5,066,550</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北京山水 地信息技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7,148,933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6,506,970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639,399.3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6,506,970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湖北今古 时代文化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2,201,021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1,998,495</w:t>
            </w: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传媒有限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贵州国信 通电子商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4,288,970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-71,630.5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931,714.4</w:t>
            </w: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务有限公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上海磐火 网络科技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2,067,733</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猫鼬互动 （北京）</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2,998,164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-27,118.5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bl>
    <w:p>
      <w:pPr>
        <w:sectPr>
          <w:footnotePr>
            <w:pos w:val="pageBottom"/>
            <w:numFmt w:val="decimal"/>
            <w:numRestart w:val="continuous"/>
          </w:footnotePr>
          <w:pgSz w:w="11900" w:h="16840"/>
          <w:pgMar w:top="1402" w:right="989" w:bottom="1440" w:left="979"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深圳市萝 卜互动科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2,778,851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2,776,465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上海乐矩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1,589,179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3,044,244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未来人科 技（北京）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1,288,811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1,288,811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1,288,811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上海乐加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1,165,398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1,165,398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2,477,545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成都天合 互动科技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1,059,453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1,059,453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1,516,345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北京起源 天泽科技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978,989.3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978,743.1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978,743.1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北京初始 之部科技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631,549.8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-40,383.2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591,166.6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上海木铎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1,402,840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45,978,48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4,128,031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24,692,38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25,414,13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30,251,04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45,978,48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4,128,031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24,692,38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25,414,13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30,251,04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49"/>
        <w:keepNext w:val="0"/>
        <w:keepLines w:val="0"/>
        <w:widowControl w:val="0"/>
        <w:shd w:val="clear" w:color="auto" w:fill="auto"/>
        <w:bidi w:val="0"/>
        <w:spacing w:before="0" w:after="820" w:line="317" w:lineRule="exact"/>
        <w:ind w:left="0" w:right="0" w:firstLine="460"/>
        <w:jc w:val="both"/>
      </w:pPr>
      <w:r>
        <w:rPr>
          <w:color w:val="000000"/>
          <w:spacing w:val="0"/>
          <w:w w:val="100"/>
          <w:position w:val="0"/>
        </w:rPr>
        <w:t>公司运用永续增长模型对所持股权的价值进行估值。即以各被投资企业历史收入及预期收入为起 点，根据国家政策及行业状况建立合理的利润率、增长率及资金成本率预期股权投资价值。</w:t>
      </w:r>
    </w:p>
    <w:p>
      <w:pPr>
        <w:pStyle w:val="Style31"/>
        <w:keepNext/>
        <w:keepLines/>
        <w:widowControl w:val="0"/>
        <w:shd w:val="clear" w:color="auto" w:fill="auto"/>
        <w:bidi w:val="0"/>
        <w:spacing w:before="0" w:after="4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9</w:t>
      </w:r>
      <w:bookmarkEnd w:id="1003"/>
      <w:r>
        <w:rPr>
          <w:color w:val="000000"/>
          <w:spacing w:val="0"/>
          <w:w w:val="100"/>
          <w:position w:val="0"/>
        </w:rPr>
        <w:t>、其他权益工具投资</w:t>
      </w:r>
      <w:bookmarkEnd w:id="1001"/>
      <w:bookmarkEnd w:id="1002"/>
      <w:bookmarkEnd w:id="100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上海跳跃网络科技有限公司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181,972,226.70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181,972,226.70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深圳市前海鹏德移动互联网创业投资基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28,001,320.00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28,001,320.00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深圳市掌娱炫动信息技术有限公司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北京海云捷迅科技有限公司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14,212,800.00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深圳汇海易融互联网金融服务有限公司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18,641,135.72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13,416,135.72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新余智博文娱叁号投资企业（有限合伙）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10,675,000.00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深圳纽信恒志投资中心（有限合伙）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成都聚游卓越科技有限公司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上海传翔文化传媒有限公司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2,513,083.27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厦门比悦网络科技有限公司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广东超级队长科技有限公司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深圳米趣科技有限公司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794,589.96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广州民营投资股份有限公司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苏州热力时光文化科技有限公司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上海绮秀文化传播有限公司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295,338,069.15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304,430,155.65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320"/>
              <w:jc w:val="both"/>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上海跳跃网络科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深圳市前海鹏德 移动互联网创业 投资基金（有限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深圳市掌娱炫动 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北京海云捷迅科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深圳汇海易融互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联网金融服务有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10,583,864.28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新余智博文娱叁 号投资企业（有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深圳纽信恒志投 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成都聚游卓越科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上海传翔文化传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厦门比悦网络科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广东超级队长科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3,684,413.27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深圳米趣科技有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广州民营投资股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苏州热力时光文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上海绮秀文化传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33,768,277.55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9"/>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指定为以公允价值计量且其变动计入其他综合收益的原因系本公司对上海跳跃网络科技有限公 司等</w:t>
      </w:r>
      <w:r>
        <w:rPr>
          <w:rFonts w:ascii="Times New Roman" w:eastAsia="Times New Roman" w:hAnsi="Times New Roman" w:cs="Times New Roman"/>
          <w:color w:val="000000"/>
          <w:spacing w:val="0"/>
          <w:w w:val="100"/>
          <w:position w:val="0"/>
        </w:rPr>
        <w:t>13</w:t>
      </w:r>
      <w:r>
        <w:rPr>
          <w:color w:val="000000"/>
          <w:spacing w:val="0"/>
          <w:w w:val="100"/>
          <w:position w:val="0"/>
        </w:rPr>
        <w:t>家被投资企业的投资并非为了短期交易，不存在短期获利模式，并非衍生工具，且非负债，本 公司对以上被投资单位的投资属于非交易性权益工具投资。根据企业会计准则规定将此项投资指定为 以公允价值计量且其变动计入其他综合收益的金融资产。</w:t>
      </w:r>
    </w:p>
    <w:p>
      <w:pPr>
        <w:pStyle w:val="Style49"/>
        <w:keepNext w:val="0"/>
        <w:keepLines w:val="0"/>
        <w:widowControl w:val="0"/>
        <w:shd w:val="clear" w:color="auto" w:fill="auto"/>
        <w:bidi w:val="0"/>
        <w:spacing w:before="0" w:after="680" w:line="314" w:lineRule="exact"/>
        <w:ind w:left="0" w:right="0" w:firstLine="460"/>
        <w:jc w:val="both"/>
      </w:pPr>
      <w:r>
        <w:rPr>
          <w:color w:val="000000"/>
          <w:spacing w:val="0"/>
          <w:w w:val="100"/>
          <w:position w:val="0"/>
        </w:rPr>
        <w:t>公司使用第三层次输入值对该部分投资进行公允价值计量。具体运用永续增长模型对所持股权的 价值进行估值。即以各被投资企业历史收入及预期收入为起点，根据国家政策及行业状况建立合理的 利润率、增长率及资金成本率预期股权投资价值。</w:t>
      </w:r>
    </w:p>
    <w:p>
      <w:pPr>
        <w:pStyle w:val="Style31"/>
        <w:keepNext/>
        <w:keepLines/>
        <w:widowControl w:val="0"/>
        <w:shd w:val="clear" w:color="auto" w:fill="auto"/>
        <w:bidi w:val="0"/>
        <w:spacing w:before="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005"/>
      <w:bookmarkEnd w:id="1006"/>
      <w:bookmarkEnd w:id="100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网际星辰文化传媒（北京）有限公司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09"/>
      <w:bookmarkEnd w:id="1010"/>
      <w:bookmarkEnd w:id="101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168,312,258.65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168,312,258.65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13"/>
      <w:bookmarkEnd w:id="1014"/>
      <w:bookmarkEnd w:id="101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电子办公设备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112,813,365.46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120,989,647.40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3,788,128.47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9,028,585.24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19,653,585.27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266,273,311.84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2,715,831.84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116,118,937.28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119,000,715.02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2,715,831.84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3,249,137.95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115,751,577.07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115,751,577.07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115,529,197.30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237,108,584.68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3,788,128.47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9,194,531.14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19,653,585.27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385,274,026.86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28,684,610.19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56,997,554.99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3,255,633.41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7,941,921.08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1,048,890.54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97,928,610.21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10,281,951.55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19,730,805.61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116,851.36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1,795,566.34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32,355,167.59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10,281,951.55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19,730,805.61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116,851.36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1,795,566.34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32,355,167.59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38,966,561.74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76,728,360.60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3,372,484.77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8,371,913.81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2,844,456.88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130,283,777.80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32,442.98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7,039,801.72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2,168,937.21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9,217,672.36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7,039,801.72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2,168,937.21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9,217,672.36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7,039,801.72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2,168,937.21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9,250,115.34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69,522,833.84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160,340,841.26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245,740,133.72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84,128,755.27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63,959,649.43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532,495.06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1,086,664.16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18,604,694.73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168,312,258.65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16"/>
      <w:bookmarkEnd w:id="1017"/>
      <w:bookmarkEnd w:id="101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8,980,221.41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全部系深圳人才安居房，无房屋产权证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8,980,221.41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9"/>
        <w:keepNext w:val="0"/>
        <w:keepLines w:val="0"/>
        <w:widowControl w:val="0"/>
        <w:shd w:val="clear" w:color="auto" w:fill="auto"/>
        <w:bidi w:val="0"/>
        <w:spacing w:before="0" w:after="220" w:line="309" w:lineRule="exact"/>
        <w:ind w:left="0" w:right="0" w:firstLine="460"/>
        <w:jc w:val="both"/>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60" w:right="1107" w:bottom="1536" w:left="1093" w:header="0" w:footer="3" w:gutter="0"/>
          <w:cols w:space="720"/>
          <w:noEndnote/>
          <w:titlePg/>
          <w:rtlGutter w:val="0"/>
          <w:docGrid w:linePitch="360"/>
        </w:sectPr>
      </w:pPr>
      <w:r>
        <w:rPr>
          <w:color w:val="000000"/>
          <w:spacing w:val="0"/>
          <w:w w:val="100"/>
          <w:position w:val="0"/>
        </w:rPr>
        <w:t>本年固定资产所计提的减值准备系北京中青宝长城文化科技有限公司运营的北京八达岭水关长 城</w:t>
      </w:r>
      <w:r>
        <w:rPr>
          <w:rFonts w:ascii="Times New Roman" w:eastAsia="Times New Roman" w:hAnsi="Times New Roman" w:cs="Times New Roman"/>
          <w:color w:val="000000"/>
          <w:spacing w:val="0"/>
          <w:w w:val="100"/>
          <w:position w:val="0"/>
        </w:rPr>
        <w:t>“</w:t>
      </w:r>
      <w:r>
        <w:rPr>
          <w:color w:val="000000"/>
          <w:spacing w:val="0"/>
          <w:w w:val="100"/>
          <w:position w:val="0"/>
        </w:rPr>
        <w:t>龙腾九州</w:t>
      </w:r>
      <w:r>
        <w:rPr>
          <w:rFonts w:ascii="Times New Roman" w:eastAsia="Times New Roman" w:hAnsi="Times New Roman" w:cs="Times New Roman"/>
          <w:color w:val="000000"/>
          <w:spacing w:val="0"/>
          <w:w w:val="100"/>
          <w:position w:val="0"/>
        </w:rPr>
        <w:t>”</w:t>
      </w:r>
      <w:r>
        <w:rPr>
          <w:color w:val="000000"/>
          <w:spacing w:val="0"/>
          <w:w w:val="100"/>
          <w:position w:val="0"/>
        </w:rPr>
        <w:t>项目，由于疫情影响，项目营业收入未达预期，存在减值迹象，公司进行了减值测试。 根据深圳中洲资产评估有限公司于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日出具的深中洲评字第</w:t>
      </w:r>
      <w:r>
        <w:rPr>
          <w:rFonts w:ascii="Times New Roman" w:eastAsia="Times New Roman" w:hAnsi="Times New Roman" w:cs="Times New Roman"/>
          <w:color w:val="000000"/>
          <w:spacing w:val="0"/>
          <w:w w:val="100"/>
          <w:position w:val="0"/>
        </w:rPr>
        <w:t>2021-000</w:t>
      </w:r>
      <w:r>
        <w:rPr>
          <w:color w:val="000000"/>
          <w:spacing w:val="0"/>
          <w:w w:val="100"/>
          <w:position w:val="0"/>
        </w:rPr>
        <w:t xml:space="preserve">号《拟财务报告为目 的涉及北京中青宝长城文化科技有限公司持有的固定资产组预计未来现金流现值资产评估报告》，于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日预计未来现金流现值合计为</w:t>
      </w:r>
      <w:r>
        <w:rPr>
          <w:rFonts w:ascii="Times New Roman" w:eastAsia="Times New Roman" w:hAnsi="Times New Roman" w:cs="Times New Roman"/>
          <w:color w:val="000000"/>
          <w:spacing w:val="0"/>
          <w:w w:val="100"/>
          <w:position w:val="0"/>
        </w:rPr>
        <w:t>6,308.03</w:t>
      </w:r>
      <w:r>
        <w:rPr>
          <w:color w:val="000000"/>
          <w:spacing w:val="0"/>
          <w:w w:val="100"/>
          <w:position w:val="0"/>
        </w:rPr>
        <w:t>万元。该固定资产账面价值</w:t>
      </w:r>
      <w:r>
        <w:rPr>
          <w:rFonts w:ascii="Times New Roman" w:eastAsia="Times New Roman" w:hAnsi="Times New Roman" w:cs="Times New Roman"/>
          <w:color w:val="000000"/>
          <w:spacing w:val="0"/>
          <w:w w:val="100"/>
          <w:position w:val="0"/>
        </w:rPr>
        <w:t>72,297,972.36</w:t>
      </w:r>
      <w:r>
        <w:rPr>
          <w:color w:val="000000"/>
          <w:spacing w:val="0"/>
          <w:w w:val="100"/>
          <w:position w:val="0"/>
        </w:rPr>
        <w:t>元，共计 提减值准备</w:t>
      </w:r>
      <w:r>
        <w:rPr>
          <w:rFonts w:ascii="Times New Roman" w:eastAsia="Times New Roman" w:hAnsi="Times New Roman" w:cs="Times New Roman"/>
          <w:color w:val="000000"/>
          <w:spacing w:val="0"/>
          <w:w w:val="100"/>
          <w:position w:val="0"/>
        </w:rPr>
        <w:t>9,217,672.36</w:t>
      </w:r>
      <w:r>
        <w:rPr>
          <w:color w:val="000000"/>
          <w:spacing w:val="0"/>
          <w:w w:val="100"/>
          <w:position w:val="0"/>
        </w:rPr>
        <w:t>元。</w:t>
      </w:r>
    </w:p>
    <w:p>
      <w:pPr>
        <w:pStyle w:val="Style31"/>
        <w:keepNext/>
        <w:keepLines/>
        <w:widowControl w:val="0"/>
        <w:shd w:val="clear" w:color="auto" w:fill="auto"/>
        <w:bidi w:val="0"/>
        <w:spacing w:before="58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20"/>
      <w:bookmarkEnd w:id="1021"/>
      <w:bookmarkEnd w:id="10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110,697,164.66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110,697,164.66</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4"/>
      <w:bookmarkEnd w:id="1025"/>
      <w:bookmarkEnd w:id="10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宝德观澜数据中 心三期机房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110,030,800.85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110,030,800.85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飞水谷项目停车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666,363.81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110,697,164.66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110,697,164.66</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27"/>
      <w:bookmarkEnd w:id="1028"/>
      <w:bookmarkEnd w:id="10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宝德观 澜数据 中心三 期机房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110,030,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5,720,77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115,751,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飞水谷 项目停 车场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666,363.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110,697,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5,720,77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115,751,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30"/>
      <w:bookmarkEnd w:id="1031"/>
      <w:bookmarkEnd w:id="1033"/>
    </w:p>
    <w:p>
      <w:pPr>
        <w:pStyle w:val="Style37"/>
        <w:keepNext/>
        <w:keepLines/>
        <w:widowControl w:val="0"/>
        <w:shd w:val="clear" w:color="auto" w:fill="auto"/>
        <w:bidi w:val="0"/>
        <w:spacing w:before="0" w:after="340" w:line="240" w:lineRule="auto"/>
        <w:ind w:left="0" w:right="0" w:firstLine="0"/>
        <w:jc w:val="both"/>
      </w:pPr>
      <w:bookmarkStart w:id="1034" w:name="bookmark1034"/>
      <w:bookmarkStart w:id="1035" w:name="bookmark1035"/>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34"/>
      <w:bookmarkEnd w:id="1035"/>
      <w:bookmarkEnd w:id="1036"/>
      <w:r>
        <w:br w:type="page"/>
      </w:r>
    </w:p>
    <w:tbl>
      <w:tblPr>
        <w:tblOverlap w:val="never"/>
        <w:jc w:val="left"/>
        <w:tblLayout w:type="fixed"/>
      </w:tblPr>
      <w:tblGrid>
        <w:gridCol w:w="965"/>
        <w:gridCol w:w="960"/>
        <w:gridCol w:w="955"/>
        <w:gridCol w:w="955"/>
        <w:gridCol w:w="960"/>
        <w:gridCol w:w="955"/>
        <w:gridCol w:w="96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系统软件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运营工具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10,000,273.</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36,329,605.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337,250,410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2,336,186.8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413,118,405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5,086,605.3</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2,900,498.2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7,987,103.5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5,086,605.3</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2,900,498.2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7,987,103.5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15,086,878.</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36,329,605.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337,250,410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5,236,685.1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421,105,508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二、累计摊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3,775,109.1</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32,529,605.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229,074,254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27,193,595.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2,336,186.8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294,908,750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3,383,670.5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1,599,999.8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2,808,600.8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725,124.60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8,525,729.3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3,383,670.5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2,808,600.8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725,124.60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7,725,729.4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）类别调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）类别调 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799,999.92</w:t>
            </w:r>
          </w:p>
        </w:tc>
      </w:tr>
    </w:tbl>
    <w:p>
      <w:pPr>
        <w:spacing w:lineRule="exact" w:line="1"/>
        <w:rPr>
          <w:sz w:val="2"/>
          <w:szCs w:val="2"/>
        </w:rPr>
      </w:pPr>
      <w:r>
        <w:br w:type="page"/>
      </w:r>
    </w:p>
    <w:tbl>
      <w:tblPr>
        <w:tblOverlap w:val="never"/>
        <w:jc w:val="left"/>
        <w:tblLayout w:type="fixed"/>
      </w:tblPr>
      <w:tblGrid>
        <w:gridCol w:w="965"/>
        <w:gridCol w:w="960"/>
        <w:gridCol w:w="955"/>
        <w:gridCol w:w="955"/>
        <w:gridCol w:w="960"/>
        <w:gridCol w:w="955"/>
        <w:gridCol w:w="96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7,158,779.6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34,129,605.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231,082,854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3,061,311.4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302,634,480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106,167,555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106,167,555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7,928,099.2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2,200,000.1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2,175,373.6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12,303,473.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6,225,164.4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2,008,600.9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12,042,098.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24"/>
        <w:keepNext w:val="0"/>
        <w:keepLines w:val="0"/>
        <w:widowControl w:val="0"/>
        <w:shd w:val="clear" w:color="auto" w:fill="auto"/>
        <w:bidi w:val="0"/>
        <w:spacing w:before="0" w:after="80" w:line="36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前五名游戏情况</w:t>
      </w:r>
    </w:p>
    <w:tbl>
      <w:tblPr>
        <w:tblOverlap w:val="never"/>
        <w:jc w:val="center"/>
        <w:tblLayout w:type="fixed"/>
      </w:tblPr>
      <w:tblGrid>
        <w:gridCol w:w="1714"/>
        <w:gridCol w:w="1560"/>
        <w:gridCol w:w="1838"/>
        <w:gridCol w:w="1843"/>
        <w:gridCol w:w="1560"/>
        <w:gridCol w:w="102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SimSun" w:eastAsia="SimSun" w:hAnsi="SimSun" w:cs="SimSun"/>
                <w:b/>
                <w:bCs/>
                <w:color w:val="000000"/>
                <w:spacing w:val="0"/>
                <w:w w:val="100"/>
                <w:position w:val="0"/>
                <w:sz w:val="19"/>
                <w:szCs w:val="19"/>
              </w:rPr>
              <w:t>游戏名称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2020</w:t>
            </w:r>
            <w:r>
              <w:rPr>
                <w:rFonts w:ascii="SimSun" w:eastAsia="SimSun" w:hAnsi="SimSun" w:cs="SimSun"/>
                <w:b/>
                <w:bCs/>
                <w:color w:val="000000"/>
                <w:spacing w:val="0"/>
                <w:w w:val="100"/>
                <w:position w:val="0"/>
                <w:sz w:val="19"/>
                <w:szCs w:val="19"/>
              </w:rPr>
              <w:t>年账面余额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占游戏产品比重（%）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rFonts w:ascii="SimSun" w:eastAsia="SimSun" w:hAnsi="SimSun" w:cs="SimSun"/>
                <w:b/>
                <w:bCs/>
                <w:color w:val="000000"/>
                <w:spacing w:val="0"/>
                <w:w w:val="100"/>
                <w:position w:val="0"/>
                <w:sz w:val="19"/>
                <w:szCs w:val="19"/>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战争世界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39,615,912.46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21,435,888.06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18,180,024.40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兵王</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22,001,410.25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20,203,123.52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1,798,286.73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剑魂</w:t>
            </w:r>
            <w:r>
              <w:rPr>
                <w:color w:val="000000"/>
                <w:spacing w:val="0"/>
                <w:w w:val="100"/>
                <w:position w:val="0"/>
                <w:sz w:val="20"/>
                <w:szCs w:val="20"/>
              </w:rPr>
              <w:t>/</w:t>
            </w:r>
            <w:r>
              <w:rPr>
                <w:rFonts w:ascii="SimSun" w:eastAsia="SimSun" w:hAnsi="SimSun" w:cs="SimSun"/>
                <w:color w:val="000000"/>
                <w:spacing w:val="0"/>
                <w:w w:val="100"/>
                <w:position w:val="0"/>
                <w:sz w:val="19"/>
                <w:szCs w:val="19"/>
              </w:rPr>
              <w:t>裂天之刃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19,507,941.26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5,824,267.63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13,683,673.63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二战</w:t>
            </w:r>
            <w:r>
              <w:rPr>
                <w:color w:val="000000"/>
                <w:spacing w:val="0"/>
                <w:w w:val="100"/>
                <w:position w:val="0"/>
                <w:sz w:val="20"/>
                <w:szCs w:val="20"/>
              </w:rPr>
              <w:t>OL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15,237,047.69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7,680,812.55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7,556,235.14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热血世界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11,261,326.72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3,738,673.28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111,362,311.66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b/>
                <w:bCs/>
                <w:color w:val="000000"/>
                <w:spacing w:val="0"/>
                <w:w w:val="100"/>
                <w:position w:val="0"/>
                <w:sz w:val="20"/>
                <w:szCs w:val="20"/>
              </w:rPr>
              <w:t>33.02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66,405,418.48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44,956,893.18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r>
    </w:tbl>
    <w:p>
      <w:pPr>
        <w:pStyle w:val="Style3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037"/>
      <w:bookmarkEnd w:id="1038"/>
      <w:bookmarkEnd w:id="1039"/>
    </w:p>
    <w:p>
      <w:pPr>
        <w:pStyle w:val="Style37"/>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40"/>
      <w:bookmarkEnd w:id="1041"/>
      <w:bookmarkEnd w:id="104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77,605,352.01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77,605,352.01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深圳娱游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77,616,588.85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77,616,588.85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43"/>
      <w:bookmarkEnd w:id="1044"/>
      <w:bookmarkEnd w:id="104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53,121,168.77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12,513,243.80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65,634,412.57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53,121,168.77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12,513,243.80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65,634,412.57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深圳苏摩于评估基准日的评估范围，是形成商誉的深圳苏摩整体资产，该资产组与购买日及以前 年度商誉减值测试时所确定的资产组一致。</w:t>
      </w:r>
    </w:p>
    <w:p>
      <w:pPr>
        <w:pStyle w:val="Style49"/>
        <w:keepNext w:val="0"/>
        <w:keepLines w:val="0"/>
        <w:widowControl w:val="0"/>
        <w:shd w:val="clear" w:color="auto" w:fill="auto"/>
        <w:bidi w:val="0"/>
        <w:spacing w:before="0" w:after="1300" w:line="314" w:lineRule="exact"/>
        <w:ind w:left="0" w:right="0" w:firstLine="460"/>
        <w:jc w:val="both"/>
      </w:pPr>
      <w:r>
        <w:rPr>
          <w:color w:val="000000"/>
          <w:spacing w:val="0"/>
          <w:w w:val="100"/>
          <w:position w:val="0"/>
        </w:rPr>
        <w:t>上述资产组预计未来现金流量的现值（可收回金额）利用了北京北方亚事资产评估事务所（特殊 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日出具的北方亚事评报字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w:t>
      </w:r>
      <w:r>
        <w:rPr>
          <w:rFonts w:ascii="Times New Roman" w:eastAsia="Times New Roman" w:hAnsi="Times New Roman" w:cs="Times New Roman"/>
          <w:color w:val="000000"/>
          <w:spacing w:val="0"/>
          <w:w w:val="100"/>
          <w:position w:val="0"/>
        </w:rPr>
        <w:t>225</w:t>
      </w:r>
      <w:r>
        <w:rPr>
          <w:color w:val="000000"/>
          <w:spacing w:val="0"/>
          <w:w w:val="100"/>
          <w:position w:val="0"/>
        </w:rPr>
        <w:t>号《拟对合并深圳市苏摩科技有 限公司形成的商誉进行减值测试项目涉及的苏摩科技游戏业务资产组可回收金额资产评估报告书》的 评估结果。</w:t>
      </w:r>
    </w:p>
    <w:p>
      <w:pPr>
        <w:pStyle w:val="Style24"/>
        <w:keepNext w:val="0"/>
        <w:keepLines w:val="0"/>
        <w:widowControl w:val="0"/>
        <w:shd w:val="clear" w:color="auto" w:fill="auto"/>
        <w:bidi w:val="0"/>
        <w:spacing w:before="0" w:after="22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9"/>
        <w:keepNext w:val="0"/>
        <w:keepLines w:val="0"/>
        <w:widowControl w:val="0"/>
        <w:shd w:val="clear" w:color="auto" w:fill="auto"/>
        <w:bidi w:val="0"/>
        <w:spacing w:before="0" w:after="0" w:line="30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）特殊假设及方法</w:t>
      </w:r>
    </w:p>
    <w:p>
      <w:pPr>
        <w:pStyle w:val="Style49"/>
        <w:keepNext w:val="0"/>
        <w:keepLines w:val="0"/>
        <w:widowControl w:val="0"/>
        <w:shd w:val="clear" w:color="auto" w:fill="auto"/>
        <w:bidi w:val="0"/>
        <w:spacing w:before="0" w:after="160" w:line="317" w:lineRule="exact"/>
        <w:ind w:left="0" w:right="0" w:firstLine="460"/>
        <w:jc w:val="both"/>
      </w:pPr>
      <w:r>
        <w:rPr>
          <w:color w:val="000000"/>
          <w:spacing w:val="0"/>
          <w:w w:val="100"/>
          <w:position w:val="0"/>
        </w:rPr>
        <w:t>持续经营假设是评估对象的经营业务合法，并不会出现不可预见的因素导致其无法持续经营，被 评估资产现有用途不变并原地持续使用。</w:t>
      </w:r>
    </w:p>
    <w:p>
      <w:pPr>
        <w:pStyle w:val="Style49"/>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假设国家现行的宏观经济不发生重大变化；</w:t>
      </w:r>
    </w:p>
    <w:p>
      <w:pPr>
        <w:pStyle w:val="Style49"/>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假设资产组所处的社会经济环境以及所执行的税赋、税率等政策无重大变化；</w:t>
      </w:r>
    </w:p>
    <w:p>
      <w:pPr>
        <w:pStyle w:val="Style4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假设资产组的经营管理人员能恪尽职守，资产组继续保持现有的经营管理模式持续经营; </w:t>
      </w:r>
      <w:r>
        <w:rPr>
          <w:color w:val="000000"/>
          <w:spacing w:val="0"/>
          <w:w w:val="100"/>
          <w:position w:val="0"/>
        </w:rPr>
        <w:t>假设本次评估测算的各项参数取值是按照不变价格体系确定的，不考虑通货膨胀因素的影响。 假设在可预见经营期内，未考虑生产经营可能发生的非经常性损益，包括但不局限于以下项目：</w:t>
      </w:r>
    </w:p>
    <w:p>
      <w:pPr>
        <w:pStyle w:val="Style49"/>
        <w:keepNext w:val="0"/>
        <w:keepLines w:val="0"/>
        <w:widowControl w:val="0"/>
        <w:shd w:val="clear" w:color="auto" w:fill="auto"/>
        <w:bidi w:val="0"/>
        <w:spacing w:before="0" w:after="40" w:line="317" w:lineRule="exact"/>
        <w:ind w:left="0" w:right="0" w:firstLine="0"/>
        <w:jc w:val="left"/>
      </w:pPr>
      <w:r>
        <w:rPr>
          <w:color w:val="000000"/>
          <w:spacing w:val="0"/>
          <w:w w:val="100"/>
          <w:position w:val="0"/>
        </w:rPr>
        <w:t>处置长期股权投资、固定资产、在建工程、无形资产、其他长期资产产生的损益以及其他营业外收入、 支出。</w:t>
      </w:r>
    </w:p>
    <w:p>
      <w:pPr>
        <w:pStyle w:val="Style49"/>
        <w:keepNext w:val="0"/>
        <w:keepLines w:val="0"/>
        <w:widowControl w:val="0"/>
        <w:shd w:val="clear" w:color="auto" w:fill="auto"/>
        <w:bidi w:val="0"/>
        <w:spacing w:before="0" w:after="40" w:line="374" w:lineRule="exact"/>
        <w:ind w:left="0" w:right="0" w:firstLine="460"/>
        <w:jc w:val="left"/>
      </w:pPr>
      <w:r>
        <w:rPr>
          <w:color w:val="000000"/>
          <w:spacing w:val="0"/>
          <w:w w:val="100"/>
          <w:position w:val="0"/>
        </w:rPr>
        <w:t>假设不考虑未来股东或其他方追加投资对资产组价值的影响；</w:t>
      </w:r>
    </w:p>
    <w:p>
      <w:pPr>
        <w:pStyle w:val="Style49"/>
        <w:keepNext w:val="0"/>
        <w:keepLines w:val="0"/>
        <w:widowControl w:val="0"/>
        <w:shd w:val="clear" w:color="auto" w:fill="auto"/>
        <w:bidi w:val="0"/>
        <w:spacing w:before="0" w:after="40" w:line="374" w:lineRule="exact"/>
        <w:ind w:left="0" w:right="0" w:firstLine="460"/>
        <w:jc w:val="left"/>
      </w:pPr>
      <w:r>
        <w:rPr>
          <w:color w:val="000000"/>
          <w:spacing w:val="0"/>
          <w:w w:val="100"/>
          <w:position w:val="0"/>
        </w:rPr>
        <w:t>假设业务正常经营所需的相关批准文件能够及时取得；</w:t>
      </w:r>
    </w:p>
    <w:p>
      <w:pPr>
        <w:pStyle w:val="Style49"/>
        <w:keepNext w:val="0"/>
        <w:keepLines w:val="0"/>
        <w:widowControl w:val="0"/>
        <w:shd w:val="clear" w:color="auto" w:fill="auto"/>
        <w:bidi w:val="0"/>
        <w:spacing w:before="0" w:after="40" w:line="374" w:lineRule="exact"/>
        <w:ind w:left="0" w:right="0" w:firstLine="460"/>
        <w:jc w:val="left"/>
      </w:pPr>
      <w:r>
        <w:rPr>
          <w:color w:val="000000"/>
          <w:spacing w:val="0"/>
          <w:w w:val="100"/>
          <w:position w:val="0"/>
        </w:rPr>
        <w:t>假设评估过程中设定的特定运营模式可以延续；</w:t>
      </w:r>
    </w:p>
    <w:p>
      <w:pPr>
        <w:pStyle w:val="Style49"/>
        <w:keepNext w:val="0"/>
        <w:keepLines w:val="0"/>
        <w:widowControl w:val="0"/>
        <w:shd w:val="clear" w:color="auto" w:fill="auto"/>
        <w:bidi w:val="0"/>
        <w:spacing w:before="0" w:after="40" w:line="374" w:lineRule="exact"/>
        <w:ind w:left="0" w:right="0" w:firstLine="460"/>
        <w:jc w:val="left"/>
      </w:pPr>
      <w:r>
        <w:rPr>
          <w:color w:val="000000"/>
          <w:spacing w:val="0"/>
          <w:w w:val="100"/>
          <w:position w:val="0"/>
        </w:rPr>
        <w:t>假设评估对象所涉及资产的购置、取得、建造过程均符合国家有关法律法规规定；</w:t>
      </w:r>
    </w:p>
    <w:p>
      <w:pPr>
        <w:pStyle w:val="Style49"/>
        <w:keepNext w:val="0"/>
        <w:keepLines w:val="0"/>
        <w:widowControl w:val="0"/>
        <w:shd w:val="clear" w:color="auto" w:fill="auto"/>
        <w:bidi w:val="0"/>
        <w:spacing w:before="0" w:after="100" w:line="374" w:lineRule="exact"/>
        <w:ind w:left="0" w:right="0" w:firstLine="460"/>
        <w:jc w:val="left"/>
      </w:pPr>
      <w:r>
        <w:rPr>
          <w:color w:val="000000"/>
          <w:spacing w:val="0"/>
          <w:w w:val="100"/>
          <w:position w:val="0"/>
        </w:rPr>
        <w:t>假设评估基准日后被评估单位的现金流入为均匀流入，现金流出为均匀流出；</w:t>
      </w:r>
    </w:p>
    <w:p>
      <w:pPr>
        <w:pStyle w:val="Style49"/>
        <w:keepNext w:val="0"/>
        <w:keepLines w:val="0"/>
        <w:widowControl w:val="0"/>
        <w:shd w:val="clear" w:color="auto" w:fill="auto"/>
        <w:bidi w:val="0"/>
        <w:spacing w:before="0" w:after="40" w:line="298" w:lineRule="exact"/>
        <w:ind w:left="0" w:right="0" w:firstLine="460"/>
        <w:jc w:val="left"/>
      </w:pPr>
      <w:r>
        <w:rPr>
          <w:color w:val="000000"/>
          <w:spacing w:val="0"/>
          <w:w w:val="100"/>
          <w:position w:val="0"/>
        </w:rPr>
        <w:t>假设不考虑将来可能承担的抵押担保事宜，以及特殊的交易方可能追加付出的价格等对其评估价 值的影响</w:t>
      </w:r>
    </w:p>
    <w:p>
      <w:pPr>
        <w:pStyle w:val="Style49"/>
        <w:keepNext w:val="0"/>
        <w:keepLines w:val="0"/>
        <w:widowControl w:val="0"/>
        <w:shd w:val="clear" w:color="auto" w:fill="auto"/>
        <w:bidi w:val="0"/>
        <w:spacing w:before="0" w:after="0" w:line="432" w:lineRule="exact"/>
        <w:ind w:left="460" w:right="0" w:firstLine="0"/>
        <w:jc w:val="left"/>
      </w:pPr>
      <w:r>
        <w:rPr>
          <w:color w:val="000000"/>
          <w:spacing w:val="0"/>
          <w:w w:val="100"/>
          <w:position w:val="0"/>
        </w:rPr>
        <w:t>假设不考虑国家宏观经济政策发生变化以及遇有自然力和其它不可抗力对资产价格的影响。 假设预测期能继续免租使用中青宝的办公楼；</w:t>
      </w:r>
    </w:p>
    <w:p>
      <w:pPr>
        <w:pStyle w:val="Style49"/>
        <w:keepNext w:val="0"/>
        <w:keepLines w:val="0"/>
        <w:widowControl w:val="0"/>
        <w:shd w:val="clear" w:color="auto" w:fill="auto"/>
        <w:bidi w:val="0"/>
        <w:spacing w:before="0" w:after="40" w:line="432" w:lineRule="exact"/>
        <w:ind w:left="460" w:right="0" w:firstLine="0"/>
        <w:jc w:val="left"/>
      </w:pPr>
      <w:r>
        <w:rPr>
          <w:color w:val="000000"/>
          <w:spacing w:val="0"/>
          <w:w w:val="100"/>
          <w:position w:val="0"/>
        </w:rPr>
        <w:t>假设管理层、研发人员较为稳定、尽职尽责。</w:t>
      </w:r>
    </w:p>
    <w:p>
      <w:pPr>
        <w:pStyle w:val="Style49"/>
        <w:keepNext w:val="0"/>
        <w:keepLines w:val="0"/>
        <w:widowControl w:val="0"/>
        <w:shd w:val="clear" w:color="auto" w:fill="auto"/>
        <w:bidi w:val="0"/>
        <w:spacing w:before="0" w:after="100" w:line="432" w:lineRule="exact"/>
        <w:ind w:left="0" w:right="0" w:firstLine="460"/>
        <w:jc w:val="left"/>
      </w:pPr>
      <w:r>
        <w:rPr>
          <w:color w:val="000000"/>
          <w:spacing w:val="0"/>
          <w:w w:val="100"/>
          <w:position w:val="0"/>
        </w:rPr>
        <w:t>假设版号申请及审批维持现状，不会发生较大变化；</w:t>
      </w:r>
    </w:p>
    <w:p>
      <w:pPr>
        <w:pStyle w:val="Style49"/>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假设老友麻将、老友揭阳麻将、老友广东麻将、老友福建麻将授权到期后苏摩科技可以继续获得 授权；</w:t>
      </w:r>
    </w:p>
    <w:p>
      <w:pPr>
        <w:pStyle w:val="Style49"/>
        <w:keepNext w:val="0"/>
        <w:keepLines w:val="0"/>
        <w:widowControl w:val="0"/>
        <w:shd w:val="clear" w:color="auto" w:fill="auto"/>
        <w:bidi w:val="0"/>
        <w:spacing w:before="0" w:after="180" w:line="374" w:lineRule="exact"/>
        <w:ind w:left="0" w:right="0" w:firstLine="460"/>
        <w:jc w:val="left"/>
      </w:pPr>
      <w:r>
        <w:rPr>
          <w:color w:val="000000"/>
          <w:spacing w:val="0"/>
          <w:w w:val="100"/>
          <w:position w:val="0"/>
        </w:rPr>
        <w:t>假设小型微利企业的认定标准未来不会发生变化。</w:t>
      </w:r>
    </w:p>
    <w:p>
      <w:pPr>
        <w:pStyle w:val="Style49"/>
        <w:keepNext w:val="0"/>
        <w:keepLines w:val="0"/>
        <w:widowControl w:val="0"/>
        <w:shd w:val="clear" w:color="auto" w:fill="auto"/>
        <w:bidi w:val="0"/>
        <w:spacing w:before="0" w:after="40" w:line="360" w:lineRule="auto"/>
        <w:ind w:left="0" w:right="0" w:firstLine="460"/>
        <w:jc w:val="left"/>
      </w:pPr>
      <w:bookmarkStart w:id="1046" w:name="bookmark1046"/>
      <w:r>
        <w:rPr>
          <w:rFonts w:ascii="Times New Roman" w:eastAsia="Times New Roman" w:hAnsi="Times New Roman" w:cs="Times New Roman"/>
          <w:color w:val="000000"/>
          <w:spacing w:val="0"/>
          <w:w w:val="100"/>
          <w:position w:val="0"/>
        </w:rPr>
        <w:t>2</w:t>
      </w:r>
      <w:bookmarkEnd w:id="1046"/>
      <w:r>
        <w:rPr>
          <w:color w:val="000000"/>
          <w:spacing w:val="0"/>
          <w:w w:val="100"/>
          <w:position w:val="0"/>
        </w:rPr>
        <w:t>）关键参数</w:t>
      </w:r>
    </w:p>
    <w:tbl>
      <w:tblPr>
        <w:tblOverlap w:val="never"/>
        <w:jc w:val="left"/>
        <w:tblLayout w:type="fixed"/>
      </w:tblPr>
      <w:tblGrid>
        <w:gridCol w:w="1877"/>
        <w:gridCol w:w="1339"/>
        <w:gridCol w:w="1421"/>
        <w:gridCol w:w="1421"/>
        <w:gridCol w:w="1450"/>
        <w:gridCol w:w="124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单位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关键参数</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预测期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预测期增长率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稳定期增长率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b/>
                <w:bCs/>
                <w:color w:val="000000"/>
                <w:spacing w:val="0"/>
                <w:w w:val="100"/>
                <w:position w:val="0"/>
                <w:sz w:val="19"/>
                <w:szCs w:val="19"/>
              </w:rPr>
              <w:t xml:space="preserve">折现率（加权 平均资本成 本 </w:t>
            </w:r>
            <w:r>
              <w:rPr>
                <w:b/>
                <w:bCs/>
                <w:color w:val="000000"/>
                <w:spacing w:val="0"/>
                <w:w w:val="100"/>
                <w:position w:val="0"/>
                <w:sz w:val="20"/>
                <w:szCs w:val="20"/>
              </w:rPr>
              <w:t>WACC</w:t>
            </w:r>
            <w:r>
              <w:rPr>
                <w:rFonts w:ascii="SimSun" w:eastAsia="SimSun" w:hAnsi="SimSun" w:cs="SimSun"/>
                <w:b/>
                <w:bCs/>
                <w:color w:val="000000"/>
                <w:spacing w:val="0"/>
                <w:w w:val="100"/>
                <w:position w:val="0"/>
                <w:sz w:val="19"/>
                <w:szCs w:val="19"/>
              </w:rPr>
              <w:t>）</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2021 </w:t>
            </w:r>
            <w:r>
              <w:rPr>
                <w:rFonts w:ascii="SimSun" w:eastAsia="SimSun" w:hAnsi="SimSun" w:cs="SimSun"/>
                <w:color w:val="000000"/>
                <w:spacing w:val="0"/>
                <w:w w:val="100"/>
                <w:position w:val="0"/>
                <w:sz w:val="19"/>
                <w:szCs w:val="19"/>
              </w:rPr>
              <w:t>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注</w:t>
            </w:r>
            <w:r>
              <w:rPr>
                <w:color w:val="000000"/>
                <w:spacing w:val="0"/>
                <w:w w:val="100"/>
                <w:position w:val="0"/>
                <w:sz w:val="20"/>
                <w:szCs w:val="20"/>
              </w:rPr>
              <w:t>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持平</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根据预测的收 入、成本、费用</w:t>
            </w:r>
          </w:p>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等计算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11.11%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2022</w:t>
            </w:r>
            <w:r>
              <w:rPr>
                <w:rFonts w:ascii="SimSun" w:eastAsia="SimSun" w:hAnsi="SimSun" w:cs="SimSun"/>
                <w:color w:val="000000"/>
                <w:spacing w:val="0"/>
                <w:w w:val="100"/>
                <w:position w:val="0"/>
                <w:sz w:val="19"/>
                <w:szCs w:val="19"/>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11.17%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2023 </w:t>
            </w:r>
            <w:r>
              <w:rPr>
                <w:rFonts w:ascii="SimSun" w:eastAsia="SimSun" w:hAnsi="SimSun" w:cs="SimSun"/>
                <w:color w:val="000000"/>
                <w:spacing w:val="0"/>
                <w:w w:val="100"/>
                <w:position w:val="0"/>
                <w:sz w:val="19"/>
                <w:szCs w:val="19"/>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11.17%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2024</w:t>
            </w:r>
            <w:r>
              <w:rPr>
                <w:rFonts w:ascii="SimSun" w:eastAsia="SimSun" w:hAnsi="SimSun" w:cs="SimSun"/>
                <w:color w:val="000000"/>
                <w:spacing w:val="0"/>
                <w:w w:val="100"/>
                <w:position w:val="0"/>
                <w:sz w:val="19"/>
                <w:szCs w:val="19"/>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11.17%</w:t>
            </w:r>
          </w:p>
        </w:tc>
      </w:tr>
      <w:tr>
        <w:trPr>
          <w:trHeight w:val="67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20"/>
                <w:szCs w:val="20"/>
              </w:rPr>
              <w:t>2025</w:t>
            </w:r>
            <w:r>
              <w:rPr>
                <w:rFonts w:ascii="SimSun" w:eastAsia="SimSun" w:hAnsi="SimSun" w:cs="SimSun"/>
                <w:color w:val="000000"/>
                <w:spacing w:val="0"/>
                <w:w w:val="100"/>
                <w:position w:val="0"/>
                <w:sz w:val="19"/>
                <w:szCs w:val="19"/>
              </w:rPr>
              <w:t>年（后续为</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稳定期）</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11.19%</w:t>
            </w:r>
          </w:p>
        </w:tc>
      </w:tr>
    </w:tbl>
    <w:p>
      <w:pPr>
        <w:widowControl w:val="0"/>
        <w:spacing w:after="99" w:line="1" w:lineRule="exact"/>
      </w:pPr>
    </w:p>
    <w:p>
      <w:pPr>
        <w:pStyle w:val="Style49"/>
        <w:keepNext w:val="0"/>
        <w:keepLines w:val="0"/>
        <w:widowControl w:val="0"/>
        <w:shd w:val="clear" w:color="auto" w:fill="auto"/>
        <w:bidi w:val="0"/>
        <w:spacing w:before="0" w:after="200" w:line="310"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本次预测是在分析深圳苏摩历史数据的基础上确定基期数据，然后遵循我国现行的有关法 律、法规，根据国家宏观政策及地区的宏观经济状况，结合深圳苏摩的发展规划、经营计划及所面临 的市场环境和未来的发展前景等因素的综合分析对评估基准日未来五年的主营业务收入及其相关的 成本、费用、利润忽略经营的波动性进行预测。正在运营的几款游戏包括</w:t>
      </w:r>
      <w:r>
        <w:rPr>
          <w:rFonts w:ascii="Times New Roman" w:eastAsia="Times New Roman" w:hAnsi="Times New Roman" w:cs="Times New Roman"/>
          <w:color w:val="000000"/>
          <w:spacing w:val="0"/>
          <w:w w:val="100"/>
          <w:position w:val="0"/>
        </w:rPr>
        <w:t>WAP</w:t>
      </w:r>
      <w:r>
        <w:rPr>
          <w:color w:val="000000"/>
          <w:spacing w:val="0"/>
          <w:w w:val="100"/>
          <w:position w:val="0"/>
        </w:rPr>
        <w:t>非仙、非仙</w:t>
      </w:r>
      <w:r>
        <w:rPr>
          <w:rFonts w:ascii="Times New Roman" w:eastAsia="Times New Roman" w:hAnsi="Times New Roman" w:cs="Times New Roman"/>
          <w:color w:val="000000"/>
          <w:spacing w:val="0"/>
          <w:w w:val="100"/>
          <w:position w:val="0"/>
        </w:rPr>
        <w:t>H5</w:t>
      </w:r>
      <w:r>
        <w:rPr>
          <w:color w:val="000000"/>
          <w:spacing w:val="0"/>
          <w:w w:val="100"/>
          <w:position w:val="0"/>
        </w:rPr>
        <w:t>、</w:t>
      </w:r>
      <w:r>
        <w:rPr>
          <w:color w:val="000000"/>
          <w:spacing w:val="0"/>
          <w:w w:val="100"/>
          <w:position w:val="0"/>
        </w:rPr>
        <w:t>揭阳 麻将、老友福建麻将、老友广东麻将等。其中</w:t>
      </w:r>
      <w:r>
        <w:rPr>
          <w:rFonts w:ascii="Times New Roman" w:eastAsia="Times New Roman" w:hAnsi="Times New Roman" w:cs="Times New Roman"/>
          <w:color w:val="000000"/>
          <w:spacing w:val="0"/>
          <w:w w:val="100"/>
          <w:position w:val="0"/>
        </w:rPr>
        <w:t>WAP</w:t>
      </w:r>
      <w:r>
        <w:rPr>
          <w:color w:val="000000"/>
          <w:spacing w:val="0"/>
          <w:w w:val="100"/>
          <w:position w:val="0"/>
        </w:rPr>
        <w:t>非仙、非仙</w:t>
      </w:r>
      <w:r>
        <w:rPr>
          <w:rFonts w:ascii="Times New Roman" w:eastAsia="Times New Roman" w:hAnsi="Times New Roman" w:cs="Times New Roman"/>
          <w:color w:val="000000"/>
          <w:spacing w:val="0"/>
          <w:w w:val="100"/>
          <w:position w:val="0"/>
        </w:rPr>
        <w:t>H5</w:t>
      </w:r>
      <w:r>
        <w:rPr>
          <w:color w:val="000000"/>
          <w:spacing w:val="0"/>
          <w:w w:val="100"/>
          <w:position w:val="0"/>
        </w:rPr>
        <w:t>游戏上线时间超过</w:t>
      </w:r>
      <w:r>
        <w:rPr>
          <w:rFonts w:ascii="Times New Roman" w:eastAsia="Times New Roman" w:hAnsi="Times New Roman" w:cs="Times New Roman"/>
          <w:color w:val="000000"/>
          <w:spacing w:val="0"/>
          <w:w w:val="100"/>
          <w:position w:val="0"/>
        </w:rPr>
        <w:t>5</w:t>
      </w:r>
      <w:r>
        <w:rPr>
          <w:color w:val="000000"/>
          <w:spacing w:val="0"/>
          <w:w w:val="100"/>
          <w:position w:val="0"/>
        </w:rPr>
        <w:t>年，三年来，每 年均产生超过百万的流水，这两款游戏目前的主要人群是以往积累下来的老用户，随着时间的推移这 两款游戏的用户的年龄也逐渐变大，相较以前年度该部分用户的付费能力也会进一步的加大。揭阳麻 将、老友福建麻将、老友广东麻将这</w:t>
      </w:r>
      <w:r>
        <w:rPr>
          <w:rFonts w:ascii="Times New Roman" w:eastAsia="Times New Roman" w:hAnsi="Times New Roman" w:cs="Times New Roman"/>
          <w:color w:val="000000"/>
          <w:spacing w:val="0"/>
          <w:w w:val="100"/>
          <w:position w:val="0"/>
        </w:rPr>
        <w:t>3</w:t>
      </w:r>
      <w:r>
        <w:rPr>
          <w:color w:val="000000"/>
          <w:spacing w:val="0"/>
          <w:w w:val="100"/>
          <w:position w:val="0"/>
        </w:rPr>
        <w:t>款游戏为</w:t>
      </w:r>
      <w:r>
        <w:rPr>
          <w:rFonts w:ascii="Times New Roman" w:eastAsia="Times New Roman" w:hAnsi="Times New Roman" w:cs="Times New Roman"/>
          <w:color w:val="000000"/>
          <w:spacing w:val="0"/>
          <w:w w:val="100"/>
          <w:position w:val="0"/>
        </w:rPr>
        <w:t>2020</w:t>
      </w:r>
      <w:r>
        <w:rPr>
          <w:color w:val="000000"/>
          <w:spacing w:val="0"/>
          <w:w w:val="100"/>
          <w:position w:val="0"/>
        </w:rPr>
        <w:t>年新增的联营游戏，上线后市场反应较好，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年实际流水均呈现上升趋势，其题材主要是围绕地方麻将特色为主题的游戏，受众的群体广，预计未 来还会产生一定量的流水收入。因此，深圳苏摩</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rPr>
        <w:t>33%</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49"/>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商誉减值测试的影响</w:t>
      </w:r>
    </w:p>
    <w:p>
      <w:pPr>
        <w:pStyle w:val="Style49"/>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年收购深圳苏摩</w:t>
      </w:r>
      <w:r>
        <w:rPr>
          <w:rFonts w:ascii="Times New Roman" w:eastAsia="Times New Roman" w:hAnsi="Times New Roman" w:cs="Times New Roman"/>
          <w:color w:val="000000"/>
          <w:spacing w:val="0"/>
          <w:w w:val="100"/>
          <w:position w:val="0"/>
        </w:rPr>
        <w:t>51%</w:t>
      </w:r>
      <w:r>
        <w:rPr>
          <w:color w:val="000000"/>
          <w:spacing w:val="0"/>
          <w:w w:val="100"/>
          <w:position w:val="0"/>
        </w:rPr>
        <w:t>股权时所约定的业绩承诺期已结束。截至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日已计 提商誉减值准备</w:t>
      </w:r>
      <w:r>
        <w:rPr>
          <w:rFonts w:ascii="Times New Roman" w:eastAsia="Times New Roman" w:hAnsi="Times New Roman" w:cs="Times New Roman"/>
          <w:color w:val="000000"/>
          <w:spacing w:val="0"/>
          <w:w w:val="100"/>
          <w:position w:val="0"/>
        </w:rPr>
        <w:t>53,121,168.77</w:t>
      </w:r>
      <w:r>
        <w:rPr>
          <w:color w:val="000000"/>
          <w:spacing w:val="0"/>
          <w:w w:val="100"/>
          <w:position w:val="0"/>
        </w:rPr>
        <w:t>元。</w:t>
      </w:r>
    </w:p>
    <w:p>
      <w:pPr>
        <w:pStyle w:val="Style49"/>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根据北京北方亚事资产评估事务所（特殊普通合伙）于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日出具的北方亚事评报字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01-225</w:t>
      </w:r>
      <w:r>
        <w:rPr>
          <w:color w:val="000000"/>
          <w:spacing w:val="0"/>
          <w:w w:val="100"/>
          <w:position w:val="0"/>
        </w:rPr>
        <w:t>号《拟对合并深圳市苏摩科技有限公司形成的商誉进行减值测试项目涉及的苏摩科技游戏业 务资产组可回收金额资产评估报告书》的评估结果，截至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深圳苏摩与商誉相关的资 产组的账面价值为</w:t>
      </w:r>
      <w:r>
        <w:rPr>
          <w:rFonts w:ascii="Times New Roman" w:eastAsia="Times New Roman" w:hAnsi="Times New Roman" w:cs="Times New Roman"/>
          <w:color w:val="000000"/>
          <w:spacing w:val="0"/>
          <w:w w:val="100"/>
          <w:position w:val="0"/>
        </w:rPr>
        <w:t>3,389,569.72</w:t>
      </w:r>
      <w:r>
        <w:rPr>
          <w:color w:val="000000"/>
          <w:spacing w:val="0"/>
          <w:w w:val="100"/>
          <w:position w:val="0"/>
        </w:rPr>
        <w:t>元，包含未确认归属于少数股东权益的商誉价值为</w:t>
      </w:r>
      <w:r>
        <w:rPr>
          <w:rFonts w:ascii="Times New Roman" w:eastAsia="Times New Roman" w:hAnsi="Times New Roman" w:cs="Times New Roman"/>
          <w:color w:val="000000"/>
          <w:spacing w:val="0"/>
          <w:w w:val="100"/>
          <w:position w:val="0"/>
        </w:rPr>
        <w:t>48,008,202.43</w:t>
      </w:r>
      <w:r>
        <w:rPr>
          <w:color w:val="000000"/>
          <w:spacing w:val="0"/>
          <w:w w:val="100"/>
          <w:position w:val="0"/>
        </w:rPr>
        <w:t>元， 合计</w:t>
      </w:r>
      <w:r>
        <w:rPr>
          <w:rFonts w:ascii="Times New Roman" w:eastAsia="Times New Roman" w:hAnsi="Times New Roman" w:cs="Times New Roman"/>
          <w:color w:val="000000"/>
          <w:spacing w:val="0"/>
          <w:w w:val="100"/>
          <w:position w:val="0"/>
        </w:rPr>
        <w:t>51,397,772.15</w:t>
      </w:r>
      <w:r>
        <w:rPr>
          <w:color w:val="000000"/>
          <w:spacing w:val="0"/>
          <w:w w:val="100"/>
          <w:position w:val="0"/>
        </w:rPr>
        <w:t>元，商誉资产组可收回金额为</w:t>
      </w:r>
      <w:r>
        <w:rPr>
          <w:rFonts w:ascii="Times New Roman" w:eastAsia="Times New Roman" w:hAnsi="Times New Roman" w:cs="Times New Roman"/>
          <w:color w:val="000000"/>
          <w:spacing w:val="0"/>
          <w:w w:val="100"/>
          <w:position w:val="0"/>
        </w:rPr>
        <w:t>26,862,000.00</w:t>
      </w:r>
      <w:r>
        <w:rPr>
          <w:color w:val="000000"/>
          <w:spacing w:val="0"/>
          <w:w w:val="100"/>
          <w:position w:val="0"/>
        </w:rPr>
        <w:t xml:space="preserve">元，确认整体商誉减值金额为 </w:t>
      </w:r>
      <w:r>
        <w:rPr>
          <w:rFonts w:ascii="Times New Roman" w:eastAsia="Times New Roman" w:hAnsi="Times New Roman" w:cs="Times New Roman"/>
          <w:color w:val="000000"/>
          <w:spacing w:val="0"/>
          <w:w w:val="100"/>
          <w:position w:val="0"/>
        </w:rPr>
        <w:t>24,535,772.15</w:t>
      </w:r>
      <w:r>
        <w:rPr>
          <w:color w:val="000000"/>
          <w:spacing w:val="0"/>
          <w:w w:val="100"/>
          <w:position w:val="0"/>
        </w:rPr>
        <w:t>元。</w:t>
      </w:r>
    </w:p>
    <w:p>
      <w:pPr>
        <w:pStyle w:val="Style49"/>
        <w:keepNext w:val="0"/>
        <w:keepLines w:val="0"/>
        <w:widowControl w:val="0"/>
        <w:shd w:val="clear" w:color="auto" w:fill="auto"/>
        <w:bidi w:val="0"/>
        <w:spacing w:before="0" w:after="200" w:line="311" w:lineRule="exact"/>
        <w:ind w:left="0" w:right="0" w:firstLine="460"/>
        <w:jc w:val="both"/>
      </w:pPr>
      <w:r>
        <w:rPr>
          <w:color w:val="000000"/>
          <w:spacing w:val="0"/>
          <w:w w:val="100"/>
          <w:position w:val="0"/>
        </w:rPr>
        <w:t>经测试，公司收购深圳苏摩形成的商誉本年应计提减值</w:t>
      </w:r>
      <w:r>
        <w:rPr>
          <w:rFonts w:ascii="Times New Roman" w:eastAsia="Times New Roman" w:hAnsi="Times New Roman" w:cs="Times New Roman"/>
          <w:color w:val="000000"/>
          <w:spacing w:val="0"/>
          <w:w w:val="100"/>
          <w:position w:val="0"/>
        </w:rPr>
        <w:t>12,513,243.8</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49"/>
        <w:keepNext w:val="0"/>
        <w:keepLines w:val="0"/>
        <w:widowControl w:val="0"/>
        <w:shd w:val="clear" w:color="auto" w:fill="auto"/>
        <w:bidi w:val="0"/>
        <w:spacing w:before="0" w:after="160" w:line="312" w:lineRule="exact"/>
        <w:ind w:left="0" w:right="0" w:firstLine="460"/>
        <w:jc w:val="both"/>
      </w:pPr>
      <w:r>
        <w:rPr>
          <w:color w:val="000000"/>
          <w:spacing w:val="0"/>
          <w:w w:val="100"/>
          <w:position w:val="0"/>
        </w:rPr>
        <w:t>公司期末对与商誉相关的各资产组进行了减值测试，首先将该商誉及归属于少数股东权益的商誉 包括在内，调整各资产组的账面价值，然后将调整后的各资产组账面价值与其可收回金额进行比较， 以确定各资产组（包括商誉）是否发生了减值。</w:t>
      </w:r>
    </w:p>
    <w:p>
      <w:pPr>
        <w:pStyle w:val="Style27"/>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商誉减值测试情况表:</w:t>
      </w:r>
    </w:p>
    <w:tbl>
      <w:tblPr>
        <w:tblOverlap w:val="never"/>
        <w:jc w:val="left"/>
        <w:tblLayout w:type="fixed"/>
      </w:tblPr>
      <w:tblGrid>
        <w:gridCol w:w="5429"/>
        <w:gridCol w:w="33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深圳苏摩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商誉账面余额（</w:t>
            </w:r>
            <w:r>
              <w:rPr>
                <w:color w:val="000000"/>
                <w:spacing w:val="0"/>
                <w:w w:val="100"/>
                <w:position w:val="0"/>
                <w:sz w:val="20"/>
                <w:szCs w:val="20"/>
              </w:rPr>
              <w:t>1</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77,605,352.01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商誉减值准备余额（</w:t>
            </w:r>
            <w:r>
              <w:rPr>
                <w:color w:val="000000"/>
                <w:spacing w:val="0"/>
                <w:w w:val="100"/>
                <w:position w:val="0"/>
                <w:sz w:val="20"/>
                <w:szCs w:val="20"/>
              </w:rPr>
              <w:t>2</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53,121,168.77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商誉的账面价值（</w:t>
            </w:r>
            <w:r>
              <w:rPr>
                <w:color w:val="000000"/>
                <w:spacing w:val="0"/>
                <w:w w:val="100"/>
                <w:position w:val="0"/>
                <w:sz w:val="20"/>
                <w:szCs w:val="20"/>
              </w:rPr>
              <w:t>3</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1</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2</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24,484,183.24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未确认归属于少数股东权益的商誉价值（</w:t>
            </w:r>
            <w:r>
              <w:rPr>
                <w:color w:val="000000"/>
                <w:spacing w:val="0"/>
                <w:w w:val="100"/>
                <w:position w:val="0"/>
                <w:sz w:val="20"/>
                <w:szCs w:val="20"/>
              </w:rPr>
              <w:t>4</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23,524,019.19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包含未确认少数股东权益的商誉价值（</w:t>
            </w:r>
            <w:r>
              <w:rPr>
                <w:color w:val="000000"/>
                <w:spacing w:val="0"/>
                <w:w w:val="100"/>
                <w:position w:val="0"/>
                <w:sz w:val="20"/>
                <w:szCs w:val="20"/>
              </w:rPr>
              <w:t>5</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3</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4</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48,008,202.43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资产组的账面价值（</w:t>
            </w:r>
            <w:r>
              <w:rPr>
                <w:color w:val="000000"/>
                <w:spacing w:val="0"/>
                <w:w w:val="100"/>
                <w:position w:val="0"/>
                <w:sz w:val="20"/>
                <w:szCs w:val="20"/>
              </w:rPr>
              <w:t>6</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3,389,569.72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包含整体商誉的资产组的公允价值（</w:t>
            </w:r>
            <w:r>
              <w:rPr>
                <w:color w:val="000000"/>
                <w:spacing w:val="0"/>
                <w:w w:val="100"/>
                <w:position w:val="0"/>
                <w:sz w:val="20"/>
                <w:szCs w:val="20"/>
              </w:rPr>
              <w:t>7</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5</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6</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51,397,772.15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资产组预计未来现金流量的现值（可收回金额）（</w:t>
            </w:r>
            <w:r>
              <w:rPr>
                <w:color w:val="000000"/>
                <w:spacing w:val="0"/>
                <w:w w:val="100"/>
                <w:position w:val="0"/>
                <w:sz w:val="20"/>
                <w:szCs w:val="20"/>
              </w:rPr>
              <w:t>8</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26,862,000.00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整体商誉减值损失（大于</w:t>
            </w:r>
            <w:r>
              <w:rPr>
                <w:color w:val="000000"/>
                <w:spacing w:val="0"/>
                <w:w w:val="100"/>
                <w:position w:val="0"/>
                <w:sz w:val="20"/>
                <w:szCs w:val="20"/>
              </w:rPr>
              <w:t>0</w:t>
            </w:r>
            <w:r>
              <w:rPr>
                <w:rFonts w:ascii="SimSun" w:eastAsia="SimSun" w:hAnsi="SimSun" w:cs="SimSun"/>
                <w:color w:val="000000"/>
                <w:spacing w:val="0"/>
                <w:w w:val="100"/>
                <w:position w:val="0"/>
                <w:sz w:val="19"/>
                <w:szCs w:val="19"/>
              </w:rPr>
              <w:t>时）（</w:t>
            </w:r>
            <w:r>
              <w:rPr>
                <w:color w:val="000000"/>
                <w:spacing w:val="0"/>
                <w:w w:val="100"/>
                <w:position w:val="0"/>
                <w:sz w:val="20"/>
                <w:szCs w:val="20"/>
              </w:rPr>
              <w:t>9</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7</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8</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24,535,772.15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按比例计算应确认的当期商誉减值损失（</w:t>
            </w:r>
            <w:r>
              <w:rPr>
                <w:color w:val="000000"/>
                <w:spacing w:val="0"/>
                <w:w w:val="100"/>
                <w:position w:val="0"/>
                <w:sz w:val="20"/>
                <w:szCs w:val="20"/>
              </w:rPr>
              <w:t>10</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 xml:space="preserve">= </w:t>
            </w:r>
            <w:r>
              <w:rPr>
                <w:rFonts w:ascii="SimSun" w:eastAsia="SimSun" w:hAnsi="SimSun" w:cs="SimSun"/>
                <w:color w:val="000000"/>
                <w:spacing w:val="0"/>
                <w:w w:val="100"/>
                <w:position w:val="0"/>
                <w:sz w:val="19"/>
                <w:szCs w:val="19"/>
              </w:rPr>
              <w:t>（</w:t>
            </w:r>
            <w:r>
              <w:rPr>
                <w:color w:val="000000"/>
                <w:spacing w:val="0"/>
                <w:w w:val="100"/>
                <w:position w:val="0"/>
                <w:sz w:val="20"/>
                <w:szCs w:val="20"/>
              </w:rPr>
              <w:t>9</w:t>
            </w:r>
            <w:r>
              <w:rPr>
                <w:rFonts w:ascii="SimSun" w:eastAsia="SimSun" w:hAnsi="SimSun" w:cs="SimSun"/>
                <w:color w:val="000000"/>
                <w:spacing w:val="0"/>
                <w:w w:val="100"/>
                <w:position w:val="0"/>
                <w:sz w:val="19"/>
                <w:szCs w:val="19"/>
              </w:rPr>
              <w:t xml:space="preserve">） </w:t>
            </w:r>
            <w:r>
              <w:rPr>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12,513,243.80</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047" w:name="bookmark1047"/>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、长期待摊费用</w:t>
      </w:r>
      <w:bookmarkEnd w:id="1047"/>
    </w:p>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10,820,213.63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2,036,041.13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3,533,003.90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9,323,250.86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版权金代理费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9,677,560.64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4,716,981.15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8,662,586.79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5,731,955.00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1,201,075.08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353,039.93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343,068.14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386,884.03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824,162.84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426,780.66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22,671,069.00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7,175,695.45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13,153,731.06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386,884.03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16,306,149.36</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8"/>
      <w:bookmarkEnd w:id="1049"/>
      <w:bookmarkEnd w:id="1051"/>
    </w:p>
    <w:p>
      <w:pPr>
        <w:pStyle w:val="Style37"/>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52"/>
      <w:bookmarkEnd w:id="1053"/>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46,347,236.02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6,930,741.34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24,493,655.77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3,692,905.26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49,420.16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46,869,342.83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7,030,401.42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65,795,043.19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9,869,256.48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无形资产摊销额大于税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法摊销未转回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52,226,072.55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7,833,910.88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67,730,786.71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10,159,618.01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广告费用超支部分未转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9,322,119.96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2,091,503.20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12,504,484.79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2,607,843.61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1,173,804.27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9,670,794.42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1,450,619.16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4,666,479.38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699,971.91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162,832,446.45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25,096,708.11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185,190,711.99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28,529,634.59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55"/>
      <w:bookmarkEnd w:id="1056"/>
      <w:bookmarkEnd w:id="10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因长期股权投资转为可 供出售金融资产按公允 价值重新计量确认的递 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179,982,226.70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179,982,226.70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179,982,226.70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179,982,226.70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r>
    </w:tbl>
    <w:p>
      <w:pPr>
        <w:widowControl w:val="0"/>
        <w:spacing w:after="319" w:line="1" w:lineRule="exact"/>
      </w:pPr>
    </w:p>
    <w:p>
      <w:pPr>
        <w:pStyle w:val="Style37"/>
        <w:keepNext/>
        <w:keepLines/>
        <w:widowControl w:val="0"/>
        <w:numPr>
          <w:ilvl w:val="0"/>
          <w:numId w:val="37"/>
        </w:numPr>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未确认递延所得税资产明细</w:t>
      </w:r>
      <w:bookmarkEnd w:id="1058"/>
      <w:bookmarkEnd w:id="1059"/>
      <w:bookmarkEnd w:id="106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150,816,479.96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66,062,433.12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49,187,838.95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35,228,073.69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200,004,318.91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101,290,506.81</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062"/>
      <w:bookmarkEnd w:id="1063"/>
      <w:bookmarkEnd w:id="106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1,292,032.71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28,766,343.70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30,692,190.46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11,743,221.35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2,897,552.65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6,317,545.06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10,830,396.74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24,125,752.34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20,350,260.56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年到期（</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79,863,617.51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150,816,479.96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66,062,433.12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59" w:line="1" w:lineRule="exact"/>
      </w:pPr>
    </w:p>
    <w:p>
      <w:pPr>
        <w:pStyle w:val="Style31"/>
        <w:keepNext/>
        <w:keepLines/>
        <w:widowControl w:val="0"/>
        <w:shd w:val="clear" w:color="auto" w:fill="auto"/>
        <w:bidi w:val="0"/>
        <w:spacing w:before="0" w:after="40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066"/>
      <w:bookmarkEnd w:id="1067"/>
      <w:bookmarkEnd w:id="106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预付游戏定制费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2,797,967.73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4,891,386.13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4,891,386.13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163,122.50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38,689,353.8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38,689,353.8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659" w:line="1" w:lineRule="exact"/>
      </w:pPr>
    </w:p>
    <w:p>
      <w:pPr>
        <w:pStyle w:val="Style31"/>
        <w:keepNext/>
        <w:keepLines/>
        <w:widowControl w:val="0"/>
        <w:shd w:val="clear" w:color="auto" w:fill="auto"/>
        <w:bidi w:val="0"/>
        <w:spacing w:before="0" w:after="34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070"/>
      <w:bookmarkEnd w:id="1071"/>
      <w:bookmarkEnd w:id="1073"/>
    </w:p>
    <w:p>
      <w:pPr>
        <w:pStyle w:val="Style37"/>
        <w:keepNext/>
        <w:keepLines/>
        <w:widowControl w:val="0"/>
        <w:shd w:val="clear" w:color="auto" w:fill="auto"/>
        <w:bidi w:val="0"/>
        <w:spacing w:before="0" w:after="400" w:line="240" w:lineRule="auto"/>
        <w:ind w:left="0" w:right="0" w:firstLine="0"/>
        <w:jc w:val="left"/>
      </w:pPr>
      <w:bookmarkStart w:id="1074" w:name="bookmark1074"/>
      <w:bookmarkStart w:id="1075" w:name="bookmark1075"/>
      <w:bookmarkStart w:id="1076" w:name="bookmark1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74"/>
      <w:bookmarkEnd w:id="1075"/>
      <w:bookmarkEnd w:id="107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95,126,270.83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132,638,692.36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120,761,034.48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132,638,692.36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215,887,305.31</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77"/>
      <w:bookmarkEnd w:id="1078"/>
      <w:bookmarkEnd w:id="1080"/>
    </w:p>
    <w:p>
      <w:pPr>
        <w:pStyle w:val="Style37"/>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81"/>
      <w:bookmarkEnd w:id="1082"/>
      <w:bookmarkEnd w:id="108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18,810,900.16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50,321,415.65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应付软件费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3,909,568.00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44,173,320.00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14,031,973.26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23,953,667.20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应付带宽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4,381,891.73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16,308,941.78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4,939,731.13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5,224,833.80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4,946,700.76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4,553,532.46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2,709,045.84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3,966,583.02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文旅服务成本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3,443,565.40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3,443,334.04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1,812,807.94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2,984,087.54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1,597,323.82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应付服务器托管费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495,519.08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1,675,433.30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应付机柜租赁费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10,931,918.94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73,517,621.21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155,851,627.92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84"/>
      <w:bookmarkEnd w:id="1085"/>
      <w:bookmarkEnd w:id="108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31"/>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087"/>
      <w:bookmarkEnd w:id="1088"/>
      <w:bookmarkEnd w:id="109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预收云服务业务款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2,972,927.65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3,964,746.56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预收游戏业务款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2,856,394.11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2,675,623.38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预收文旅业务款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316,771.59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6,041,866.15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6,957,141.53</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91"/>
      <w:bookmarkEnd w:id="1092"/>
      <w:bookmarkEnd w:id="1094"/>
    </w:p>
    <w:p>
      <w:pPr>
        <w:pStyle w:val="Style3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95"/>
      <w:bookmarkEnd w:id="1096"/>
      <w:bookmarkEnd w:id="10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4,026,825.36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65,193,547.06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62,022,196.99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4,028,354.36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65,607,473.59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62,437,652.52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98"/>
      <w:bookmarkEnd w:id="1099"/>
      <w:bookmarkEnd w:id="1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4,025,227.48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59,196,539.91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56,023,591.96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4,087,393.55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4,087,393.55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1,133,191.26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1,134,239.14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1,041,591.37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86,334.69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86,350.09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744,616.45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745,166.45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18,333.62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13,472.27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13,472.27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4,026,825.36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65,193,547.06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62,022,196.99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01"/>
      <w:bookmarkEnd w:id="1102"/>
      <w:bookmarkEnd w:id="1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361,520.65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367,455.53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05"/>
      <w:bookmarkEnd w:id="1106"/>
      <w:bookmarkEnd w:id="110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9,788,893.40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11,918,880.82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25,676,692.82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20,863,849.16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2,867,936.29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5,841,844.67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422,800.67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301,992.90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38,787,089.01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39,350,530.02</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09"/>
      <w:bookmarkEnd w:id="1110"/>
      <w:bookmarkEnd w:id="111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61,390,736.90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129,011,651.03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61,433,928.70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129,047,631.03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13"/>
      <w:bookmarkEnd w:id="1114"/>
      <w:bookmarkEnd w:id="111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35,980.00</w:t>
            </w:r>
          </w:p>
        </w:tc>
      </w:tr>
    </w:tbl>
    <w:p>
      <w:pPr>
        <w:widowControl w:val="0"/>
        <w:spacing w:after="679" w:line="1" w:lineRule="exact"/>
      </w:pPr>
    </w:p>
    <w:p>
      <w:pPr>
        <w:pStyle w:val="Style37"/>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16"/>
      <w:bookmarkEnd w:id="1117"/>
      <w:bookmarkEnd w:id="1118"/>
    </w:p>
    <w:p>
      <w:pPr>
        <w:pStyle w:val="Style76"/>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19"/>
      <w:bookmarkEnd w:id="1120"/>
      <w:bookmarkEnd w:id="112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21,284,774.30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17,943,478.72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待退回百度充值款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17,308,951.66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7,458,634.40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13,785,726.00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4,215,835.41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2,007,225.29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2,021,622.86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91,159,812.49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1,636,798.23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1,653,207.40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651,493.98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1,080,450.98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1,812,626.06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1,381,750.15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61,390,736.90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129,011,651.03</w:t>
            </w:r>
          </w:p>
        </w:tc>
      </w:tr>
    </w:tbl>
    <w:p>
      <w:pPr>
        <w:widowControl w:val="0"/>
        <w:spacing w:after="299" w:line="1" w:lineRule="exact"/>
      </w:pPr>
    </w:p>
    <w:p>
      <w:pPr>
        <w:pStyle w:val="Style7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22"/>
      <w:bookmarkEnd w:id="1123"/>
      <w:bookmarkEnd w:id="112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31"/>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125"/>
      <w:bookmarkEnd w:id="1126"/>
      <w:bookmarkEnd w:id="112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159,213.76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237,884.79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159,213.76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237,884.79</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129"/>
      <w:bookmarkEnd w:id="1130"/>
      <w:bookmarkEnd w:id="113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1,643,333.47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尚未满足确认损益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的政府补助</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16,302,940.23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560,051,222.62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569,112,134.57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7,242,028.28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预收的游戏卡收入 和广告推广代理充 值款未实现收入产 生的递延收益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17,946,273.70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560,051,222.62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570,172,134.53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7,825,361.79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虚拟化技术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1,583,333.47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583,333.51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幻世英雄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1,643,333.47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583,333.51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133"/>
      <w:bookmarkEnd w:id="1134"/>
      <w:bookmarkEnd w:id="11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263,269,300.00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263,034,300.00</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136"/>
      <w:bookmarkEnd w:id="1137"/>
      <w:bookmarkEnd w:id="11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278,442,633.10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1,218,840.00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277,223,793.10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105,710,214.69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105,499,436.26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）未行权的股份支付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4,666,479.38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635,257.88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4,031,221.50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110,376,694.07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846,036.31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109,530,657.76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388,819,327.17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2,064,876.31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386,754,450.86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49"/>
        <w:keepNext w:val="0"/>
        <w:keepLines w:val="0"/>
        <w:widowControl w:val="0"/>
        <w:shd w:val="clear" w:color="auto" w:fill="auto"/>
        <w:bidi w:val="0"/>
        <w:spacing w:before="0" w:after="780" w:line="312" w:lineRule="exact"/>
        <w:ind w:left="0" w:right="0" w:firstLine="460"/>
        <w:jc w:val="both"/>
      </w:pPr>
      <w:r>
        <w:rPr>
          <w:color w:val="000000"/>
          <w:spacing w:val="0"/>
          <w:w w:val="100"/>
          <w:position w:val="0"/>
        </w:rPr>
        <w:t>股本溢价减少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,218,840.00</w:t>
      </w:r>
      <w:r>
        <w:rPr>
          <w:color w:val="000000"/>
          <w:spacing w:val="0"/>
          <w:w w:val="100"/>
          <w:position w:val="0"/>
        </w:rPr>
        <w:t>元，系本年员工离职回购部分限制性股票</w:t>
      </w:r>
      <w:r>
        <w:rPr>
          <w:rFonts w:ascii="Times New Roman" w:eastAsia="Times New Roman" w:hAnsi="Times New Roman" w:cs="Times New Roman"/>
          <w:color w:val="000000"/>
          <w:spacing w:val="0"/>
          <w:w w:val="100"/>
          <w:position w:val="0"/>
        </w:rPr>
        <w:t>23.5</w:t>
      </w:r>
      <w:r>
        <w:rPr>
          <w:color w:val="000000"/>
          <w:spacing w:val="0"/>
          <w:w w:val="100"/>
          <w:position w:val="0"/>
        </w:rPr>
        <w:t xml:space="preserve">万股，回购价分别为每股 </w:t>
      </w:r>
      <w:r>
        <w:rPr>
          <w:rFonts w:ascii="Times New Roman" w:eastAsia="Times New Roman" w:hAnsi="Times New Roman" w:cs="Times New Roman"/>
          <w:color w:val="000000"/>
          <w:spacing w:val="0"/>
          <w:w w:val="100"/>
          <w:position w:val="0"/>
        </w:rPr>
        <w:t>6.20</w:t>
      </w:r>
      <w:r>
        <w:rPr>
          <w:color w:val="000000"/>
          <w:spacing w:val="0"/>
          <w:w w:val="100"/>
          <w:position w:val="0"/>
        </w:rPr>
        <w:t>和</w:t>
      </w:r>
      <w:r>
        <w:rPr>
          <w:rFonts w:ascii="Times New Roman" w:eastAsia="Times New Roman" w:hAnsi="Times New Roman" w:cs="Times New Roman"/>
          <w:color w:val="000000"/>
          <w:spacing w:val="0"/>
          <w:w w:val="100"/>
          <w:position w:val="0"/>
        </w:rPr>
        <w:t>6.18</w:t>
      </w:r>
      <w:r>
        <w:rPr>
          <w:color w:val="000000"/>
          <w:spacing w:val="0"/>
          <w:w w:val="100"/>
          <w:position w:val="0"/>
        </w:rPr>
        <w:t>元，股票面值</w:t>
      </w:r>
      <w:r>
        <w:rPr>
          <w:rFonts w:ascii="Times New Roman" w:eastAsia="Times New Roman" w:hAnsi="Times New Roman" w:cs="Times New Roman"/>
          <w:color w:val="000000"/>
          <w:spacing w:val="0"/>
          <w:w w:val="100"/>
          <w:position w:val="0"/>
        </w:rPr>
        <w:t>1</w:t>
      </w:r>
      <w:r>
        <w:rPr>
          <w:color w:val="000000"/>
          <w:spacing w:val="0"/>
          <w:w w:val="100"/>
          <w:position w:val="0"/>
        </w:rPr>
        <w:t>元，合计影响股本溢价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,218,840.00</w:t>
      </w:r>
      <w:r>
        <w:rPr>
          <w:color w:val="000000"/>
          <w:spacing w:val="0"/>
          <w:w w:val="100"/>
          <w:position w:val="0"/>
        </w:rPr>
        <w:t>元。其他资本公积减少系未行权股份的员 工期权费用影响</w:t>
      </w:r>
      <w:r>
        <w:rPr>
          <w:rFonts w:ascii="Times New Roman" w:eastAsia="Times New Roman" w:hAnsi="Times New Roman" w:cs="Times New Roman"/>
          <w:color w:val="000000"/>
          <w:spacing w:val="0"/>
          <w:w w:val="100"/>
          <w:position w:val="0"/>
        </w:rPr>
        <w:t>635,257.88</w:t>
      </w:r>
      <w:r>
        <w:rPr>
          <w:color w:val="000000"/>
          <w:spacing w:val="0"/>
          <w:w w:val="100"/>
          <w:position w:val="0"/>
        </w:rPr>
        <w:t>元以及收购子公司深圳创想时空少数股权</w:t>
      </w:r>
      <w:r>
        <w:rPr>
          <w:rFonts w:ascii="Times New Roman" w:eastAsia="Times New Roman" w:hAnsi="Times New Roman" w:cs="Times New Roman"/>
          <w:color w:val="000000"/>
          <w:spacing w:val="0"/>
          <w:w w:val="100"/>
          <w:position w:val="0"/>
        </w:rPr>
        <w:t>30%</w:t>
      </w:r>
      <w:r>
        <w:rPr>
          <w:color w:val="000000"/>
          <w:spacing w:val="0"/>
          <w:w w:val="100"/>
          <w:position w:val="0"/>
        </w:rPr>
        <w:t>的影响</w:t>
      </w:r>
      <w:r>
        <w:rPr>
          <w:rFonts w:ascii="Times New Roman" w:eastAsia="Times New Roman" w:hAnsi="Times New Roman" w:cs="Times New Roman"/>
          <w:color w:val="000000"/>
          <w:spacing w:val="0"/>
          <w:w w:val="100"/>
          <w:position w:val="0"/>
        </w:rPr>
        <w:t>210,778.43</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140"/>
      <w:bookmarkEnd w:id="1141"/>
      <w:bookmarkEnd w:id="114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13,785,726.00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6,544,091.60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7,241,634.40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13,785,726.00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6,544,091.60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7,241,634.40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144"/>
      <w:bookmarkEnd w:id="1145"/>
      <w:bookmarkEnd w:id="114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-34,851,078.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6,992,086.</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-34,851,078.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6,992,086.</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-4,085,212.4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3,721,339.</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3,721,339.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-4,085,212.4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3,721,339.</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3,721,339.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-38,936,290.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8,074,887.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4,804,140.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150.02</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148"/>
      <w:bookmarkEnd w:id="1149"/>
      <w:bookmarkEnd w:id="11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55,838,543.29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55,838,543.29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152"/>
      <w:bookmarkEnd w:id="1153"/>
      <w:bookmarkEnd w:id="115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133,239,250.29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133,239,250.29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-133,330,487.45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51,723,043.25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766,273.37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5,259,146.00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5,256,752.00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加：其他调整因素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-8,074,887.45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32,274,747.27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40" w:line="240" w:lineRule="auto"/>
        <w:ind w:left="0" w:right="0" w:firstLine="0"/>
        <w:jc w:val="left"/>
      </w:pPr>
      <w:bookmarkStart w:id="1156" w:name="bookmark1156"/>
      <w:r>
        <w:rPr>
          <w:rFonts w:ascii="Times New Roman" w:eastAsia="Times New Roman" w:hAnsi="Times New Roman" w:cs="Times New Roman"/>
          <w:color w:val="000000"/>
          <w:spacing w:val="0"/>
          <w:w w:val="100"/>
          <w:position w:val="0"/>
          <w:sz w:val="18"/>
          <w:szCs w:val="18"/>
        </w:rPr>
        <w:t>1</w:t>
      </w:r>
      <w:bookmarkEnd w:id="11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157" w:name="bookmark1157"/>
      <w:r>
        <w:rPr>
          <w:rFonts w:ascii="Times New Roman" w:eastAsia="Times New Roman" w:hAnsi="Times New Roman" w:cs="Times New Roman"/>
          <w:color w:val="000000"/>
          <w:spacing w:val="0"/>
          <w:w w:val="100"/>
          <w:position w:val="0"/>
          <w:sz w:val="18"/>
          <w:szCs w:val="18"/>
        </w:rPr>
        <w:t>2</w:t>
      </w:r>
      <w:bookmarkEnd w:id="11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158" w:name="bookmark1158"/>
      <w:r>
        <w:rPr>
          <w:rFonts w:ascii="Times New Roman" w:eastAsia="Times New Roman" w:hAnsi="Times New Roman" w:cs="Times New Roman"/>
          <w:color w:val="000000"/>
          <w:spacing w:val="0"/>
          <w:w w:val="100"/>
          <w:position w:val="0"/>
          <w:sz w:val="18"/>
          <w:szCs w:val="18"/>
        </w:rPr>
        <w:t>3</w:t>
      </w:r>
      <w:bookmarkEnd w:id="11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159" w:name="bookmark1159"/>
      <w:r>
        <w:rPr>
          <w:rFonts w:ascii="Times New Roman" w:eastAsia="Times New Roman" w:hAnsi="Times New Roman" w:cs="Times New Roman"/>
          <w:color w:val="000000"/>
          <w:spacing w:val="0"/>
          <w:w w:val="100"/>
          <w:position w:val="0"/>
          <w:sz w:val="18"/>
          <w:szCs w:val="18"/>
        </w:rPr>
        <w:t>4</w:t>
      </w:r>
      <w:bookmarkEnd w:id="11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160" w:name="bookmark1160"/>
      <w:r>
        <w:rPr>
          <w:rFonts w:ascii="Times New Roman" w:eastAsia="Times New Roman" w:hAnsi="Times New Roman" w:cs="Times New Roman"/>
          <w:color w:val="000000"/>
          <w:spacing w:val="0"/>
          <w:w w:val="100"/>
          <w:position w:val="0"/>
          <w:sz w:val="18"/>
          <w:szCs w:val="18"/>
        </w:rPr>
        <w:t>5</w:t>
      </w:r>
      <w:bookmarkEnd w:id="11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-8,074,887.45</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161"/>
      <w:bookmarkEnd w:id="1162"/>
      <w:bookmarkEnd w:id="1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289,457,050.97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198,063,127.43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454,379,014.22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236,683,003.12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4,386,896.65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3,985,286.00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14,447,299.28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11,820,112.51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293,843,947.62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202,048,413.43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468,826,313.50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248,503,115.63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293,843,947.62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468,826,313.50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10,192,954.17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48,645,809.39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4,386,896.65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办公楼转租收入，与主营业 务无关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百度广告代理服务收入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5,806,057.52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与正常经营业务相关，但已 终止合作</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10,192,954.17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48,645,809.39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283,650,993.45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420,180,504.11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599" w:line="1" w:lineRule="exact"/>
      </w:pPr>
    </w:p>
    <w:p>
      <w:pPr>
        <w:pStyle w:val="Style49"/>
        <w:keepNext w:val="0"/>
        <w:keepLines w:val="0"/>
        <w:widowControl w:val="0"/>
        <w:shd w:val="clear" w:color="auto" w:fill="auto"/>
        <w:bidi w:val="0"/>
        <w:spacing w:before="0" w:after="24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）主营业务（分业务类型）</w:t>
      </w:r>
    </w:p>
    <w:tbl>
      <w:tblPr>
        <w:tblOverlap w:val="never"/>
        <w:jc w:val="left"/>
        <w:tblLayout w:type="fixed"/>
      </w:tblPr>
      <w:tblGrid>
        <w:gridCol w:w="2213"/>
        <w:gridCol w:w="1627"/>
        <w:gridCol w:w="1632"/>
        <w:gridCol w:w="1627"/>
        <w:gridCol w:w="163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上年发生额</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r>
    </w:tbl>
    <w:p>
      <w:pPr>
        <w:spacing w:lineRule="exact" w:line="1"/>
        <w:rPr>
          <w:sz w:val="2"/>
          <w:szCs w:val="2"/>
        </w:rPr>
      </w:pPr>
      <w:r>
        <w:br w:type="page"/>
      </w:r>
    </w:p>
    <w:tbl>
      <w:tblPr>
        <w:tblOverlap w:val="never"/>
        <w:jc w:val="left"/>
        <w:tblLayout w:type="fixed"/>
      </w:tblPr>
      <w:tblGrid>
        <w:gridCol w:w="2213"/>
        <w:gridCol w:w="1627"/>
        <w:gridCol w:w="1632"/>
        <w:gridCol w:w="1627"/>
        <w:gridCol w:w="163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网络游戏业务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145,712,479.64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107,289,195.93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265,054,949.54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117,379,169.09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142,928,353.79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82,952,364.58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186,680,775.36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111,997,333.43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科技文旅业务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816,217.54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7,821,566.92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2,643,289.32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7,306,500.60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289,457,050.97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202,048,413.43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454,379,014.22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236,683,003.12</w:t>
            </w:r>
          </w:p>
        </w:tc>
      </w:tr>
    </w:tbl>
    <w:p>
      <w:pPr>
        <w:widowControl w:val="0"/>
        <w:spacing w:after="239" w:line="1" w:lineRule="exact"/>
      </w:pPr>
    </w:p>
    <w:p>
      <w:pPr>
        <w:pStyle w:val="Style49"/>
        <w:keepNext w:val="0"/>
        <w:keepLines w:val="0"/>
        <w:widowControl w:val="0"/>
        <w:shd w:val="clear" w:color="auto" w:fill="auto"/>
        <w:bidi w:val="0"/>
        <w:spacing w:before="0" w:after="24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)网络游戏业务(分运营模式)</w:t>
      </w:r>
    </w:p>
    <w:tbl>
      <w:tblPr>
        <w:tblOverlap w:val="never"/>
        <w:jc w:val="left"/>
        <w:tblLayout w:type="fixed"/>
      </w:tblPr>
      <w:tblGrid>
        <w:gridCol w:w="2213"/>
        <w:gridCol w:w="1627"/>
        <w:gridCol w:w="1632"/>
        <w:gridCol w:w="1627"/>
        <w:gridCol w:w="163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运营模式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上年发生额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官方运营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137,903,946.90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104,434,061.43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220,494,343.37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84,246,788.28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42,720,835.71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7,889,771.48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75,288,911.82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14,052,978.32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SimSun" w:eastAsia="SimSun" w:hAnsi="SimSun" w:cs="SimSun"/>
                <w:color w:val="000000"/>
                <w:spacing w:val="0"/>
                <w:w w:val="100"/>
                <w:position w:val="0"/>
                <w:sz w:val="19"/>
                <w:szCs w:val="19"/>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95,183,111.19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96,544,289.95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145,205,431.55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70,193,809.96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765,295.84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1,274,190.03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广告代理业务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5,806,057.52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35,116,692.06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33,073,613.10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权属转让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7,547,169.81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1,237,179.38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2,855,134.50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622,554.27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58,767.71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145,712,479.64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107,289,195.93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265,054,949.54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117,379,169.09</w:t>
            </w:r>
          </w:p>
        </w:tc>
      </w:tr>
    </w:tbl>
    <w:p>
      <w:pPr>
        <w:widowControl w:val="0"/>
        <w:spacing w:after="119" w:line="1" w:lineRule="exact"/>
      </w:pPr>
    </w:p>
    <w:p>
      <w:pPr>
        <w:pStyle w:val="Style49"/>
        <w:keepNext w:val="0"/>
        <w:keepLines w:val="0"/>
        <w:widowControl w:val="0"/>
        <w:numPr>
          <w:ilvl w:val="0"/>
          <w:numId w:val="39"/>
        </w:numPr>
        <w:shd w:val="clear" w:color="auto" w:fill="auto"/>
        <w:bidi w:val="0"/>
        <w:spacing w:before="0" w:after="120" w:line="240" w:lineRule="auto"/>
        <w:ind w:left="0" w:right="0" w:firstLine="560"/>
        <w:jc w:val="left"/>
      </w:pPr>
      <w:bookmarkStart w:id="1165" w:name="bookmark1165"/>
      <w:bookmarkEnd w:id="1165"/>
      <w:r>
        <w:rPr>
          <w:color w:val="000000"/>
          <w:spacing w:val="0"/>
          <w:w w:val="100"/>
          <w:position w:val="0"/>
        </w:rPr>
        <w:t>网络游戏业务(分游戏类型)</w:t>
      </w:r>
    </w:p>
    <w:tbl>
      <w:tblPr>
        <w:tblOverlap w:val="never"/>
        <w:jc w:val="left"/>
        <w:tblLayout w:type="fixed"/>
      </w:tblPr>
      <w:tblGrid>
        <w:gridCol w:w="1502"/>
        <w:gridCol w:w="1810"/>
        <w:gridCol w:w="2155"/>
        <w:gridCol w:w="1632"/>
        <w:gridCol w:w="163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SimSun" w:eastAsia="SimSun" w:hAnsi="SimSun" w:cs="SimSun"/>
                <w:b/>
                <w:bCs/>
                <w:color w:val="000000"/>
                <w:spacing w:val="0"/>
                <w:w w:val="100"/>
                <w:position w:val="0"/>
                <w:sz w:val="19"/>
                <w:szCs w:val="19"/>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上年发生额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MMO</w:t>
            </w:r>
            <w:r>
              <w:rPr>
                <w:rFonts w:ascii="SimSun" w:eastAsia="SimSun" w:hAnsi="SimSun" w:cs="SimSun"/>
                <w:color w:val="000000"/>
                <w:spacing w:val="0"/>
                <w:w w:val="100"/>
                <w:position w:val="0"/>
                <w:sz w:val="19"/>
                <w:szCs w:val="19"/>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15,756,941.39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5,211,183.18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43,372,626.18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11,987,248.99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661,534.72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704,644.30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4,331,585.94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4,739,290.54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122,250,766.63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98,518,233.95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181,722,811.71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67,520,248.75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广告代理业务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5,806,057.52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35,116,692.06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33,073,613.10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1,237,179.38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2,855,134.50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511,233.65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58,767.71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145,712,479.64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107,289,195.93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265,054,949.54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117,379,169.09</w:t>
            </w:r>
          </w:p>
        </w:tc>
      </w:tr>
    </w:tbl>
    <w:p>
      <w:pPr>
        <w:widowControl w:val="0"/>
        <w:spacing w:after="1419" w:line="1" w:lineRule="exact"/>
      </w:pPr>
    </w:p>
    <w:p>
      <w:pPr>
        <w:pStyle w:val="Style31"/>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166"/>
      <w:bookmarkEnd w:id="1167"/>
      <w:bookmarkEnd w:id="1169"/>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63,229.43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301,637.76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45,090.91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214,534.60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286,204.58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11,585.39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655,135.13</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170"/>
      <w:bookmarkEnd w:id="1171"/>
      <w:bookmarkEnd w:id="117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55,915,908.53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79,287,176.66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21,926,473.00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14,708,499.91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970,593.95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3,256,307.94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647,948.00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977,513.19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1,553,435.20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901,699.42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822,522.04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708,847.20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552,046.21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676,688.86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692,814.36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410,558.65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服务器托管费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168,652.85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219,015.93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184,351.12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折旧费及长期资产摊销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107,784.41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83,410,679.37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101,373,805.62</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174"/>
      <w:bookmarkEnd w:id="1175"/>
      <w:bookmarkEnd w:id="117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15,113,391.75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16,263,313.94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5,664,790.30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5,662,249.38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-635,257.88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4,666,479.38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1,963,527.46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3,562,345.79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951,974.57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2,809,841.68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1,924,587.71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2,035,902.06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572,232.66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1,272,818.28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403,948.75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1,018,287.17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538,422.91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1,007,548.85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305,508.87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950,866.71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471,727.53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414,588.02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27,274,854.63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39,664,241.26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178"/>
      <w:bookmarkEnd w:id="1179"/>
      <w:bookmarkEnd w:id="118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28,462,500.29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27,250,445.90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3,947,833.72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3,141,402.52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1,587,681.10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2,981,625.27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2,383,935.72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1,065,764.19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531,136.96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35,906,392.53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42,488,546.37</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182"/>
      <w:bookmarkEnd w:id="1183"/>
      <w:bookmarkEnd w:id="118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7,221,570.06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13,316,640.70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3,036,544.46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4,533,677.69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1,128,842.31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957,577.18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11,534,407.33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10,157,281.63</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186"/>
      <w:bookmarkEnd w:id="1187"/>
      <w:bookmarkEnd w:id="118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2,111,017.76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2,273,333.45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4,887,428.49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1,217,515.51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74,066.31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7,162,035.36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3,564,915.27</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190"/>
      <w:bookmarkEnd w:id="1191"/>
      <w:bookmarkEnd w:id="119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-1,095,915.39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处置股权取得的投资收益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42,191,448.50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3,137,511.85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其他非流动金融资产在持有期间取得的股 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10,803,044.86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44,233,044.96</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194"/>
      <w:bookmarkEnd w:id="1195"/>
      <w:bookmarkEnd w:id="11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5,868,493.15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5,868,493.15</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198"/>
      <w:bookmarkEnd w:id="1199"/>
      <w:bookmarkEnd w:id="12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-22,054,662.35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-12,853,770.45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-15,327,070.36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-8,532,742.32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-37,381,732.71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-21,386,512.77</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202"/>
      <w:bookmarkEnd w:id="1203"/>
      <w:bookmarkEnd w:id="120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-24,692,383.43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-5,558,659.45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-9,217,672.36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-12,513,243.80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-1,244,196.08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-46,423,299.59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-6,802,855.53</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206"/>
      <w:bookmarkEnd w:id="1207"/>
      <w:bookmarkEnd w:id="12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未划分为持有待售的非流动资产处 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210"/>
      <w:bookmarkEnd w:id="1211"/>
      <w:bookmarkEnd w:id="12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5,081,032.16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5,873,180.68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5,081,032.16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194,157.16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5,198,102.15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6,138,297.31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5,198,102.15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深圳市福田 区国库支付 中心</w:t>
            </w:r>
            <w:r>
              <w:rPr>
                <w:color w:val="000000"/>
                <w:spacing w:val="0"/>
                <w:w w:val="100"/>
                <w:position w:val="0"/>
                <w:sz w:val="18"/>
                <w:szCs w:val="18"/>
              </w:rPr>
              <w:t>R&amp;D</w:t>
            </w:r>
            <w:r>
              <w:rPr>
                <w:rFonts w:ascii="SimSun" w:eastAsia="SimSun" w:hAnsi="SimSun" w:cs="SimSun"/>
                <w:color w:val="000000"/>
                <w:spacing w:val="0"/>
                <w:w w:val="100"/>
                <w:position w:val="0"/>
                <w:sz w:val="17"/>
                <w:szCs w:val="17"/>
              </w:rPr>
              <w:t>投 入支持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年福田 区产业发展 专项资金科 技创新发展 分项第四批 支持项目及 企业的公示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高新处</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年高企培育 资助第</w:t>
            </w:r>
            <w:r>
              <w:rPr>
                <w:color w:val="000000"/>
                <w:spacing w:val="0"/>
                <w:w w:val="100"/>
                <w:position w:val="0"/>
                <w:sz w:val="18"/>
                <w:szCs w:val="18"/>
              </w:rPr>
              <w:t>1</w:t>
            </w:r>
            <w:r>
              <w:rPr>
                <w:rFonts w:ascii="SimSun" w:eastAsia="SimSun" w:hAnsi="SimSun" w:cs="SimSun"/>
                <w:color w:val="000000"/>
                <w:spacing w:val="0"/>
                <w:w w:val="100"/>
                <w:position w:val="0"/>
                <w:sz w:val="17"/>
                <w:szCs w:val="17"/>
              </w:rPr>
              <w:t>次 拨款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深圳市科技 创新委员会 关于收取 </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年度高 新技术企业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培育资助项 目资助资金 申请材料和 拨款材料的 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 创新委员会 </w:t>
            </w:r>
            <w:r>
              <w:rPr>
                <w:color w:val="000000"/>
                <w:spacing w:val="0"/>
                <w:w w:val="100"/>
                <w:position w:val="0"/>
                <w:sz w:val="18"/>
                <w:szCs w:val="18"/>
              </w:rPr>
              <w:t>2019</w:t>
            </w:r>
            <w:r>
              <w:rPr>
                <w:rFonts w:ascii="SimSun" w:eastAsia="SimSun" w:hAnsi="SimSun" w:cs="SimSun"/>
                <w:color w:val="000000"/>
                <w:spacing w:val="0"/>
                <w:w w:val="100"/>
                <w:position w:val="0"/>
                <w:sz w:val="17"/>
                <w:szCs w:val="17"/>
              </w:rPr>
              <w:t>年研发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 创新委员会 关于公示 </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年度企 业研究开发 资助计划第 一批拟资助 企业名单的 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高新处</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年企业研发 资助第一批 第</w:t>
            </w:r>
            <w:r>
              <w:rPr>
                <w:color w:val="000000"/>
                <w:spacing w:val="0"/>
                <w:w w:val="100"/>
                <w:position w:val="0"/>
                <w:sz w:val="18"/>
                <w:szCs w:val="18"/>
              </w:rPr>
              <w:t>1</w:t>
            </w:r>
            <w:r>
              <w:rPr>
                <w:rFonts w:ascii="SimSun" w:eastAsia="SimSun" w:hAnsi="SimSun" w:cs="SimSun"/>
                <w:color w:val="000000"/>
                <w:spacing w:val="0"/>
                <w:w w:val="100"/>
                <w:position w:val="0"/>
                <w:sz w:val="17"/>
                <w:szCs w:val="17"/>
              </w:rPr>
              <w:t>次拨款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 创新委员会 关于公示 </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年度企 业研究开发 资助计划第 一批拟资助 企业名单的 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深圳市福田 区企业发展 服务中心疫 情防控生产 经营支持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年福田 区防控疫情 同舟共济</w:t>
            </w:r>
            <w:r>
              <w:rPr>
                <w:color w:val="000000"/>
                <w:spacing w:val="0"/>
                <w:w w:val="100"/>
                <w:position w:val="0"/>
                <w:sz w:val="18"/>
                <w:szCs w:val="18"/>
              </w:rPr>
              <w:t>“</w:t>
            </w:r>
            <w:r>
              <w:rPr>
                <w:rFonts w:ascii="SimSun" w:eastAsia="SimSun" w:hAnsi="SimSun" w:cs="SimSun"/>
                <w:color w:val="000000"/>
                <w:spacing w:val="0"/>
                <w:w w:val="100"/>
                <w:position w:val="0"/>
                <w:sz w:val="17"/>
                <w:szCs w:val="17"/>
              </w:rPr>
              <w:t>福 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^一条政 策科创局第 三批支持企 业及项目的 公示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国家重点文 化出口认定 配套奖励项 目扶持款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 第一批深圳 市文化创意 产业发展专 项资金拟资 助项目公示 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深圳市福田 区企业发展 服务中心企 业资质认定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年福田 区产业发展 专项资金文 体局分项第 三批拟支持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企业及项目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的公示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鼓励中小企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业上规模奖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励项目补贴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深圳南山区 工业和信息 化局发布关 于受理中小 企业上规模 奖励项目申 报材料的通 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收到南山区 文广局原创 作品补贴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关于下达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年度南 山区自主创 新产业发展 专项资金文 化产业发展 分项资金资 助项目（第二 批）扶持计划 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其他政府补 助（</w:t>
            </w:r>
            <w:r>
              <w:rPr>
                <w:color w:val="000000"/>
                <w:spacing w:val="0"/>
                <w:w w:val="100"/>
                <w:position w:val="0"/>
                <w:sz w:val="18"/>
                <w:szCs w:val="18"/>
              </w:rPr>
              <w:t>10</w:t>
            </w:r>
            <w:r>
              <w:rPr>
                <w:rFonts w:ascii="SimSun" w:eastAsia="SimSun" w:hAnsi="SimSun" w:cs="SimSun"/>
                <w:color w:val="000000"/>
                <w:spacing w:val="0"/>
                <w:w w:val="100"/>
                <w:position w:val="0"/>
                <w:sz w:val="17"/>
                <w:szCs w:val="17"/>
              </w:rPr>
              <w:t>万元 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141,532.16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年企业 研究开发资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深圳市科技 创新委员会 关于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 第一批企业 研究开发资 助计划拟资 助企业的公 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深圳市福田 区国库支付 中心</w:t>
            </w:r>
            <w:r>
              <w:rPr>
                <w:color w:val="000000"/>
                <w:spacing w:val="0"/>
                <w:w w:val="100"/>
                <w:position w:val="0"/>
                <w:sz w:val="18"/>
                <w:szCs w:val="18"/>
              </w:rPr>
              <w:t>R&amp;D</w:t>
            </w:r>
            <w:r>
              <w:rPr>
                <w:rFonts w:ascii="SimSun" w:eastAsia="SimSun" w:hAnsi="SimSun" w:cs="SimSun"/>
                <w:color w:val="000000"/>
                <w:spacing w:val="0"/>
                <w:w w:val="100"/>
                <w:position w:val="0"/>
                <w:sz w:val="17"/>
                <w:szCs w:val="17"/>
              </w:rPr>
              <w:t>投 资支持款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年福田 区产业发展 专项资金科 技创新分项 第一批拟支 持企业及项 目汇总表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261" w:right="1070" w:bottom="1472" w:left="1038" w:header="0" w:footer="3" w:gutter="0"/>
          <w:cols w:space="720"/>
          <w:noEndnote/>
          <w:titlePg/>
          <w:rtlGutter w:val="0"/>
          <w:docGrid w:linePitch="360"/>
        </w:sectPr>
      </w:pPr>
    </w:p>
    <w:tbl>
      <w:tblPr>
        <w:tblOverlap w:val="never"/>
        <w:jc w:val="center"/>
        <w:tblLayout w:type="fixed"/>
      </w:tblPr>
      <w:tblGrid>
        <w:gridCol w:w="1075"/>
        <w:gridCol w:w="1061"/>
        <w:gridCol w:w="1066"/>
        <w:gridCol w:w="1061"/>
        <w:gridCol w:w="1061"/>
        <w:gridCol w:w="1066"/>
        <w:gridCol w:w="1061"/>
        <w:gridCol w:w="1066"/>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年国家 高新技术企 业培育资助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深圳市科技 创新委员会 关于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 高新技术企 业培育拟资 助企业的公 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年科技 创新专项资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年深圳 市龙华区科 技创新专项 资金（</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年第二批国 高）拟资助企 业名单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企业发展服 务中心国家 企业认定支 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年福田 区产业发展 专项资金科 技创新分项 第三批拟支 持企业及项 目汇总表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年国家 高新技术企 业认定奖补 资金</w:t>
            </w:r>
            <w:r>
              <w:rPr>
                <w:color w:val="000000"/>
                <w:spacing w:val="0"/>
                <w:w w:val="100"/>
                <w:position w:val="0"/>
                <w:sz w:val="18"/>
                <w:szCs w:val="18"/>
              </w:rPr>
              <w:t>&amp;</w:t>
            </w:r>
            <w:r>
              <w:rPr>
                <w:rFonts w:ascii="SimSun" w:eastAsia="SimSun" w:hAnsi="SimSun" w:cs="SimSun"/>
                <w:color w:val="000000"/>
                <w:spacing w:val="0"/>
                <w:w w:val="100"/>
                <w:position w:val="0"/>
                <w:sz w:val="17"/>
                <w:szCs w:val="17"/>
              </w:rPr>
              <w:t>国家 高新技术企 业倍增支持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年度南 山区自主创 新产业发展 专项资金文 化产业发展 分项资金资 助项目（第三 批）扶持计划 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企业发展服 务中心人才 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年福田 区产业发展 专项资金文 化产业分项 第五批拟支 持企业及项 目汇总表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5,081,032.16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5,873,180.68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214"/>
      <w:bookmarkEnd w:id="1215"/>
      <w:bookmarkEnd w:id="1217"/>
      <w:r>
        <w:br w:type="page"/>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666,363.81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666,363.81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666,363.81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666,363.81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罚款支出（及违约金）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1,692,841.04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85,439.30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751,803.11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1,790,391.38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751,803.11</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218"/>
      <w:bookmarkEnd w:id="1219"/>
      <w:bookmarkEnd w:id="1221"/>
    </w:p>
    <w:p>
      <w:pPr>
        <w:pStyle w:val="Style3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22"/>
      <w:bookmarkEnd w:id="1223"/>
      <w:bookmarkEnd w:id="122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5,765,169.59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10,397,392.01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3,432,926.48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-4,281,331.85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9,198,096.07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6,116,060.16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25"/>
      <w:bookmarkEnd w:id="1226"/>
      <w:bookmarkEnd w:id="122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-128,130,563.02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-19,219,584.45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-6,391,561.85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14,868,561.51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27,770,708.55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-5,110,001.10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特殊税收豁免纳税影响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-2,698,928.00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9,198,096.07</w:t>
            </w:r>
          </w:p>
        </w:tc>
      </w:tr>
    </w:tbl>
    <w:p>
      <w:pPr>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261" w:right="1070" w:bottom="1472" w:left="1038" w:header="0" w:footer="3" w:gutter="0"/>
          <w:cols w:space="720"/>
          <w:noEndnote/>
          <w:titlePg/>
          <w:rtlGutter w:val="0"/>
          <w:docGrid w:linePitch="360"/>
        </w:sectPr>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w:t>
      </w:r>
      <w:bookmarkEnd w:id="123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228"/>
      <w:bookmarkEnd w:id="1229"/>
      <w:bookmarkEnd w:id="123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232"/>
      <w:bookmarkEnd w:id="1233"/>
      <w:bookmarkEnd w:id="1235"/>
    </w:p>
    <w:p>
      <w:pPr>
        <w:pStyle w:val="Style37"/>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36"/>
      <w:bookmarkEnd w:id="1237"/>
      <w:bookmarkEnd w:id="12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5,198,102.15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5,873,180.68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3,036,544.46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14,590,510.68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20,069,907.79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8,909,725.14</w:t>
            </w:r>
          </w:p>
        </w:tc>
      </w:tr>
    </w:tbl>
    <w:p>
      <w:pPr>
        <w:widowControl w:val="0"/>
        <w:spacing w:after="659" w:line="1" w:lineRule="exact"/>
      </w:pPr>
    </w:p>
    <w:p>
      <w:pPr>
        <w:pStyle w:val="Style37"/>
        <w:keepNext/>
        <w:keepLines/>
        <w:widowControl w:val="0"/>
        <w:shd w:val="clear" w:color="auto" w:fill="auto"/>
        <w:bidi w:val="0"/>
        <w:spacing w:before="0" w:line="240" w:lineRule="auto"/>
        <w:ind w:left="0" w:right="0" w:firstLine="14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39"/>
      <w:bookmarkEnd w:id="1240"/>
      <w:bookmarkEnd w:id="12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55,911,873.53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89,210,804.07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34,633,537.26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14,727,694.37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8,860,371.00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3,245,740.92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5,896,697.95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2,996,384.49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6,406,784.13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2,014,200.80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2,159,226.27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1,924,587.71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2,035,902.06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1,858,944.07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1,852,566.13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1,628,316.28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1,038,626.78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1,231,237.27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1,418,107.50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1,041,099.59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3,778,824.76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957,577.18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116,246,928.49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129,482,811.20</w:t>
            </w:r>
          </w:p>
        </w:tc>
      </w:tr>
    </w:tbl>
    <w:p>
      <w:pPr>
        <w:widowControl w:val="0"/>
        <w:spacing w:after="659" w:line="1" w:lineRule="exact"/>
      </w:pPr>
    </w:p>
    <w:p>
      <w:pPr>
        <w:pStyle w:val="Style37"/>
        <w:keepNext/>
        <w:keepLines/>
        <w:widowControl w:val="0"/>
        <w:shd w:val="clear" w:color="auto" w:fill="auto"/>
        <w:bidi w:val="0"/>
        <w:spacing w:before="0" w:line="240" w:lineRule="auto"/>
        <w:ind w:left="0" w:right="0" w:firstLine="140"/>
        <w:jc w:val="left"/>
        <w:sectPr>
          <w:headerReference w:type="default" r:id="rId29"/>
          <w:footerReference w:type="default" r:id="rId30"/>
          <w:footnotePr>
            <w:pos w:val="pageBottom"/>
            <w:numFmt w:val="decimal"/>
            <w:numRestart w:val="continuous"/>
          </w:footnotePr>
          <w:pgSz w:w="11900" w:h="16840"/>
          <w:pgMar w:top="1470" w:right="1195" w:bottom="1984" w:left="1104" w:header="0" w:footer="3" w:gutter="0"/>
          <w:cols w:space="720"/>
          <w:noEndnote/>
          <w:rtlGutter w:val="0"/>
          <w:docGrid w:linePitch="360"/>
        </w:sectPr>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42"/>
      <w:bookmarkEnd w:id="1243"/>
      <w:bookmarkEnd w:id="124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收回汇海易融借款本金及利息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12,934,380.00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23,132,883.48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取得子公司及其他营业单位支付的现金 净额的负数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12,934,380.00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23,151,487.69</w:t>
            </w:r>
          </w:p>
        </w:tc>
      </w:tr>
    </w:tbl>
    <w:p>
      <w:pPr>
        <w:widowControl w:val="0"/>
        <w:spacing w:after="659" w:line="1" w:lineRule="exact"/>
      </w:pPr>
    </w:p>
    <w:p>
      <w:pPr>
        <w:pStyle w:val="Style37"/>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246"/>
      <w:bookmarkEnd w:id="1247"/>
      <w:bookmarkEnd w:id="124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同一控制下控股合并股权收购款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88,137,512.49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76,100,834.49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11,774,203.00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中富彩股权减资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89,399,935.89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92,241,258.26</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50"/>
      <w:bookmarkEnd w:id="1251"/>
      <w:bookmarkEnd w:id="1253"/>
    </w:p>
    <w:p>
      <w:pPr>
        <w:pStyle w:val="Style37"/>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54"/>
      <w:bookmarkEnd w:id="1255"/>
      <w:bookmarkEnd w:id="125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-137,328,659.09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49,577,951.41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83,805,032.30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28,189,368.30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32,355,167.59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20,190,889.38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7,725,729.45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9,943,464.44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13,153,731.06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10,835,831.79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115,167.30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-5,868,493.15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7,221,570.06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13,316,640.70</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-10,803,044.86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-44,233,044.96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3,432,926.48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-4,281,331.85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74,644,622.84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-164,389,635.56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-36,049,134.85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89,665,927.80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36,168,560.45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3,072,912.19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169,116,169.53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169,116,169.53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229,974,588.37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-68,355,093.79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-60,858,418.84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57"/>
      <w:bookmarkEnd w:id="1258"/>
      <w:bookmarkEnd w:id="12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169,116,169.53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169,110,294.23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169,116,169.53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3,332,727.64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4,539,790.34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5</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260"/>
      <w:bookmarkEnd w:id="1261"/>
      <w:bookmarkEnd w:id="12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8,860,371.00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专用账户使用受限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8,980,221.41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深圳人才住房，只有使用权没有处置权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17,840,592.41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5</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64"/>
      <w:bookmarkEnd w:id="1265"/>
      <w:bookmarkEnd w:id="1267"/>
    </w:p>
    <w:p>
      <w:pPr>
        <w:pStyle w:val="Style37"/>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68"/>
      <w:bookmarkEnd w:id="1269"/>
      <w:bookmarkEnd w:id="12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741,551.56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4,838,549.77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2,784.53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1,573,268.03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10,265,416.57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10,740.04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951,476.95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6,208,291.95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442,905.05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2,889,911.16</w:t>
            </w:r>
          </w:p>
        </w:tc>
      </w:tr>
    </w:tbl>
    <w:p>
      <w:pPr>
        <w:pStyle w:val="Style37"/>
        <w:keepNext/>
        <w:keepLines/>
        <w:widowControl w:val="0"/>
        <w:shd w:val="clear" w:color="auto" w:fill="auto"/>
        <w:bidi w:val="0"/>
        <w:spacing w:before="0" w:after="360" w:line="336" w:lineRule="exact"/>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71"/>
      <w:bookmarkEnd w:id="1272"/>
      <w:bookmarkEnd w:id="127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9"/>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公司主要的境外经营实体有全资子公司</w:t>
      </w:r>
      <w:r>
        <w:rPr>
          <w:rFonts w:ascii="Times New Roman" w:eastAsia="Times New Roman" w:hAnsi="Times New Roman" w:cs="Times New Roman"/>
          <w:color w:val="000000"/>
          <w:spacing w:val="0"/>
          <w:w w:val="100"/>
          <w:position w:val="0"/>
        </w:rPr>
        <w:t>C UPLAY</w:t>
      </w:r>
      <w:r>
        <w:rPr>
          <w:color w:val="000000"/>
          <w:spacing w:val="0"/>
          <w:w w:val="100"/>
          <w:position w:val="0"/>
        </w:rPr>
        <w:t>和全资子公司美国中青宝,</w:t>
      </w:r>
      <w:r>
        <w:rPr>
          <w:rFonts w:ascii="Times New Roman" w:eastAsia="Times New Roman" w:hAnsi="Times New Roman" w:cs="Times New Roman"/>
          <w:color w:val="000000"/>
          <w:spacing w:val="0"/>
          <w:w w:val="100"/>
          <w:position w:val="0"/>
        </w:rPr>
        <w:t>C UPLAY</w:t>
      </w:r>
      <w:r>
        <w:rPr>
          <w:color w:val="000000"/>
          <w:spacing w:val="0"/>
          <w:w w:val="100"/>
          <w:position w:val="0"/>
        </w:rPr>
        <w:t>系在英属维 尔京群岛注册的境外公司，其主要经营地在中国大陆，选择人民币作为记账本位币。美国中青宝系在 美国加利福尼亚州注册的境外公司，其主要经营地在美国加利福尼亚州，选择美元作为记账本位币。</w:t>
      </w:r>
    </w:p>
    <w:p>
      <w:pPr>
        <w:pStyle w:val="Style22"/>
        <w:keepNext/>
        <w:keepLines/>
        <w:widowControl w:val="0"/>
        <w:shd w:val="clear" w:color="auto" w:fill="auto"/>
        <w:bidi w:val="0"/>
        <w:spacing w:before="0" w:after="2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sz w:val="24"/>
          <w:szCs w:val="24"/>
        </w:rPr>
        <w:t>八</w:t>
      </w:r>
      <w:bookmarkEnd w:id="1276"/>
      <w:r>
        <w:rPr>
          <w:color w:val="000000"/>
          <w:spacing w:val="0"/>
          <w:w w:val="100"/>
          <w:position w:val="0"/>
          <w:sz w:val="24"/>
          <w:szCs w:val="24"/>
        </w:rPr>
        <w:t>、合并范围的变更</w:t>
      </w:r>
      <w:bookmarkEnd w:id="1274"/>
      <w:bookmarkEnd w:id="1275"/>
      <w:bookmarkEnd w:id="1277"/>
    </w:p>
    <w:p>
      <w:pPr>
        <w:pStyle w:val="Style31"/>
        <w:keepNext/>
        <w:keepLines/>
        <w:widowControl w:val="0"/>
        <w:shd w:val="clear" w:color="auto" w:fill="auto"/>
        <w:bidi w:val="0"/>
        <w:spacing w:before="0" w:line="326" w:lineRule="exact"/>
        <w:ind w:left="0" w:right="0" w:firstLine="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278"/>
      <w:bookmarkEnd w:id="1279"/>
      <w:bookmarkEnd w:id="128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left"/>
        <w:tblLayout w:type="fixed"/>
      </w:tblPr>
      <w:tblGrid>
        <w:gridCol w:w="5419"/>
        <w:gridCol w:w="3336"/>
      </w:tblGrid>
      <w:tr>
        <w:trPr>
          <w:trHeight w:val="40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2"/>
                <w:szCs w:val="22"/>
              </w:rPr>
              <w:t>1</w:t>
            </w:r>
            <w:r>
              <w:rPr>
                <w:rFonts w:ascii="SimSun" w:eastAsia="SimSun" w:hAnsi="SimSun" w:cs="SimSun"/>
                <w:color w:val="000000"/>
                <w:spacing w:val="0"/>
                <w:w w:val="100"/>
                <w:position w:val="0"/>
                <w:sz w:val="22"/>
                <w:szCs w:val="22"/>
              </w:rPr>
              <w:t>)新设子公司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设立时间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掌心烈焰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5</w:t>
            </w:r>
            <w:r>
              <w:rPr>
                <w:rFonts w:ascii="SimSun" w:eastAsia="SimSun" w:hAnsi="SimSun" w:cs="SimSun"/>
                <w:color w:val="000000"/>
                <w:spacing w:val="0"/>
                <w:w w:val="100"/>
                <w:position w:val="0"/>
                <w:sz w:val="19"/>
                <w:szCs w:val="19"/>
              </w:rPr>
              <w:t>月</w:t>
            </w:r>
            <w:r>
              <w:rPr>
                <w:color w:val="000000"/>
                <w:spacing w:val="0"/>
                <w:w w:val="100"/>
                <w:position w:val="0"/>
                <w:sz w:val="20"/>
                <w:szCs w:val="20"/>
              </w:rPr>
              <w:t>26</w:t>
            </w:r>
            <w:r>
              <w:rPr>
                <w:rFonts w:ascii="SimSun" w:eastAsia="SimSun" w:hAnsi="SimSun" w:cs="SimSun"/>
                <w:color w:val="000000"/>
                <w:spacing w:val="0"/>
                <w:w w:val="100"/>
                <w:position w:val="0"/>
                <w:sz w:val="19"/>
                <w:szCs w:val="19"/>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4</w:t>
            </w:r>
            <w:r>
              <w:rPr>
                <w:rFonts w:ascii="SimSun" w:eastAsia="SimSun" w:hAnsi="SimSun" w:cs="SimSun"/>
                <w:color w:val="000000"/>
                <w:spacing w:val="0"/>
                <w:w w:val="100"/>
                <w:position w:val="0"/>
                <w:sz w:val="19"/>
                <w:szCs w:val="19"/>
              </w:rPr>
              <w:t>月</w:t>
            </w:r>
            <w:r>
              <w:rPr>
                <w:color w:val="000000"/>
                <w:spacing w:val="0"/>
                <w:w w:val="100"/>
                <w:position w:val="0"/>
                <w:sz w:val="20"/>
                <w:szCs w:val="20"/>
              </w:rPr>
              <w:t>30</w:t>
            </w:r>
            <w:r>
              <w:rPr>
                <w:rFonts w:ascii="SimSun" w:eastAsia="SimSun" w:hAnsi="SimSun" w:cs="SimSun"/>
                <w:color w:val="000000"/>
                <w:spacing w:val="0"/>
                <w:w w:val="100"/>
                <w:position w:val="0"/>
                <w:sz w:val="19"/>
                <w:szCs w:val="19"/>
              </w:rPr>
              <w:t>日</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w:t>
            </w:r>
            <w:r>
              <w:rPr>
                <w:rFonts w:ascii="SimSun" w:eastAsia="SimSun" w:hAnsi="SimSun" w:cs="SimSun"/>
                <w:color w:val="000000"/>
                <w:spacing w:val="0"/>
                <w:w w:val="100"/>
                <w:position w:val="0"/>
                <w:sz w:val="19"/>
                <w:szCs w:val="19"/>
              </w:rPr>
              <w:t>月</w:t>
            </w:r>
            <w:r>
              <w:rPr>
                <w:color w:val="000000"/>
                <w:spacing w:val="0"/>
                <w:w w:val="100"/>
                <w:position w:val="0"/>
                <w:sz w:val="20"/>
                <w:szCs w:val="20"/>
              </w:rPr>
              <w:t>20</w:t>
            </w:r>
            <w:r>
              <w:rPr>
                <w:rFonts w:ascii="SimSun" w:eastAsia="SimSun" w:hAnsi="SimSun" w:cs="SimSun"/>
                <w:color w:val="000000"/>
                <w:spacing w:val="0"/>
                <w:w w:val="100"/>
                <w:position w:val="0"/>
                <w:sz w:val="19"/>
                <w:szCs w:val="19"/>
              </w:rPr>
              <w:t>日</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605"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)注销子公司</w:t>
      </w:r>
    </w:p>
    <w:tbl>
      <w:tblPr>
        <w:tblOverlap w:val="never"/>
        <w:jc w:val="left"/>
        <w:tblLayout w:type="fixed"/>
      </w:tblPr>
      <w:tblGrid>
        <w:gridCol w:w="5419"/>
        <w:gridCol w:w="33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注销时间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9</w:t>
            </w:r>
            <w:r>
              <w:rPr>
                <w:rFonts w:ascii="SimSun" w:eastAsia="SimSun" w:hAnsi="SimSun" w:cs="SimSun"/>
                <w:color w:val="000000"/>
                <w:spacing w:val="0"/>
                <w:w w:val="100"/>
                <w:position w:val="0"/>
                <w:sz w:val="19"/>
                <w:szCs w:val="19"/>
              </w:rPr>
              <w:t>月</w:t>
            </w:r>
            <w:r>
              <w:rPr>
                <w:color w:val="000000"/>
                <w:spacing w:val="0"/>
                <w:w w:val="100"/>
                <w:position w:val="0"/>
                <w:sz w:val="20"/>
                <w:szCs w:val="20"/>
              </w:rPr>
              <w:t>24</w:t>
            </w:r>
            <w:r>
              <w:rPr>
                <w:rFonts w:ascii="SimSun" w:eastAsia="SimSun" w:hAnsi="SimSun" w:cs="SimSun"/>
                <w:color w:val="000000"/>
                <w:spacing w:val="0"/>
                <w:w w:val="100"/>
                <w:position w:val="0"/>
                <w:sz w:val="19"/>
                <w:szCs w:val="19"/>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山东科讯达恒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11</w:t>
            </w:r>
            <w:r>
              <w:rPr>
                <w:rFonts w:ascii="SimSun" w:eastAsia="SimSun" w:hAnsi="SimSun" w:cs="SimSun"/>
                <w:color w:val="000000"/>
                <w:spacing w:val="0"/>
                <w:w w:val="100"/>
                <w:position w:val="0"/>
                <w:sz w:val="19"/>
                <w:szCs w:val="19"/>
              </w:rPr>
              <w:t>月</w:t>
            </w:r>
            <w:r>
              <w:rPr>
                <w:color w:val="000000"/>
                <w:spacing w:val="0"/>
                <w:w w:val="100"/>
                <w:position w:val="0"/>
                <w:sz w:val="20"/>
                <w:szCs w:val="20"/>
              </w:rPr>
              <w:t>25</w:t>
            </w:r>
            <w:r>
              <w:rPr>
                <w:rFonts w:ascii="SimSun" w:eastAsia="SimSun" w:hAnsi="SimSun" w:cs="SimSun"/>
                <w:color w:val="000000"/>
                <w:spacing w:val="0"/>
                <w:w w:val="100"/>
                <w:position w:val="0"/>
                <w:sz w:val="19"/>
                <w:szCs w:val="19"/>
              </w:rPr>
              <w:t>日</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3</w:t>
            </w:r>
            <w:r>
              <w:rPr>
                <w:rFonts w:ascii="SimSun" w:eastAsia="SimSun" w:hAnsi="SimSun" w:cs="SimSun"/>
                <w:color w:val="000000"/>
                <w:spacing w:val="0"/>
                <w:w w:val="100"/>
                <w:position w:val="0"/>
                <w:sz w:val="19"/>
                <w:szCs w:val="19"/>
              </w:rPr>
              <w:t>月</w:t>
            </w:r>
            <w:r>
              <w:rPr>
                <w:color w:val="000000"/>
                <w:spacing w:val="0"/>
                <w:w w:val="100"/>
                <w:position w:val="0"/>
                <w:sz w:val="20"/>
                <w:szCs w:val="20"/>
              </w:rPr>
              <w:t>30</w:t>
            </w:r>
            <w:r>
              <w:rPr>
                <w:rFonts w:ascii="SimSun" w:eastAsia="SimSun" w:hAnsi="SimSun" w:cs="SimSun"/>
                <w:color w:val="000000"/>
                <w:spacing w:val="0"/>
                <w:w w:val="100"/>
                <w:position w:val="0"/>
                <w:sz w:val="19"/>
                <w:szCs w:val="19"/>
              </w:rPr>
              <w:t>日</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sz w:val="24"/>
          <w:szCs w:val="24"/>
        </w:rPr>
        <w:t>九</w:t>
      </w:r>
      <w:bookmarkEnd w:id="1283"/>
      <w:r>
        <w:rPr>
          <w:color w:val="000000"/>
          <w:spacing w:val="0"/>
          <w:w w:val="100"/>
          <w:position w:val="0"/>
          <w:sz w:val="24"/>
          <w:szCs w:val="24"/>
        </w:rPr>
        <w:t>、在其他主体中的权益</w:t>
      </w:r>
      <w:bookmarkEnd w:id="1281"/>
      <w:bookmarkEnd w:id="1282"/>
      <w:bookmarkEnd w:id="1284"/>
    </w:p>
    <w:p>
      <w:pPr>
        <w:pStyle w:val="Style31"/>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85"/>
      <w:bookmarkEnd w:id="1286"/>
      <w:bookmarkEnd w:id="1287"/>
    </w:p>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1288" w:name="bookmark12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28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深圳卓页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深圳创想时空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苏州华娱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深圳时代首游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深圳中青聚宝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深圳幻游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深圳中富彩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深圳乔戈里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老友互动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CUPLAY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英属维京群岛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加利福尼亚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加利福尼亚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福州卓越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深圳比格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深圳米斗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深圳力透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英属维京群岛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深圳五秒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中青宝文化科技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湖南湘西中青宝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克拉玛依宝德大 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乐山宝腾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凤凰大峡谷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文化传播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深圳游嘻宝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深圳娱游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深圳青友玩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通过子公司间接 持有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Tycuplay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山东科讯达恒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合肥宝腾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利得链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掌心烈焰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24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）子公司名称对应简称</w:t>
      </w:r>
    </w:p>
    <w:tbl>
      <w:tblPr>
        <w:tblOverlap w:val="never"/>
        <w:jc w:val="left"/>
        <w:tblLayout w:type="fixed"/>
      </w:tblPr>
      <w:tblGrid>
        <w:gridCol w:w="845"/>
        <w:gridCol w:w="5160"/>
        <w:gridCol w:w="2755"/>
      </w:tblGrid>
      <w:tr>
        <w:trPr>
          <w:trHeight w:val="7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子公司简称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深圳市卓页互动网络科技有限公司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深圳卓页</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深圳市创想时空科技有限公司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深圳创想时空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苏州华娱创新投资发展有限公司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苏州华娱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苏州中青宝网互动科技有限公司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苏州中青宝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深圳时代首游互动科技有限公司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深圳时代首游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深圳中青聚宝信息技术有限公司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深圳中青聚宝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深圳市幻游科技有限公司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深圳幻游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深圳市中富彩网络技术有限公司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深圳中富彩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深圳乔戈里投资有限公司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深圳乔戈里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深圳市老友互动科技有限公司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老友互动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CUPLAYCO.,LTD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CUPLAY</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ZQ GAME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美国中青宝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福州卓越无限软件开发有限公司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福州卓越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深圳市苏摩科技有限公司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深圳苏摩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深圳市比格互动科技有限公司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深圳比格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深圳市米斗科技有限公司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深圳米斗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深圳市力透科技有限公司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深圳力透</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Zqgame Hong Kong Co.,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香港中青宝</w:t>
            </w:r>
          </w:p>
        </w:tc>
      </w:tr>
    </w:tbl>
    <w:p>
      <w:pPr>
        <w:spacing w:lineRule="exact" w:line="1"/>
        <w:rPr>
          <w:sz w:val="2"/>
          <w:szCs w:val="2"/>
        </w:rPr>
      </w:pPr>
      <w:r>
        <w:br w:type="page"/>
      </w:r>
    </w:p>
    <w:tbl>
      <w:tblPr>
        <w:tblOverlap w:val="never"/>
        <w:jc w:val="left"/>
        <w:tblLayout w:type="fixed"/>
      </w:tblPr>
      <w:tblGrid>
        <w:gridCol w:w="845"/>
        <w:gridCol w:w="5160"/>
        <w:gridCol w:w="275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LeePlay International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LEEPLAY</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LeeGame International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LEEGAME</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深圳市五秒传媒科技有限公司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深圳五秒</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深圳中青宝文化科技有限公司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中青宝文化科技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湖南省湘西中青宝文化科技有限公司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湖南湘西中青宝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深圳前海中青聚宝数据服务有限公司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前海数据服务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深圳市天地间文化传媒有限公司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天地间文化传媒</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北京中青宝长城文化科技有限公司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北京中青宝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深圳市宝腾互联科技有限公司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深圳宝腾互联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克拉玛依市宝德大数据技术服务有限公司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克拉玛依宝德大数据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深圳市宝腾互联大数据技术服务有限公司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深圳宝腾大数据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乐山市宝腾互联科技有限公司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乐山宝腾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湖南省神秘凤凰大峡谷旅游开发有限责任公司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凤凰大峡谷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深圳游嘻宝创业投资企业</w:t>
            </w:r>
            <w:r>
              <w:rPr>
                <w:color w:val="000000"/>
                <w:spacing w:val="0"/>
                <w:w w:val="100"/>
                <w:position w:val="0"/>
                <w:sz w:val="20"/>
                <w:szCs w:val="20"/>
              </w:rPr>
              <w:t>（</w:t>
            </w:r>
            <w:r>
              <w:rPr>
                <w:rFonts w:ascii="SimSun" w:eastAsia="SimSun" w:hAnsi="SimSun" w:cs="SimSun"/>
                <w:color w:val="000000"/>
                <w:spacing w:val="0"/>
                <w:w w:val="100"/>
                <w:position w:val="0"/>
                <w:sz w:val="19"/>
                <w:szCs w:val="19"/>
              </w:rPr>
              <w:t>有限合伙</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深圳游嘻宝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深圳市娱游时代科技有限公司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深圳娱游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深圳青友玩网络科技有限公司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深圳青友玩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Tycuplay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Tycuplay</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山东科迅达恒科技发展有限公司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山东科讯达恒</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合肥宝腾信息技术有限公司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合肥宝腾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深圳市利得链科技有限公司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利得链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深圳市掌心烈焰互娱科技有限公司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掌心烈焰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深圳市龙华区区块链产业促进会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区块链促进会</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深圳市龙华区区块链产业促进中心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区块链促进中心</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289"/>
      <w:bookmarkEnd w:id="1290"/>
      <w:bookmarkEnd w:id="1291"/>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292" w:name="bookmark129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）在子公司所有者权益份额发生变化的情况说明</w:t>
      </w:r>
      <w:bookmarkEnd w:id="1292"/>
    </w:p>
    <w:tbl>
      <w:tblPr>
        <w:tblOverlap w:val="never"/>
        <w:jc w:val="left"/>
        <w:tblLayout w:type="fixed"/>
      </w:tblPr>
      <w:tblGrid>
        <w:gridCol w:w="2189"/>
        <w:gridCol w:w="1637"/>
        <w:gridCol w:w="1915"/>
        <w:gridCol w:w="3014"/>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子公司名称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所有者权益份额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变化原因</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b/>
                <w:bCs/>
                <w:color w:val="000000"/>
                <w:spacing w:val="0"/>
                <w:w w:val="100"/>
                <w:position w:val="0"/>
                <w:sz w:val="19"/>
                <w:szCs w:val="19"/>
              </w:rPr>
              <w:t>变化前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变化后</w:t>
            </w:r>
          </w:p>
        </w:tc>
        <w:tc>
          <w:tcPr>
            <w:vMerge/>
            <w:tcBorders>
              <w:lef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深圳创想时空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因收购少数股东股权</w:t>
            </w:r>
          </w:p>
        </w:tc>
      </w:tr>
    </w:tbl>
    <w:p>
      <w:pPr>
        <w:widowControl w:val="0"/>
        <w:spacing w:after="639" w:line="1" w:lineRule="exact"/>
      </w:pPr>
    </w:p>
    <w:p>
      <w:pPr>
        <w:pStyle w:val="Style37"/>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293"/>
      <w:bookmarkEnd w:id="1294"/>
      <w:bookmarkEnd w:id="12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-210,777.43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210,778.43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210,778.43</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color w:val="000000"/>
          <w:spacing w:val="0"/>
          <w:w w:val="100"/>
          <w:position w:val="0"/>
        </w:rPr>
        <w:t>、在合营安排或联营企业中的权益</w:t>
      </w:r>
      <w:bookmarkEnd w:id="1296"/>
      <w:bookmarkEnd w:id="1297"/>
      <w:bookmarkEnd w:id="1299"/>
    </w:p>
    <w:p>
      <w:pPr>
        <w:pStyle w:val="Style37"/>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00"/>
      <w:bookmarkEnd w:id="1301"/>
      <w:bookmarkEnd w:id="130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13,989,933.65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45,978,483.29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-1,095,915.39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-1,095,915.39</w:t>
            </w:r>
          </w:p>
        </w:tc>
      </w:tr>
    </w:tbl>
    <w:p>
      <w:pPr>
        <w:widowControl w:val="0"/>
        <w:spacing w:after="619" w:line="1" w:lineRule="exact"/>
      </w:pPr>
    </w:p>
    <w:p>
      <w:pPr>
        <w:pStyle w:val="Style22"/>
        <w:keepNext/>
        <w:keepLines/>
        <w:widowControl w:val="0"/>
        <w:shd w:val="clear" w:color="auto" w:fill="auto"/>
        <w:bidi w:val="0"/>
        <w:spacing w:before="0" w:after="280" w:line="315" w:lineRule="exact"/>
        <w:ind w:left="0" w:right="0" w:firstLine="0"/>
        <w:jc w:val="left"/>
      </w:pPr>
      <w:bookmarkStart w:id="1303" w:name="bookmark1303"/>
      <w:bookmarkStart w:id="1304" w:name="bookmark1304"/>
      <w:bookmarkStart w:id="1305" w:name="bookmark1305"/>
      <w:r>
        <w:rPr>
          <w:color w:val="000000"/>
          <w:spacing w:val="0"/>
          <w:w w:val="100"/>
          <w:position w:val="0"/>
          <w:sz w:val="24"/>
          <w:szCs w:val="24"/>
        </w:rPr>
        <w:t>十、与金融工具相关的风险</w:t>
      </w:r>
      <w:bookmarkEnd w:id="1303"/>
      <w:bookmarkEnd w:id="1304"/>
      <w:bookmarkEnd w:id="1305"/>
    </w:p>
    <w:p>
      <w:pPr>
        <w:pStyle w:val="Style49"/>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本公司的主要金融工具包括借款、应收款项、应付款项等，各项金融工具的详细情况说明见本附 注六。与这些金融工具有关的风险，以及本公司为降低这些风险所采取的风险管理政策如下所述。本 公司管理层对这些风险敞口进行管理和监控以确保将上述风险控制在限定的范围之内。</w:t>
      </w:r>
    </w:p>
    <w:p>
      <w:pPr>
        <w:pStyle w:val="Style49"/>
        <w:keepNext w:val="0"/>
        <w:keepLines w:val="0"/>
        <w:widowControl w:val="0"/>
        <w:shd w:val="clear" w:color="auto" w:fill="auto"/>
        <w:bidi w:val="0"/>
        <w:spacing w:before="0" w:after="220" w:line="31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、各类风险管理目标和政策</w:t>
      </w:r>
    </w:p>
    <w:p>
      <w:pPr>
        <w:pStyle w:val="Style49"/>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本公司从事风险管理的目标是在风险和收益之间取得适当的平衡，将风险对本公司经营业绩的负 面影响降低到最低水平，使股东及其它权益投资者的利益最大化。基于该风险管理目标，本公司风险 管理的基本策略是确定和分析本公司所面临的各种风险，建立适当的风险承受底线并进行风险管理， 并及时可靠地对各种风险进行监督，将风险控制在限定的范围之内。</w:t>
      </w:r>
    </w:p>
    <w:p>
      <w:pPr>
        <w:pStyle w:val="Style49"/>
        <w:keepNext w:val="0"/>
        <w:keepLines w:val="0"/>
        <w:widowControl w:val="0"/>
        <w:shd w:val="clear" w:color="auto" w:fill="auto"/>
        <w:bidi w:val="0"/>
        <w:spacing w:before="0" w:after="220" w:line="30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49"/>
        <w:keepNext w:val="0"/>
        <w:keepLines w:val="0"/>
        <w:widowControl w:val="0"/>
        <w:shd w:val="clear" w:color="auto" w:fill="auto"/>
        <w:bidi w:val="0"/>
        <w:spacing w:before="0" w:after="140" w:line="30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49"/>
        <w:keepNext w:val="0"/>
        <w:keepLines w:val="0"/>
        <w:widowControl w:val="0"/>
        <w:shd w:val="clear" w:color="auto" w:fill="auto"/>
        <w:bidi w:val="0"/>
        <w:spacing w:before="0" w:after="280" w:line="314" w:lineRule="exact"/>
        <w:ind w:left="0" w:right="0" w:firstLine="440"/>
        <w:jc w:val="both"/>
      </w:pPr>
      <w:r>
        <w:rPr>
          <w:i/>
          <w:iCs/>
          <w:color w:val="000000"/>
          <w:spacing w:val="0"/>
          <w:w w:val="100"/>
          <w:position w:val="0"/>
        </w:rPr>
        <w:t>本公司承受汇率风险主要与美元、港币有关,除本公司及几个下属子公司以美元、港币进行采购 和销售外,本公司的其他主要业务活动以人民币计价结算。于</w:t>
      </w:r>
      <w:r>
        <w:rPr>
          <w:rFonts w:ascii="Times New Roman" w:eastAsia="Times New Roman" w:hAnsi="Times New Roman" w:cs="Times New Roman"/>
          <w:i/>
          <w:iCs/>
          <w:color w:val="000000"/>
          <w:spacing w:val="0"/>
          <w:w w:val="100"/>
          <w:position w:val="0"/>
        </w:rPr>
        <w:t>2020</w:t>
      </w:r>
      <w:r>
        <w:rPr>
          <w:i/>
          <w:iCs/>
          <w:color w:val="000000"/>
          <w:spacing w:val="0"/>
          <w:w w:val="100"/>
          <w:position w:val="0"/>
        </w:rPr>
        <w:t>年</w:t>
      </w:r>
      <w:r>
        <w:rPr>
          <w:rFonts w:ascii="Times New Roman" w:eastAsia="Times New Roman" w:hAnsi="Times New Roman" w:cs="Times New Roman"/>
          <w:i/>
          <w:iCs/>
          <w:color w:val="000000"/>
          <w:spacing w:val="0"/>
          <w:w w:val="100"/>
          <w:position w:val="0"/>
        </w:rPr>
        <w:t>12</w:t>
      </w:r>
      <w:r>
        <w:rPr>
          <w:i/>
          <w:iCs/>
          <w:color w:val="000000"/>
          <w:spacing w:val="0"/>
          <w:w w:val="100"/>
          <w:position w:val="0"/>
        </w:rPr>
        <w:t>月</w:t>
      </w:r>
      <w:r>
        <w:rPr>
          <w:rFonts w:ascii="Times New Roman" w:eastAsia="Times New Roman" w:hAnsi="Times New Roman" w:cs="Times New Roman"/>
          <w:i/>
          <w:iCs/>
          <w:color w:val="000000"/>
          <w:spacing w:val="0"/>
          <w:w w:val="100"/>
          <w:position w:val="0"/>
        </w:rPr>
        <w:t xml:space="preserve">31 </w:t>
      </w:r>
      <w:r>
        <w:rPr>
          <w:i/>
          <w:iCs/>
          <w:color w:val="000000"/>
          <w:spacing w:val="0"/>
          <w:w w:val="100"/>
          <w:position w:val="0"/>
        </w:rPr>
        <w:t>日，除下表所述资产及负 债的美元余额、港币余额外,本公司的资产及负债均为人民币余额。该美元余额、港币余额的资产和 负债产生的汇率风险可能对本公司的经营业绩产生影响。</w:t>
      </w:r>
    </w:p>
    <w:tbl>
      <w:tblPr>
        <w:tblOverlap w:val="never"/>
        <w:jc w:val="left"/>
        <w:tblLayout w:type="fixed"/>
      </w:tblPr>
      <w:tblGrid>
        <w:gridCol w:w="3720"/>
        <w:gridCol w:w="2501"/>
        <w:gridCol w:w="24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货币资金</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741,551.56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1,176,464.81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货币资金</w:t>
            </w:r>
            <w:r>
              <w:rPr>
                <w:color w:val="000000"/>
                <w:spacing w:val="0"/>
                <w:w w:val="100"/>
                <w:position w:val="0"/>
                <w:sz w:val="20"/>
                <w:szCs w:val="20"/>
              </w:rPr>
              <w:t>-</w:t>
            </w:r>
            <w:r>
              <w:rPr>
                <w:rFonts w:ascii="SimSun" w:eastAsia="SimSun" w:hAnsi="SimSun" w:cs="SimSun"/>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197,894.95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1,573,268.03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1,226,924.61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r>
              <w:rPr>
                <w:color w:val="000000"/>
                <w:spacing w:val="0"/>
                <w:w w:val="100"/>
                <w:position w:val="0"/>
                <w:sz w:val="20"/>
                <w:szCs w:val="20"/>
              </w:rPr>
              <w:t>-</w:t>
            </w:r>
            <w:r>
              <w:rPr>
                <w:rFonts w:ascii="SimSun" w:eastAsia="SimSun" w:hAnsi="SimSun" w:cs="SimSun"/>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其他应收款</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951,476.95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951,343.84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预付账款</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576,475.75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276,059.10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应付账款</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442,905.05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440,678.71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预收账款</w:t>
            </w:r>
            <w:r>
              <w:rPr>
                <w:color w:val="000000"/>
                <w:spacing w:val="0"/>
                <w:w w:val="100"/>
                <w:position w:val="0"/>
                <w:sz w:val="20"/>
                <w:szCs w:val="20"/>
              </w:rPr>
              <w:t>-</w:t>
            </w:r>
            <w:r>
              <w:rPr>
                <w:rFonts w:ascii="SimSun" w:eastAsia="SimSun" w:hAnsi="SimSun" w:cs="SimSun"/>
                <w:color w:val="000000"/>
                <w:spacing w:val="0"/>
                <w:w w:val="100"/>
                <w:position w:val="0"/>
                <w:sz w:val="19"/>
                <w:szCs w:val="19"/>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36,874.41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167,138.03</w:t>
            </w:r>
          </w:p>
        </w:tc>
      </w:tr>
    </w:tbl>
    <w:p>
      <w:pPr>
        <w:widowControl w:val="0"/>
        <w:spacing w:after="239" w:line="1" w:lineRule="exact"/>
      </w:pPr>
    </w:p>
    <w:p>
      <w:pPr>
        <w:pStyle w:val="Style49"/>
        <w:keepNext w:val="0"/>
        <w:keepLines w:val="0"/>
        <w:widowControl w:val="0"/>
        <w:shd w:val="clear" w:color="auto" w:fill="auto"/>
        <w:bidi w:val="0"/>
        <w:spacing w:before="0" w:after="240" w:line="240" w:lineRule="auto"/>
        <w:ind w:left="0" w:right="0" w:firstLine="440"/>
        <w:jc w:val="left"/>
      </w:pPr>
      <w:r>
        <w:rPr>
          <w:i/>
          <w:iCs/>
          <w:color w:val="000000"/>
          <w:spacing w:val="0"/>
          <w:w w:val="100"/>
          <w:position w:val="0"/>
        </w:rPr>
        <w:t>本公司密切关注汇率变动对本公司的影响，本公司目前并未采取其他措施规避外汇风险。</w:t>
      </w:r>
    </w:p>
    <w:p>
      <w:pPr>
        <w:pStyle w:val="Style49"/>
        <w:keepNext w:val="0"/>
        <w:keepLines w:val="0"/>
        <w:widowControl w:val="0"/>
        <w:shd w:val="clear" w:color="auto" w:fill="auto"/>
        <w:bidi w:val="0"/>
        <w:spacing w:before="0" w:after="240" w:line="312"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）价格风险</w:t>
      </w:r>
    </w:p>
    <w:p>
      <w:pPr>
        <w:pStyle w:val="Style49"/>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本公司以市场价格运营游戏产品，因此受到此等价格波动的影响。</w:t>
      </w:r>
    </w:p>
    <w:p>
      <w:pPr>
        <w:pStyle w:val="Style49"/>
        <w:keepNext w:val="0"/>
        <w:keepLines w:val="0"/>
        <w:widowControl w:val="0"/>
        <w:shd w:val="clear" w:color="auto" w:fill="auto"/>
        <w:tabs>
          <w:tab w:pos="875" w:val="left"/>
        </w:tabs>
        <w:bidi w:val="0"/>
        <w:spacing w:before="0" w:after="160" w:line="298" w:lineRule="auto"/>
        <w:ind w:left="0" w:right="0" w:firstLine="440"/>
        <w:jc w:val="left"/>
      </w:pPr>
      <w:bookmarkStart w:id="1306" w:name="bookmark1306"/>
      <w:r>
        <w:rPr>
          <w:rFonts w:ascii="Times New Roman" w:eastAsia="Times New Roman" w:hAnsi="Times New Roman" w:cs="Times New Roman"/>
          <w:color w:val="000000"/>
          <w:spacing w:val="0"/>
          <w:w w:val="100"/>
          <w:position w:val="0"/>
        </w:rPr>
        <w:t>（</w:t>
      </w:r>
      <w:bookmarkEnd w:id="1306"/>
      <w:r>
        <w:rPr>
          <w:rFonts w:ascii="Times New Roman" w:eastAsia="Times New Roman" w:hAnsi="Times New Roman" w:cs="Times New Roman"/>
          <w:color w:val="000000"/>
          <w:spacing w:val="0"/>
          <w:w w:val="100"/>
          <w:position w:val="0"/>
        </w:rPr>
        <w:t>2）</w:t>
        <w:tab/>
      </w:r>
      <w:r>
        <w:rPr>
          <w:color w:val="000000"/>
          <w:spacing w:val="0"/>
          <w:w w:val="100"/>
          <w:position w:val="0"/>
        </w:rPr>
        <w:t>信用风险</w:t>
      </w:r>
    </w:p>
    <w:p>
      <w:pPr>
        <w:pStyle w:val="Style49"/>
        <w:keepNext w:val="0"/>
        <w:keepLines w:val="0"/>
        <w:widowControl w:val="0"/>
        <w:shd w:val="clear" w:color="auto" w:fill="auto"/>
        <w:bidi w:val="0"/>
        <w:spacing w:before="0" w:after="240" w:line="331"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 行义务而导致本公司金融资产产生的损失，具体包括：</w:t>
      </w:r>
    </w:p>
    <w:p>
      <w:pPr>
        <w:pStyle w:val="Style49"/>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49"/>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为降低信用风险，本公司成立专门部门确定信用额度、进行信用审批，并执行其它监控程序以确 保采取必要的措施回收过期债权。此外，本公司于每个资产负债表日审核每一单项应收款的回收情况, 以确保就无法回收的款项计提充分的坏账准备。因此，本公司管理层认为本公司所承担的信用风险已 经大为降低。</w:t>
      </w:r>
    </w:p>
    <w:p>
      <w:pPr>
        <w:pStyle w:val="Style49"/>
        <w:keepNext w:val="0"/>
        <w:keepLines w:val="0"/>
        <w:widowControl w:val="0"/>
        <w:shd w:val="clear" w:color="auto" w:fill="auto"/>
        <w:bidi w:val="0"/>
        <w:spacing w:before="0" w:after="240" w:line="240" w:lineRule="auto"/>
        <w:ind w:left="0" w:right="0" w:firstLine="440"/>
        <w:jc w:val="both"/>
      </w:pPr>
      <w:r>
        <w:rPr>
          <w:i/>
          <w:iCs/>
          <w:color w:val="000000"/>
          <w:spacing w:val="0"/>
          <w:w w:val="100"/>
          <w:position w:val="0"/>
        </w:rPr>
        <w:t>本公司的流动资金存放在信用评级较高的银行,故流动资金的信用风险较低。</w:t>
      </w:r>
    </w:p>
    <w:p>
      <w:pPr>
        <w:pStyle w:val="Style49"/>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由于本公司的风险敞口分布在多个合同方和多个客户，因此没有重大的信用集中风险。</w:t>
      </w:r>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rPr>
        <w:t>56,637,587.29</w:t>
      </w:r>
      <w:r>
        <w:rPr>
          <w:color w:val="000000"/>
          <w:spacing w:val="0"/>
          <w:w w:val="100"/>
          <w:position w:val="0"/>
        </w:rPr>
        <w:t>元。</w:t>
      </w:r>
    </w:p>
    <w:p>
      <w:pPr>
        <w:pStyle w:val="Style49"/>
        <w:keepNext w:val="0"/>
        <w:keepLines w:val="0"/>
        <w:widowControl w:val="0"/>
        <w:shd w:val="clear" w:color="auto" w:fill="auto"/>
        <w:tabs>
          <w:tab w:pos="875" w:val="left"/>
        </w:tabs>
        <w:bidi w:val="0"/>
        <w:spacing w:before="0" w:after="160" w:line="298" w:lineRule="auto"/>
        <w:ind w:left="0" w:right="0" w:firstLine="440"/>
        <w:jc w:val="both"/>
      </w:pPr>
      <w:bookmarkStart w:id="1307" w:name="bookmark1307"/>
      <w:r>
        <w:rPr>
          <w:rFonts w:ascii="Times New Roman" w:eastAsia="Times New Roman" w:hAnsi="Times New Roman" w:cs="Times New Roman"/>
          <w:color w:val="000000"/>
          <w:spacing w:val="0"/>
          <w:w w:val="100"/>
          <w:position w:val="0"/>
        </w:rPr>
        <w:t>（</w:t>
      </w:r>
      <w:bookmarkEnd w:id="1307"/>
      <w:r>
        <w:rPr>
          <w:rFonts w:ascii="Times New Roman" w:eastAsia="Times New Roman" w:hAnsi="Times New Roman" w:cs="Times New Roman"/>
          <w:color w:val="000000"/>
          <w:spacing w:val="0"/>
          <w:w w:val="100"/>
          <w:position w:val="0"/>
        </w:rPr>
        <w:t>3）</w:t>
        <w:tab/>
      </w:r>
      <w:r>
        <w:rPr>
          <w:color w:val="000000"/>
          <w:spacing w:val="0"/>
          <w:w w:val="100"/>
          <w:position w:val="0"/>
        </w:rPr>
        <w:t>流动风险</w:t>
      </w:r>
    </w:p>
    <w:p>
      <w:pPr>
        <w:pStyle w:val="Style49"/>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流动风险为本公司在到期日无法履行其财务义务的风险。本公司管理流动性风险的方法是确保有 足够的资金流动性来履行到期债务，而不至于造成不可接受的损失或对企业信誉造成损害。本公司定 期分析负债结构和期限，以确保有充裕的资金。本公司管理层对银行借款的使用情况进行监控并确保 遵守借款协议。同时与金融机构进行融资磋商，以保持一定的授信额度，减低流动性风险。</w:t>
      </w:r>
    </w:p>
    <w:p>
      <w:pPr>
        <w:pStyle w:val="Style86"/>
        <w:keepNext w:val="0"/>
        <w:keepLines w:val="0"/>
        <w:widowControl w:val="0"/>
        <w:shd w:val="clear" w:color="auto" w:fill="auto"/>
        <w:tabs>
          <w:tab w:pos="4160" w:val="left"/>
        </w:tabs>
        <w:bidi w:val="0"/>
        <w:spacing w:before="0"/>
        <w:ind w:left="0" w:right="0"/>
        <w:jc w:val="both"/>
      </w:pPr>
      <w:r>
        <w:rPr>
          <w:rFonts w:ascii="SimSun" w:eastAsia="SimSun" w:hAnsi="SimSun" w:cs="SimSun"/>
          <w:color w:val="000000"/>
          <w:spacing w:val="0"/>
          <w:w w:val="100"/>
          <w:position w:val="0"/>
        </w:rPr>
        <w:t>本公司将银行借款作为主要资金来源。于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 xml:space="preserve">本公司尚未使用的银行借款额度为 </w:t>
      </w:r>
      <w:r>
        <w:rPr>
          <w:color w:val="000000"/>
          <w:spacing w:val="0"/>
          <w:w w:val="100"/>
          <w:position w:val="0"/>
        </w:rPr>
        <w:t>70,000,000.00</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22"/>
          <w:szCs w:val="22"/>
        </w:rPr>
        <w:t xml:space="preserve">0： </w:t>
      </w:r>
      <w:r>
        <w:rPr>
          <w:color w:val="000000"/>
          <w:spacing w:val="0"/>
          <w:w w:val="100"/>
          <w:position w:val="0"/>
        </w:rPr>
        <w:t>123,500,000.00</w:t>
      </w:r>
      <w:r>
        <w:rPr>
          <w:rFonts w:ascii="SimSun" w:eastAsia="SimSun" w:hAnsi="SimSun" w:cs="SimSun"/>
          <w:color w:val="000000"/>
          <w:spacing w:val="0"/>
          <w:w w:val="100"/>
          <w:position w:val="0"/>
        </w:rPr>
        <w:t>元）其中本公司尚未使用的短期银行借款额度为 人民币</w:t>
      </w:r>
      <w:r>
        <w:rPr>
          <w:color w:val="000000"/>
          <w:spacing w:val="0"/>
          <w:w w:val="100"/>
          <w:position w:val="0"/>
        </w:rPr>
        <w:t>70,000,000.00</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22"/>
          <w:szCs w:val="22"/>
        </w:rPr>
        <w:t>0：</w:t>
        <w:tab/>
      </w:r>
      <w:r>
        <w:rPr>
          <w:color w:val="000000"/>
          <w:spacing w:val="0"/>
          <w:w w:val="100"/>
          <w:position w:val="0"/>
        </w:rPr>
        <w:t>23,500,000.00</w:t>
      </w:r>
      <w:r>
        <w:rPr>
          <w:rFonts w:ascii="SimSun" w:eastAsia="SimSun" w:hAnsi="SimSun" w:cs="SimSun"/>
          <w:color w:val="000000"/>
          <w:spacing w:val="0"/>
          <w:w w:val="100"/>
          <w:position w:val="0"/>
        </w:rPr>
        <w:t>）。</w:t>
      </w:r>
      <w:r>
        <w:br w:type="page"/>
      </w:r>
    </w:p>
    <w:p>
      <w:pPr>
        <w:pStyle w:val="Style49"/>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本公司持有的金融资产和金融负债按未折现剩余合同义务的到期期限分析如下:</w:t>
      </w:r>
    </w:p>
    <w:p>
      <w:pPr>
        <w:pStyle w:val="Style86"/>
        <w:keepNext w:val="0"/>
        <w:keepLines w:val="0"/>
        <w:widowControl w:val="0"/>
        <w:shd w:val="clear" w:color="auto" w:fill="auto"/>
        <w:bidi w:val="0"/>
        <w:spacing w:before="0" w:after="26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日金额：</w:t>
      </w:r>
    </w:p>
    <w:tbl>
      <w:tblPr>
        <w:tblOverlap w:val="never"/>
        <w:jc w:val="left"/>
        <w:tblLayout w:type="fixed"/>
      </w:tblPr>
      <w:tblGrid>
        <w:gridCol w:w="1925"/>
        <w:gridCol w:w="1680"/>
        <w:gridCol w:w="1190"/>
        <w:gridCol w:w="1138"/>
        <w:gridCol w:w="1099"/>
        <w:gridCol w:w="17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b/>
                <w:bCs/>
                <w:color w:val="000000"/>
                <w:spacing w:val="0"/>
                <w:w w:val="100"/>
                <w:position w:val="0"/>
                <w:sz w:val="19"/>
                <w:szCs w:val="19"/>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五年以上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rFonts w:ascii="SimSun" w:eastAsia="SimSun" w:hAnsi="SimSun" w:cs="SimSun"/>
                <w:b/>
                <w:bCs/>
                <w:color w:val="000000"/>
                <w:spacing w:val="0"/>
                <w:w w:val="100"/>
                <w:position w:val="0"/>
                <w:sz w:val="19"/>
                <w:szCs w:val="19"/>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109,621,446.74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109,621,446.74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187,912,914.77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187,912,914.77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115,542,648.77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115,542,648.77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132,638,692.36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132,638,692.36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73,517,621.21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73,517,621.21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61,433,928.70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61,433,928.70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7,198,175.43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7,198,175.43</w:t>
            </w:r>
          </w:p>
        </w:tc>
      </w:tr>
    </w:tbl>
    <w:p>
      <w:pPr>
        <w:widowControl w:val="0"/>
        <w:spacing w:after="199" w:line="1" w:lineRule="exact"/>
      </w:pPr>
    </w:p>
    <w:p>
      <w:pPr>
        <w:pStyle w:val="Style49"/>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、敏感性分析</w:t>
      </w:r>
    </w:p>
    <w:p>
      <w:pPr>
        <w:pStyle w:val="Style49"/>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本公司采用敏感性分析技术分析风险变量的合理、可能变化对当期损益或股东权益可能产生的影 响。由于任何风险变量很少孤立的发生变化，而变量之间存在的相关性对某一风险变量变化的最终影 响金额将产生重大作用，因此下述内容是在假设每一变量的变化是独立的情况下进行的。</w:t>
      </w:r>
    </w:p>
    <w:p>
      <w:pPr>
        <w:pStyle w:val="Style4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)外汇风险敏感性分析</w:t>
      </w:r>
    </w:p>
    <w:p>
      <w:pPr>
        <w:pStyle w:val="Style49"/>
        <w:keepNext w:val="0"/>
        <w:keepLines w:val="0"/>
        <w:widowControl w:val="0"/>
        <w:shd w:val="clear" w:color="auto" w:fill="auto"/>
        <w:bidi w:val="0"/>
        <w:spacing w:before="0" w:after="200" w:line="314" w:lineRule="exact"/>
        <w:ind w:left="0" w:right="0" w:firstLine="460"/>
        <w:jc w:val="left"/>
      </w:pPr>
      <w:r>
        <w:rPr>
          <w:color w:val="000000"/>
          <w:spacing w:val="0"/>
          <w:w w:val="100"/>
          <w:position w:val="0"/>
        </w:rPr>
        <w:t>外汇风险敏感性分析假设：所有境外经营净投资套期及现金流量套期均高度有效。</w:t>
      </w:r>
    </w:p>
    <w:p>
      <w:pPr>
        <w:pStyle w:val="Style27"/>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在上述假设的基础上，在其它变量不变的情况下，汇率可能发生的合理变动对当期损益和权益的 税后影响如下：</w:t>
      </w:r>
    </w:p>
    <w:tbl>
      <w:tblPr>
        <w:tblOverlap w:val="never"/>
        <w:jc w:val="center"/>
        <w:tblLayout w:type="fixed"/>
      </w:tblPr>
      <w:tblGrid>
        <w:gridCol w:w="658"/>
        <w:gridCol w:w="1714"/>
        <w:gridCol w:w="1618"/>
        <w:gridCol w:w="1430"/>
        <w:gridCol w:w="1661"/>
        <w:gridCol w:w="167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9"/>
                <w:szCs w:val="19"/>
              </w:rPr>
            </w:pPr>
            <w:r>
              <w:rPr>
                <w:rFonts w:ascii="SimSun" w:eastAsia="SimSun" w:hAnsi="SimSun" w:cs="SimSun"/>
                <w:b/>
                <w:bCs/>
                <w:color w:val="000000"/>
                <w:spacing w:val="0"/>
                <w:w w:val="100"/>
                <w:position w:val="0"/>
                <w:sz w:val="19"/>
                <w:szCs w:val="19"/>
              </w:rPr>
              <w:t>汇率变动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2020</w:t>
            </w:r>
            <w:r>
              <w:rPr>
                <w:rFonts w:ascii="SimSun" w:eastAsia="SimSun" w:hAnsi="SimSun" w:cs="SimSun"/>
                <w:b/>
                <w:bCs/>
                <w:color w:val="000000"/>
                <w:spacing w:val="0"/>
                <w:w w:val="100"/>
                <w:position w:val="0"/>
                <w:sz w:val="19"/>
                <w:szCs w:val="19"/>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2019</w:t>
            </w:r>
            <w:r>
              <w:rPr>
                <w:rFonts w:ascii="SimSun" w:eastAsia="SimSun" w:hAnsi="SimSun" w:cs="SimSun"/>
                <w:b/>
                <w:bCs/>
                <w:color w:val="000000"/>
                <w:spacing w:val="0"/>
                <w:w w:val="100"/>
                <w:position w:val="0"/>
                <w:sz w:val="19"/>
                <w:szCs w:val="19"/>
              </w:rPr>
              <w:t>年度</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对净利润的影响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b/>
                <w:bCs/>
                <w:color w:val="000000"/>
                <w:spacing w:val="0"/>
                <w:w w:val="100"/>
                <w:position w:val="0"/>
                <w:sz w:val="19"/>
                <w:szCs w:val="19"/>
              </w:rPr>
              <w:t>对股东权益的影 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对净利润的影响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对股东权益的影响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对人民币升值</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142,927.19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142,927.19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128,476.46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128,476.46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对人民币贬值</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-142,927.19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-142,927.19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-128,476.46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-128,476.46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对人民币升值</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-12,660.86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8,410.54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对人民币贬值</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12,660.86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-8,410.54</w:t>
            </w:r>
          </w:p>
        </w:tc>
      </w:tr>
    </w:tbl>
    <w:p>
      <w:pPr>
        <w:widowControl w:val="0"/>
        <w:spacing w:after="199" w:line="1" w:lineRule="exact"/>
      </w:pPr>
    </w:p>
    <w:p>
      <w:pPr>
        <w:pStyle w:val="Style4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)利率敏感性分析</w:t>
      </w:r>
    </w:p>
    <w:p>
      <w:pPr>
        <w:pStyle w:val="Style49"/>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利率风险敏感性分析基于下述假设：</w:t>
      </w:r>
    </w:p>
    <w:p>
      <w:pPr>
        <w:pStyle w:val="Style49"/>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市场利率变化影响可变利率金融工具的利息收入或费用；</w:t>
      </w:r>
    </w:p>
    <w:p>
      <w:pPr>
        <w:pStyle w:val="Style49"/>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对于以公允价值计量的固定利率金融工具，市场利率变化仅仅影响其利息收入或费用；</w:t>
      </w:r>
    </w:p>
    <w:p>
      <w:pPr>
        <w:pStyle w:val="Style4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以资产负债表日市场利率采用现金流量折现法计算衍生金融工具及其它金融资产和负债的公允 价值变化。</w:t>
      </w:r>
    </w:p>
    <w:p>
      <w:pPr>
        <w:pStyle w:val="Style49"/>
        <w:keepNext w:val="0"/>
        <w:keepLines w:val="0"/>
        <w:widowControl w:val="0"/>
        <w:shd w:val="clear" w:color="auto" w:fill="auto"/>
        <w:bidi w:val="0"/>
        <w:spacing w:before="0" w:after="160" w:line="312" w:lineRule="exact"/>
        <w:ind w:left="0" w:right="0" w:firstLine="460"/>
        <w:jc w:val="both"/>
      </w:pPr>
      <w:r>
        <w:rPr>
          <w:color w:val="000000"/>
          <w:spacing w:val="0"/>
          <w:w w:val="100"/>
          <w:position w:val="0"/>
        </w:rPr>
        <w:t>在上述假设的基础上，在其它变量不变的情况下，利率可能发生的合理变动对当期损益和权益的</w:t>
      </w:r>
      <w:r>
        <w:br w:type="page"/>
      </w:r>
    </w:p>
    <w:p>
      <w:pPr>
        <w:pStyle w:val="Style4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税后影响如下:</w:t>
      </w:r>
    </w:p>
    <w:tbl>
      <w:tblPr>
        <w:tblOverlap w:val="never"/>
        <w:jc w:val="left"/>
        <w:tblLayout w:type="fixed"/>
      </w:tblPr>
      <w:tblGrid>
        <w:gridCol w:w="1430"/>
        <w:gridCol w:w="869"/>
        <w:gridCol w:w="1440"/>
        <w:gridCol w:w="1613"/>
        <w:gridCol w:w="1565"/>
        <w:gridCol w:w="166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利率变动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2020</w:t>
            </w:r>
            <w:r>
              <w:rPr>
                <w:rFonts w:ascii="SimSun" w:eastAsia="SimSun" w:hAnsi="SimSun" w:cs="SimSun"/>
                <w:b/>
                <w:bCs/>
                <w:color w:val="000000"/>
                <w:spacing w:val="0"/>
                <w:w w:val="100"/>
                <w:position w:val="0"/>
                <w:sz w:val="19"/>
                <w:szCs w:val="19"/>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2019</w:t>
            </w:r>
            <w:r>
              <w:rPr>
                <w:rFonts w:ascii="SimSun" w:eastAsia="SimSun" w:hAnsi="SimSun" w:cs="SimSun"/>
                <w:b/>
                <w:bCs/>
                <w:color w:val="000000"/>
                <w:spacing w:val="0"/>
                <w:w w:val="100"/>
                <w:position w:val="0"/>
                <w:sz w:val="19"/>
                <w:szCs w:val="19"/>
              </w:rPr>
              <w:t>年度</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对净利润的影响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b/>
                <w:bCs/>
                <w:color w:val="000000"/>
                <w:spacing w:val="0"/>
                <w:w w:val="100"/>
                <w:position w:val="0"/>
                <w:sz w:val="19"/>
                <w:szCs w:val="19"/>
              </w:rPr>
              <w:t>对股东权益的影 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对净利润的影响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对股东权益的影响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浮动利率借款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19"/>
                <w:szCs w:val="19"/>
              </w:rPr>
              <w:t>增加</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浮动利率借款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19"/>
                <w:szCs w:val="19"/>
              </w:rPr>
              <w:t>减少</w:t>
            </w: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1,315,000.00</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sz w:val="24"/>
          <w:szCs w:val="24"/>
        </w:rPr>
        <w:t>十^一、公允价值的披露</w:t>
      </w:r>
      <w:bookmarkEnd w:id="1308"/>
      <w:bookmarkEnd w:id="1309"/>
      <w:bookmarkEnd w:id="1310"/>
    </w:p>
    <w:p>
      <w:pPr>
        <w:pStyle w:val="Style31"/>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11"/>
      <w:bookmarkEnd w:id="1312"/>
      <w:bookmarkEnd w:id="1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295,338,069.15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295,338,069.15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307,888,069.15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307,888,069.15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314"/>
      <w:bookmarkEnd w:id="1315"/>
      <w:bookmarkEnd w:id="1316"/>
    </w:p>
    <w:p>
      <w:pPr>
        <w:pStyle w:val="Style49"/>
        <w:keepNext w:val="0"/>
        <w:keepLines w:val="0"/>
        <w:widowControl w:val="0"/>
        <w:shd w:val="clear" w:color="auto" w:fill="auto"/>
        <w:bidi w:val="0"/>
        <w:spacing w:before="0" w:after="620" w:line="312" w:lineRule="exact"/>
        <w:ind w:left="0" w:right="0" w:firstLine="460"/>
        <w:jc w:val="left"/>
      </w:pPr>
      <w:r>
        <w:rPr>
          <w:color w:val="000000"/>
          <w:spacing w:val="0"/>
          <w:w w:val="100"/>
          <w:position w:val="0"/>
        </w:rPr>
        <w:t>上表中的权益工具投资和其他权益工具投资系本公司持有的不存在活跃市场的非上市公司股权, 在估值时，本公司采用</w:t>
      </w:r>
      <w:r>
        <w:rPr>
          <w:color w:val="333333"/>
          <w:spacing w:val="0"/>
          <w:w w:val="100"/>
          <w:position w:val="0"/>
        </w:rPr>
        <w:t>永续增长模型对所持股权的价值进行估值。</w:t>
      </w:r>
    </w:p>
    <w:p>
      <w:pPr>
        <w:pStyle w:val="Style22"/>
        <w:keepNext/>
        <w:keepLines/>
        <w:widowControl w:val="0"/>
        <w:shd w:val="clear" w:color="auto" w:fill="auto"/>
        <w:bidi w:val="0"/>
        <w:spacing w:before="0" w:line="312" w:lineRule="exact"/>
        <w:ind w:left="0" w:right="0" w:firstLine="0"/>
        <w:jc w:val="left"/>
      </w:pPr>
      <w:bookmarkStart w:id="1317" w:name="bookmark1317"/>
      <w:bookmarkStart w:id="1318" w:name="bookmark1318"/>
      <w:bookmarkStart w:id="1319" w:name="bookmark1319"/>
      <w:r>
        <w:rPr>
          <w:color w:val="000000"/>
          <w:spacing w:val="0"/>
          <w:w w:val="100"/>
          <w:position w:val="0"/>
          <w:sz w:val="24"/>
          <w:szCs w:val="24"/>
        </w:rPr>
        <w:t>十二、关联方及关联交易</w:t>
      </w:r>
      <w:bookmarkEnd w:id="1317"/>
      <w:bookmarkEnd w:id="1318"/>
      <w:bookmarkEnd w:id="1319"/>
    </w:p>
    <w:p>
      <w:pPr>
        <w:pStyle w:val="Style31"/>
        <w:keepNext/>
        <w:keepLines/>
        <w:widowControl w:val="0"/>
        <w:shd w:val="clear" w:color="auto" w:fill="auto"/>
        <w:bidi w:val="0"/>
        <w:spacing w:before="0" w:after="240" w:line="326"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20"/>
      <w:bookmarkEnd w:id="1321"/>
      <w:bookmarkEnd w:id="1322"/>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服务器生产与销售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pStyle w:val="Style49"/>
        <w:keepNext w:val="0"/>
        <w:keepLines w:val="0"/>
        <w:widowControl w:val="0"/>
        <w:shd w:val="clear" w:color="auto" w:fill="auto"/>
        <w:bidi w:val="0"/>
        <w:spacing w:before="0" w:after="100" w:line="319" w:lineRule="exact"/>
        <w:ind w:left="0" w:right="0" w:firstLine="460"/>
        <w:jc w:val="both"/>
      </w:pPr>
      <w:r>
        <w:rPr>
          <w:color w:val="000000"/>
          <w:spacing w:val="0"/>
          <w:w w:val="100"/>
          <w:position w:val="0"/>
        </w:rPr>
        <w:t>宝德控股直接持有本公司</w:t>
      </w:r>
      <w:r>
        <w:rPr>
          <w:rFonts w:ascii="Times New Roman" w:eastAsia="Times New Roman" w:hAnsi="Times New Roman" w:cs="Times New Roman"/>
          <w:color w:val="000000"/>
          <w:spacing w:val="0"/>
          <w:w w:val="100"/>
          <w:position w:val="0"/>
        </w:rPr>
        <w:t>7.28%</w:t>
      </w:r>
      <w:r>
        <w:rPr>
          <w:color w:val="000000"/>
          <w:spacing w:val="0"/>
          <w:w w:val="100"/>
          <w:position w:val="0"/>
        </w:rPr>
        <w:t>股权，宝德科技直接持有本公司</w:t>
      </w:r>
      <w:r>
        <w:rPr>
          <w:rFonts w:ascii="Times New Roman" w:eastAsia="Times New Roman" w:hAnsi="Times New Roman" w:cs="Times New Roman"/>
          <w:color w:val="000000"/>
          <w:spacing w:val="0"/>
          <w:w w:val="100"/>
          <w:position w:val="0"/>
        </w:rPr>
        <w:t>12.46%</w:t>
      </w:r>
      <w:r>
        <w:rPr>
          <w:color w:val="000000"/>
          <w:spacing w:val="0"/>
          <w:w w:val="100"/>
          <w:position w:val="0"/>
        </w:rPr>
        <w:t>股权。</w:t>
      </w:r>
    </w:p>
    <w:p>
      <w:pPr>
        <w:pStyle w:val="Style49"/>
        <w:keepNext w:val="0"/>
        <w:keepLines w:val="0"/>
        <w:widowControl w:val="0"/>
        <w:shd w:val="clear" w:color="auto" w:fill="auto"/>
        <w:bidi w:val="0"/>
        <w:spacing w:before="0" w:after="440" w:line="319" w:lineRule="exact"/>
        <w:ind w:left="0" w:right="0" w:firstLine="460"/>
        <w:jc w:val="both"/>
      </w:pPr>
      <w:r>
        <w:rPr>
          <w:color w:val="000000"/>
          <w:spacing w:val="0"/>
          <w:w w:val="100"/>
          <w:position w:val="0"/>
        </w:rPr>
        <w:t>李瑞杰与张云霞系夫妻关系，分别持有前海宝德</w:t>
      </w:r>
      <w:r>
        <w:rPr>
          <w:rFonts w:ascii="Times New Roman" w:eastAsia="Times New Roman" w:hAnsi="Times New Roman" w:cs="Times New Roman"/>
          <w:color w:val="000000"/>
          <w:spacing w:val="0"/>
          <w:w w:val="100"/>
          <w:position w:val="0"/>
        </w:rPr>
        <w:t>87.50%</w:t>
      </w:r>
      <w:r>
        <w:rPr>
          <w:color w:val="000000"/>
          <w:spacing w:val="0"/>
          <w:w w:val="100"/>
          <w:position w:val="0"/>
        </w:rPr>
        <w:t>和</w:t>
      </w:r>
      <w:r>
        <w:rPr>
          <w:rFonts w:ascii="Times New Roman" w:eastAsia="Times New Roman" w:hAnsi="Times New Roman" w:cs="Times New Roman"/>
          <w:color w:val="000000"/>
          <w:spacing w:val="0"/>
          <w:w w:val="100"/>
          <w:position w:val="0"/>
        </w:rPr>
        <w:t>12.50%</w:t>
      </w:r>
      <w:r>
        <w:rPr>
          <w:color w:val="000000"/>
          <w:spacing w:val="0"/>
          <w:w w:val="100"/>
          <w:position w:val="0"/>
        </w:rPr>
        <w:t>股权。前海宝德、李瑞杰和张云 霞分别持有宝德控股股权的</w:t>
      </w:r>
      <w:r>
        <w:rPr>
          <w:rFonts w:ascii="Times New Roman" w:eastAsia="Times New Roman" w:hAnsi="Times New Roman" w:cs="Times New Roman"/>
          <w:color w:val="000000"/>
          <w:spacing w:val="0"/>
          <w:w w:val="100"/>
          <w:position w:val="0"/>
        </w:rPr>
        <w:t>57.33%</w:t>
      </w:r>
      <w:r>
        <w:rPr>
          <w:color w:val="000000"/>
          <w:spacing w:val="0"/>
          <w:w w:val="100"/>
          <w:position w:val="0"/>
        </w:rPr>
        <w:t>、</w:t>
      </w:r>
      <w:r>
        <w:rPr>
          <w:rFonts w:ascii="Times New Roman" w:eastAsia="Times New Roman" w:hAnsi="Times New Roman" w:cs="Times New Roman"/>
          <w:color w:val="000000"/>
          <w:spacing w:val="0"/>
          <w:w w:val="100"/>
          <w:position w:val="0"/>
        </w:rPr>
        <w:t>37.34%</w:t>
      </w:r>
      <w:r>
        <w:rPr>
          <w:color w:val="000000"/>
          <w:spacing w:val="0"/>
          <w:w w:val="100"/>
          <w:position w:val="0"/>
        </w:rPr>
        <w:t>和</w:t>
      </w:r>
      <w:r>
        <w:rPr>
          <w:rFonts w:ascii="Times New Roman" w:eastAsia="Times New Roman" w:hAnsi="Times New Roman" w:cs="Times New Roman"/>
          <w:color w:val="000000"/>
          <w:spacing w:val="0"/>
          <w:w w:val="100"/>
          <w:position w:val="0"/>
        </w:rPr>
        <w:t>5.33%</w:t>
      </w:r>
      <w:r>
        <w:rPr>
          <w:color w:val="000000"/>
          <w:spacing w:val="0"/>
          <w:w w:val="100"/>
          <w:position w:val="0"/>
        </w:rPr>
        <w:t>；宝德控股则持有宝德科技股权的</w:t>
      </w:r>
      <w:r>
        <w:rPr>
          <w:rFonts w:ascii="Times New Roman" w:eastAsia="Times New Roman" w:hAnsi="Times New Roman" w:cs="Times New Roman"/>
          <w:color w:val="000000"/>
          <w:spacing w:val="0"/>
          <w:w w:val="100"/>
          <w:position w:val="0"/>
        </w:rPr>
        <w:t>42.05%</w:t>
      </w:r>
      <w:r>
        <w:rPr>
          <w:color w:val="000000"/>
          <w:spacing w:val="0"/>
          <w:w w:val="100"/>
          <w:position w:val="0"/>
        </w:rPr>
        <w:t>；李瑞 杰与张云霞二人通过宝德控股、宝德科技间接控制本公司。</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本企业最终控制方是李瑞杰和张云霞夫妇。</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）控股股东的注册资本及其变化</w:t>
      </w:r>
    </w:p>
    <w:tbl>
      <w:tblPr>
        <w:tblOverlap w:val="never"/>
        <w:jc w:val="left"/>
        <w:tblLayout w:type="fixed"/>
      </w:tblPr>
      <w:tblGrid>
        <w:gridCol w:w="1291"/>
        <w:gridCol w:w="1877"/>
        <w:gridCol w:w="1848"/>
        <w:gridCol w:w="1651"/>
        <w:gridCol w:w="189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b/>
                <w:bCs/>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rFonts w:ascii="SimSun" w:eastAsia="SimSun" w:hAnsi="SimSun" w:cs="SimSun"/>
                <w:b/>
                <w:bCs/>
                <w:color w:val="000000"/>
                <w:spacing w:val="0"/>
                <w:w w:val="100"/>
                <w:position w:val="0"/>
                <w:sz w:val="19"/>
                <w:szCs w:val="19"/>
              </w:rPr>
              <w:t>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1,200,000,000.00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243,000,000.00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243,000,000.00</w:t>
            </w:r>
          </w:p>
        </w:tc>
      </w:tr>
    </w:tbl>
    <w:p>
      <w:pPr>
        <w:widowControl w:val="0"/>
        <w:spacing w:after="239" w:line="1" w:lineRule="exact"/>
      </w:pPr>
    </w:p>
    <w:p>
      <w:pPr>
        <w:pStyle w:val="Style4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）控股股东的所持股份或权益及其变化</w:t>
      </w:r>
    </w:p>
    <w:tbl>
      <w:tblPr>
        <w:tblOverlap w:val="never"/>
        <w:jc w:val="left"/>
        <w:tblLayout w:type="fixed"/>
      </w:tblPr>
      <w:tblGrid>
        <w:gridCol w:w="1291"/>
        <w:gridCol w:w="1987"/>
        <w:gridCol w:w="1982"/>
        <w:gridCol w:w="1704"/>
        <w:gridCol w:w="1598"/>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控股股东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持股数量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19"/>
                <w:szCs w:val="19"/>
              </w:rPr>
              <w:t>）</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年末比例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b/>
                <w:bCs/>
                <w:color w:val="000000"/>
                <w:spacing w:val="0"/>
                <w:w w:val="100"/>
                <w:position w:val="0"/>
                <w:sz w:val="19"/>
                <w:szCs w:val="19"/>
              </w:rPr>
              <w:t>年初比例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19,141,478.00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72,163,262.00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27.37</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32,763,400.00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33,183,400.00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12.59</w:t>
            </w:r>
          </w:p>
        </w:tc>
      </w:tr>
    </w:tbl>
    <w:p>
      <w:pPr>
        <w:widowControl w:val="0"/>
        <w:spacing w:after="6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color w:val="000000"/>
          <w:spacing w:val="0"/>
          <w:w w:val="100"/>
          <w:position w:val="0"/>
        </w:rPr>
        <w:t>、</w:t>
        <w:tab/>
        <w:t>本企业的子公司情况</w:t>
      </w:r>
      <w:bookmarkEnd w:id="1323"/>
      <w:bookmarkEnd w:id="1324"/>
      <w:bookmarkEnd w:id="132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color w:val="000000"/>
          <w:spacing w:val="0"/>
          <w:w w:val="100"/>
          <w:position w:val="0"/>
        </w:rPr>
        <w:t>、</w:t>
        <w:tab/>
        <w:t>本企业合营和联营企业情况</w:t>
      </w:r>
      <w:bookmarkEnd w:id="1327"/>
      <w:bookmarkEnd w:id="1328"/>
      <w:bookmarkEnd w:id="133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深圳市萝卜互动科技有限公司（以下简称''萝卜互动‘‘）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上海巨贤网络科技有限公司（以下简称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上海巨闲</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bl>
    <w:p>
      <w:pPr>
        <w:widowControl w:val="0"/>
        <w:spacing w:after="679" w:line="1" w:lineRule="exact"/>
      </w:pPr>
    </w:p>
    <w:p>
      <w:pPr>
        <w:pStyle w:val="Style31"/>
        <w:keepNext/>
        <w:keepLines/>
        <w:widowControl w:val="0"/>
        <w:shd w:val="clear" w:color="auto" w:fill="auto"/>
        <w:bidi w:val="0"/>
        <w:spacing w:before="0" w:after="32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color w:val="000000"/>
          <w:spacing w:val="0"/>
          <w:w w:val="100"/>
          <w:position w:val="0"/>
        </w:rPr>
        <w:t>、其他关联方情况</w:t>
      </w:r>
      <w:bookmarkEnd w:id="1331"/>
      <w:bookmarkEnd w:id="1332"/>
      <w:bookmarkEnd w:id="13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深圳市宝德计算机系统有限公司（简称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宝德计算机</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深圳市宝通信息科技发展有限公司（简称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宝通信息</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宝德网络安全系统（深圳）有限公司（简称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宝德网络</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深圳前海宝德资产管理有限公司（简称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前海宝德</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深圳市速必拓网络科技有限公司（简称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速必拓</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贵州金沙安底斗酒酒业有限公司（简称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贵州金沙安底斗酒酒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实际控制人控制的企业（宝德控股占</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深圳中付通电子商务有限公司（简称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深圳中付通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原全资子公司，现母公司控制的企业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北京京西北发展集团有限公司（简称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北京京西北房地产</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北京中青宝的非控股股东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深圳鹏德创业投资有限公司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深圳市恒德小额贷款有限公司（简称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深圳市恒德小额贷款</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深圳市鸿德房地产开发有限公司（简称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鸿德房地产</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湖南省梦回凤凰文化旅游投资有限责任公司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w:t>
            </w:r>
            <w:r>
              <w:rPr>
                <w:rFonts w:ascii="SimSun" w:eastAsia="SimSun" w:hAnsi="SimSun" w:cs="SimSun"/>
                <w:color w:val="000000"/>
                <w:spacing w:val="0"/>
                <w:w w:val="100"/>
                <w:position w:val="0"/>
                <w:sz w:val="17"/>
                <w:szCs w:val="17"/>
              </w:rPr>
              <w:t>梦回凤凰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广州宝云信息科技有限公司</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rFonts w:ascii="SimSun" w:eastAsia="SimSun" w:hAnsi="SimSun" w:cs="SimSun"/>
                <w:color w:val="000000"/>
                <w:spacing w:val="0"/>
                <w:w w:val="100"/>
                <w:position w:val="0"/>
                <w:sz w:val="17"/>
                <w:szCs w:val="17"/>
              </w:rPr>
              <w:t>广州宝云</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母公司控制的企业（宝德科技占</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郑楠芳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李逸伦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5</w:t>
      </w:r>
      <w:bookmarkEnd w:id="1337"/>
      <w:r>
        <w:rPr>
          <w:color w:val="000000"/>
          <w:spacing w:val="0"/>
          <w:w w:val="100"/>
          <w:position w:val="0"/>
        </w:rPr>
        <w:t>、关联交易情况</w:t>
      </w:r>
      <w:bookmarkEnd w:id="1335"/>
      <w:bookmarkEnd w:id="1336"/>
      <w:bookmarkEnd w:id="1338"/>
    </w:p>
    <w:p>
      <w:pPr>
        <w:pStyle w:val="Style3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39"/>
      <w:bookmarkEnd w:id="1340"/>
      <w:bookmarkEnd w:id="134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服务器托管服务 及宽带服务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593,136.79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宝德计算机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服务器、电脑及配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1,943,418.58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1,715,506.21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宝通信息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硬盘采购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萝卜互动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3,131,855.96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上海巨贤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上海巨贤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游戏委托开发费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1,906,304.33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6,722,629.32</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宝德计算机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92,743.38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深圳市恒德小额贷款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108,479.40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运维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12,503,416.67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宝通信息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鸿德房地产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贵州金沙安底斗酒酒业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w:t>
            </w: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3,786,264.15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广州宝云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16,613,925.33</w:t>
            </w:r>
          </w:p>
        </w:tc>
      </w:tr>
    </w:tbl>
    <w:p>
      <w:pPr>
        <w:widowControl w:val="0"/>
        <w:spacing w:after="679" w:line="1" w:lineRule="exact"/>
      </w:pPr>
    </w:p>
    <w:p>
      <w:pPr>
        <w:pStyle w:val="Style37"/>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42"/>
      <w:bookmarkEnd w:id="1343"/>
      <w:bookmarkEnd w:id="1344"/>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710,108.59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2,487,167.69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1,167,091.01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836,797.42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鸿德房地产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2,601,616.46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4,143,435.72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深圳鹏德创业投资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1,714,516.90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4,143,016.31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9,181,917.73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5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机房租赁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6,045,089.66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4,923,200.09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37,714.29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6,082,803.98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4,960,914.38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99" w:line="1" w:lineRule="exact"/>
      </w:pPr>
    </w:p>
    <w:p>
      <w:pPr>
        <w:pStyle w:val="Style49"/>
        <w:keepNext w:val="0"/>
        <w:keepLines w:val="0"/>
        <w:widowControl w:val="0"/>
        <w:shd w:val="clear" w:color="auto" w:fill="auto"/>
        <w:bidi w:val="0"/>
        <w:spacing w:before="0" w:after="100" w:line="314" w:lineRule="exact"/>
        <w:ind w:left="0" w:right="0" w:firstLine="0"/>
        <w:jc w:val="left"/>
      </w:pPr>
      <w:bookmarkStart w:id="1345" w:name="bookmark1345"/>
      <w:r>
        <w:rPr>
          <w:rFonts w:ascii="Times New Roman" w:eastAsia="Times New Roman" w:hAnsi="Times New Roman" w:cs="Times New Roman"/>
          <w:color w:val="000000"/>
          <w:spacing w:val="0"/>
          <w:w w:val="100"/>
          <w:position w:val="0"/>
        </w:rPr>
        <w:t>1</w:t>
      </w:r>
      <w:bookmarkEnd w:id="1345"/>
      <w:r>
        <w:rPr>
          <w:color w:val="000000"/>
          <w:spacing w:val="0"/>
          <w:w w:val="100"/>
          <w:position w:val="0"/>
        </w:rPr>
        <w:t>、 本公司作为出租房就上述租赁事项，与承租方均签订了《房屋出租合同》，以市场价为参考定价。</w:t>
      </w:r>
    </w:p>
    <w:p>
      <w:pPr>
        <w:pStyle w:val="Style49"/>
        <w:keepNext w:val="0"/>
        <w:keepLines w:val="0"/>
        <w:widowControl w:val="0"/>
        <w:shd w:val="clear" w:color="auto" w:fill="auto"/>
        <w:tabs>
          <w:tab w:pos="382" w:val="left"/>
        </w:tabs>
        <w:bidi w:val="0"/>
        <w:spacing w:before="0" w:after="100" w:line="314" w:lineRule="exact"/>
        <w:ind w:left="0" w:right="0" w:firstLine="0"/>
        <w:jc w:val="left"/>
      </w:pPr>
      <w:bookmarkStart w:id="1346" w:name="bookmark1346"/>
      <w:r>
        <w:rPr>
          <w:rFonts w:ascii="Times New Roman" w:eastAsia="Times New Roman" w:hAnsi="Times New Roman" w:cs="Times New Roman"/>
          <w:color w:val="000000"/>
          <w:spacing w:val="0"/>
          <w:w w:val="100"/>
          <w:position w:val="0"/>
        </w:rPr>
        <w:t>2</w:t>
      </w:r>
      <w:bookmarkEnd w:id="1346"/>
      <w:r>
        <w:rPr>
          <w:color w:val="000000"/>
          <w:spacing w:val="0"/>
          <w:w w:val="100"/>
          <w:position w:val="0"/>
        </w:rPr>
        <w:t>、</w:t>
        <w:tab/>
        <w:t>深圳宝腾互联与宝德科技签订房地产租赁合同：①租用观澜高新园观益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号机房，一楼</w:t>
      </w:r>
      <w:r>
        <w:rPr>
          <w:rFonts w:ascii="Times New Roman" w:eastAsia="Times New Roman" w:hAnsi="Times New Roman" w:cs="Times New Roman"/>
          <w:color w:val="000000"/>
          <w:spacing w:val="0"/>
          <w:w w:val="100"/>
          <w:position w:val="0"/>
        </w:rPr>
        <w:t>1,440</w:t>
      </w:r>
      <w:r>
        <w:rPr>
          <w:color w:val="000000"/>
          <w:spacing w:val="0"/>
          <w:w w:val="100"/>
          <w:position w:val="0"/>
        </w:rPr>
        <w:t>平米, 二、三楼</w:t>
      </w:r>
      <w:r>
        <w:rPr>
          <w:rFonts w:ascii="Times New Roman" w:eastAsia="Times New Roman" w:hAnsi="Times New Roman" w:cs="Times New Roman"/>
          <w:color w:val="000000"/>
          <w:spacing w:val="0"/>
          <w:w w:val="100"/>
          <w:position w:val="0"/>
        </w:rPr>
        <w:t>3,078</w:t>
      </w:r>
      <w:r>
        <w:rPr>
          <w:color w:val="000000"/>
          <w:spacing w:val="0"/>
          <w:w w:val="100"/>
          <w:position w:val="0"/>
        </w:rPr>
        <w:t>平米，四楼</w:t>
      </w:r>
      <w:r>
        <w:rPr>
          <w:rFonts w:ascii="Times New Roman" w:eastAsia="Times New Roman" w:hAnsi="Times New Roman" w:cs="Times New Roman"/>
          <w:color w:val="000000"/>
          <w:spacing w:val="0"/>
          <w:w w:val="100"/>
          <w:position w:val="0"/>
        </w:rPr>
        <w:t>1,638</w:t>
      </w:r>
      <w:r>
        <w:rPr>
          <w:color w:val="000000"/>
          <w:spacing w:val="0"/>
          <w:w w:val="100"/>
          <w:position w:val="0"/>
        </w:rPr>
        <w:t>平米，共计</w:t>
      </w:r>
      <w:r>
        <w:rPr>
          <w:rFonts w:ascii="Times New Roman" w:eastAsia="Times New Roman" w:hAnsi="Times New Roman" w:cs="Times New Roman"/>
          <w:color w:val="000000"/>
          <w:spacing w:val="0"/>
          <w:w w:val="100"/>
          <w:position w:val="0"/>
        </w:rPr>
        <w:t>6,156</w:t>
      </w:r>
      <w:r>
        <w:rPr>
          <w:color w:val="000000"/>
          <w:spacing w:val="0"/>
          <w:w w:val="100"/>
          <w:position w:val="0"/>
        </w:rPr>
        <w:t>平方米；②租用观澜高新园观益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号机房，数据中心二 期一楼</w:t>
      </w:r>
      <w:r>
        <w:rPr>
          <w:rFonts w:ascii="Times New Roman" w:eastAsia="Times New Roman" w:hAnsi="Times New Roman" w:cs="Times New Roman"/>
          <w:color w:val="000000"/>
          <w:spacing w:val="0"/>
          <w:w w:val="100"/>
          <w:position w:val="0"/>
        </w:rPr>
        <w:t>932</w:t>
      </w:r>
      <w:r>
        <w:rPr>
          <w:color w:val="000000"/>
          <w:spacing w:val="0"/>
          <w:w w:val="100"/>
          <w:position w:val="0"/>
        </w:rPr>
        <w:t>平方米，二楼</w:t>
      </w:r>
      <w:r>
        <w:rPr>
          <w:rFonts w:ascii="Times New Roman" w:eastAsia="Times New Roman" w:hAnsi="Times New Roman" w:cs="Times New Roman"/>
          <w:color w:val="000000"/>
          <w:spacing w:val="0"/>
          <w:w w:val="100"/>
          <w:position w:val="0"/>
        </w:rPr>
        <w:t>3,576.45</w:t>
      </w:r>
      <w:r>
        <w:rPr>
          <w:color w:val="000000"/>
          <w:spacing w:val="0"/>
          <w:w w:val="100"/>
          <w:position w:val="0"/>
        </w:rPr>
        <w:t>平方米，共计</w:t>
      </w:r>
      <w:r>
        <w:rPr>
          <w:rFonts w:ascii="Times New Roman" w:eastAsia="Times New Roman" w:hAnsi="Times New Roman" w:cs="Times New Roman"/>
          <w:color w:val="000000"/>
          <w:spacing w:val="0"/>
          <w:w w:val="100"/>
          <w:position w:val="0"/>
        </w:rPr>
        <w:t>4,508.45</w:t>
      </w:r>
      <w:r>
        <w:rPr>
          <w:color w:val="000000"/>
          <w:spacing w:val="0"/>
          <w:w w:val="100"/>
          <w:position w:val="0"/>
        </w:rPr>
        <w:t>平方米；③租用观澜高新园观益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号机房，数据 中心二期一楼</w:t>
      </w:r>
      <w:r>
        <w:rPr>
          <w:rFonts w:ascii="Times New Roman" w:eastAsia="Times New Roman" w:hAnsi="Times New Roman" w:cs="Times New Roman"/>
          <w:color w:val="000000"/>
          <w:spacing w:val="0"/>
          <w:w w:val="100"/>
          <w:position w:val="0"/>
        </w:rPr>
        <w:t>1,10 0</w:t>
      </w:r>
      <w:r>
        <w:rPr>
          <w:color w:val="000000"/>
          <w:spacing w:val="0"/>
          <w:w w:val="100"/>
          <w:position w:val="0"/>
        </w:rPr>
        <w:t>平方米，数据中心二期三楼</w:t>
      </w:r>
      <w:r>
        <w:rPr>
          <w:rFonts w:ascii="Times New Roman" w:eastAsia="Times New Roman" w:hAnsi="Times New Roman" w:cs="Times New Roman"/>
          <w:color w:val="000000"/>
          <w:spacing w:val="0"/>
          <w:w w:val="100"/>
          <w:position w:val="0"/>
        </w:rPr>
        <w:t>3,300</w:t>
      </w:r>
      <w:r>
        <w:rPr>
          <w:color w:val="000000"/>
          <w:spacing w:val="0"/>
          <w:w w:val="100"/>
          <w:position w:val="0"/>
        </w:rPr>
        <w:t>平方米，公计</w:t>
      </w:r>
      <w:r>
        <w:rPr>
          <w:rFonts w:ascii="Times New Roman" w:eastAsia="Times New Roman" w:hAnsi="Times New Roman" w:cs="Times New Roman"/>
          <w:color w:val="000000"/>
          <w:spacing w:val="0"/>
          <w:w w:val="100"/>
          <w:position w:val="0"/>
        </w:rPr>
        <w:t>4,400</w:t>
      </w:r>
      <w:r>
        <w:rPr>
          <w:color w:val="000000"/>
          <w:spacing w:val="0"/>
          <w:w w:val="100"/>
          <w:position w:val="0"/>
        </w:rPr>
        <w:t>平方米。</w:t>
      </w:r>
      <w:r>
        <w:br w:type="page"/>
      </w:r>
    </w:p>
    <w:p>
      <w:pPr>
        <w:pStyle w:val="Style37"/>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47"/>
      <w:bookmarkEnd w:id="1348"/>
      <w:bookmarkEnd w:id="1350"/>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宝德控股，鸿德房地产，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宝德控股，鸿德房地产，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宝德控股，鸿德房地产，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宝德控股，鸿德房地产，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宝德控股，李瑞杰，张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7"/>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351"/>
      <w:bookmarkEnd w:id="1352"/>
      <w:bookmarkEnd w:id="135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2,768,194.59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2,486,356.26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6</w:t>
      </w:r>
      <w:bookmarkEnd w:id="1357"/>
      <w:r>
        <w:rPr>
          <w:color w:val="000000"/>
          <w:spacing w:val="0"/>
          <w:w w:val="100"/>
          <w:position w:val="0"/>
        </w:rPr>
        <w:t>、关联方应收应付款项</w:t>
      </w:r>
      <w:bookmarkEnd w:id="1355"/>
      <w:bookmarkEnd w:id="1356"/>
      <w:bookmarkEnd w:id="1358"/>
    </w:p>
    <w:p>
      <w:pPr>
        <w:pStyle w:val="Style37"/>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59"/>
      <w:bookmarkEnd w:id="1360"/>
      <w:bookmarkEnd w:id="136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4,027,693.11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10,287,844.13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308,635.32</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贵州金沙安底斗酒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鸿德房地产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1,336,117.41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461,055.16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588,703.85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88,305.58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深圳市宝德投资控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205,804.57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鸿德房地产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3,144,315.97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934,959.74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2,002,798.45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300,419.77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深圳鹏德创业投资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83,938.94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前海宝德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前海宝德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1,457,527.25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12,325,904.11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4,199,464.00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6,327,684.00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62"/>
      <w:bookmarkEnd w:id="1363"/>
      <w:bookmarkEnd w:id="136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96,116.00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上海巨贤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495,325.41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萝卜互动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1,221,366.53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89,184,407.19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北京京西北房地产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19,517,958.66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速必拓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960,151.02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深圳中付通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107,814.42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鸿德房地产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686,351.52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711.55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757,206.40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李逸伦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142,088.91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深圳鹏德创业投资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730,650.00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宝德计算机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上海巨贤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1,370.00</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color w:val="000000"/>
          <w:spacing w:val="0"/>
          <w:w w:val="100"/>
          <w:position w:val="0"/>
          <w:sz w:val="24"/>
          <w:szCs w:val="24"/>
        </w:rPr>
        <w:t>十三、股份支付</w:t>
      </w:r>
      <w:bookmarkEnd w:id="1365"/>
      <w:bookmarkEnd w:id="1366"/>
      <w:bookmarkEnd w:id="1367"/>
    </w:p>
    <w:p>
      <w:pPr>
        <w:pStyle w:val="Style31"/>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68"/>
      <w:bookmarkEnd w:id="1369"/>
      <w:bookmarkEnd w:id="137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w:t>
            </w:r>
          </w:p>
        </w:tc>
      </w:tr>
    </w:tbl>
    <w:p>
      <w:pPr>
        <w:widowControl w:val="0"/>
        <w:spacing w:after="659" w:line="1" w:lineRule="exact"/>
      </w:pPr>
    </w:p>
    <w:p>
      <w:pPr>
        <w:pStyle w:val="Style31"/>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71"/>
      <w:bookmarkEnd w:id="1372"/>
      <w:bookmarkEnd w:id="137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w:t>
            </w:r>
            <w:r>
              <w:rPr>
                <w:rFonts w:ascii="SimSun" w:eastAsia="SimSun" w:hAnsi="SimSun" w:cs="SimSun"/>
                <w:color w:val="000000"/>
                <w:spacing w:val="0"/>
                <w:w w:val="100"/>
                <w:position w:val="0"/>
                <w:sz w:val="17"/>
                <w:szCs w:val="17"/>
              </w:rPr>
              <w:t>布莱克斯科尔斯默顿</w:t>
            </w:r>
            <w:r>
              <w:rPr>
                <w:color w:val="000000"/>
                <w:spacing w:val="0"/>
                <w:w w:val="100"/>
                <w:position w:val="0"/>
                <w:sz w:val="18"/>
                <w:szCs w:val="18"/>
              </w:rPr>
              <w:t>"</w:t>
            </w:r>
            <w:r>
              <w:rPr>
                <w:rFonts w:ascii="SimSun" w:eastAsia="SimSun" w:hAnsi="SimSun" w:cs="SimSun"/>
                <w:color w:val="000000"/>
                <w:spacing w:val="0"/>
                <w:w w:val="100"/>
                <w:position w:val="0"/>
                <w:sz w:val="17"/>
                <w:szCs w:val="17"/>
              </w:rPr>
              <w:t>期权定价公式</w:t>
            </w:r>
            <w:r>
              <w:rPr>
                <w:rFonts w:ascii="SimSun" w:eastAsia="SimSun" w:hAnsi="SimSun" w:cs="SimSun"/>
                <w:color w:val="000000"/>
                <w:spacing w:val="0"/>
                <w:w w:val="100"/>
                <w:position w:val="0"/>
                <w:sz w:val="17"/>
                <w:szCs w:val="17"/>
              </w:rPr>
              <w:t>（</w:t>
            </w:r>
            <w:r>
              <w:rPr>
                <w:color w:val="000000"/>
                <w:spacing w:val="0"/>
                <w:w w:val="100"/>
                <w:position w:val="0"/>
                <w:sz w:val="18"/>
                <w:szCs w:val="18"/>
              </w:rPr>
              <w:t>BS</w:t>
            </w:r>
            <w:r>
              <w:rPr>
                <w:rFonts w:ascii="SimSun" w:eastAsia="SimSun" w:hAnsi="SimSun" w:cs="SimSun"/>
                <w:color w:val="000000"/>
                <w:spacing w:val="0"/>
                <w:w w:val="100"/>
                <w:position w:val="0"/>
                <w:sz w:val="17"/>
                <w:szCs w:val="17"/>
              </w:rPr>
              <w:t>模型）确定 授予的期权的公允价值</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被授予期权的职工均为公司高管及核心管理人员，本公司 根据实际离职情况以及公司未来发展状况合理估计未来将 离职的职工人数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4,031,221.50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-635,257.88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120" w:line="316"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 法</w:t>
      </w:r>
      <w:r>
        <w:rPr>
          <w:color w:val="000000"/>
          <w:spacing w:val="0"/>
          <w:w w:val="100"/>
          <w:position w:val="0"/>
        </w:rPr>
        <w:t>〉</w:t>
      </w:r>
      <w:r>
        <w:rPr>
          <w:color w:val="000000"/>
          <w:spacing w:val="0"/>
          <w:w w:val="100"/>
          <w:position w:val="0"/>
        </w:rPr>
        <w:t>的议案》及《关于提请股东大会授权董事会办理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 确定授予文毅等</w:t>
      </w:r>
      <w:r>
        <w:rPr>
          <w:rFonts w:ascii="Times New Roman" w:eastAsia="Times New Roman" w:hAnsi="Times New Roman" w:cs="Times New Roman"/>
          <w:color w:val="000000"/>
          <w:spacing w:val="0"/>
          <w:w w:val="100"/>
          <w:position w:val="0"/>
        </w:rPr>
        <w:t>46</w:t>
      </w:r>
      <w:r>
        <w:rPr>
          <w:color w:val="000000"/>
          <w:spacing w:val="0"/>
          <w:w w:val="100"/>
          <w:position w:val="0"/>
        </w:rPr>
        <w:t>名激励对象共计</w:t>
      </w:r>
      <w:r>
        <w:rPr>
          <w:rFonts w:ascii="Times New Roman" w:eastAsia="Times New Roman" w:hAnsi="Times New Roman" w:cs="Times New Roman"/>
          <w:color w:val="000000"/>
          <w:spacing w:val="0"/>
          <w:w w:val="100"/>
          <w:position w:val="0"/>
        </w:rPr>
        <w:t>367</w:t>
      </w:r>
      <w:r>
        <w:rPr>
          <w:color w:val="000000"/>
          <w:spacing w:val="0"/>
          <w:w w:val="100"/>
          <w:position w:val="0"/>
        </w:rPr>
        <w:t>万股限制性股票，授予日为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日，授予价格为</w:t>
      </w:r>
      <w:r>
        <w:rPr>
          <w:rFonts w:ascii="Times New Roman" w:eastAsia="Times New Roman" w:hAnsi="Times New Roman" w:cs="Times New Roman"/>
          <w:color w:val="000000"/>
          <w:spacing w:val="0"/>
          <w:w w:val="100"/>
          <w:position w:val="0"/>
        </w:rPr>
        <w:t>6.2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p>
      <w:pPr>
        <w:pStyle w:val="Style49"/>
        <w:keepNext w:val="0"/>
        <w:keepLines w:val="0"/>
        <w:widowControl w:val="0"/>
        <w:shd w:val="clear" w:color="auto" w:fill="auto"/>
        <w:bidi w:val="0"/>
        <w:spacing w:before="0" w:after="240" w:line="317"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日，公司召开了第四届董事会第二十四次（临时）会议和第四届监事会第十五次（临 时）会议并于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年年度股东大会审议通过了《关于回购注销部分限制性股票 的议案》，同意回购注销已获授但尚未解锁的限制性股票共</w:t>
      </w:r>
      <w:r>
        <w:rPr>
          <w:rFonts w:ascii="Times New Roman" w:eastAsia="Times New Roman" w:hAnsi="Times New Roman" w:cs="Times New Roman"/>
          <w:color w:val="000000"/>
          <w:spacing w:val="0"/>
          <w:w w:val="100"/>
          <w:position w:val="0"/>
        </w:rPr>
        <w:t>1,468,500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股加银行 同期存款利息。</w:t>
      </w:r>
    </w:p>
    <w:p>
      <w:pPr>
        <w:pStyle w:val="Style49"/>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日，公司召开第四届董事会第二十六次会议及第四届监事会第十七次会议，审议通 过了《关于调整公司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年限制性股票激励计划预留授予限制性股票授予价格的议案》、《关于向激 励对象授予预留限制性股票的议案》，鉴于公司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年限制性股票激励计划预留部分股份的授予条 件已成就，公司董事会同意以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日作为限制性股票的授予日，向符合条件的</w:t>
      </w:r>
      <w:r>
        <w:rPr>
          <w:rFonts w:ascii="Times New Roman" w:eastAsia="Times New Roman" w:hAnsi="Times New Roman" w:cs="Times New Roman"/>
          <w:color w:val="000000"/>
          <w:spacing w:val="0"/>
          <w:w w:val="100"/>
          <w:position w:val="0"/>
        </w:rPr>
        <w:t>14</w:t>
      </w:r>
      <w:r>
        <w:rPr>
          <w:color w:val="000000"/>
          <w:spacing w:val="0"/>
          <w:w w:val="100"/>
          <w:position w:val="0"/>
        </w:rPr>
        <w:t>名激励对象 授予</w:t>
      </w:r>
      <w:r>
        <w:rPr>
          <w:rFonts w:ascii="Times New Roman" w:eastAsia="Times New Roman" w:hAnsi="Times New Roman" w:cs="Times New Roman"/>
          <w:color w:val="000000"/>
          <w:spacing w:val="0"/>
          <w:w w:val="100"/>
          <w:position w:val="0"/>
        </w:rPr>
        <w:t>70.77</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rPr>
        <w:t>6.18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 十七次会议及第四届监事会第十八次会议，审议通过了《关于调整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 予激励对象名单、授予数量的议案》，本次激励计划预留授予的激励对象由</w:t>
      </w:r>
      <w:r>
        <w:rPr>
          <w:rFonts w:ascii="Times New Roman" w:eastAsia="Times New Roman" w:hAnsi="Times New Roman" w:cs="Times New Roman"/>
          <w:color w:val="000000"/>
          <w:spacing w:val="0"/>
          <w:w w:val="100"/>
          <w:position w:val="0"/>
        </w:rPr>
        <w:t>14</w:t>
      </w:r>
      <w:r>
        <w:rPr>
          <w:color w:val="000000"/>
          <w:spacing w:val="0"/>
          <w:w w:val="100"/>
          <w:position w:val="0"/>
        </w:rPr>
        <w:t>名调整为</w:t>
      </w:r>
      <w:r>
        <w:rPr>
          <w:rFonts w:ascii="Times New Roman" w:eastAsia="Times New Roman" w:hAnsi="Times New Roman" w:cs="Times New Roman"/>
          <w:color w:val="000000"/>
          <w:spacing w:val="0"/>
          <w:w w:val="100"/>
          <w:position w:val="0"/>
        </w:rPr>
        <w:t>12</w:t>
      </w:r>
      <w:r>
        <w:rPr>
          <w:color w:val="000000"/>
          <w:spacing w:val="0"/>
          <w:w w:val="100"/>
          <w:position w:val="0"/>
        </w:rPr>
        <w:t>名，本次激 励计划拟授予的预留限制性股票数量由</w:t>
      </w:r>
      <w:r>
        <w:rPr>
          <w:rFonts w:ascii="Times New Roman" w:eastAsia="Times New Roman" w:hAnsi="Times New Roman" w:cs="Times New Roman"/>
          <w:color w:val="000000"/>
          <w:spacing w:val="0"/>
          <w:w w:val="100"/>
          <w:position w:val="0"/>
        </w:rPr>
        <w:t>70.77</w:t>
      </w:r>
      <w:r>
        <w:rPr>
          <w:color w:val="000000"/>
          <w:spacing w:val="0"/>
          <w:w w:val="100"/>
          <w:position w:val="0"/>
        </w:rPr>
        <w:t>万股调整为</w:t>
      </w:r>
      <w:r>
        <w:rPr>
          <w:rFonts w:ascii="Times New Roman" w:eastAsia="Times New Roman" w:hAnsi="Times New Roman" w:cs="Times New Roman"/>
          <w:color w:val="000000"/>
          <w:spacing w:val="0"/>
          <w:w w:val="100"/>
          <w:position w:val="0"/>
        </w:rPr>
        <w:t>43.17</w:t>
      </w:r>
      <w:r>
        <w:rPr>
          <w:color w:val="000000"/>
          <w:spacing w:val="0"/>
          <w:w w:val="100"/>
          <w:position w:val="0"/>
        </w:rPr>
        <w:t>万股。本次授予预留限制性股票事项完 成后，公司总股本由</w:t>
      </w:r>
      <w:r>
        <w:rPr>
          <w:rFonts w:ascii="Times New Roman" w:eastAsia="Times New Roman" w:hAnsi="Times New Roman" w:cs="Times New Roman"/>
          <w:color w:val="000000"/>
          <w:spacing w:val="0"/>
          <w:w w:val="100"/>
          <w:position w:val="0"/>
        </w:rPr>
        <w:t>263,240,100</w:t>
      </w:r>
      <w:r>
        <w:rPr>
          <w:color w:val="000000"/>
          <w:spacing w:val="0"/>
          <w:w w:val="100"/>
          <w:position w:val="0"/>
        </w:rPr>
        <w:t>股增加至</w:t>
      </w:r>
      <w:r>
        <w:rPr>
          <w:rFonts w:ascii="Times New Roman" w:eastAsia="Times New Roman" w:hAnsi="Times New Roman" w:cs="Times New Roman"/>
          <w:color w:val="000000"/>
          <w:spacing w:val="0"/>
          <w:w w:val="100"/>
          <w:position w:val="0"/>
        </w:rPr>
        <w:t>263,671,800</w:t>
      </w:r>
      <w:r>
        <w:rPr>
          <w:color w:val="000000"/>
          <w:spacing w:val="0"/>
          <w:w w:val="100"/>
          <w:position w:val="0"/>
        </w:rPr>
        <w:t>股。</w:t>
      </w:r>
    </w:p>
    <w:p>
      <w:pPr>
        <w:pStyle w:val="Style49"/>
        <w:keepNext w:val="0"/>
        <w:keepLines w:val="0"/>
        <w:widowControl w:val="0"/>
        <w:shd w:val="clear" w:color="auto" w:fill="auto"/>
        <w:bidi w:val="0"/>
        <w:spacing w:before="0" w:after="240" w:line="310"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日，公司召开了第四届董事会第二十九次会议，审议通过了《关于回购注销部分限 制性股票的议案》，同意回购注销</w:t>
      </w:r>
      <w:r>
        <w:rPr>
          <w:rFonts w:ascii="Times New Roman" w:eastAsia="Times New Roman" w:hAnsi="Times New Roman" w:cs="Times New Roman"/>
          <w:color w:val="000000"/>
          <w:spacing w:val="0"/>
          <w:w w:val="100"/>
          <w:position w:val="0"/>
        </w:rPr>
        <w:t>402,500</w:t>
      </w:r>
      <w:r>
        <w:rPr>
          <w:color w:val="000000"/>
          <w:spacing w:val="0"/>
          <w:w w:val="100"/>
          <w:position w:val="0"/>
        </w:rPr>
        <w:t xml:space="preserve">股限制性股票。本次回购注销完成后，公司总股本由 </w:t>
      </w:r>
      <w:r>
        <w:rPr>
          <w:rFonts w:ascii="Times New Roman" w:eastAsia="Times New Roman" w:hAnsi="Times New Roman" w:cs="Times New Roman"/>
          <w:color w:val="000000"/>
          <w:spacing w:val="0"/>
          <w:w w:val="100"/>
          <w:position w:val="0"/>
        </w:rPr>
        <w:t>263,671,800</w:t>
      </w:r>
      <w:r>
        <w:rPr>
          <w:color w:val="000000"/>
          <w:spacing w:val="0"/>
          <w:w w:val="100"/>
          <w:position w:val="0"/>
        </w:rPr>
        <w:t>股减至</w:t>
      </w:r>
      <w:r>
        <w:rPr>
          <w:rFonts w:ascii="Times New Roman" w:eastAsia="Times New Roman" w:hAnsi="Times New Roman" w:cs="Times New Roman"/>
          <w:color w:val="000000"/>
          <w:spacing w:val="0"/>
          <w:w w:val="100"/>
          <w:position w:val="0"/>
        </w:rPr>
        <w:t>263,269,300</w:t>
      </w:r>
      <w:r>
        <w:rPr>
          <w:color w:val="000000"/>
          <w:spacing w:val="0"/>
          <w:w w:val="100"/>
          <w:position w:val="0"/>
        </w:rPr>
        <w:t>股。</w:t>
      </w:r>
    </w:p>
    <w:p>
      <w:pPr>
        <w:pStyle w:val="Style49"/>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日，公司召开第五届董事会第二次会议及第五届监事会第二次会议，审议通过了《关 于回购注销部分限制性股票的议案》，同意回购注销已获授但尚未解锁的限制性股票共</w:t>
      </w:r>
      <w:r>
        <w:rPr>
          <w:rFonts w:ascii="Times New Roman" w:eastAsia="Times New Roman" w:hAnsi="Times New Roman" w:cs="Times New Roman"/>
          <w:color w:val="000000"/>
          <w:spacing w:val="0"/>
          <w:w w:val="100"/>
          <w:position w:val="0"/>
        </w:rPr>
        <w:t>200,000</w:t>
      </w:r>
      <w:r>
        <w:rPr>
          <w:color w:val="000000"/>
          <w:spacing w:val="0"/>
          <w:w w:val="100"/>
          <w:position w:val="0"/>
        </w:rPr>
        <w:t>股。 本次回购注销完成后，公司股本由</w:t>
      </w:r>
      <w:r>
        <w:rPr>
          <w:rFonts w:ascii="Times New Roman" w:eastAsia="Times New Roman" w:hAnsi="Times New Roman" w:cs="Times New Roman"/>
          <w:color w:val="000000"/>
          <w:spacing w:val="0"/>
          <w:w w:val="100"/>
          <w:position w:val="0"/>
        </w:rPr>
        <w:t>263,269,300</w:t>
      </w:r>
      <w:r>
        <w:rPr>
          <w:color w:val="000000"/>
          <w:spacing w:val="0"/>
          <w:w w:val="100"/>
          <w:position w:val="0"/>
        </w:rPr>
        <w:t>股减至</w:t>
      </w:r>
      <w:r>
        <w:rPr>
          <w:rFonts w:ascii="Times New Roman" w:eastAsia="Times New Roman" w:hAnsi="Times New Roman" w:cs="Times New Roman"/>
          <w:color w:val="000000"/>
          <w:spacing w:val="0"/>
          <w:w w:val="100"/>
          <w:position w:val="0"/>
        </w:rPr>
        <w:t>263,069,300</w:t>
      </w:r>
      <w:r>
        <w:rPr>
          <w:color w:val="000000"/>
          <w:spacing w:val="0"/>
          <w:w w:val="100"/>
          <w:position w:val="0"/>
        </w:rPr>
        <w:t>股。</w:t>
      </w:r>
    </w:p>
    <w:p>
      <w:pPr>
        <w:pStyle w:val="Style49"/>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日，公司召开第五届董事会第三次会议及第五届监事会第三次会议，审议通过了《关 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年限制性股票激励计划首次授予第二个解除限售期解除限售条件成就的议案》及《关于回购 注销部分限制性股票的议案》，首次授予第二个解除限售期解除限售条件已满足，根据公司</w:t>
      </w:r>
      <w:r>
        <w:rPr>
          <w:rFonts w:ascii="Times New Roman" w:eastAsia="Times New Roman" w:hAnsi="Times New Roman" w:cs="Times New Roman"/>
          <w:color w:val="000000"/>
          <w:spacing w:val="0"/>
          <w:w w:val="100"/>
          <w:position w:val="0"/>
        </w:rPr>
        <w:t>2018</w:t>
      </w:r>
      <w:r>
        <w:rPr>
          <w:color w:val="000000"/>
          <w:spacing w:val="0"/>
          <w:w w:val="100"/>
          <w:position w:val="0"/>
        </w:rPr>
        <w:t>年 第二次临时股东大会的授权，办理首次授予限制性股票符合解除限售条件部分的股票解除限售事宜； 同意回购注销已获授但尚未解锁的限制性股票共</w:t>
      </w:r>
      <w:r>
        <w:rPr>
          <w:rFonts w:ascii="Times New Roman" w:eastAsia="Times New Roman" w:hAnsi="Times New Roman" w:cs="Times New Roman"/>
          <w:color w:val="000000"/>
          <w:spacing w:val="0"/>
          <w:w w:val="100"/>
          <w:position w:val="0"/>
        </w:rPr>
        <w:t>35,000</w:t>
      </w:r>
      <w:r>
        <w:rPr>
          <w:color w:val="000000"/>
          <w:spacing w:val="0"/>
          <w:w w:val="100"/>
          <w:position w:val="0"/>
        </w:rPr>
        <w:t xml:space="preserve">股。本次回购注销完成后，公司股本由 </w:t>
      </w:r>
      <w:r>
        <w:rPr>
          <w:rFonts w:ascii="Times New Roman" w:eastAsia="Times New Roman" w:hAnsi="Times New Roman" w:cs="Times New Roman"/>
          <w:color w:val="000000"/>
          <w:spacing w:val="0"/>
          <w:w w:val="100"/>
          <w:position w:val="0"/>
        </w:rPr>
        <w:t>263,069,300</w:t>
      </w:r>
      <w:r>
        <w:rPr>
          <w:color w:val="000000"/>
          <w:spacing w:val="0"/>
          <w:w w:val="100"/>
          <w:position w:val="0"/>
        </w:rPr>
        <w:t>股减至</w:t>
      </w:r>
      <w:r>
        <w:rPr>
          <w:rFonts w:ascii="Times New Roman" w:eastAsia="Times New Roman" w:hAnsi="Times New Roman" w:cs="Times New Roman"/>
          <w:color w:val="000000"/>
          <w:spacing w:val="0"/>
          <w:w w:val="100"/>
          <w:position w:val="0"/>
        </w:rPr>
        <w:t>263,034,300</w:t>
      </w:r>
      <w:r>
        <w:rPr>
          <w:color w:val="000000"/>
          <w:spacing w:val="0"/>
          <w:w w:val="100"/>
          <w:position w:val="0"/>
        </w:rPr>
        <w:t>股。</w:t>
      </w:r>
    </w:p>
    <w:p>
      <w:pPr>
        <w:pStyle w:val="Style49"/>
        <w:keepNext w:val="0"/>
        <w:keepLines w:val="0"/>
        <w:widowControl w:val="0"/>
        <w:shd w:val="clear" w:color="auto" w:fill="auto"/>
        <w:bidi w:val="0"/>
        <w:spacing w:before="0" w:after="780" w:line="307" w:lineRule="exact"/>
        <w:ind w:left="0" w:right="0" w:firstLine="460"/>
        <w:jc w:val="both"/>
      </w:pPr>
      <w:r>
        <w:rPr>
          <w:color w:val="000000"/>
          <w:spacing w:val="0"/>
          <w:w w:val="100"/>
          <w:position w:val="0"/>
        </w:rPr>
        <w:t>截至本报告期期末，</w:t>
      </w:r>
      <w:r>
        <w:rPr>
          <w:rFonts w:ascii="Times New Roman" w:eastAsia="Times New Roman" w:hAnsi="Times New Roman" w:cs="Times New Roman"/>
          <w:color w:val="000000"/>
          <w:spacing w:val="0"/>
          <w:w w:val="100"/>
          <w:position w:val="0"/>
        </w:rPr>
        <w:t>2020</w:t>
      </w:r>
      <w:r>
        <w:rPr>
          <w:color w:val="000000"/>
          <w:spacing w:val="0"/>
          <w:w w:val="100"/>
          <w:position w:val="0"/>
        </w:rPr>
        <w:t>年度本公司支付回购注销限制性股票</w:t>
      </w:r>
      <w:r>
        <w:rPr>
          <w:rFonts w:ascii="Times New Roman" w:eastAsia="Times New Roman" w:hAnsi="Times New Roman" w:cs="Times New Roman"/>
          <w:color w:val="000000"/>
          <w:spacing w:val="0"/>
          <w:w w:val="100"/>
          <w:position w:val="0"/>
        </w:rPr>
        <w:t>23.5</w:t>
      </w:r>
      <w:r>
        <w:rPr>
          <w:color w:val="000000"/>
          <w:spacing w:val="0"/>
          <w:w w:val="100"/>
          <w:position w:val="0"/>
        </w:rPr>
        <w:t>万股限制性股票款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,453,840.00 </w:t>
      </w:r>
      <w:r>
        <w:rPr>
          <w:color w:val="000000"/>
          <w:spacing w:val="0"/>
          <w:w w:val="100"/>
          <w:position w:val="0"/>
        </w:rPr>
        <w:t>元。</w:t>
      </w:r>
      <w:r>
        <w:rPr>
          <w:rFonts w:ascii="Times New Roman" w:eastAsia="Times New Roman" w:hAnsi="Times New Roman" w:cs="Times New Roman"/>
          <w:color w:val="FF0000"/>
          <w:spacing w:val="0"/>
          <w:w w:val="100"/>
          <w:position w:val="0"/>
        </w:rPr>
        <w:t>2018</w:t>
      </w:r>
      <w:r>
        <w:rPr>
          <w:color w:val="FF0000"/>
          <w:spacing w:val="0"/>
          <w:w w:val="100"/>
          <w:position w:val="0"/>
        </w:rPr>
        <w:t>年首次授予的第三个行权期和</w:t>
      </w:r>
      <w:r>
        <w:rPr>
          <w:rFonts w:ascii="Times New Roman" w:eastAsia="Times New Roman" w:hAnsi="Times New Roman" w:cs="Times New Roman"/>
          <w:color w:val="FF0000"/>
          <w:spacing w:val="0"/>
          <w:w w:val="100"/>
          <w:position w:val="0"/>
        </w:rPr>
        <w:t>2019</w:t>
      </w:r>
      <w:r>
        <w:rPr>
          <w:color w:val="FF0000"/>
          <w:spacing w:val="0"/>
          <w:w w:val="100"/>
          <w:position w:val="0"/>
        </w:rPr>
        <w:t>年二次授予的第二个行权期因</w:t>
      </w:r>
      <w:r>
        <w:rPr>
          <w:rFonts w:ascii="Times New Roman" w:eastAsia="Times New Roman" w:hAnsi="Times New Roman" w:cs="Times New Roman"/>
          <w:color w:val="FF0000"/>
          <w:spacing w:val="0"/>
          <w:w w:val="100"/>
          <w:position w:val="0"/>
        </w:rPr>
        <w:t>2020</w:t>
      </w:r>
      <w:r>
        <w:rPr>
          <w:color w:val="FF0000"/>
          <w:spacing w:val="0"/>
          <w:w w:val="100"/>
          <w:position w:val="0"/>
        </w:rPr>
        <w:t>年业绩未达标作废。</w:t>
      </w:r>
    </w:p>
    <w:p>
      <w:pPr>
        <w:pStyle w:val="Style22"/>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color w:val="000000"/>
          <w:spacing w:val="0"/>
          <w:w w:val="100"/>
          <w:position w:val="0"/>
          <w:sz w:val="24"/>
          <w:szCs w:val="24"/>
        </w:rPr>
        <w:t>十四、承诺及或有事项</w:t>
      </w:r>
      <w:bookmarkEnd w:id="1374"/>
      <w:bookmarkEnd w:id="1375"/>
      <w:bookmarkEnd w:id="1376"/>
    </w:p>
    <w:p>
      <w:pPr>
        <w:pStyle w:val="Style31"/>
        <w:keepNext/>
        <w:keepLines/>
        <w:widowControl w:val="0"/>
        <w:shd w:val="clear" w:color="auto" w:fill="auto"/>
        <w:tabs>
          <w:tab w:pos="314"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color w:val="000000"/>
          <w:spacing w:val="0"/>
          <w:w w:val="100"/>
          <w:position w:val="0"/>
        </w:rPr>
        <w:t>、</w:t>
        <w:tab/>
        <w:t>或有事项</w:t>
      </w:r>
      <w:bookmarkEnd w:id="1377"/>
      <w:bookmarkEnd w:id="1378"/>
      <w:bookmarkEnd w:id="1380"/>
    </w:p>
    <w:p>
      <w:pPr>
        <w:pStyle w:val="Style31"/>
        <w:keepNext/>
        <w:keepLines/>
        <w:widowControl w:val="0"/>
        <w:shd w:val="clear" w:color="auto" w:fill="auto"/>
        <w:tabs>
          <w:tab w:pos="318"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color w:val="000000"/>
          <w:spacing w:val="0"/>
          <w:w w:val="100"/>
          <w:position w:val="0"/>
        </w:rPr>
        <w:t>、</w:t>
        <w:tab/>
        <w:t>其他</w:t>
      </w:r>
      <w:bookmarkEnd w:id="1381"/>
      <w:bookmarkEnd w:id="1382"/>
      <w:bookmarkEnd w:id="1384"/>
    </w:p>
    <w:p>
      <w:pPr>
        <w:pStyle w:val="Style49"/>
        <w:keepNext w:val="0"/>
        <w:keepLines w:val="0"/>
        <w:widowControl w:val="0"/>
        <w:shd w:val="clear" w:color="auto" w:fill="auto"/>
        <w:bidi w:val="0"/>
        <w:spacing w:before="0" w:after="240" w:line="240" w:lineRule="auto"/>
        <w:ind w:left="0" w:right="0" w:firstLine="8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、或有事项</w:t>
      </w:r>
    </w:p>
    <w:p>
      <w:pPr>
        <w:pStyle w:val="Style49"/>
        <w:keepNext w:val="0"/>
        <w:keepLines w:val="0"/>
        <w:widowControl w:val="0"/>
        <w:shd w:val="clear" w:color="auto" w:fill="auto"/>
        <w:bidi w:val="0"/>
        <w:spacing w:before="0" w:after="280" w:line="240" w:lineRule="auto"/>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日，本公司无需披露的重大或有事项。</w:t>
      </w:r>
    </w:p>
    <w:p>
      <w:pPr>
        <w:pStyle w:val="Style4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、承诺事项</w:t>
      </w:r>
    </w:p>
    <w:p>
      <w:pPr>
        <w:pStyle w:val="Style49"/>
        <w:keepNext w:val="0"/>
        <w:keepLines w:val="0"/>
        <w:widowControl w:val="0"/>
        <w:shd w:val="clear" w:color="auto" w:fill="auto"/>
        <w:bidi w:val="0"/>
        <w:spacing w:before="0" w:after="840" w:line="240" w:lineRule="auto"/>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本公司无需披露的重大承诺事项。</w:t>
      </w:r>
    </w:p>
    <w:p>
      <w:pPr>
        <w:pStyle w:val="Style22"/>
        <w:keepNext/>
        <w:keepLines/>
        <w:widowControl w:val="0"/>
        <w:shd w:val="clear" w:color="auto" w:fill="auto"/>
        <w:bidi w:val="0"/>
        <w:spacing w:before="0" w:line="312" w:lineRule="exact"/>
        <w:ind w:left="0" w:right="0" w:firstLine="0"/>
        <w:jc w:val="left"/>
      </w:pPr>
      <w:bookmarkStart w:id="1385" w:name="bookmark1385"/>
      <w:bookmarkStart w:id="1386" w:name="bookmark1386"/>
      <w:bookmarkStart w:id="1387" w:name="bookmark1387"/>
      <w:r>
        <w:rPr>
          <w:color w:val="000000"/>
          <w:spacing w:val="0"/>
          <w:w w:val="100"/>
          <w:position w:val="0"/>
          <w:sz w:val="24"/>
          <w:szCs w:val="24"/>
        </w:rPr>
        <w:t>十五、资产负债表日后事项</w:t>
      </w:r>
      <w:bookmarkEnd w:id="1385"/>
      <w:bookmarkEnd w:id="1386"/>
      <w:bookmarkEnd w:id="1387"/>
    </w:p>
    <w:p>
      <w:pPr>
        <w:pStyle w:val="Style31"/>
        <w:keepNext/>
        <w:keepLines/>
        <w:widowControl w:val="0"/>
        <w:shd w:val="clear" w:color="auto" w:fill="auto"/>
        <w:bidi w:val="0"/>
        <w:spacing w:before="0" w:after="28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388"/>
      <w:bookmarkEnd w:id="1389"/>
      <w:bookmarkEnd w:id="1390"/>
    </w:p>
    <w:p>
      <w:pPr>
        <w:pStyle w:val="Style49"/>
        <w:keepNext w:val="0"/>
        <w:keepLines w:val="0"/>
        <w:widowControl w:val="0"/>
        <w:shd w:val="clear" w:color="auto" w:fill="auto"/>
        <w:bidi w:val="0"/>
        <w:spacing w:before="0" w:after="120" w:line="312" w:lineRule="exact"/>
        <w:ind w:left="0" w:right="0" w:firstLine="540"/>
        <w:jc w:val="both"/>
      </w:pPr>
      <w:r>
        <w:rPr>
          <w:color w:val="000000"/>
          <w:spacing w:val="0"/>
          <w:w w:val="100"/>
          <w:position w:val="0"/>
        </w:rPr>
        <w:t>退回游戏定制费</w:t>
      </w:r>
    </w:p>
    <w:p>
      <w:pPr>
        <w:pStyle w:val="Style49"/>
        <w:keepNext w:val="0"/>
        <w:keepLines w:val="0"/>
        <w:widowControl w:val="0"/>
        <w:shd w:val="clear" w:color="auto" w:fill="auto"/>
        <w:bidi w:val="0"/>
        <w:spacing w:before="0" w:after="120" w:line="312"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）协议描述</w:t>
      </w:r>
    </w:p>
    <w:p>
      <w:pPr>
        <w:pStyle w:val="Style49"/>
        <w:keepNext w:val="0"/>
        <w:keepLines w:val="0"/>
        <w:widowControl w:val="0"/>
        <w:shd w:val="clear" w:color="auto" w:fill="auto"/>
        <w:tabs>
          <w:tab w:pos="891" w:val="left"/>
        </w:tabs>
        <w:bidi w:val="0"/>
        <w:spacing w:before="0" w:after="120" w:line="312" w:lineRule="exact"/>
        <w:ind w:left="0" w:right="0" w:firstLine="540"/>
        <w:jc w:val="both"/>
      </w:pPr>
      <w:bookmarkStart w:id="1391" w:name="bookmark1391"/>
      <w:r>
        <w:rPr>
          <w:rFonts w:ascii="Times New Roman" w:eastAsia="Times New Roman" w:hAnsi="Times New Roman" w:cs="Times New Roman"/>
          <w:color w:val="000000"/>
          <w:spacing w:val="0"/>
          <w:w w:val="100"/>
          <w:position w:val="0"/>
        </w:rPr>
        <w:t>1</w:t>
      </w:r>
      <w:bookmarkEnd w:id="1391"/>
      <w:r>
        <w:rPr>
          <w:color w:val="000000"/>
          <w:spacing w:val="0"/>
          <w:w w:val="100"/>
          <w:position w:val="0"/>
        </w:rPr>
        <w:t>）</w:t>
        <w:tab/>
        <w:t>老友互动与第一支点补充协议</w:t>
      </w:r>
    </w:p>
    <w:p>
      <w:pPr>
        <w:pStyle w:val="Style49"/>
        <w:keepNext w:val="0"/>
        <w:keepLines w:val="0"/>
        <w:widowControl w:val="0"/>
        <w:shd w:val="clear" w:color="auto" w:fill="auto"/>
        <w:bidi w:val="0"/>
        <w:spacing w:before="0" w:after="120" w:line="311"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日老友互动和深圳市第一支点技术有限公司（以下简称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第一支点</w:t>
      </w:r>
      <w:r>
        <w:rPr>
          <w:rFonts w:ascii="Times New Roman" w:eastAsia="Times New Roman" w:hAnsi="Times New Roman" w:cs="Times New Roman"/>
          <w:color w:val="000000"/>
          <w:spacing w:val="0"/>
          <w:w w:val="100"/>
          <w:position w:val="0"/>
        </w:rPr>
        <w:t>”</w:t>
      </w:r>
      <w:r>
        <w:rPr>
          <w:color w:val="000000"/>
          <w:spacing w:val="0"/>
          <w:w w:val="100"/>
          <w:position w:val="0"/>
        </w:rPr>
        <w:t>）签订</w:t>
      </w:r>
      <w:r>
        <w:rPr>
          <w:rFonts w:ascii="Times New Roman" w:eastAsia="Times New Roman" w:hAnsi="Times New Roman" w:cs="Times New Roman"/>
          <w:color w:val="000000"/>
          <w:spacing w:val="0"/>
          <w:w w:val="100"/>
          <w:position w:val="0"/>
        </w:rPr>
        <w:t>＜</w:t>
      </w:r>
      <w:r>
        <w:rPr>
          <w:color w:val="000000"/>
          <w:spacing w:val="0"/>
          <w:w w:val="100"/>
          <w:position w:val="0"/>
        </w:rPr>
        <w:t>《街机 捕鱼》</w:t>
      </w:r>
      <w:r>
        <w:rPr>
          <w:rFonts w:ascii="Times New Roman" w:eastAsia="Times New Roman" w:hAnsi="Times New Roman" w:cs="Times New Roman"/>
          <w:color w:val="000000"/>
          <w:spacing w:val="0"/>
          <w:w w:val="100"/>
          <w:position w:val="0"/>
        </w:rPr>
        <w:t>-2</w:t>
      </w:r>
      <w:r>
        <w:rPr>
          <w:color w:val="000000"/>
          <w:spacing w:val="0"/>
          <w:w w:val="100"/>
          <w:position w:val="0"/>
        </w:rPr>
        <w:t>手机游戏定制协议之补充协议</w:t>
      </w:r>
      <w:r>
        <w:rPr>
          <w:color w:val="000000"/>
          <w:spacing w:val="0"/>
          <w:w w:val="100"/>
          <w:position w:val="0"/>
        </w:rPr>
        <w:t>〉</w:t>
      </w:r>
      <w:r>
        <w:rPr>
          <w:color w:val="000000"/>
          <w:spacing w:val="0"/>
          <w:w w:val="100"/>
          <w:position w:val="0"/>
        </w:rPr>
        <w:t>，基于游戏品质及商业化运营状况，经双方多次磋商，约定： 双方共同确认，第一支点已经完成定制开发并交付老友互动《街机捕鱼》</w:t>
      </w:r>
      <w:r>
        <w:rPr>
          <w:rFonts w:ascii="Times New Roman" w:eastAsia="Times New Roman" w:hAnsi="Times New Roman" w:cs="Times New Roman"/>
          <w:color w:val="000000"/>
          <w:spacing w:val="0"/>
          <w:w w:val="100"/>
          <w:position w:val="0"/>
        </w:rPr>
        <w:t>-2</w:t>
      </w:r>
      <w:r>
        <w:rPr>
          <w:color w:val="000000"/>
          <w:spacing w:val="0"/>
          <w:w w:val="100"/>
          <w:position w:val="0"/>
        </w:rPr>
        <w:t>手机游戏，根据原协议老 友互动应支付第一支点定制款人民币</w:t>
      </w:r>
      <w:r>
        <w:rPr>
          <w:rFonts w:ascii="Times New Roman" w:eastAsia="Times New Roman" w:hAnsi="Times New Roman" w:cs="Times New Roman"/>
          <w:color w:val="000000"/>
          <w:spacing w:val="0"/>
          <w:w w:val="100"/>
          <w:position w:val="0"/>
        </w:rPr>
        <w:t>600</w:t>
      </w:r>
      <w:r>
        <w:rPr>
          <w:color w:val="000000"/>
          <w:spacing w:val="0"/>
          <w:w w:val="100"/>
          <w:position w:val="0"/>
        </w:rPr>
        <w:t>万元（大写：陆佰万圆整），老友互动实际已支付第一支点 人民币</w:t>
      </w:r>
      <w:r>
        <w:rPr>
          <w:rFonts w:ascii="Times New Roman" w:eastAsia="Times New Roman" w:hAnsi="Times New Roman" w:cs="Times New Roman"/>
          <w:color w:val="000000"/>
          <w:spacing w:val="0"/>
          <w:w w:val="100"/>
          <w:position w:val="0"/>
        </w:rPr>
        <w:t>450</w:t>
      </w:r>
      <w:r>
        <w:rPr>
          <w:color w:val="000000"/>
          <w:spacing w:val="0"/>
          <w:w w:val="100"/>
          <w:position w:val="0"/>
        </w:rPr>
        <w:t>万元（大写：肆佰伍拾万圆整）；双方一致同意退还全部的定制款，定制款项下老友互动 无需再支付任何费用，第一支点不再向老友互动主张定制款，并应于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 xml:space="preserve">前退还老友互动 </w:t>
      </w:r>
      <w:r>
        <w:rPr>
          <w:rFonts w:ascii="Times New Roman" w:eastAsia="Times New Roman" w:hAnsi="Times New Roman" w:cs="Times New Roman"/>
          <w:color w:val="000000"/>
          <w:spacing w:val="0"/>
          <w:w w:val="100"/>
          <w:position w:val="0"/>
        </w:rPr>
        <w:t>450</w:t>
      </w:r>
      <w:r>
        <w:rPr>
          <w:color w:val="000000"/>
          <w:spacing w:val="0"/>
          <w:w w:val="100"/>
          <w:position w:val="0"/>
        </w:rPr>
        <w:t>万元（大写：肆佰伍拾万圆整）。</w:t>
      </w:r>
    </w:p>
    <w:p>
      <w:pPr>
        <w:pStyle w:val="Style49"/>
        <w:keepNext w:val="0"/>
        <w:keepLines w:val="0"/>
        <w:widowControl w:val="0"/>
        <w:shd w:val="clear" w:color="auto" w:fill="auto"/>
        <w:tabs>
          <w:tab w:pos="915" w:val="left"/>
        </w:tabs>
        <w:bidi w:val="0"/>
        <w:spacing w:before="0" w:after="120" w:line="312" w:lineRule="exact"/>
        <w:ind w:left="0" w:right="0" w:firstLine="540"/>
        <w:jc w:val="both"/>
      </w:pPr>
      <w:bookmarkStart w:id="1392" w:name="bookmark1392"/>
      <w:r>
        <w:rPr>
          <w:rFonts w:ascii="Times New Roman" w:eastAsia="Times New Roman" w:hAnsi="Times New Roman" w:cs="Times New Roman"/>
          <w:color w:val="000000"/>
          <w:spacing w:val="0"/>
          <w:w w:val="100"/>
          <w:position w:val="0"/>
        </w:rPr>
        <w:t>2</w:t>
      </w:r>
      <w:bookmarkEnd w:id="1392"/>
      <w:r>
        <w:rPr>
          <w:color w:val="000000"/>
          <w:spacing w:val="0"/>
          <w:w w:val="100"/>
          <w:position w:val="0"/>
        </w:rPr>
        <w:t>）</w:t>
        <w:tab/>
        <w:t>老友互动与手游界补充协议</w:t>
      </w:r>
    </w:p>
    <w:p>
      <w:pPr>
        <w:pStyle w:val="Style49"/>
        <w:keepNext w:val="0"/>
        <w:keepLines w:val="0"/>
        <w:widowControl w:val="0"/>
        <w:shd w:val="clear" w:color="auto" w:fill="auto"/>
        <w:bidi w:val="0"/>
        <w:spacing w:before="0" w:after="120" w:line="315"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日老友互动和深圳市手游界网络有限公司（以下简称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手游界</w:t>
      </w:r>
      <w:r>
        <w:rPr>
          <w:rFonts w:ascii="Times New Roman" w:eastAsia="Times New Roman" w:hAnsi="Times New Roman" w:cs="Times New Roman"/>
          <w:color w:val="000000"/>
          <w:spacing w:val="0"/>
          <w:w w:val="100"/>
          <w:position w:val="0"/>
        </w:rPr>
        <w:t>”</w:t>
      </w:r>
      <w:r>
        <w:rPr>
          <w:color w:val="000000"/>
          <w:spacing w:val="0"/>
          <w:w w:val="100"/>
          <w:position w:val="0"/>
        </w:rPr>
        <w:t>）签订</w:t>
      </w:r>
      <w:r>
        <w:rPr>
          <w:rFonts w:ascii="Times New Roman" w:eastAsia="Times New Roman" w:hAnsi="Times New Roman" w:cs="Times New Roman"/>
          <w:color w:val="000000"/>
          <w:spacing w:val="0"/>
          <w:w w:val="100"/>
          <w:position w:val="0"/>
        </w:rPr>
        <w:t>＜</w:t>
      </w:r>
      <w:r>
        <w:rPr>
          <w:color w:val="000000"/>
          <w:spacing w:val="0"/>
          <w:w w:val="100"/>
          <w:position w:val="0"/>
        </w:rPr>
        <w:t xml:space="preserve">《街机捕鱼》 </w:t>
      </w:r>
      <w:r>
        <w:rPr>
          <w:rFonts w:ascii="Times New Roman" w:eastAsia="Times New Roman" w:hAnsi="Times New Roman" w:cs="Times New Roman"/>
          <w:color w:val="000000"/>
          <w:spacing w:val="0"/>
          <w:w w:val="100"/>
          <w:position w:val="0"/>
        </w:rPr>
        <w:t>-1</w:t>
      </w:r>
      <w:r>
        <w:rPr>
          <w:color w:val="000000"/>
          <w:spacing w:val="0"/>
          <w:w w:val="100"/>
          <w:position w:val="0"/>
        </w:rPr>
        <w:t>手机游戏定制协议之补充协议</w:t>
      </w:r>
      <w:r>
        <w:rPr>
          <w:rFonts w:ascii="Times New Roman" w:eastAsia="Times New Roman" w:hAnsi="Times New Roman" w:cs="Times New Roman"/>
          <w:color w:val="000000"/>
          <w:spacing w:val="0"/>
          <w:w w:val="100"/>
          <w:position w:val="0"/>
        </w:rPr>
        <w:t>＞</w:t>
      </w:r>
      <w:r>
        <w:rPr>
          <w:color w:val="000000"/>
          <w:spacing w:val="0"/>
          <w:w w:val="100"/>
          <w:position w:val="0"/>
        </w:rPr>
        <w:t>,基于游戏品质及商业化运营状况，经双方多次磋商，约定：双方 共同确认，手游界已经完成定制开发并交付老友互动《街机捕鱼》</w:t>
      </w:r>
      <w:r>
        <w:rPr>
          <w:rFonts w:ascii="Times New Roman" w:eastAsia="Times New Roman" w:hAnsi="Times New Roman" w:cs="Times New Roman"/>
          <w:color w:val="000000"/>
          <w:spacing w:val="0"/>
          <w:w w:val="100"/>
          <w:position w:val="0"/>
        </w:rPr>
        <w:t>-1</w:t>
      </w:r>
      <w:r>
        <w:rPr>
          <w:color w:val="000000"/>
          <w:spacing w:val="0"/>
          <w:w w:val="100"/>
          <w:position w:val="0"/>
        </w:rPr>
        <w:t>手机游戏，根据原协议老友互动 应支付手游界定制款人民币</w:t>
      </w:r>
      <w:r>
        <w:rPr>
          <w:rFonts w:ascii="Times New Roman" w:eastAsia="Times New Roman" w:hAnsi="Times New Roman" w:cs="Times New Roman"/>
          <w:color w:val="000000"/>
          <w:spacing w:val="0"/>
          <w:w w:val="100"/>
          <w:position w:val="0"/>
        </w:rPr>
        <w:t>600</w:t>
      </w:r>
      <w:r>
        <w:rPr>
          <w:color w:val="000000"/>
          <w:spacing w:val="0"/>
          <w:w w:val="100"/>
          <w:position w:val="0"/>
        </w:rPr>
        <w:t>万元（大写：陆佰万圆整），老友互动实际已支付手游界人民币</w:t>
      </w:r>
      <w:r>
        <w:rPr>
          <w:rFonts w:ascii="Times New Roman" w:eastAsia="Times New Roman" w:hAnsi="Times New Roman" w:cs="Times New Roman"/>
          <w:color w:val="000000"/>
          <w:spacing w:val="0"/>
          <w:w w:val="100"/>
          <w:position w:val="0"/>
        </w:rPr>
        <w:t>450</w:t>
      </w:r>
      <w:r>
        <w:rPr>
          <w:color w:val="000000"/>
          <w:spacing w:val="0"/>
          <w:w w:val="100"/>
          <w:position w:val="0"/>
        </w:rPr>
        <w:t>万 元（大写：肆佰伍拾万圆整）；双方一致同意退还全部的定制款，定制款项下老友互动无需再支付任 何费用，手游界不再向老友互动主张定制款，并应于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日前退还老友互动</w:t>
      </w:r>
      <w:r>
        <w:rPr>
          <w:rFonts w:ascii="Times New Roman" w:eastAsia="Times New Roman" w:hAnsi="Times New Roman" w:cs="Times New Roman"/>
          <w:color w:val="000000"/>
          <w:spacing w:val="0"/>
          <w:w w:val="100"/>
          <w:position w:val="0"/>
        </w:rPr>
        <w:t>450</w:t>
      </w:r>
      <w:r>
        <w:rPr>
          <w:color w:val="000000"/>
          <w:spacing w:val="0"/>
          <w:w w:val="100"/>
          <w:position w:val="0"/>
        </w:rPr>
        <w:t>万元（大写： 肆佰伍拾万圆整）。</w:t>
      </w:r>
    </w:p>
    <w:p>
      <w:pPr>
        <w:pStyle w:val="Style49"/>
        <w:keepNext w:val="0"/>
        <w:keepLines w:val="0"/>
        <w:widowControl w:val="0"/>
        <w:shd w:val="clear" w:color="auto" w:fill="auto"/>
        <w:tabs>
          <w:tab w:pos="915" w:val="left"/>
        </w:tabs>
        <w:bidi w:val="0"/>
        <w:spacing w:before="0" w:after="120" w:line="312" w:lineRule="exact"/>
        <w:ind w:left="0" w:right="0" w:firstLine="540"/>
        <w:jc w:val="both"/>
      </w:pPr>
      <w:bookmarkStart w:id="1393" w:name="bookmark1393"/>
      <w:r>
        <w:rPr>
          <w:rFonts w:ascii="Times New Roman" w:eastAsia="Times New Roman" w:hAnsi="Times New Roman" w:cs="Times New Roman"/>
          <w:color w:val="000000"/>
          <w:spacing w:val="0"/>
          <w:w w:val="100"/>
          <w:position w:val="0"/>
        </w:rPr>
        <w:t>3</w:t>
      </w:r>
      <w:bookmarkEnd w:id="1393"/>
      <w:r>
        <w:rPr>
          <w:color w:val="000000"/>
          <w:spacing w:val="0"/>
          <w:w w:val="100"/>
          <w:position w:val="0"/>
        </w:rPr>
        <w:t>）</w:t>
        <w:tab/>
        <w:t>深圳五秒与手游界补充协议</w:t>
      </w:r>
    </w:p>
    <w:p>
      <w:pPr>
        <w:pStyle w:val="Style49"/>
        <w:keepNext w:val="0"/>
        <w:keepLines w:val="0"/>
        <w:widowControl w:val="0"/>
        <w:shd w:val="clear" w:color="auto" w:fill="auto"/>
        <w:bidi w:val="0"/>
        <w:spacing w:before="0" w:after="120" w:line="312"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日深圳五秒与手游界签订</w:t>
      </w:r>
      <w:r>
        <w:rPr>
          <w:rFonts w:ascii="Times New Roman" w:eastAsia="Times New Roman" w:hAnsi="Times New Roman" w:cs="Times New Roman"/>
          <w:color w:val="000000"/>
          <w:spacing w:val="0"/>
          <w:w w:val="100"/>
          <w:position w:val="0"/>
        </w:rPr>
        <w:t>＜</w:t>
      </w:r>
      <w:r>
        <w:rPr>
          <w:color w:val="000000"/>
          <w:spacing w:val="0"/>
          <w:w w:val="100"/>
          <w:position w:val="0"/>
        </w:rPr>
        <w:t>《老友麻将》、《好彩跑得快》、《好彩跑胡子》手机 游戏定制协议之补充协议</w:t>
      </w:r>
      <w:r>
        <w:rPr>
          <w:color w:val="000000"/>
          <w:spacing w:val="0"/>
          <w:w w:val="100"/>
          <w:position w:val="0"/>
        </w:rPr>
        <w:t>〉</w:t>
      </w:r>
      <w:r>
        <w:rPr>
          <w:color w:val="000000"/>
          <w:spacing w:val="0"/>
          <w:w w:val="100"/>
          <w:position w:val="0"/>
        </w:rPr>
        <w:t>，基于游戏品质及商业化运营状况，经双方多次磋商，约定：双方共同确 认，手游界已经完成定制开发并交付深圳五秒《老友麻将》、《好彩跑得快》手机游戏，根据原协议 深圳五秒应支付手游界定制款人民币</w:t>
      </w:r>
      <w:r>
        <w:rPr>
          <w:rFonts w:ascii="Times New Roman" w:eastAsia="Times New Roman" w:hAnsi="Times New Roman" w:cs="Times New Roman"/>
          <w:color w:val="000000"/>
          <w:spacing w:val="0"/>
          <w:w w:val="100"/>
          <w:position w:val="0"/>
        </w:rPr>
        <w:t>480</w:t>
      </w:r>
      <w:r>
        <w:rPr>
          <w:color w:val="000000"/>
          <w:spacing w:val="0"/>
          <w:w w:val="100"/>
          <w:position w:val="0"/>
        </w:rPr>
        <w:t>万元（大写：肆佰捌拾万圆整），深圳五秒实际已支付手游 界人民币</w:t>
      </w:r>
      <w:r>
        <w:rPr>
          <w:rFonts w:ascii="Times New Roman" w:eastAsia="Times New Roman" w:hAnsi="Times New Roman" w:cs="Times New Roman"/>
          <w:color w:val="000000"/>
          <w:spacing w:val="0"/>
          <w:w w:val="100"/>
          <w:position w:val="0"/>
        </w:rPr>
        <w:t>500</w:t>
      </w:r>
      <w:r>
        <w:rPr>
          <w:color w:val="000000"/>
          <w:spacing w:val="0"/>
          <w:w w:val="100"/>
          <w:position w:val="0"/>
        </w:rPr>
        <w:t>万元（大写：伍佰万圆整）；双方一致同意退还全部的定制款，定制款项下深圳五秒无 需再支付任何费用，深圳五秒不再向手游界主张定制款费用，并应于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日前退还深圳五秒 人民币</w:t>
      </w:r>
      <w:r>
        <w:rPr>
          <w:rFonts w:ascii="Times New Roman" w:eastAsia="Times New Roman" w:hAnsi="Times New Roman" w:cs="Times New Roman"/>
          <w:color w:val="000000"/>
          <w:spacing w:val="0"/>
          <w:w w:val="100"/>
          <w:position w:val="0"/>
        </w:rPr>
        <w:t>500</w:t>
      </w:r>
      <w:r>
        <w:rPr>
          <w:color w:val="000000"/>
          <w:spacing w:val="0"/>
          <w:w w:val="100"/>
          <w:position w:val="0"/>
        </w:rPr>
        <w:t>万元（大写：伍佰万圆整）。</w:t>
      </w:r>
    </w:p>
    <w:p>
      <w:pPr>
        <w:pStyle w:val="Style49"/>
        <w:keepNext w:val="0"/>
        <w:keepLines w:val="0"/>
        <w:widowControl w:val="0"/>
        <w:shd w:val="clear" w:color="auto" w:fill="auto"/>
        <w:tabs>
          <w:tab w:pos="915" w:val="left"/>
        </w:tabs>
        <w:bidi w:val="0"/>
        <w:spacing w:before="0" w:after="120" w:line="312" w:lineRule="exact"/>
        <w:ind w:left="0" w:right="0" w:firstLine="540"/>
        <w:jc w:val="both"/>
      </w:pPr>
      <w:bookmarkStart w:id="1394" w:name="bookmark1394"/>
      <w:r>
        <w:rPr>
          <w:rFonts w:ascii="Times New Roman" w:eastAsia="Times New Roman" w:hAnsi="Times New Roman" w:cs="Times New Roman"/>
          <w:color w:val="000000"/>
          <w:spacing w:val="0"/>
          <w:w w:val="100"/>
          <w:position w:val="0"/>
        </w:rPr>
        <w:t>4</w:t>
      </w:r>
      <w:bookmarkEnd w:id="1394"/>
      <w:r>
        <w:rPr>
          <w:color w:val="000000"/>
          <w:spacing w:val="0"/>
          <w:w w:val="100"/>
          <w:position w:val="0"/>
        </w:rPr>
        <w:t>）</w:t>
        <w:tab/>
        <w:t>深圳时代首游与第一支点补充协议</w:t>
      </w:r>
    </w:p>
    <w:p>
      <w:pPr>
        <w:pStyle w:val="Style49"/>
        <w:keepNext w:val="0"/>
        <w:keepLines w:val="0"/>
        <w:widowControl w:val="0"/>
        <w:shd w:val="clear" w:color="auto" w:fill="auto"/>
        <w:bidi w:val="0"/>
        <w:spacing w:before="0" w:after="100" w:line="312"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日深圳时代首游与第一支点签订</w:t>
      </w:r>
      <w:r>
        <w:rPr>
          <w:rFonts w:ascii="Times New Roman" w:eastAsia="Times New Roman" w:hAnsi="Times New Roman" w:cs="Times New Roman"/>
          <w:color w:val="000000"/>
          <w:spacing w:val="0"/>
          <w:w w:val="100"/>
          <w:position w:val="0"/>
        </w:rPr>
        <w:t>＜</w:t>
      </w:r>
      <w:r>
        <w:rPr>
          <w:color w:val="000000"/>
          <w:spacing w:val="0"/>
          <w:w w:val="100"/>
          <w:position w:val="0"/>
        </w:rPr>
        <w:t>《好彩斗地主》手机游戏定制协议之补充协议</w:t>
      </w:r>
      <w:r>
        <w:rPr>
          <w:color w:val="000000"/>
          <w:spacing w:val="0"/>
          <w:w w:val="100"/>
          <w:position w:val="0"/>
        </w:rPr>
        <w:t>〉</w:t>
      </w:r>
      <w:r>
        <w:rPr>
          <w:color w:val="000000"/>
          <w:spacing w:val="0"/>
          <w:w w:val="100"/>
          <w:position w:val="0"/>
        </w:rPr>
        <w:t>， 基于游戏品质及商业化运营状况，经双方多次磋商，约定：双方共同确认，第一支点已经完成定制开 发并交付深圳时代首游《好彩斗地主》手机游戏，根据原协议深圳时代首游应支付第一支点定制款人 民币</w:t>
      </w:r>
      <w:r>
        <w:rPr>
          <w:rFonts w:ascii="Times New Roman" w:eastAsia="Times New Roman" w:hAnsi="Times New Roman" w:cs="Times New Roman"/>
          <w:color w:val="000000"/>
          <w:spacing w:val="0"/>
          <w:w w:val="100"/>
          <w:position w:val="0"/>
        </w:rPr>
        <w:t>350</w:t>
      </w:r>
      <w:r>
        <w:rPr>
          <w:color w:val="000000"/>
          <w:spacing w:val="0"/>
          <w:w w:val="100"/>
          <w:position w:val="0"/>
        </w:rPr>
        <w:t>万元（大写：叁佰伍拾万整），深圳时代首游实际已支付第一支点人民币人民币</w:t>
      </w:r>
      <w:r>
        <w:rPr>
          <w:rFonts w:ascii="Times New Roman" w:eastAsia="Times New Roman" w:hAnsi="Times New Roman" w:cs="Times New Roman"/>
          <w:color w:val="000000"/>
          <w:spacing w:val="0"/>
          <w:w w:val="100"/>
          <w:position w:val="0"/>
        </w:rPr>
        <w:t>250</w:t>
      </w:r>
      <w:r>
        <w:rPr>
          <w:color w:val="000000"/>
          <w:spacing w:val="0"/>
          <w:w w:val="100"/>
          <w:position w:val="0"/>
        </w:rPr>
        <w:t>万元（大 写：贰佰伍拾万圆整）；双方一致同意退还全部的定制款，定制款项下深圳时代首游无需再支付任何 费用，第一支点不再向深圳时代首游主张定制款费用，并应于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日前退还深圳时代首游人 民币</w:t>
      </w:r>
      <w:r>
        <w:rPr>
          <w:rFonts w:ascii="Times New Roman" w:eastAsia="Times New Roman" w:hAnsi="Times New Roman" w:cs="Times New Roman"/>
          <w:color w:val="000000"/>
          <w:spacing w:val="0"/>
          <w:w w:val="100"/>
          <w:position w:val="0"/>
        </w:rPr>
        <w:t>25 0</w:t>
      </w:r>
      <w:r>
        <w:rPr>
          <w:color w:val="000000"/>
          <w:spacing w:val="0"/>
          <w:w w:val="100"/>
          <w:position w:val="0"/>
        </w:rPr>
        <w:t>万元（大写：贰佰伍拾万圆整）。</w:t>
      </w:r>
    </w:p>
    <w:p>
      <w:pPr>
        <w:pStyle w:val="Style49"/>
        <w:keepNext w:val="0"/>
        <w:keepLines w:val="0"/>
        <w:widowControl w:val="0"/>
        <w:shd w:val="clear" w:color="auto" w:fill="auto"/>
        <w:bidi w:val="0"/>
        <w:spacing w:before="0" w:after="100" w:line="313" w:lineRule="exact"/>
        <w:ind w:left="0" w:right="0" w:firstLine="540"/>
        <w:jc w:val="both"/>
      </w:pPr>
      <w:bookmarkStart w:id="1395" w:name="bookmark1395"/>
      <w:r>
        <w:rPr>
          <w:rFonts w:ascii="Times New Roman" w:eastAsia="Times New Roman" w:hAnsi="Times New Roman" w:cs="Times New Roman"/>
          <w:color w:val="000000"/>
          <w:spacing w:val="0"/>
          <w:w w:val="100"/>
          <w:position w:val="0"/>
        </w:rPr>
        <w:t>5</w:t>
      </w:r>
      <w:bookmarkEnd w:id="1395"/>
      <w:r>
        <w:rPr>
          <w:color w:val="000000"/>
          <w:spacing w:val="0"/>
          <w:w w:val="100"/>
          <w:position w:val="0"/>
        </w:rPr>
        <w:t>）深圳时代首游与阿拉蕾补充协议</w:t>
      </w:r>
    </w:p>
    <w:p>
      <w:pPr>
        <w:pStyle w:val="Style49"/>
        <w:keepNext w:val="0"/>
        <w:keepLines w:val="0"/>
        <w:widowControl w:val="0"/>
        <w:shd w:val="clear" w:color="auto" w:fill="auto"/>
        <w:bidi w:val="0"/>
        <w:spacing w:before="0" w:after="100" w:line="313"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日深圳时代首游与阿拉蕾签订</w:t>
      </w:r>
      <w:r>
        <w:rPr>
          <w:rFonts w:ascii="Times New Roman" w:eastAsia="Times New Roman" w:hAnsi="Times New Roman" w:cs="Times New Roman"/>
          <w:color w:val="000000"/>
          <w:spacing w:val="0"/>
          <w:w w:val="100"/>
          <w:position w:val="0"/>
        </w:rPr>
        <w:t>＜</w:t>
      </w:r>
      <w:r>
        <w:rPr>
          <w:color w:val="000000"/>
          <w:spacing w:val="0"/>
          <w:w w:val="100"/>
          <w:position w:val="0"/>
        </w:rPr>
        <w:t>《血战沙巴克》委托开发协议之补充协议</w:t>
      </w:r>
      <w:r>
        <w:rPr>
          <w:color w:val="000000"/>
          <w:spacing w:val="0"/>
          <w:w w:val="100"/>
          <w:position w:val="0"/>
        </w:rPr>
        <w:t>〉</w:t>
      </w:r>
      <w:r>
        <w:rPr>
          <w:color w:val="000000"/>
          <w:spacing w:val="0"/>
          <w:w w:val="100"/>
          <w:position w:val="0"/>
        </w:rPr>
        <w:t>，基于游 戏品质及商业化运营状况，经双方多次磋商，约定：双方共同确认，阿拉蕾已经完成定制开发并交付 深圳时代首游《血战巴沙克》委托开发协议，根据原协议深圳时代首游应支付阿拉蕾定制款人民币</w:t>
      </w:r>
      <w:r>
        <w:rPr>
          <w:rFonts w:ascii="Times New Roman" w:eastAsia="Times New Roman" w:hAnsi="Times New Roman" w:cs="Times New Roman"/>
          <w:color w:val="000000"/>
          <w:spacing w:val="0"/>
          <w:w w:val="100"/>
          <w:position w:val="0"/>
        </w:rPr>
        <w:t xml:space="preserve">3500 </w:t>
      </w:r>
      <w:r>
        <w:rPr>
          <w:color w:val="000000"/>
          <w:spacing w:val="0"/>
          <w:w w:val="100"/>
          <w:position w:val="0"/>
        </w:rPr>
        <w:t>万元（大写：伍佰万圆整），深圳时代首游实际已支付阿拉蕾人民币</w:t>
      </w:r>
      <w:r>
        <w:rPr>
          <w:rFonts w:ascii="Times New Roman" w:eastAsia="Times New Roman" w:hAnsi="Times New Roman" w:cs="Times New Roman"/>
          <w:color w:val="000000"/>
          <w:spacing w:val="0"/>
          <w:w w:val="100"/>
          <w:position w:val="0"/>
        </w:rPr>
        <w:t>500</w:t>
      </w:r>
      <w:r>
        <w:rPr>
          <w:color w:val="000000"/>
          <w:spacing w:val="0"/>
          <w:w w:val="100"/>
          <w:position w:val="0"/>
        </w:rPr>
        <w:t>万元（大写：伍佰万圆整）； 双方一致同意退还全部的定制款，定制款项下深圳时代首游无需再支付任何费用，阿拉蕾不再向深圳 时代首游主张定制款费用，并应于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前退还深圳时代首游人民币</w:t>
      </w:r>
      <w:r>
        <w:rPr>
          <w:rFonts w:ascii="Times New Roman" w:eastAsia="Times New Roman" w:hAnsi="Times New Roman" w:cs="Times New Roman"/>
          <w:color w:val="000000"/>
          <w:spacing w:val="0"/>
          <w:w w:val="100"/>
          <w:position w:val="0"/>
        </w:rPr>
        <w:t>500</w:t>
      </w:r>
      <w:r>
        <w:rPr>
          <w:color w:val="000000"/>
          <w:spacing w:val="0"/>
          <w:w w:val="100"/>
          <w:position w:val="0"/>
        </w:rPr>
        <w:t>万元（大写：伍佰万 圆整）。</w:t>
      </w:r>
    </w:p>
    <w:p>
      <w:pPr>
        <w:pStyle w:val="Style49"/>
        <w:keepNext w:val="0"/>
        <w:keepLines w:val="0"/>
        <w:widowControl w:val="0"/>
        <w:shd w:val="clear" w:color="auto" w:fill="auto"/>
        <w:tabs>
          <w:tab w:pos="982" w:val="left"/>
        </w:tabs>
        <w:bidi w:val="0"/>
        <w:spacing w:before="0" w:after="100" w:line="313" w:lineRule="exact"/>
        <w:ind w:left="0" w:right="0" w:firstLine="54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会计处理</w:t>
      </w:r>
    </w:p>
    <w:p>
      <w:pPr>
        <w:pStyle w:val="Style49"/>
        <w:keepNext w:val="0"/>
        <w:keepLines w:val="0"/>
        <w:widowControl w:val="0"/>
        <w:shd w:val="clear" w:color="auto" w:fill="auto"/>
        <w:bidi w:val="0"/>
        <w:spacing w:before="0" w:after="100" w:line="307" w:lineRule="exact"/>
        <w:ind w:left="0" w:right="0" w:firstLine="540"/>
        <w:jc w:val="both"/>
      </w:pPr>
      <w:r>
        <w:rPr>
          <w:color w:val="000000"/>
          <w:spacing w:val="0"/>
          <w:w w:val="100"/>
          <w:position w:val="0"/>
        </w:rPr>
        <w:t>上述事项公司将其作为资产负债表日后调整事项处理。根据《企业会计准则</w:t>
      </w:r>
      <w:r>
        <w:rPr>
          <w:rFonts w:ascii="Times New Roman" w:eastAsia="Times New Roman" w:hAnsi="Times New Roman" w:cs="Times New Roman"/>
          <w:color w:val="000000"/>
          <w:spacing w:val="0"/>
          <w:w w:val="100"/>
          <w:position w:val="0"/>
        </w:rPr>
        <w:t>29</w:t>
      </w:r>
      <w:r>
        <w:rPr>
          <w:color w:val="000000"/>
          <w:spacing w:val="0"/>
          <w:w w:val="100"/>
          <w:position w:val="0"/>
        </w:rPr>
        <w:t>号</w:t>
      </w:r>
      <w:r>
        <w:rPr>
          <w:color w:val="000000"/>
          <w:spacing w:val="0"/>
          <w:w w:val="100"/>
          <w:position w:val="0"/>
        </w:rPr>
        <w:t>一一</w:t>
      </w:r>
      <w:r>
        <w:rPr>
          <w:color w:val="000000"/>
          <w:spacing w:val="0"/>
          <w:w w:val="100"/>
          <w:position w:val="0"/>
        </w:rPr>
        <w:t>资产负债 表日后事项》的规定，</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年度合并利润表，调减营业成本</w:t>
      </w:r>
      <w:r>
        <w:rPr>
          <w:rFonts w:ascii="Times New Roman" w:eastAsia="Times New Roman" w:hAnsi="Times New Roman" w:cs="Times New Roman"/>
          <w:color w:val="000000"/>
          <w:spacing w:val="0"/>
          <w:w w:val="100"/>
          <w:position w:val="0"/>
        </w:rPr>
        <w:t>2,230</w:t>
      </w:r>
      <w:r>
        <w:rPr>
          <w:color w:val="000000"/>
          <w:spacing w:val="0"/>
          <w:w w:val="100"/>
          <w:position w:val="0"/>
        </w:rPr>
        <w:t>万元、调增其他应收款</w:t>
      </w:r>
      <w:r>
        <w:rPr>
          <w:rFonts w:ascii="Times New Roman" w:eastAsia="Times New Roman" w:hAnsi="Times New Roman" w:cs="Times New Roman"/>
          <w:color w:val="000000"/>
          <w:spacing w:val="0"/>
          <w:w w:val="100"/>
          <w:position w:val="0"/>
        </w:rPr>
        <w:t>2,130</w:t>
      </w:r>
      <w:r>
        <w:rPr>
          <w:color w:val="000000"/>
          <w:spacing w:val="0"/>
          <w:w w:val="100"/>
          <w:position w:val="0"/>
        </w:rPr>
        <w:t>万元、 调减应付账款</w:t>
      </w:r>
      <w:r>
        <w:rPr>
          <w:rFonts w:ascii="Times New Roman" w:eastAsia="Times New Roman" w:hAnsi="Times New Roman" w:cs="Times New Roman"/>
          <w:color w:val="000000"/>
          <w:spacing w:val="0"/>
          <w:w w:val="100"/>
          <w:position w:val="0"/>
        </w:rPr>
        <w:t>10 0</w:t>
      </w:r>
      <w:r>
        <w:rPr>
          <w:color w:val="000000"/>
          <w:spacing w:val="0"/>
          <w:w w:val="100"/>
          <w:position w:val="0"/>
        </w:rPr>
        <w:t>万元。</w:t>
      </w:r>
    </w:p>
    <w:p>
      <w:pPr>
        <w:pStyle w:val="Style49"/>
        <w:keepNext w:val="0"/>
        <w:keepLines w:val="0"/>
        <w:widowControl w:val="0"/>
        <w:shd w:val="clear" w:color="auto" w:fill="auto"/>
        <w:tabs>
          <w:tab w:pos="982" w:val="left"/>
        </w:tabs>
        <w:bidi w:val="0"/>
        <w:spacing w:before="0" w:after="100" w:line="313" w:lineRule="exact"/>
        <w:ind w:left="0" w:right="0" w:firstLine="540"/>
        <w:jc w:val="both"/>
      </w:pPr>
      <w:bookmarkStart w:id="1397" w:name="bookmark1397"/>
      <w:r>
        <w:rPr>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w:t>
        <w:tab/>
        <w:t>公司控股股东及其关系密切企业存在拆借上市公司资金的情形</w:t>
      </w:r>
    </w:p>
    <w:p>
      <w:pPr>
        <w:pStyle w:val="Style49"/>
        <w:keepNext w:val="0"/>
        <w:keepLines w:val="0"/>
        <w:widowControl w:val="0"/>
        <w:shd w:val="clear" w:color="auto" w:fill="auto"/>
        <w:tabs>
          <w:tab w:pos="826" w:val="left"/>
        </w:tabs>
        <w:bidi w:val="0"/>
        <w:spacing w:before="0" w:after="100" w:line="317" w:lineRule="exact"/>
        <w:ind w:left="0" w:right="0" w:firstLine="540"/>
        <w:jc w:val="both"/>
      </w:pPr>
      <w:bookmarkStart w:id="1398" w:name="bookmark1398"/>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w:t>
        <w:tab/>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w:t>
      </w:r>
      <w:r>
        <w:rPr>
          <w:rFonts w:ascii="Times New Roman" w:eastAsia="Times New Roman" w:hAnsi="Times New Roman" w:cs="Times New Roman"/>
          <w:color w:val="000000"/>
          <w:spacing w:val="0"/>
          <w:w w:val="100"/>
          <w:position w:val="0"/>
        </w:rPr>
        <w:t>04</w:t>
      </w:r>
      <w:r>
        <w:rPr>
          <w:color w:val="000000"/>
          <w:spacing w:val="0"/>
          <w:w w:val="100"/>
          <w:position w:val="0"/>
        </w:rPr>
        <w:t>月，公司向深圳市第一支点技术有限公司支付</w:t>
      </w:r>
      <w:r>
        <w:rPr>
          <w:rFonts w:ascii="Times New Roman" w:eastAsia="Times New Roman" w:hAnsi="Times New Roman" w:cs="Times New Roman"/>
          <w:color w:val="000000"/>
          <w:spacing w:val="0"/>
          <w:w w:val="100"/>
          <w:position w:val="0"/>
        </w:rPr>
        <w:t>700</w:t>
      </w:r>
      <w:r>
        <w:rPr>
          <w:color w:val="000000"/>
          <w:spacing w:val="0"/>
          <w:w w:val="100"/>
          <w:position w:val="0"/>
        </w:rPr>
        <w:t>万元定制《街机捕鱼》等游戏, 第一支点按公司要求提供定制化的游戏开发服务。其后，第一支点将定制款拆借给公司控股股东宝德 控股或其关联方，并取得利息收入。</w:t>
      </w:r>
    </w:p>
    <w:p>
      <w:pPr>
        <w:pStyle w:val="Style49"/>
        <w:keepNext w:val="0"/>
        <w:keepLines w:val="0"/>
        <w:widowControl w:val="0"/>
        <w:shd w:val="clear" w:color="auto" w:fill="auto"/>
        <w:tabs>
          <w:tab w:pos="826" w:val="left"/>
        </w:tabs>
        <w:bidi w:val="0"/>
        <w:spacing w:before="0" w:after="100" w:line="322" w:lineRule="exact"/>
        <w:ind w:left="0" w:right="0" w:firstLine="540"/>
        <w:jc w:val="both"/>
      </w:pPr>
      <w:bookmarkStart w:id="1399" w:name="bookmark1399"/>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w:t>
        <w:tab/>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w:t>
      </w:r>
      <w:r>
        <w:rPr>
          <w:rFonts w:ascii="Times New Roman" w:eastAsia="Times New Roman" w:hAnsi="Times New Roman" w:cs="Times New Roman"/>
          <w:color w:val="000000"/>
          <w:spacing w:val="0"/>
          <w:w w:val="100"/>
          <w:position w:val="0"/>
        </w:rPr>
        <w:t>04</w:t>
      </w:r>
      <w:r>
        <w:rPr>
          <w:color w:val="000000"/>
          <w:spacing w:val="0"/>
          <w:w w:val="100"/>
          <w:position w:val="0"/>
        </w:rPr>
        <w:t>月，公司向深圳市手游界网络有限公司支付</w:t>
      </w:r>
      <w:r>
        <w:rPr>
          <w:rFonts w:ascii="Times New Roman" w:eastAsia="Times New Roman" w:hAnsi="Times New Roman" w:cs="Times New Roman"/>
          <w:color w:val="000000"/>
          <w:spacing w:val="0"/>
          <w:w w:val="100"/>
          <w:position w:val="0"/>
        </w:rPr>
        <w:t>950</w:t>
      </w:r>
      <w:r>
        <w:rPr>
          <w:color w:val="000000"/>
          <w:spacing w:val="0"/>
          <w:w w:val="100"/>
          <w:position w:val="0"/>
        </w:rPr>
        <w:t>万元定制《好彩斗地主》等游戏， 手游界按公司要求提供定制化的游戏开发服务。其后，手游界将定制款拆借给公司控股股东宝德控股 或其关联方，并取得利息收入。</w:t>
      </w:r>
    </w:p>
    <w:p>
      <w:pPr>
        <w:pStyle w:val="Style49"/>
        <w:keepNext w:val="0"/>
        <w:keepLines w:val="0"/>
        <w:widowControl w:val="0"/>
        <w:shd w:val="clear" w:color="auto" w:fill="auto"/>
        <w:tabs>
          <w:tab w:pos="826" w:val="left"/>
        </w:tabs>
        <w:bidi w:val="0"/>
        <w:spacing w:before="0" w:after="100" w:line="322" w:lineRule="exact"/>
        <w:ind w:left="0" w:right="0" w:firstLine="540"/>
        <w:jc w:val="both"/>
      </w:pPr>
      <w:bookmarkStart w:id="1400" w:name="bookmark1400"/>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w:t>
        <w:tab/>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月，公司向霍尔果斯阿拉蕾网络科技有限公司支付</w:t>
      </w:r>
      <w:r>
        <w:rPr>
          <w:rFonts w:ascii="Times New Roman" w:eastAsia="Times New Roman" w:hAnsi="Times New Roman" w:cs="Times New Roman"/>
          <w:color w:val="000000"/>
          <w:spacing w:val="0"/>
          <w:w w:val="100"/>
          <w:position w:val="0"/>
        </w:rPr>
        <w:t>500</w:t>
      </w:r>
      <w:r>
        <w:rPr>
          <w:color w:val="000000"/>
          <w:spacing w:val="0"/>
          <w:w w:val="100"/>
          <w:position w:val="0"/>
        </w:rPr>
        <w:t>万元定制《血战沙巴克》游戏， 阿拉蕾按公司要求提供定制化的游戏开发服务。其后，阿拉蕾将定制款拆借给公司控股股东宝德控股 或其关联方，并取得利息收入。</w:t>
      </w:r>
    </w:p>
    <w:p>
      <w:pPr>
        <w:pStyle w:val="Style49"/>
        <w:keepNext w:val="0"/>
        <w:keepLines w:val="0"/>
        <w:widowControl w:val="0"/>
        <w:shd w:val="clear" w:color="auto" w:fill="auto"/>
        <w:bidi w:val="0"/>
        <w:spacing w:before="0" w:after="1020" w:line="315" w:lineRule="exact"/>
        <w:ind w:left="0" w:right="0" w:firstLine="540"/>
        <w:jc w:val="both"/>
      </w:pPr>
      <w:r>
        <w:rPr>
          <w:color w:val="000000"/>
          <w:spacing w:val="0"/>
          <w:w w:val="100"/>
          <w:position w:val="0"/>
        </w:rPr>
        <w:t>第一支点、手游界、阿拉蕾已向公司提供了游戏演示版本及相关游戏源代码，公司将游戏封测 后，流水数据与公司预测存在差异，经公司与上述三家公司友好协商，上述三家公司同意向公司退还 全部的定制费用合计</w:t>
      </w:r>
      <w:r>
        <w:rPr>
          <w:rFonts w:ascii="Times New Roman" w:eastAsia="Times New Roman" w:hAnsi="Times New Roman" w:cs="Times New Roman"/>
          <w:color w:val="000000"/>
          <w:spacing w:val="0"/>
          <w:w w:val="100"/>
          <w:position w:val="0"/>
        </w:rPr>
        <w:t>2,15 0</w:t>
      </w:r>
      <w:r>
        <w:rPr>
          <w:color w:val="000000"/>
          <w:spacing w:val="0"/>
          <w:w w:val="100"/>
          <w:position w:val="0"/>
        </w:rPr>
        <w:t>万元。截至审计报告出具日，公司已经收到三家公司返还的全部定制费</w:t>
      </w:r>
      <w:r>
        <w:rPr>
          <w:rFonts w:ascii="Times New Roman" w:eastAsia="Times New Roman" w:hAnsi="Times New Roman" w:cs="Times New Roman"/>
          <w:color w:val="000000"/>
          <w:spacing w:val="0"/>
          <w:w w:val="100"/>
          <w:position w:val="0"/>
        </w:rPr>
        <w:t xml:space="preserve">2,150 </w:t>
      </w:r>
      <w:r>
        <w:rPr>
          <w:color w:val="000000"/>
          <w:spacing w:val="0"/>
          <w:w w:val="100"/>
          <w:position w:val="0"/>
        </w:rPr>
        <w:t>万元。</w:t>
      </w:r>
    </w:p>
    <w:p>
      <w:pPr>
        <w:pStyle w:val="Style49"/>
        <w:keepNext w:val="0"/>
        <w:keepLines w:val="0"/>
        <w:widowControl w:val="0"/>
        <w:shd w:val="clear" w:color="auto" w:fill="auto"/>
        <w:bidi w:val="0"/>
        <w:spacing w:before="0" w:after="10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除存在上述资产负债表日后事项披露事项外，本公司无其他重大资产负债表日后事项。</w:t>
      </w:r>
    </w:p>
    <w:p>
      <w:pPr>
        <w:pStyle w:val="Style22"/>
        <w:keepNext/>
        <w:keepLines/>
        <w:widowControl w:val="0"/>
        <w:shd w:val="clear" w:color="auto" w:fill="auto"/>
        <w:bidi w:val="0"/>
        <w:spacing w:before="0" w:after="380" w:line="317" w:lineRule="exact"/>
        <w:ind w:left="0" w:right="0" w:firstLine="0"/>
        <w:jc w:val="left"/>
      </w:pPr>
      <w:bookmarkStart w:id="1401" w:name="bookmark1401"/>
      <w:bookmarkStart w:id="1402" w:name="bookmark1402"/>
      <w:bookmarkStart w:id="1403" w:name="bookmark1403"/>
      <w:r>
        <w:rPr>
          <w:color w:val="000000"/>
          <w:spacing w:val="0"/>
          <w:w w:val="100"/>
          <w:position w:val="0"/>
          <w:sz w:val="24"/>
          <w:szCs w:val="24"/>
        </w:rPr>
        <w:t>十六、其他重要事项</w:t>
      </w:r>
      <w:bookmarkEnd w:id="1401"/>
      <w:bookmarkEnd w:id="1402"/>
      <w:bookmarkEnd w:id="1403"/>
    </w:p>
    <w:p>
      <w:pPr>
        <w:pStyle w:val="Style31"/>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04"/>
      <w:bookmarkEnd w:id="1405"/>
      <w:bookmarkEnd w:id="1406"/>
    </w:p>
    <w:p>
      <w:pPr>
        <w:pStyle w:val="Style37"/>
        <w:keepNext/>
        <w:keepLines/>
        <w:widowControl w:val="0"/>
        <w:shd w:val="clear" w:color="auto" w:fill="auto"/>
        <w:bidi w:val="0"/>
        <w:spacing w:before="0" w:after="280" w:line="240" w:lineRule="auto"/>
        <w:ind w:left="0" w:right="0" w:firstLine="0"/>
        <w:jc w:val="both"/>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07"/>
      <w:bookmarkEnd w:id="1408"/>
      <w:bookmarkEnd w:id="1409"/>
    </w:p>
    <w:p>
      <w:pPr>
        <w:pStyle w:val="Style49"/>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3</w:t>
      </w:r>
      <w:r>
        <w:rPr>
          <w:color w:val="000000"/>
          <w:spacing w:val="0"/>
          <w:w w:val="100"/>
          <w:position w:val="0"/>
        </w:rPr>
        <w:t>个报告分部, 这些报告分部是以经营分部为基础确定的。本公司的管理层定期评价这些报告分部的经营成果，以决 定向其分配资源及评价其业绩。本公司各个报告分部经营的主要业务分别为网络游戏业务、云服务业 务和科技文旅业务。</w:t>
      </w:r>
    </w:p>
    <w:p>
      <w:pPr>
        <w:pStyle w:val="Style49"/>
        <w:keepNext w:val="0"/>
        <w:keepLines w:val="0"/>
        <w:widowControl w:val="0"/>
        <w:shd w:val="clear" w:color="auto" w:fill="auto"/>
        <w:bidi w:val="0"/>
        <w:spacing w:before="0" w:after="660" w:line="317" w:lineRule="exact"/>
        <w:ind w:left="0" w:right="0" w:firstLine="460"/>
        <w:jc w:val="both"/>
      </w:pPr>
      <w:r>
        <w:rPr>
          <w:color w:val="000000"/>
          <w:spacing w:val="0"/>
          <w:w w:val="100"/>
          <w:position w:val="0"/>
        </w:rPr>
        <w:t>分部报告信息根据各分部向管理层报告时采用的会计政策及计量标准披露，这些计量基础与编制 财务报表时的会计与计量基础保持一致。</w:t>
      </w:r>
    </w:p>
    <w:p>
      <w:pPr>
        <w:pStyle w:val="Style37"/>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410"/>
      <w:bookmarkEnd w:id="1411"/>
      <w:bookmarkEnd w:id="141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网络游戏分部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云服务分部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科技文旅分部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150,099,376.29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143,342,682.50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816,217.54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-414,328.71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293,843,947.62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150,099,376.29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816,217.54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293,843,947.62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414,328.71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-414,328.71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111,456,897.02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82,952,364.58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7,821,566.92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-182,415.09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202,048,413.43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188,743.41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406,110.31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134,184,332.92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19,951,936.08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4,212,355.83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-222,290.97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158,126,333.86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分部利润总额（亏损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-46,237,482.66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35,045,059.52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-24,986,906.24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-91,951,233.64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-128,130,563.02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1,134,327,668.09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393,936,994.90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256,242,571.15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-730,088,542.69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459,400,801.44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178,262,967.14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239,990,381.44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-523,054,867.60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354,599,282.42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9,945,770.69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41,002,136.57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2,821,831.84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-35,283.01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53,734,456.09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当期确认的减值损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71,933,435.67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6,488,101.56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13,441,884.08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-8,058,389.01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83,805,032.30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其中：商誉减值分摊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12,513,243.80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12,513,243.80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17,520,615.28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29,028,784.22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6,710,888.96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-25,660.36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53,234,628.10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减值损失、折旧和摊 销以外的非现金费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-635,257.88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666,363.81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31,105.93</w:t>
            </w:r>
          </w:p>
        </w:tc>
      </w:tr>
    </w:tbl>
    <w:p>
      <w:pPr>
        <w:pStyle w:val="Style31"/>
        <w:keepNext/>
        <w:keepLines/>
        <w:widowControl w:val="0"/>
        <w:shd w:val="clear" w:color="auto" w:fill="auto"/>
        <w:bidi w:val="0"/>
        <w:spacing w:before="0" w:after="84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413"/>
      <w:bookmarkEnd w:id="1414"/>
      <w:bookmarkEnd w:id="1415"/>
    </w:p>
    <w:p>
      <w:pPr>
        <w:pStyle w:val="Style49"/>
        <w:keepNext w:val="0"/>
        <w:keepLines w:val="0"/>
        <w:widowControl w:val="0"/>
        <w:shd w:val="clear" w:color="auto" w:fill="auto"/>
        <w:bidi w:val="0"/>
        <w:spacing w:before="0" w:after="220" w:line="317" w:lineRule="exact"/>
        <w:ind w:left="0" w:right="0" w:firstLine="0"/>
        <w:jc w:val="left"/>
      </w:pPr>
      <w:r>
        <w:rPr>
          <w:color w:val="000000"/>
          <w:spacing w:val="0"/>
          <w:w w:val="100"/>
          <w:position w:val="0"/>
          <w:sz w:val="22"/>
          <w:szCs w:val="22"/>
        </w:rPr>
        <w:t>1.</w:t>
      </w:r>
      <w:r>
        <w:rPr>
          <w:color w:val="000000"/>
          <w:spacing w:val="0"/>
          <w:w w:val="100"/>
          <w:position w:val="0"/>
        </w:rPr>
        <w:t>百度广告代理推广业务</w:t>
      </w:r>
    </w:p>
    <w:p>
      <w:pPr>
        <w:pStyle w:val="Style49"/>
        <w:keepNext w:val="0"/>
        <w:keepLines w:val="0"/>
        <w:widowControl w:val="0"/>
        <w:shd w:val="clear" w:color="auto" w:fill="auto"/>
        <w:tabs>
          <w:tab w:pos="962" w:val="left"/>
        </w:tabs>
        <w:bidi w:val="0"/>
        <w:spacing w:before="0" w:after="220" w:line="317" w:lineRule="exact"/>
        <w:ind w:left="0" w:right="0" w:firstLine="460"/>
        <w:jc w:val="left"/>
      </w:pPr>
      <w:bookmarkStart w:id="1416" w:name="bookmark1416"/>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w:t>
        <w:tab/>
        <w:t>百度广告代理推广业务终止</w:t>
      </w:r>
    </w:p>
    <w:p>
      <w:pPr>
        <w:pStyle w:val="Style49"/>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年第四季度取得百度时代网络技术（北京）有限公司（以下简称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百度网络公司</w:t>
      </w:r>
      <w:r>
        <w:rPr>
          <w:rFonts w:ascii="Times New Roman" w:eastAsia="Times New Roman" w:hAnsi="Times New Roman" w:cs="Times New Roman"/>
          <w:color w:val="000000"/>
          <w:spacing w:val="0"/>
          <w:w w:val="100"/>
          <w:position w:val="0"/>
        </w:rPr>
        <w:t>”</w:t>
      </w:r>
      <w:r>
        <w:rPr>
          <w:color w:val="000000"/>
          <w:spacing w:val="0"/>
          <w:w w:val="100"/>
          <w:position w:val="0"/>
        </w:rPr>
        <w:t>）的推 广分销商资质，成为广告主在百度媒体的推广营销服务商，于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月开始百度广告代理推广业务。</w:t>
      </w:r>
    </w:p>
    <w:p>
      <w:pPr>
        <w:pStyle w:val="Style49"/>
        <w:keepNext w:val="0"/>
        <w:keepLines w:val="0"/>
        <w:widowControl w:val="0"/>
        <w:shd w:val="clear" w:color="auto" w:fill="auto"/>
        <w:bidi w:val="0"/>
        <w:spacing w:before="0" w:after="220" w:line="318"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日，公司与百度网络公司签订合作终止协议，协议约定：解除分销商合作合同及补 充协议，双方于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日起终止所有合作；百度网络公司应向公司返还已缴纳的原合同保 证金</w:t>
      </w:r>
      <w:r>
        <w:rPr>
          <w:rFonts w:ascii="Times New Roman" w:eastAsia="Times New Roman" w:hAnsi="Times New Roman" w:cs="Times New Roman"/>
          <w:color w:val="000000"/>
          <w:spacing w:val="0"/>
          <w:w w:val="100"/>
          <w:position w:val="0"/>
        </w:rPr>
        <w:t>1,000</w:t>
      </w:r>
      <w:r>
        <w:rPr>
          <w:color w:val="000000"/>
          <w:spacing w:val="0"/>
          <w:w w:val="100"/>
          <w:position w:val="0"/>
        </w:rPr>
        <w:t>万元人民币，并完成所有账户余额的退款（如有）。百度应在</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前，尽快完成向公司 的支付。</w:t>
      </w:r>
    </w:p>
    <w:p>
      <w:pPr>
        <w:pStyle w:val="Style49"/>
        <w:keepNext w:val="0"/>
        <w:keepLines w:val="0"/>
        <w:widowControl w:val="0"/>
        <w:shd w:val="clear" w:color="auto" w:fill="auto"/>
        <w:bidi w:val="0"/>
        <w:spacing w:before="0" w:after="220" w:line="331"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日，公司尚未收到百度网络公司需退回的</w:t>
      </w:r>
      <w:r>
        <w:rPr>
          <w:rFonts w:ascii="Times New Roman" w:eastAsia="Times New Roman" w:hAnsi="Times New Roman" w:cs="Times New Roman"/>
          <w:color w:val="000000"/>
          <w:spacing w:val="0"/>
          <w:w w:val="100"/>
          <w:position w:val="0"/>
        </w:rPr>
        <w:t>1,000</w:t>
      </w:r>
      <w:r>
        <w:rPr>
          <w:color w:val="000000"/>
          <w:spacing w:val="0"/>
          <w:w w:val="100"/>
          <w:position w:val="0"/>
        </w:rPr>
        <w:t>万元保证金及</w:t>
      </w:r>
      <w:r>
        <w:rPr>
          <w:rFonts w:ascii="Times New Roman" w:eastAsia="Times New Roman" w:hAnsi="Times New Roman" w:cs="Times New Roman"/>
          <w:color w:val="000000"/>
          <w:spacing w:val="0"/>
          <w:w w:val="100"/>
          <w:position w:val="0"/>
        </w:rPr>
        <w:t>16,668,353.7</w:t>
      </w:r>
      <w:r>
        <w:rPr>
          <w:rFonts w:ascii="Times New Roman" w:eastAsia="Times New Roman" w:hAnsi="Times New Roman" w:cs="Times New Roman"/>
          <w:color w:val="000000"/>
          <w:spacing w:val="0"/>
          <w:w w:val="100"/>
          <w:position w:val="0"/>
        </w:rPr>
        <w:t>1</w:t>
      </w:r>
      <w:r>
        <w:rPr>
          <w:color w:val="000000"/>
          <w:spacing w:val="0"/>
          <w:w w:val="100"/>
          <w:position w:val="0"/>
        </w:rPr>
        <w:t>元账 户余额。</w:t>
      </w:r>
    </w:p>
    <w:p>
      <w:pPr>
        <w:pStyle w:val="Style49"/>
        <w:keepNext w:val="0"/>
        <w:keepLines w:val="0"/>
        <w:widowControl w:val="0"/>
        <w:shd w:val="clear" w:color="auto" w:fill="auto"/>
        <w:tabs>
          <w:tab w:pos="962" w:val="left"/>
        </w:tabs>
        <w:bidi w:val="0"/>
        <w:spacing w:before="0" w:after="220" w:line="317" w:lineRule="exact"/>
        <w:ind w:left="0" w:right="0" w:firstLine="460"/>
        <w:jc w:val="both"/>
      </w:pPr>
      <w:bookmarkStart w:id="1417" w:name="bookmark1417"/>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w:t>
        <w:tab/>
        <w:t>桐乡市公安局扣押</w:t>
      </w:r>
      <w:r>
        <w:rPr>
          <w:rFonts w:ascii="Times New Roman" w:eastAsia="Times New Roman" w:hAnsi="Times New Roman" w:cs="Times New Roman"/>
          <w:color w:val="000000"/>
          <w:spacing w:val="0"/>
          <w:w w:val="100"/>
          <w:position w:val="0"/>
        </w:rPr>
        <w:t>592</w:t>
      </w:r>
      <w:r>
        <w:rPr>
          <w:color w:val="000000"/>
          <w:spacing w:val="0"/>
          <w:w w:val="100"/>
          <w:position w:val="0"/>
        </w:rPr>
        <w:t>万元</w:t>
      </w:r>
    </w:p>
    <w:p>
      <w:pPr>
        <w:pStyle w:val="Style49"/>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桐乡市公安局电话要求公司将涉案资金人民币</w:t>
      </w:r>
      <w:r>
        <w:rPr>
          <w:rFonts w:ascii="Times New Roman" w:eastAsia="Times New Roman" w:hAnsi="Times New Roman" w:cs="Times New Roman"/>
          <w:color w:val="000000"/>
          <w:spacing w:val="0"/>
          <w:w w:val="100"/>
          <w:position w:val="0"/>
        </w:rPr>
        <w:t>592</w:t>
      </w:r>
      <w:r>
        <w:rPr>
          <w:color w:val="000000"/>
          <w:spacing w:val="0"/>
          <w:w w:val="100"/>
          <w:position w:val="0"/>
        </w:rPr>
        <w:t>万元转账至指定账户，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日，公司按 照桐乡市公安局的要求，通过公司在中国光大银行深圳宝安支行开设的账号</w:t>
      </w:r>
      <w:r>
        <w:rPr>
          <w:rFonts w:ascii="Times New Roman" w:eastAsia="Times New Roman" w:hAnsi="Times New Roman" w:cs="Times New Roman"/>
          <w:color w:val="000000"/>
          <w:spacing w:val="0"/>
          <w:w w:val="100"/>
          <w:position w:val="0"/>
        </w:rPr>
        <w:t>38940188000188437</w:t>
      </w:r>
      <w:r>
        <w:rPr>
          <w:color w:val="000000"/>
          <w:spacing w:val="0"/>
          <w:w w:val="100"/>
          <w:position w:val="0"/>
        </w:rPr>
        <w:t>向桐 乡市公安局涉案资金专户中国工商银行股份有限公司桐乡支行</w:t>
      </w:r>
      <w:r>
        <w:rPr>
          <w:rFonts w:ascii="Times New Roman" w:eastAsia="Times New Roman" w:hAnsi="Times New Roman" w:cs="Times New Roman"/>
          <w:color w:val="000000"/>
          <w:spacing w:val="0"/>
          <w:w w:val="100"/>
          <w:position w:val="0"/>
        </w:rPr>
        <w:t>1204075429000030867</w:t>
      </w:r>
      <w:r>
        <w:rPr>
          <w:color w:val="000000"/>
          <w:spacing w:val="0"/>
          <w:w w:val="100"/>
          <w:position w:val="0"/>
        </w:rPr>
        <w:t>转账人民币</w:t>
      </w:r>
      <w:r>
        <w:rPr>
          <w:rFonts w:ascii="Times New Roman" w:eastAsia="Times New Roman" w:hAnsi="Times New Roman" w:cs="Times New Roman"/>
          <w:color w:val="000000"/>
          <w:spacing w:val="0"/>
          <w:w w:val="100"/>
          <w:position w:val="0"/>
        </w:rPr>
        <w:t xml:space="preserve">592 </w:t>
      </w:r>
      <w:r>
        <w:rPr>
          <w:color w:val="000000"/>
          <w:spacing w:val="0"/>
          <w:w w:val="100"/>
          <w:position w:val="0"/>
        </w:rPr>
        <w:t>万元。</w:t>
      </w:r>
    </w:p>
    <w:p>
      <w:pPr>
        <w:pStyle w:val="Style49"/>
        <w:keepNext w:val="0"/>
        <w:keepLines w:val="0"/>
        <w:widowControl w:val="0"/>
        <w:shd w:val="clear" w:color="auto" w:fill="auto"/>
        <w:bidi w:val="0"/>
        <w:spacing w:before="0" w:after="220" w:line="319"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日桐乡市公安局作出桐公（洲）扣字【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1205</w:t>
      </w:r>
      <w:r>
        <w:rPr>
          <w:color w:val="000000"/>
          <w:spacing w:val="0"/>
          <w:w w:val="100"/>
          <w:position w:val="0"/>
        </w:rPr>
        <w:t>号扣押决定书，桐乡市公安局认 为该人民币</w:t>
      </w:r>
      <w:r>
        <w:rPr>
          <w:rFonts w:ascii="Times New Roman" w:eastAsia="Times New Roman" w:hAnsi="Times New Roman" w:cs="Times New Roman"/>
          <w:color w:val="000000"/>
          <w:spacing w:val="0"/>
          <w:w w:val="100"/>
          <w:position w:val="0"/>
        </w:rPr>
        <w:t>592</w:t>
      </w:r>
      <w:r>
        <w:rPr>
          <w:color w:val="000000"/>
          <w:spacing w:val="0"/>
          <w:w w:val="100"/>
          <w:position w:val="0"/>
        </w:rPr>
        <w:t>万元在侦查桐乡市崔禹、耿子绪、徐晓霞等开设赌场一案中，可以用来做证明犯罪嫌 疑人有罪或无罪。可以证明犯罪嫌疑赌博游戏推广涉案资金。</w:t>
      </w:r>
    </w:p>
    <w:p>
      <w:pPr>
        <w:pStyle w:val="Style49"/>
        <w:keepNext w:val="0"/>
        <w:keepLines w:val="0"/>
        <w:widowControl w:val="0"/>
        <w:shd w:val="clear" w:color="auto" w:fill="auto"/>
        <w:tabs>
          <w:tab w:pos="962" w:val="left"/>
        </w:tabs>
        <w:bidi w:val="0"/>
        <w:spacing w:before="0" w:after="220" w:line="317" w:lineRule="exact"/>
        <w:ind w:left="0" w:right="0" w:firstLine="460"/>
        <w:jc w:val="both"/>
      </w:pPr>
      <w:bookmarkStart w:id="1418" w:name="bookmark1418"/>
      <w:r>
        <w:rPr>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w:t>
        <w:tab/>
        <w:t>华夏银行账户冻结</w:t>
      </w:r>
    </w:p>
    <w:p>
      <w:pPr>
        <w:pStyle w:val="Style49"/>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日，深圳市打击电治理信网络新型违法犯罪中心向华夏银行发出深圳刑</w:t>
      </w:r>
      <w:r>
        <w:rPr>
          <w:rFonts w:ascii="Times New Roman" w:eastAsia="Times New Roman" w:hAnsi="Times New Roman" w:cs="Times New Roman"/>
          <w:color w:val="000000"/>
          <w:spacing w:val="0"/>
          <w:w w:val="100"/>
          <w:position w:val="0"/>
        </w:rPr>
        <w:t xml:space="preserve">20200709268 </w:t>
      </w:r>
      <w:r>
        <w:rPr>
          <w:color w:val="000000"/>
          <w:spacing w:val="0"/>
          <w:w w:val="100"/>
          <w:position w:val="0"/>
        </w:rPr>
        <w:t>号协助快速查询冻结银行账户通知书要求冻结该账户（</w:t>
      </w:r>
      <w:r>
        <w:rPr>
          <w:rFonts w:ascii="Times New Roman" w:eastAsia="Times New Roman" w:hAnsi="Times New Roman" w:cs="Times New Roman"/>
          <w:color w:val="000000"/>
          <w:spacing w:val="0"/>
          <w:w w:val="100"/>
          <w:position w:val="0"/>
        </w:rPr>
        <w:t>10857000000119110</w:t>
      </w:r>
      <w:r>
        <w:rPr>
          <w:color w:val="000000"/>
          <w:spacing w:val="0"/>
          <w:w w:val="100"/>
          <w:position w:val="0"/>
        </w:rPr>
        <w:t>），冻结时间为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日，冻结金额只进不付。</w:t>
      </w:r>
    </w:p>
    <w:p>
      <w:pPr>
        <w:pStyle w:val="Style49"/>
        <w:keepNext w:val="0"/>
        <w:keepLines w:val="0"/>
        <w:widowControl w:val="0"/>
        <w:shd w:val="clear" w:color="auto" w:fill="auto"/>
        <w:bidi w:val="0"/>
        <w:spacing w:before="0" w:after="28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日桐乡市公安局作出桐公（经）冻财字（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10127</w:t>
      </w:r>
      <w:r>
        <w:rPr>
          <w:color w:val="000000"/>
          <w:spacing w:val="0"/>
          <w:w w:val="100"/>
          <w:position w:val="0"/>
        </w:rPr>
        <w:t>号协助冻结通知书，要求华夏 银行股份有限公司冻结公司账户（</w:t>
      </w:r>
      <w:r>
        <w:rPr>
          <w:rFonts w:ascii="Times New Roman" w:eastAsia="Times New Roman" w:hAnsi="Times New Roman" w:cs="Times New Roman"/>
          <w:color w:val="000000"/>
          <w:spacing w:val="0"/>
          <w:w w:val="100"/>
          <w:position w:val="0"/>
        </w:rPr>
        <w:t>10857000000119110</w:t>
      </w:r>
      <w:r>
        <w:rPr>
          <w:color w:val="000000"/>
          <w:spacing w:val="0"/>
          <w:w w:val="100"/>
          <w:position w:val="0"/>
        </w:rPr>
        <w:t>），冻结金额只进不付。（冻结时间为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86"/>
        <w:keepNext w:val="0"/>
        <w:keepLines w:val="0"/>
        <w:widowControl w:val="0"/>
        <w:shd w:val="clear" w:color="auto" w:fill="auto"/>
        <w:bidi w:val="0"/>
        <w:spacing w:before="0" w:after="220" w:line="240" w:lineRule="auto"/>
        <w:ind w:left="0" w:right="0" w:firstLine="460"/>
        <w:jc w:val="left"/>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日，该账户资金余额</w:t>
      </w:r>
      <w:r>
        <w:rPr>
          <w:color w:val="000000"/>
          <w:spacing w:val="0"/>
          <w:w w:val="100"/>
          <w:position w:val="0"/>
        </w:rPr>
        <w:t>8,860,371.00</w:t>
      </w:r>
      <w:r>
        <w:rPr>
          <w:rFonts w:ascii="SimSun" w:eastAsia="SimSun" w:hAnsi="SimSun" w:cs="SimSun"/>
          <w:color w:val="000000"/>
          <w:spacing w:val="0"/>
          <w:w w:val="100"/>
          <w:position w:val="0"/>
        </w:rPr>
        <w:t>元。</w:t>
      </w:r>
    </w:p>
    <w:p>
      <w:pPr>
        <w:pStyle w:val="Style49"/>
        <w:keepNext w:val="0"/>
        <w:keepLines w:val="0"/>
        <w:widowControl w:val="0"/>
        <w:shd w:val="clear" w:color="auto" w:fill="auto"/>
        <w:tabs>
          <w:tab w:pos="962" w:val="left"/>
        </w:tabs>
        <w:bidi w:val="0"/>
        <w:spacing w:before="0" w:after="280" w:line="317" w:lineRule="exact"/>
        <w:ind w:left="0" w:right="0" w:firstLine="460"/>
        <w:jc w:val="both"/>
      </w:pPr>
      <w:bookmarkStart w:id="1419" w:name="bookmark1419"/>
      <w:r>
        <w:rPr>
          <w:color w:val="000000"/>
          <w:spacing w:val="0"/>
          <w:w w:val="100"/>
          <w:position w:val="0"/>
        </w:rPr>
        <w:t>（</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w:t>
        <w:tab/>
        <w:t>法律意见</w:t>
      </w:r>
    </w:p>
    <w:p>
      <w:pPr>
        <w:pStyle w:val="Style49"/>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公司聘请广东德城律师事务所对上述事项出具法律意见书。广东德城律师事务所于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日出具法律意见书，结论如下：</w:t>
      </w:r>
    </w:p>
    <w:p>
      <w:pPr>
        <w:pStyle w:val="Style49"/>
        <w:keepNext w:val="0"/>
        <w:keepLines w:val="0"/>
        <w:widowControl w:val="0"/>
        <w:shd w:val="clear" w:color="auto" w:fill="auto"/>
        <w:bidi w:val="0"/>
        <w:spacing w:before="0" w:after="220" w:line="317"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）公司经营的百度广告业务合法；</w:t>
      </w:r>
    </w:p>
    <w:p>
      <w:pPr>
        <w:pStyle w:val="Style49"/>
        <w:keepNext w:val="0"/>
        <w:keepLines w:val="0"/>
        <w:widowControl w:val="0"/>
        <w:shd w:val="clear" w:color="auto" w:fill="auto"/>
        <w:tabs>
          <w:tab w:pos="816" w:val="left"/>
        </w:tabs>
        <w:bidi w:val="0"/>
        <w:spacing w:before="0" w:after="120" w:line="314" w:lineRule="exact"/>
        <w:ind w:left="0" w:right="0" w:firstLine="460"/>
        <w:jc w:val="both"/>
      </w:pPr>
      <w:bookmarkStart w:id="1420" w:name="bookmark1420"/>
      <w:r>
        <w:rPr>
          <w:rFonts w:ascii="Times New Roman" w:eastAsia="Times New Roman" w:hAnsi="Times New Roman" w:cs="Times New Roman"/>
          <w:color w:val="000000"/>
          <w:spacing w:val="0"/>
          <w:w w:val="100"/>
          <w:position w:val="0"/>
        </w:rPr>
        <w:t>2</w:t>
      </w:r>
      <w:bookmarkEnd w:id="1420"/>
      <w:r>
        <w:rPr>
          <w:color w:val="000000"/>
          <w:spacing w:val="0"/>
          <w:w w:val="100"/>
          <w:position w:val="0"/>
        </w:rPr>
        <w:t>）</w:t>
        <w:tab/>
        <w:t>公司资金账户被冻结，公司应该积极配合执法部门说明相关情况，努力争取早日解封；协助 执行转入桐乡市公安局的资金人民币</w:t>
      </w:r>
      <w:r>
        <w:rPr>
          <w:rFonts w:ascii="Times New Roman" w:eastAsia="Times New Roman" w:hAnsi="Times New Roman" w:cs="Times New Roman"/>
          <w:color w:val="000000"/>
          <w:spacing w:val="0"/>
          <w:w w:val="100"/>
          <w:position w:val="0"/>
        </w:rPr>
        <w:t>592</w:t>
      </w:r>
      <w:r>
        <w:rPr>
          <w:color w:val="000000"/>
          <w:spacing w:val="0"/>
          <w:w w:val="100"/>
          <w:position w:val="0"/>
        </w:rPr>
        <w:t>万元属于公司的合法收入，根据现有事实和法律，我们判断, 该资金不应被没收，即便被部分追缴，公司有权以相关法律法规及司法解释抗辩；</w:t>
      </w:r>
    </w:p>
    <w:p>
      <w:pPr>
        <w:pStyle w:val="Style49"/>
        <w:keepNext w:val="0"/>
        <w:keepLines w:val="0"/>
        <w:widowControl w:val="0"/>
        <w:shd w:val="clear" w:color="auto" w:fill="auto"/>
        <w:tabs>
          <w:tab w:pos="820" w:val="left"/>
        </w:tabs>
        <w:bidi w:val="0"/>
        <w:spacing w:before="0" w:after="120" w:line="317" w:lineRule="exact"/>
        <w:ind w:left="0" w:right="0" w:firstLine="460"/>
        <w:jc w:val="both"/>
      </w:pPr>
      <w:bookmarkStart w:id="1421" w:name="bookmark1421"/>
      <w:r>
        <w:rPr>
          <w:rFonts w:ascii="Times New Roman" w:eastAsia="Times New Roman" w:hAnsi="Times New Roman" w:cs="Times New Roman"/>
          <w:color w:val="000000"/>
          <w:spacing w:val="0"/>
          <w:w w:val="100"/>
          <w:position w:val="0"/>
        </w:rPr>
        <w:t>3</w:t>
      </w:r>
      <w:bookmarkEnd w:id="1421"/>
      <w:r>
        <w:rPr>
          <w:color w:val="000000"/>
          <w:spacing w:val="0"/>
          <w:w w:val="100"/>
          <w:position w:val="0"/>
        </w:rPr>
        <w:t>）</w:t>
        <w:tab/>
        <w:t>公司支付给百度网络公司的风险保证金人民币</w:t>
      </w:r>
      <w:r>
        <w:rPr>
          <w:rFonts w:ascii="Times New Roman" w:eastAsia="Times New Roman" w:hAnsi="Times New Roman" w:cs="Times New Roman"/>
          <w:color w:val="000000"/>
          <w:spacing w:val="0"/>
          <w:w w:val="100"/>
          <w:position w:val="0"/>
        </w:rPr>
        <w:t>1000</w:t>
      </w:r>
      <w:r>
        <w:rPr>
          <w:color w:val="000000"/>
          <w:spacing w:val="0"/>
          <w:w w:val="100"/>
          <w:position w:val="0"/>
        </w:rPr>
        <w:t>万元，根据当前公司提供的资料及合同约 定，该风险保证金百度网络公司无约定事由可以扣除或者没收，应积极与百度网络公司沟通，必要时 采取司法手段维护公司权益；</w:t>
      </w:r>
    </w:p>
    <w:p>
      <w:pPr>
        <w:pStyle w:val="Style49"/>
        <w:keepNext w:val="0"/>
        <w:keepLines w:val="0"/>
        <w:widowControl w:val="0"/>
        <w:shd w:val="clear" w:color="auto" w:fill="auto"/>
        <w:tabs>
          <w:tab w:pos="820" w:val="left"/>
        </w:tabs>
        <w:bidi w:val="0"/>
        <w:spacing w:before="0" w:after="680" w:line="314" w:lineRule="exact"/>
        <w:ind w:left="0" w:right="0" w:firstLine="460"/>
        <w:jc w:val="both"/>
      </w:pPr>
      <w:bookmarkStart w:id="1422" w:name="bookmark1422"/>
      <w:r>
        <w:rPr>
          <w:rFonts w:ascii="Times New Roman" w:eastAsia="Times New Roman" w:hAnsi="Times New Roman" w:cs="Times New Roman"/>
          <w:color w:val="000000"/>
          <w:spacing w:val="0"/>
          <w:w w:val="100"/>
          <w:position w:val="0"/>
        </w:rPr>
        <w:t>4</w:t>
      </w:r>
      <w:bookmarkEnd w:id="1422"/>
      <w:r>
        <w:rPr>
          <w:color w:val="000000"/>
          <w:spacing w:val="0"/>
          <w:w w:val="100"/>
          <w:position w:val="0"/>
        </w:rPr>
        <w:t>）</w:t>
        <w:tab/>
        <w:t>关于充值账户（预付款账户）中的充值款人民币</w:t>
      </w:r>
      <w:r>
        <w:rPr>
          <w:rFonts w:ascii="Times New Roman" w:eastAsia="Times New Roman" w:hAnsi="Times New Roman" w:cs="Times New Roman"/>
          <w:color w:val="000000"/>
          <w:spacing w:val="0"/>
          <w:w w:val="100"/>
          <w:position w:val="0"/>
        </w:rPr>
        <w:t>1666</w:t>
      </w:r>
      <w:r>
        <w:rPr>
          <w:color w:val="000000"/>
          <w:spacing w:val="0"/>
          <w:w w:val="100"/>
          <w:position w:val="0"/>
        </w:rPr>
        <w:t>万元属于公司所有，百度网络公司暂时 扣押该笔资金，应属于百度网络公司的过度自我保护措施；公司可以申请提现或者要求百度网络公司 返还；若百度网络公司停止该业务，终止已签署的《网络广告代理合同》等，那么百度网络公司应当 将该笔款项归还公司，再由公司将该款项加上公司已扣除的服务费返还给二级经销商或客户（广告 主）；若广告主或者二级经销商向公司索取该款项，公司应当及时通知百度网络公司，若广告主或者 二级经销商起诉公司，公司应当提出将百度网络公司列为第三人或者被告，但法官有权在自由裁量范 围内决定是否同意。</w:t>
      </w:r>
    </w:p>
    <w:p>
      <w:pPr>
        <w:pStyle w:val="Style31"/>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color w:val="000000"/>
          <w:spacing w:val="0"/>
          <w:w w:val="100"/>
          <w:position w:val="0"/>
        </w:rPr>
        <w:t>、其他</w:t>
      </w:r>
      <w:bookmarkEnd w:id="1423"/>
      <w:bookmarkEnd w:id="1424"/>
      <w:bookmarkEnd w:id="1426"/>
    </w:p>
    <w:p>
      <w:pPr>
        <w:pStyle w:val="Style49"/>
        <w:keepNext w:val="0"/>
        <w:keepLines w:val="0"/>
        <w:widowControl w:val="0"/>
        <w:shd w:val="clear" w:color="auto" w:fill="auto"/>
        <w:bidi w:val="0"/>
        <w:spacing w:before="0" w:after="760" w:line="240" w:lineRule="auto"/>
        <w:ind w:left="0" w:right="0" w:firstLine="0"/>
        <w:jc w:val="left"/>
      </w:pPr>
      <w:r>
        <w:rPr>
          <w:color w:val="000000"/>
          <w:spacing w:val="0"/>
          <w:w w:val="100"/>
          <w:position w:val="0"/>
        </w:rPr>
        <w:t>除上述重要事项外，截至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日，本公司无需披露的其他重要事项。</w:t>
      </w:r>
    </w:p>
    <w:p>
      <w:pPr>
        <w:pStyle w:val="Style22"/>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sz w:val="24"/>
          <w:szCs w:val="24"/>
        </w:rPr>
        <w:t>十七、母公司财务报表主要项目注释</w:t>
      </w:r>
      <w:bookmarkEnd w:id="1427"/>
      <w:bookmarkEnd w:id="1428"/>
      <w:bookmarkEnd w:id="1429"/>
    </w:p>
    <w:p>
      <w:pPr>
        <w:pStyle w:val="Style3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30"/>
      <w:bookmarkEnd w:id="1431"/>
      <w:bookmarkEnd w:id="1432"/>
    </w:p>
    <w:p>
      <w:pPr>
        <w:pStyle w:val="Style37"/>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33"/>
      <w:bookmarkEnd w:id="1434"/>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40,701,4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29,661,86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60,436,75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7,434,897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53,001,855.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40,701,4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29,661,86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58,956,90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7,434,897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51,522,008.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1,479,846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1,479,846.6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29,661,86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53,001,855.</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40,701,472.10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11,039,602.76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40,701,472.10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11,039,602.76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23,827,176.47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1,159,876.58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10,278,382.32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3,494,649.99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1,505,979.41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1,295,142.29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5,089,933.90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5,089,933.90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40,701,472.10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11,039,602.76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7,434,897.10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7,434,897.10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3,604,705.66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3,604,705.66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11,039,602.76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11,039,602.76</w:t>
            </w:r>
          </w:p>
        </w:tc>
      </w:tr>
    </w:tbl>
    <w:p>
      <w:pPr>
        <w:widowControl w:val="0"/>
        <w:spacing w:after="7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23,827,176.47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10,278,382.32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1,505,979.41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5,089,933.90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40,701,472.10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36"/>
      <w:bookmarkEnd w:id="1437"/>
      <w:bookmarkEnd w:id="143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7,434,897.10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3,604,705.66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11,039,602.76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7,434,897.10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3,604,705.66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11,039,602.76</w:t>
            </w:r>
          </w:p>
        </w:tc>
      </w:tr>
    </w:tbl>
    <w:p>
      <w:pPr>
        <w:widowControl w:val="0"/>
        <w:spacing w:after="319" w:line="1" w:lineRule="exact"/>
      </w:pPr>
    </w:p>
    <w:p>
      <w:pPr>
        <w:pStyle w:val="Style37"/>
        <w:keepNext/>
        <w:keepLines/>
        <w:widowControl w:val="0"/>
        <w:numPr>
          <w:ilvl w:val="0"/>
          <w:numId w:val="41"/>
        </w:numPr>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按欠款方归集的期末余额前五名的应收账款情况</w:t>
      </w:r>
      <w:bookmarkEnd w:id="1439"/>
      <w:bookmarkEnd w:id="1440"/>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718"/>
        <w:gridCol w:w="1277"/>
        <w:gridCol w:w="2410"/>
        <w:gridCol w:w="185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上海集力文化创意有限公司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713,150.00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大庆鑫讯捷科技有限公司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2,836,500.00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141,825.00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5,744,958.20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1,953,285.79</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杭州烈焰网络技术有限公司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40,560.68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1,350,641.50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459,218.11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1,331,554.10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1,145,136.53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2,544,398.33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2,544,398.33</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成都四方互娱科技有限公司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1,435,222.50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71,761.13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2,118,577.50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720,316.35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枣庄卓高网络科技有限公司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35,021,065.73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86.04%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43"/>
      <w:bookmarkEnd w:id="1444"/>
      <w:bookmarkEnd w:id="144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442,042,323.10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408,826,499.65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542,042,323.10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408,826,499.65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446"/>
      <w:bookmarkEnd w:id="1447"/>
      <w:bookmarkEnd w:id="1448"/>
    </w:p>
    <w:p>
      <w:pPr>
        <w:pStyle w:val="Style76"/>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449"/>
      <w:bookmarkEnd w:id="1450"/>
      <w:bookmarkEnd w:id="145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52"/>
      <w:bookmarkEnd w:id="1453"/>
      <w:bookmarkEnd w:id="1454"/>
    </w:p>
    <w:p>
      <w:pPr>
        <w:pStyle w:val="Style76"/>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55"/>
      <w:bookmarkEnd w:id="1456"/>
      <w:bookmarkEnd w:id="145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413,345,910.11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393,200,957.28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待退回广告充值款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16,668,353.71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13,503,316.69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13,501,056.69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涉案资金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4,533,278.26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2,779,600.98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3,159,877.88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2,488,003.85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2,720,669.38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462,384,322.79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418,362,162.21</w:t>
            </w:r>
          </w:p>
        </w:tc>
      </w:tr>
    </w:tbl>
    <w:p>
      <w:pPr>
        <w:widowControl w:val="0"/>
        <w:spacing w:after="339" w:line="1" w:lineRule="exact"/>
      </w:pPr>
    </w:p>
    <w:p>
      <w:pPr>
        <w:pStyle w:val="Style76"/>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58"/>
      <w:bookmarkEnd w:id="1459"/>
      <w:bookmarkEnd w:id="146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9,535,662.56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9,535,662.56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10,806,337.13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10,806,337.13</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20,341,999.69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20,341,999.69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125,767,350.48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274,689,380.80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32,747,664.35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29,179,927.16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29,179,927.16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462,384,322.79</w:t>
            </w:r>
          </w:p>
        </w:tc>
      </w:tr>
    </w:tbl>
    <w:p>
      <w:pPr>
        <w:widowControl w:val="0"/>
        <w:spacing w:after="319" w:line="1" w:lineRule="exact"/>
      </w:pPr>
    </w:p>
    <w:p>
      <w:pPr>
        <w:pStyle w:val="Style76"/>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color w:val="000000"/>
          <w:spacing w:val="0"/>
          <w:w w:val="100"/>
          <w:position w:val="0"/>
        </w:rPr>
        <w:t>）本期计提、收回或转回的坏账准备情况</w:t>
      </w:r>
      <w:bookmarkEnd w:id="1461"/>
      <w:bookmarkEnd w:id="1462"/>
      <w:bookmarkEnd w:id="146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9,535,662.56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10,806,337.13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20,341,999.69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9,535,662.56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10,806,337.13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20,341,999.69</w:t>
            </w:r>
          </w:p>
        </w:tc>
      </w:tr>
    </w:tbl>
    <w:p>
      <w:pPr>
        <w:widowControl w:val="0"/>
        <w:spacing w:after="319" w:line="1" w:lineRule="exact"/>
      </w:pPr>
    </w:p>
    <w:p>
      <w:pPr>
        <w:pStyle w:val="Style76"/>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color w:val="000000"/>
          <w:spacing w:val="0"/>
          <w:w w:val="100"/>
          <w:position w:val="0"/>
        </w:rPr>
        <w:t>）按欠款方归集的期末余额前五名的其他应收款情况</w:t>
      </w:r>
      <w:bookmarkEnd w:id="1465"/>
      <w:bookmarkEnd w:id="1466"/>
      <w:bookmarkEnd w:id="146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深圳中青宝文化科技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1,818,540.00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167,573,338.42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深圳时代首游互动科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67,814,305.59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75,414,389.52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北京中青宝长城文化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6,722,274.13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深圳中青聚宝信息技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11,572,419.35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16,673,745.65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百度时代网络技术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16,668,353.71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4,500,455.50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403,206,366.37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9,900,455.50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color w:val="000000"/>
          <w:spacing w:val="0"/>
          <w:w w:val="100"/>
          <w:position w:val="0"/>
        </w:rPr>
        <w:t>、长期股权投资</w:t>
      </w:r>
      <w:bookmarkEnd w:id="1469"/>
      <w:bookmarkEnd w:id="1470"/>
      <w:bookmarkEnd w:id="14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613,090,300.35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165,064,855.67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448,025,444.68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613,090,300.35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85,936,158.27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527,154,142.08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5,149,054.78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4,217,340.36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5,220,685.31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4,288,970.89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618,239,355.13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165,996,570.09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452,242,785.04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618,310,985.66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86,867,872.69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531,443,112.97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73"/>
      <w:bookmarkEnd w:id="1474"/>
      <w:bookmarkEnd w:id="14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深圳宝腾互联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189,870,365.2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189,870,365.24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深圳苏摩</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65,919,708.00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21,320,065.50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44,599,642.50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57,565,357.50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深圳中青聚宝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84,050,141.99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39,650,242.89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44,399,899.10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55,600,100.90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深圳游嘻宝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78,709,969.91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78,709,969.91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中青宝文化</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8,058,389.01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41,941,610.99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8,058,389.01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苏州华娱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36,746,059.07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36,746,059.07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753,940.93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深圳卓页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994,219.26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19,005,780.74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苏州中青宝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老友互动</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4,773,713.41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4,773,713.41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3,726,286.59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CU 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5,989,965.20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5,989,965.20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福州卓越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深圳五秒</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527,154,142.0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79,128,697.40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448,025,444.68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165,064,855.67</w:t>
            </w:r>
          </w:p>
        </w:tc>
      </w:tr>
    </w:tbl>
    <w:tbl>
      <w:tblPr>
        <w:tblOverlap w:val="never"/>
        <w:jc w:val="center"/>
        <w:tblLayout w:type="fixed"/>
      </w:tblPr>
      <w:tblGrid>
        <w:gridCol w:w="1277"/>
        <w:gridCol w:w="1166"/>
        <w:gridCol w:w="1166"/>
        <w:gridCol w:w="1162"/>
        <w:gridCol w:w="1166"/>
        <w:gridCol w:w="1214"/>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1476" w:name="bookmark14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)对联营、合营企业投资</w:t>
      </w:r>
      <w:bookmarkEnd w:id="1476"/>
    </w:p>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贵州国信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4,288,970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931,714.4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4,288,970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931,714.4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4,288,970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931,714.4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239" w:line="1" w:lineRule="exact"/>
      </w:pPr>
    </w:p>
    <w:p>
      <w:pPr>
        <w:pStyle w:val="Style37"/>
        <w:keepNext/>
        <w:keepLines/>
        <w:widowControl w:val="0"/>
        <w:numPr>
          <w:ilvl w:val="0"/>
          <w:numId w:val="43"/>
        </w:numPr>
        <w:shd w:val="clear" w:color="auto" w:fill="auto"/>
        <w:bidi w:val="0"/>
        <w:spacing w:before="0" w:after="300" w:line="310" w:lineRule="exact"/>
        <w:ind w:left="0" w:right="0" w:firstLine="0"/>
        <w:jc w:val="both"/>
      </w:pPr>
      <w:bookmarkStart w:id="1477" w:name="bookmark1477"/>
      <w:bookmarkStart w:id="1478" w:name="bookmark1478"/>
      <w:bookmarkStart w:id="1479" w:name="bookmark1479"/>
      <w:bookmarkStart w:id="1480" w:name="bookmark1480"/>
      <w:bookmarkEnd w:id="1479"/>
      <w:r>
        <w:rPr>
          <w:color w:val="000000"/>
          <w:spacing w:val="0"/>
          <w:w w:val="100"/>
          <w:position w:val="0"/>
        </w:rPr>
        <w:t>其他说明</w:t>
      </w:r>
      <w:bookmarkEnd w:id="1477"/>
      <w:bookmarkEnd w:id="1478"/>
      <w:bookmarkEnd w:id="1480"/>
    </w:p>
    <w:p>
      <w:pPr>
        <w:pStyle w:val="Style49"/>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母公司长期股权投资减值说明：</w:t>
      </w:r>
    </w:p>
    <w:p>
      <w:pPr>
        <w:pStyle w:val="Style49"/>
        <w:keepNext w:val="0"/>
        <w:keepLines w:val="0"/>
        <w:widowControl w:val="0"/>
        <w:shd w:val="clear" w:color="auto" w:fill="auto"/>
        <w:bidi w:val="0"/>
        <w:spacing w:before="0" w:after="240" w:line="310"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深圳苏摩：母公司对深圳苏摩的长期股权投资账面投资成本为</w:t>
      </w:r>
      <w:r>
        <w:rPr>
          <w:rFonts w:ascii="Times New Roman" w:eastAsia="Times New Roman" w:hAnsi="Times New Roman" w:cs="Times New Roman"/>
          <w:color w:val="000000"/>
          <w:spacing w:val="0"/>
          <w:w w:val="100"/>
          <w:position w:val="0"/>
        </w:rPr>
        <w:t>102,165,000.00</w:t>
      </w:r>
      <w:r>
        <w:rPr>
          <w:color w:val="000000"/>
          <w:spacing w:val="0"/>
          <w:w w:val="100"/>
          <w:position w:val="0"/>
        </w:rPr>
        <w:t>元，持有深圳苏 摩</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年末深圳苏摩公司净资产为</w:t>
      </w:r>
      <w:r>
        <w:rPr>
          <w:rFonts w:ascii="Times New Roman" w:eastAsia="Times New Roman" w:hAnsi="Times New Roman" w:cs="Times New Roman"/>
          <w:color w:val="000000"/>
          <w:spacing w:val="0"/>
          <w:w w:val="100"/>
          <w:position w:val="0"/>
        </w:rPr>
        <w:t>44,599,642.50</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的持股比例，估计资产 的可回收金额为</w:t>
      </w:r>
      <w:r>
        <w:rPr>
          <w:rFonts w:ascii="Times New Roman" w:eastAsia="Times New Roman" w:hAnsi="Times New Roman" w:cs="Times New Roman"/>
          <w:color w:val="000000"/>
          <w:spacing w:val="0"/>
          <w:w w:val="100"/>
          <w:position w:val="0"/>
        </w:rPr>
        <w:t>44,599,642.5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年初母公司已对此项长期股权投资计提减值准备</w:t>
      </w:r>
      <w:r>
        <w:rPr>
          <w:rFonts w:ascii="Times New Roman" w:eastAsia="Times New Roman" w:hAnsi="Times New Roman" w:cs="Times New Roman"/>
          <w:color w:val="000000"/>
          <w:spacing w:val="0"/>
          <w:w w:val="100"/>
          <w:position w:val="0"/>
        </w:rPr>
        <w:t xml:space="preserve">36,245,292.00 </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年母公司对此项长期股权投资计提减值准备</w:t>
      </w:r>
      <w:r>
        <w:rPr>
          <w:rFonts w:ascii="Times New Roman" w:eastAsia="Times New Roman" w:hAnsi="Times New Roman" w:cs="Times New Roman"/>
          <w:color w:val="000000"/>
          <w:spacing w:val="0"/>
          <w:w w:val="100"/>
          <w:position w:val="0"/>
        </w:rPr>
        <w:t>21,320,065.5</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49"/>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深圳中青聚宝：母公司对深圳中青聚宝的长期股权投资账面投资成本为</w:t>
      </w:r>
      <w:r>
        <w:rPr>
          <w:rFonts w:ascii="Times New Roman" w:eastAsia="Times New Roman" w:hAnsi="Times New Roman" w:cs="Times New Roman"/>
          <w:color w:val="000000"/>
          <w:spacing w:val="0"/>
          <w:w w:val="100"/>
          <w:position w:val="0"/>
        </w:rPr>
        <w:t>100,000,000.00</w:t>
      </w:r>
      <w:r>
        <w:rPr>
          <w:color w:val="000000"/>
          <w:spacing w:val="0"/>
          <w:w w:val="100"/>
          <w:position w:val="0"/>
        </w:rPr>
        <w:t>元，持 有深圳中青聚宝</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年末深圳中青聚宝净资产为</w:t>
      </w:r>
      <w:r>
        <w:rPr>
          <w:rFonts w:ascii="Times New Roman" w:eastAsia="Times New Roman" w:hAnsi="Times New Roman" w:cs="Times New Roman"/>
          <w:color w:val="000000"/>
          <w:spacing w:val="0"/>
          <w:w w:val="100"/>
          <w:position w:val="0"/>
        </w:rPr>
        <w:t>44,399,899.10</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 例，估计资产的可回收金额为</w:t>
      </w:r>
      <w:r>
        <w:rPr>
          <w:rFonts w:ascii="Times New Roman" w:eastAsia="Times New Roman" w:hAnsi="Times New Roman" w:cs="Times New Roman"/>
          <w:color w:val="000000"/>
          <w:spacing w:val="0"/>
          <w:w w:val="100"/>
          <w:position w:val="0"/>
        </w:rPr>
        <w:t>44,399,899.10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年初母公司已对此项长期股权投资计提减值准备 </w:t>
      </w:r>
      <w:r>
        <w:rPr>
          <w:rFonts w:ascii="Times New Roman" w:eastAsia="Times New Roman" w:hAnsi="Times New Roman" w:cs="Times New Roman"/>
          <w:color w:val="000000"/>
          <w:spacing w:val="0"/>
          <w:w w:val="100"/>
          <w:position w:val="0"/>
        </w:rPr>
        <w:t>15,949,858.01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年母公司对此项长期股权投资计提减值准备</w:t>
      </w:r>
      <w:r>
        <w:rPr>
          <w:rFonts w:ascii="Times New Roman" w:eastAsia="Times New Roman" w:hAnsi="Times New Roman" w:cs="Times New Roman"/>
          <w:color w:val="000000"/>
          <w:spacing w:val="0"/>
          <w:w w:val="100"/>
          <w:position w:val="0"/>
        </w:rPr>
        <w:t>39,650,242.89</w:t>
      </w:r>
      <w:r>
        <w:rPr>
          <w:color w:val="000000"/>
          <w:spacing w:val="0"/>
          <w:w w:val="100"/>
          <w:position w:val="0"/>
        </w:rPr>
        <w:t>元；</w:t>
      </w:r>
    </w:p>
    <w:p>
      <w:pPr>
        <w:pStyle w:val="Style49"/>
        <w:keepNext w:val="0"/>
        <w:keepLines w:val="0"/>
        <w:widowControl w:val="0"/>
        <w:shd w:val="clear" w:color="auto" w:fill="auto"/>
        <w:bidi w:val="0"/>
        <w:spacing w:before="0" w:after="240" w:line="310"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中青宝文化：母公司对青宝文化科技的长期股权投资账面投资成本为</w:t>
      </w:r>
      <w:r>
        <w:rPr>
          <w:rFonts w:ascii="Times New Roman" w:eastAsia="Times New Roman" w:hAnsi="Times New Roman" w:cs="Times New Roman"/>
          <w:color w:val="000000"/>
          <w:spacing w:val="0"/>
          <w:w w:val="100"/>
          <w:position w:val="0"/>
        </w:rPr>
        <w:t>50,000,000.00</w:t>
      </w:r>
      <w:r>
        <w:rPr>
          <w:color w:val="000000"/>
          <w:spacing w:val="0"/>
          <w:w w:val="100"/>
          <w:position w:val="0"/>
        </w:rPr>
        <w:t>元，持有中 青宝文化科技</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年末中青宝文化科技净资产为</w:t>
      </w:r>
      <w:r>
        <w:rPr>
          <w:rFonts w:ascii="Times New Roman" w:eastAsia="Times New Roman" w:hAnsi="Times New Roman" w:cs="Times New Roman"/>
          <w:color w:val="000000"/>
          <w:spacing w:val="0"/>
          <w:w w:val="100"/>
          <w:position w:val="0"/>
        </w:rPr>
        <w:t>41,941,610.99</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 例，估计资产的可回收金额为</w:t>
      </w:r>
      <w:r>
        <w:rPr>
          <w:rFonts w:ascii="Times New Roman" w:eastAsia="Times New Roman" w:hAnsi="Times New Roman" w:cs="Times New Roman"/>
          <w:color w:val="000000"/>
          <w:spacing w:val="0"/>
          <w:w w:val="100"/>
          <w:position w:val="0"/>
        </w:rPr>
        <w:t>41,941,610.99</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rPr>
        <w:t xml:space="preserve">8,058,389.01 </w:t>
      </w:r>
      <w:r>
        <w:rPr>
          <w:color w:val="000000"/>
          <w:spacing w:val="0"/>
          <w:w w:val="100"/>
          <w:position w:val="0"/>
        </w:rPr>
        <w:t>元；</w:t>
      </w:r>
    </w:p>
    <w:p>
      <w:pPr>
        <w:pStyle w:val="Style49"/>
        <w:keepNext w:val="0"/>
        <w:keepLines w:val="0"/>
        <w:widowControl w:val="0"/>
        <w:shd w:val="clear" w:color="auto" w:fill="auto"/>
        <w:bidi w:val="0"/>
        <w:spacing w:before="0" w:after="240" w:line="310"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老友互动：母公司对老友互动的长期股权投资账面投资成本为</w:t>
      </w:r>
      <w:r>
        <w:rPr>
          <w:rFonts w:ascii="Times New Roman" w:eastAsia="Times New Roman" w:hAnsi="Times New Roman" w:cs="Times New Roman"/>
          <w:color w:val="000000"/>
          <w:spacing w:val="0"/>
          <w:w w:val="100"/>
          <w:position w:val="0"/>
        </w:rPr>
        <w:t>10,000,000.00</w:t>
      </w:r>
      <w:r>
        <w:rPr>
          <w:color w:val="000000"/>
          <w:spacing w:val="0"/>
          <w:w w:val="100"/>
          <w:position w:val="0"/>
        </w:rPr>
        <w:t xml:space="preserve">元，持有老友互动 </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年末老友互动净资产为</w:t>
      </w:r>
      <w:r>
        <w:rPr>
          <w:rFonts w:ascii="Times New Roman" w:eastAsia="Times New Roman" w:hAnsi="Times New Roman" w:cs="Times New Roman"/>
          <w:color w:val="000000"/>
          <w:spacing w:val="0"/>
          <w:w w:val="100"/>
          <w:position w:val="0"/>
        </w:rPr>
        <w:t>-8,913,392.27</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的持股比例，估计资产的可回收 金额为</w:t>
      </w:r>
      <w:r>
        <w:rPr>
          <w:rFonts w:ascii="Times New Roman" w:eastAsia="Times New Roman" w:hAnsi="Times New Roman" w:cs="Times New Roman"/>
          <w:color w:val="000000"/>
          <w:spacing w:val="0"/>
          <w:w w:val="100"/>
          <w:position w:val="0"/>
        </w:rPr>
        <w:t>0.00</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49"/>
        <w:keepNext w:val="0"/>
        <w:keepLines w:val="0"/>
        <w:widowControl w:val="0"/>
        <w:shd w:val="clear" w:color="auto" w:fill="auto"/>
        <w:bidi w:val="0"/>
        <w:spacing w:before="0" w:after="660" w:line="307" w:lineRule="exact"/>
        <w:ind w:left="0" w:right="0" w:firstLine="460"/>
        <w:jc w:val="both"/>
      </w:pPr>
      <w:r>
        <w:rPr>
          <w:rFonts w:ascii="Times New Roman" w:eastAsia="Times New Roman" w:hAnsi="Times New Roman" w:cs="Times New Roman"/>
          <w:color w:val="000000"/>
          <w:spacing w:val="0"/>
          <w:w w:val="100"/>
          <w:position w:val="0"/>
        </w:rPr>
        <w:t>5*</w:t>
      </w:r>
      <w:r>
        <w:rPr>
          <w:color w:val="000000"/>
          <w:spacing w:val="0"/>
          <w:w w:val="100"/>
          <w:position w:val="0"/>
        </w:rPr>
        <w:t>深圳五秒:母公司对深圳五秒的长期股权投资账面投资成本为</w:t>
      </w:r>
      <w:r>
        <w:rPr>
          <w:rFonts w:ascii="Times New Roman" w:eastAsia="Times New Roman" w:hAnsi="Times New Roman" w:cs="Times New Roman"/>
          <w:color w:val="000000"/>
          <w:spacing w:val="0"/>
          <w:w w:val="100"/>
          <w:position w:val="0"/>
        </w:rPr>
        <w:t>100,000.00</w:t>
      </w:r>
      <w:r>
        <w:rPr>
          <w:color w:val="000000"/>
          <w:spacing w:val="0"/>
          <w:w w:val="100"/>
          <w:position w:val="0"/>
        </w:rPr>
        <w:t>元，持有深圳五秒</w:t>
      </w:r>
      <w:r>
        <w:rPr>
          <w:rFonts w:ascii="Times New Roman" w:eastAsia="Times New Roman" w:hAnsi="Times New Roman" w:cs="Times New Roman"/>
          <w:color w:val="000000"/>
          <w:spacing w:val="0"/>
          <w:w w:val="100"/>
          <w:position w:val="0"/>
        </w:rPr>
        <w:t xml:space="preserve">90% </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年末深圳五秒净资产为</w:t>
      </w:r>
      <w:r>
        <w:rPr>
          <w:rFonts w:ascii="Times New Roman" w:eastAsia="Times New Roman" w:hAnsi="Times New Roman" w:cs="Times New Roman"/>
          <w:color w:val="000000"/>
          <w:spacing w:val="0"/>
          <w:w w:val="100"/>
          <w:position w:val="0"/>
        </w:rPr>
        <w:t>-4,289,296.85</w:t>
      </w:r>
      <w:r>
        <w:rPr>
          <w:color w:val="000000"/>
          <w:spacing w:val="0"/>
          <w:w w:val="100"/>
          <w:position w:val="0"/>
        </w:rPr>
        <w:t>元，按照</w:t>
      </w:r>
      <w:r>
        <w:rPr>
          <w:rFonts w:ascii="Times New Roman" w:eastAsia="Times New Roman" w:hAnsi="Times New Roman" w:cs="Times New Roman"/>
          <w:color w:val="000000"/>
          <w:spacing w:val="0"/>
          <w:w w:val="100"/>
          <w:position w:val="0"/>
        </w:rPr>
        <w:t>90%</w:t>
      </w:r>
      <w:r>
        <w:rPr>
          <w:color w:val="000000"/>
          <w:spacing w:val="0"/>
          <w:w w:val="100"/>
          <w:position w:val="0"/>
        </w:rPr>
        <w:t>的持股比例，估计资产的可回收金额</w:t>
        <w:br w:type="page"/>
      </w:r>
      <w:r>
        <w:rPr>
          <w:color w:val="000000"/>
          <w:spacing w:val="0"/>
          <w:w w:val="100"/>
          <w:position w:val="0"/>
        </w:rPr>
        <w:t>为</w:t>
      </w:r>
      <w:r>
        <w:rPr>
          <w:rFonts w:ascii="Times New Roman" w:eastAsia="Times New Roman" w:hAnsi="Times New Roman" w:cs="Times New Roman"/>
          <w:color w:val="000000"/>
          <w:spacing w:val="0"/>
          <w:w w:val="100"/>
          <w:position w:val="0"/>
        </w:rPr>
        <w:t>0.00</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color w:val="000000"/>
          <w:spacing w:val="0"/>
          <w:w w:val="100"/>
          <w:position w:val="0"/>
        </w:rPr>
        <w:t>、营业收入和营业成本</w:t>
      </w:r>
      <w:bookmarkEnd w:id="1481"/>
      <w:bookmarkEnd w:id="1482"/>
      <w:bookmarkEnd w:id="14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31,494,856.25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8,561,208.74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120,257,500.28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49,839,752.54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6,850,068.06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3,985,197.87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21,717,928.70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10,747,126.60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38,344,924.31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12,546,406.61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141,975,428.98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60,586,879.14</w:t>
            </w:r>
          </w:p>
        </w:tc>
      </w:tr>
    </w:tbl>
    <w:p>
      <w:pPr>
        <w:widowControl w:val="0"/>
        <w:spacing w:after="11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）主营业务（分运营模式）</w:t>
      </w:r>
    </w:p>
    <w:tbl>
      <w:tblPr>
        <w:tblOverlap w:val="never"/>
        <w:jc w:val="left"/>
        <w:tblLayout w:type="fixed"/>
      </w:tblPr>
      <w:tblGrid>
        <w:gridCol w:w="1728"/>
        <w:gridCol w:w="1627"/>
        <w:gridCol w:w="1627"/>
        <w:gridCol w:w="2098"/>
        <w:gridCol w:w="168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9"/>
                <w:szCs w:val="19"/>
              </w:rPr>
            </w:pPr>
            <w:r>
              <w:rPr>
                <w:rFonts w:ascii="SimSun" w:eastAsia="SimSun" w:hAnsi="SimSun" w:cs="SimSun"/>
                <w:b/>
                <w:bCs/>
                <w:color w:val="000000"/>
                <w:spacing w:val="0"/>
                <w:w w:val="100"/>
                <w:position w:val="0"/>
                <w:sz w:val="19"/>
                <w:szCs w:val="19"/>
              </w:rPr>
              <w:t>运营模式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b/>
                <w:bCs/>
                <w:color w:val="000000"/>
                <w:spacing w:val="0"/>
                <w:w w:val="100"/>
                <w:position w:val="0"/>
                <w:sz w:val="19"/>
                <w:szCs w:val="19"/>
              </w:rPr>
              <w:t>营业成本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官方运营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23,666,991.60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5,923,605.05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68,517,739.97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16,736,692.80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其中：公司自主运 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14,677,457.86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4,688,596.68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43,532,524.51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12,731,201.72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20"/>
              <w:jc w:val="left"/>
              <w:rPr>
                <w:sz w:val="19"/>
                <w:szCs w:val="19"/>
              </w:rPr>
            </w:pPr>
            <w:r>
              <w:rPr>
                <w:rFonts w:ascii="SimSun" w:eastAsia="SimSun" w:hAnsi="SimSun" w:cs="SimSun"/>
                <w:color w:val="000000"/>
                <w:spacing w:val="0"/>
                <w:w w:val="100"/>
                <w:position w:val="0"/>
                <w:sz w:val="19"/>
                <w:szCs w:val="19"/>
              </w:rPr>
              <w:t>与平台联合</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8,989,533.74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1,235,008.37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24,985,215.46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4,005,491.08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765,295.84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1,274,190.03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广告代理业务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5,804,266.97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34,198,510.11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33,061,091.81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权属转让收入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14,547,169.81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1,258,301.84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2,637,603.69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1,719,890.36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41,967.93</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31,494,856.25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8,561,208.74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120,257,500.28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b/>
                <w:bCs/>
                <w:color w:val="000000"/>
                <w:spacing w:val="0"/>
                <w:w w:val="100"/>
                <w:position w:val="0"/>
                <w:sz w:val="20"/>
                <w:szCs w:val="20"/>
              </w:rPr>
              <w:t>49,839,752.54</w:t>
            </w:r>
          </w:p>
        </w:tc>
      </w:tr>
    </w:tbl>
    <w:p>
      <w:pPr>
        <w:widowControl w:val="0"/>
        <w:spacing w:after="119" w:line="1" w:lineRule="exact"/>
      </w:pPr>
    </w:p>
    <w:p>
      <w:pPr>
        <w:pStyle w:val="Style49"/>
        <w:keepNext w:val="0"/>
        <w:keepLines w:val="0"/>
        <w:widowControl w:val="0"/>
        <w:shd w:val="clear" w:color="auto" w:fill="auto"/>
        <w:bidi w:val="0"/>
        <w:spacing w:before="0" w:after="120" w:line="240" w:lineRule="auto"/>
        <w:ind w:left="0" w:right="0" w:firstLine="58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）主营业务（分游戏类型）</w:t>
      </w:r>
    </w:p>
    <w:tbl>
      <w:tblPr>
        <w:tblOverlap w:val="never"/>
        <w:jc w:val="left"/>
        <w:tblLayout w:type="fixed"/>
      </w:tblPr>
      <w:tblGrid>
        <w:gridCol w:w="2117"/>
        <w:gridCol w:w="1733"/>
        <w:gridCol w:w="1627"/>
        <w:gridCol w:w="1627"/>
        <w:gridCol w:w="166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本年发生额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b/>
                <w:bCs/>
                <w:color w:val="000000"/>
                <w:spacing w:val="0"/>
                <w:w w:val="100"/>
                <w:position w:val="0"/>
                <w:sz w:val="19"/>
                <w:szCs w:val="19"/>
              </w:rPr>
              <w:t>营业成本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MMO</w:t>
            </w:r>
            <w:r>
              <w:rPr>
                <w:rFonts w:ascii="SimSun" w:eastAsia="SimSun" w:hAnsi="SimSun" w:cs="SimSun"/>
                <w:color w:val="000000"/>
                <w:spacing w:val="0"/>
                <w:w w:val="100"/>
                <w:position w:val="0"/>
                <w:sz w:val="19"/>
                <w:szCs w:val="19"/>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15,756,941.39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5,540,650.91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43,372,626.18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12,778,008.38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470,528.77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342,714.82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1,358,220.73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3,053,078.88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8,204,817.28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39,719,573.52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905,605.54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1,258,301.84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2,637,603.69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1,608,569.74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41,967.93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广告代理业务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5,804,266.97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34,198,510.11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33,061,091.81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31,494,856.25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8,561,208.74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120,257,500.28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49,839,752.54</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color w:val="000000"/>
          <w:spacing w:val="0"/>
          <w:w w:val="100"/>
          <w:position w:val="0"/>
        </w:rPr>
        <w:t>、投资收益</w:t>
      </w:r>
      <w:bookmarkEnd w:id="1485"/>
      <w:bookmarkEnd w:id="1486"/>
      <w:bookmarkEnd w:id="14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99,928,369.47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-702,835.48</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489" w:name="bookmark1489"/>
      <w:bookmarkStart w:id="1490" w:name="bookmark1490"/>
      <w:bookmarkStart w:id="1491" w:name="bookmark1491"/>
      <w:r>
        <w:rPr>
          <w:color w:val="000000"/>
          <w:spacing w:val="0"/>
          <w:w w:val="100"/>
          <w:position w:val="0"/>
          <w:sz w:val="24"/>
          <w:szCs w:val="24"/>
        </w:rPr>
        <w:t>十八、补充资料</w:t>
      </w:r>
      <w:bookmarkEnd w:id="1489"/>
      <w:bookmarkEnd w:id="1490"/>
      <w:bookmarkEnd w:id="1491"/>
    </w:p>
    <w:p>
      <w:pPr>
        <w:pStyle w:val="Style31"/>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92"/>
      <w:bookmarkEnd w:id="1493"/>
      <w:bookmarkEnd w:id="149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6,989,141.35</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-634,733.12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5,051,017.60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1,490,389.84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9,809,440.42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4"/>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95"/>
      <w:bookmarkEnd w:id="1496"/>
      <w:bookmarkEnd w:id="1497"/>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bl>
    <w:p>
      <w:pPr>
        <w:widowControl w:val="0"/>
        <w:spacing w:after="239" w:line="1" w:lineRule="exact"/>
      </w:pPr>
    </w:p>
    <w:p>
      <w:pPr>
        <w:pStyle w:val="Style31"/>
        <w:keepNext/>
        <w:keepLines/>
        <w:widowControl w:val="0"/>
        <w:shd w:val="clear" w:color="auto" w:fill="auto"/>
        <w:bidi w:val="0"/>
        <w:spacing w:before="0" w:after="280" w:line="331" w:lineRule="exact"/>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color w:val="000000"/>
          <w:spacing w:val="0"/>
          <w:w w:val="100"/>
          <w:position w:val="0"/>
        </w:rPr>
        <w:t>、境内外会计准则下会计数据差异</w:t>
      </w:r>
      <w:bookmarkEnd w:id="1498"/>
      <w:bookmarkEnd w:id="1499"/>
      <w:bookmarkEnd w:id="1501"/>
    </w:p>
    <w:p>
      <w:pPr>
        <w:pStyle w:val="Style37"/>
        <w:keepNext/>
        <w:keepLines/>
        <w:widowControl w:val="0"/>
        <w:shd w:val="clear" w:color="auto" w:fill="auto"/>
        <w:tabs>
          <w:tab w:pos="493" w:val="left"/>
        </w:tabs>
        <w:bidi w:val="0"/>
        <w:spacing w:before="0" w:after="360" w:line="331" w:lineRule="exact"/>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02"/>
      <w:bookmarkEnd w:id="1503"/>
      <w:bookmarkEnd w:id="1505"/>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60" w:line="331" w:lineRule="exact"/>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06"/>
      <w:bookmarkEnd w:id="1507"/>
      <w:bookmarkEnd w:id="1509"/>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331" w:lineRule="exact"/>
        <w:ind w:left="0" w:right="0" w:firstLine="0"/>
        <w:jc w:val="left"/>
        <w:sectPr>
          <w:headerReference w:type="default" r:id="rId31"/>
          <w:footerReference w:type="default" r:id="rId32"/>
          <w:footnotePr>
            <w:pos w:val="pageBottom"/>
            <w:numFmt w:val="decimal"/>
            <w:numRestart w:val="continuous"/>
          </w:footnotePr>
          <w:pgSz w:w="11900" w:h="16840"/>
          <w:pgMar w:top="1378" w:right="1051" w:bottom="1445" w:left="1051" w:header="0" w:footer="3" w:gutter="0"/>
          <w:cols w:space="720"/>
          <w:noEndnote/>
          <w:rtlGutter w:val="0"/>
          <w:docGrid w:linePitch="360"/>
        </w:sectPr>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510"/>
      <w:bookmarkEnd w:id="1511"/>
      <w:bookmarkEnd w:id="1513"/>
    </w:p>
    <w:p>
      <w:pPr>
        <w:pStyle w:val="Style11"/>
        <w:keepNext/>
        <w:keepLines/>
        <w:widowControl w:val="0"/>
        <w:shd w:val="clear" w:color="auto" w:fill="auto"/>
        <w:bidi w:val="0"/>
        <w:spacing w:before="0" w:after="600" w:line="240" w:lineRule="auto"/>
        <w:ind w:left="0" w:right="0" w:firstLine="0"/>
        <w:jc w:val="center"/>
      </w:pPr>
      <w:bookmarkStart w:id="1514" w:name="bookmark1514"/>
      <w:bookmarkStart w:id="1515" w:name="bookmark1515"/>
      <w:bookmarkStart w:id="1516" w:name="bookmark1516"/>
      <w:r>
        <w:rPr>
          <w:color w:val="000000"/>
          <w:spacing w:val="0"/>
          <w:w w:val="100"/>
          <w:position w:val="0"/>
        </w:rPr>
        <w:t>第十三节备查文件目录</w:t>
      </w:r>
      <w:bookmarkEnd w:id="1514"/>
      <w:bookmarkEnd w:id="1515"/>
      <w:bookmarkEnd w:id="1516"/>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1517" w:name="bookmark1517"/>
      <w:r>
        <w:rPr>
          <w:color w:val="000000"/>
          <w:spacing w:val="0"/>
          <w:w w:val="100"/>
          <w:position w:val="0"/>
        </w:rPr>
        <w:t>一</w:t>
      </w:r>
      <w:bookmarkEnd w:id="1517"/>
      <w:r>
        <w:rPr>
          <w:color w:val="000000"/>
          <w:spacing w:val="0"/>
          <w:w w:val="100"/>
          <w:position w:val="0"/>
        </w:rPr>
        <w:t>、</w:t>
        <w:tab/>
        <w:t>载有公司盖章、法定代表人、主管会计工作负责人、会计主管人员签名并盖章的财务报表。</w:t>
      </w:r>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1518" w:name="bookmark1518"/>
      <w:r>
        <w:rPr>
          <w:color w:val="000000"/>
          <w:spacing w:val="0"/>
          <w:w w:val="100"/>
          <w:position w:val="0"/>
        </w:rPr>
        <w:t>二</w:t>
      </w:r>
      <w:bookmarkEnd w:id="1518"/>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1519" w:name="bookmark1519"/>
      <w:r>
        <w:rPr>
          <w:color w:val="000000"/>
          <w:spacing w:val="0"/>
          <w:w w:val="100"/>
          <w:position w:val="0"/>
        </w:rPr>
        <w:t>三</w:t>
      </w:r>
      <w:bookmarkEnd w:id="1519"/>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1520" w:name="bookmark1520"/>
      <w:r>
        <w:rPr>
          <w:color w:val="000000"/>
          <w:spacing w:val="0"/>
          <w:w w:val="100"/>
          <w:position w:val="0"/>
        </w:rPr>
        <w:t>四</w:t>
      </w:r>
      <w:bookmarkEnd w:id="152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年度报告文本原件。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以上备查文件的备置地点：公司董事会秘书办公室</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6748145</wp:posOffset>
              </wp:positionH>
              <wp:positionV relativeFrom="page">
                <wp:posOffset>9958070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1.35000000000002pt;margin-top:784.10000000000002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6748145</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35000000000002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6748145</wp:posOffset>
              </wp:positionH>
              <wp:positionV relativeFrom="page">
                <wp:posOffset>9958070</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31.35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6386195</wp:posOffset>
              </wp:positionH>
              <wp:positionV relativeFrom="page">
                <wp:posOffset>9745345</wp:posOffset>
              </wp:positionV>
              <wp:extent cx="445135" cy="106680"/>
              <wp:wrapNone/>
              <wp:docPr id="61" name="Shape 6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7" type="#_x0000_t202" style="position:absolute;margin-left:502.85000000000002pt;margin-top:767.35000000000002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6675755</wp:posOffset>
              </wp:positionH>
              <wp:positionV relativeFrom="page">
                <wp:posOffset>10196195</wp:posOffset>
              </wp:positionV>
              <wp:extent cx="146050" cy="79375"/>
              <wp:wrapNone/>
              <wp:docPr id="63" name="Shape 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5.64999999999998pt;margin-top:802.85000000000002pt;width:11.5pt;height:6.25pt;z-index:-1887440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6748145</wp:posOffset>
              </wp:positionH>
              <wp:positionV relativeFrom="page">
                <wp:posOffset>9958070</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31.35000000000002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6386195</wp:posOffset>
              </wp:positionH>
              <wp:positionV relativeFrom="page">
                <wp:posOffset>9745345</wp:posOffset>
              </wp:positionV>
              <wp:extent cx="445135" cy="106680"/>
              <wp:wrapNone/>
              <wp:docPr id="73" name="Shape 7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9" type="#_x0000_t202" style="position:absolute;margin-left:502.85000000000002pt;margin-top:767.35000000000002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6675755</wp:posOffset>
              </wp:positionH>
              <wp:positionV relativeFrom="page">
                <wp:posOffset>10196195</wp:posOffset>
              </wp:positionV>
              <wp:extent cx="146050" cy="79375"/>
              <wp:wrapNone/>
              <wp:docPr id="75" name="Shape 7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5.64999999999998pt;margin-top:802.85000000000002pt;width:11.5pt;height:6.25pt;z-index:-1887440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6748145</wp:posOffset>
              </wp:positionH>
              <wp:positionV relativeFrom="page">
                <wp:posOffset>9958070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1.35000000000002pt;margin-top:78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6380480</wp:posOffset>
              </wp:positionH>
              <wp:positionV relativeFrom="page">
                <wp:posOffset>9766300</wp:posOffset>
              </wp:positionV>
              <wp:extent cx="445135" cy="106680"/>
              <wp:wrapNone/>
              <wp:docPr id="85" name="Shape 8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1" type="#_x0000_t202" style="position:absolute;margin-left:502.40000000000003pt;margin-top:769.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6670040</wp:posOffset>
              </wp:positionH>
              <wp:positionV relativeFrom="page">
                <wp:posOffset>10080625</wp:posOffset>
              </wp:positionV>
              <wp:extent cx="155575" cy="79375"/>
              <wp:wrapNone/>
              <wp:docPr id="87" name="Shape 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5.20000000000005pt;margin-top:793.75pt;width:12.25pt;height:6.25pt;z-index:-1887440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6388735</wp:posOffset>
              </wp:positionH>
              <wp:positionV relativeFrom="page">
                <wp:posOffset>9434195</wp:posOffset>
              </wp:positionV>
              <wp:extent cx="445135" cy="106680"/>
              <wp:wrapNone/>
              <wp:docPr id="92" name="Shape 9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8" type="#_x0000_t202" style="position:absolute;margin-left:503.05000000000001pt;margin-top:742.85000000000002pt;width:35.050000000000004pt;height:8.4000000000000004pt;z-index:-1887440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6678295</wp:posOffset>
              </wp:positionH>
              <wp:positionV relativeFrom="page">
                <wp:posOffset>9955530</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5.85000000000002pt;margin-top:783.89999999999998pt;width:12.25pt;height:6.25pt;z-index:-1887440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4022725</wp:posOffset>
              </wp:positionH>
              <wp:positionV relativeFrom="page">
                <wp:posOffset>509905</wp:posOffset>
              </wp:positionV>
              <wp:extent cx="2792095" cy="106680"/>
              <wp:wrapNone/>
              <wp:docPr id="96" name="Shape 9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16.75pt;margin-top:40.149999999999999pt;width:219.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4022725</wp:posOffset>
              </wp:positionH>
              <wp:positionV relativeFrom="page">
                <wp:posOffset>509905</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6.75pt;margin-top:40.149999999999999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4022725</wp:posOffset>
              </wp:positionH>
              <wp:positionV relativeFrom="page">
                <wp:posOffset>509905</wp:posOffset>
              </wp:positionV>
              <wp:extent cx="2792095" cy="106680"/>
              <wp:wrapNone/>
              <wp:docPr id="53" name="Shape 5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9" type="#_x0000_t202" style="position:absolute;margin-left:316.75pt;margin-top:40.149999999999999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4039235</wp:posOffset>
              </wp:positionH>
              <wp:positionV relativeFrom="page">
                <wp:posOffset>766445</wp:posOffset>
              </wp:positionV>
              <wp:extent cx="2792095" cy="106680"/>
              <wp:wrapNone/>
              <wp:docPr id="58" name="Shape 5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4" type="#_x0000_t202" style="position:absolute;margin-left:318.05000000000001pt;margin-top:60.350000000000001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910590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1.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4022725</wp:posOffset>
              </wp:positionH>
              <wp:positionV relativeFrom="page">
                <wp:posOffset>509905</wp:posOffset>
              </wp:positionV>
              <wp:extent cx="2792095" cy="106680"/>
              <wp:wrapNone/>
              <wp:docPr id="65" name="Shape 6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1" type="#_x0000_t202" style="position:absolute;margin-left:316.75pt;margin-top:40.149999999999999pt;width:219.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4039235</wp:posOffset>
              </wp:positionH>
              <wp:positionV relativeFrom="page">
                <wp:posOffset>766445</wp:posOffset>
              </wp:positionV>
              <wp:extent cx="2792095" cy="106680"/>
              <wp:wrapNone/>
              <wp:docPr id="70" name="Shape 7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318.05000000000001pt;margin-top:60.350000000000001pt;width:219.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910590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1.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4022725</wp:posOffset>
              </wp:positionH>
              <wp:positionV relativeFrom="page">
                <wp:posOffset>509905</wp:posOffset>
              </wp:positionV>
              <wp:extent cx="2792095" cy="106680"/>
              <wp:wrapNone/>
              <wp:docPr id="77" name="Shape 7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16.75pt;margin-top:40.149999999999999pt;width:219.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4033520</wp:posOffset>
              </wp:positionH>
              <wp:positionV relativeFrom="page">
                <wp:posOffset>686435</wp:posOffset>
              </wp:positionV>
              <wp:extent cx="2792095" cy="106680"/>
              <wp:wrapNone/>
              <wp:docPr id="82" name="Shape 8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317.60000000000002pt;margin-top:54.050000000000004pt;width:219.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831215</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65.4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4041775</wp:posOffset>
              </wp:positionH>
              <wp:positionV relativeFrom="page">
                <wp:posOffset>561340</wp:posOffset>
              </wp:positionV>
              <wp:extent cx="2792095" cy="106680"/>
              <wp:wrapNone/>
              <wp:docPr id="89" name="Shape 8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318.25pt;margin-top:44.200000000000003pt;width:219.8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5"/>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SimSun" w:eastAsia="SimSun" w:hAnsi="SimSun" w:cs="SimSun"/>
      <w:b w:val="0"/>
      <w:bCs w:val="0"/>
      <w:i w:val="0"/>
      <w:iCs w:val="0"/>
      <w:smallCaps w:val="0"/>
      <w:strike w:val="0"/>
      <w:sz w:val="22"/>
      <w:szCs w:val="22"/>
      <w:u w:val="none"/>
      <w:shd w:val="clear" w:color="auto" w:fill="auto"/>
    </w:rPr>
  </w:style>
  <w:style w:type="character" w:customStyle="1" w:styleId="CharStyle53">
    <w:name w:val="正文文本 (6)_"/>
    <w:basedOn w:val="DefaultParagraphFont"/>
    <w:link w:val="Style52"/>
    <w:rPr>
      <w:rFonts w:ascii="SimSun" w:eastAsia="SimSun" w:hAnsi="SimSun" w:cs="SimSun"/>
      <w:b/>
      <w:bCs/>
      <w:i w:val="0"/>
      <w:iCs w:val="0"/>
      <w:smallCaps w:val="0"/>
      <w:strike w:val="0"/>
      <w:sz w:val="19"/>
      <w:szCs w:val="19"/>
      <w:u w:val="none"/>
      <w:shd w:val="clear" w:color="auto" w:fill="auto"/>
    </w:rPr>
  </w:style>
  <w:style w:type="character" w:customStyle="1" w:styleId="CharStyle61">
    <w:name w:val="正文文本 (7)_"/>
    <w:basedOn w:val="DefaultParagraphFont"/>
    <w:link w:val="Style60"/>
    <w:rPr>
      <w:rFonts w:ascii="SimHei" w:eastAsia="SimHei" w:hAnsi="SimHei" w:cs="SimHei"/>
      <w:b/>
      <w:bCs/>
      <w:i w:val="0"/>
      <w:iCs w:val="0"/>
      <w:smallCaps w:val="0"/>
      <w:strike w:val="0"/>
      <w:sz w:val="28"/>
      <w:szCs w:val="28"/>
      <w:u w:val="none"/>
      <w:shd w:val="clear" w:color="auto" w:fill="auto"/>
    </w:rPr>
  </w:style>
  <w:style w:type="character" w:customStyle="1" w:styleId="CharStyle77">
    <w:name w:val="标题 #5_"/>
    <w:basedOn w:val="DefaultParagraphFont"/>
    <w:link w:val="Style76"/>
    <w:rPr>
      <w:rFonts w:ascii="SimSun" w:eastAsia="SimSun" w:hAnsi="SimSun" w:cs="SimSun"/>
      <w:b/>
      <w:bCs/>
      <w:i w:val="0"/>
      <w:iCs w:val="0"/>
      <w:smallCaps w:val="0"/>
      <w:strike w:val="0"/>
      <w:sz w:val="20"/>
      <w:szCs w:val="20"/>
      <w:u w:val="none"/>
      <w:shd w:val="clear" w:color="auto" w:fill="auto"/>
    </w:rPr>
  </w:style>
  <w:style w:type="character" w:customStyle="1" w:styleId="CharStyle80">
    <w:name w:val="页眉或页脚_"/>
    <w:basedOn w:val="DefaultParagraphFont"/>
    <w:link w:val="Style79"/>
    <w:rPr>
      <w:rFonts w:ascii="SimSun" w:eastAsia="SimSun" w:hAnsi="SimSun" w:cs="SimSun"/>
      <w:b w:val="0"/>
      <w:bCs w:val="0"/>
      <w:i w:val="0"/>
      <w:iCs w:val="0"/>
      <w:smallCaps w:val="0"/>
      <w:strike w:val="0"/>
      <w:sz w:val="17"/>
      <w:szCs w:val="17"/>
      <w:u w:val="none"/>
      <w:shd w:val="clear" w:color="auto" w:fill="auto"/>
    </w:rPr>
  </w:style>
  <w:style w:type="character" w:customStyle="1" w:styleId="CharStyle87">
    <w:name w:val="正文文本 (8)_"/>
    <w:basedOn w:val="DefaultParagraphFont"/>
    <w:link w:val="Style86"/>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55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2)"/>
    <w:basedOn w:val="Normal"/>
    <w:link w:val="CharStyle14"/>
    <w:pPr>
      <w:widowControl w:val="0"/>
      <w:shd w:val="clear" w:color="auto" w:fill="auto"/>
      <w:spacing w:line="624" w:lineRule="exact"/>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after="90"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after="270"/>
    </w:pPr>
    <w:rPr>
      <w:rFonts w:ascii="SimSun" w:eastAsia="SimSun" w:hAnsi="SimSun" w:cs="SimSun"/>
      <w:b w:val="0"/>
      <w:bCs w:val="0"/>
      <w:i w:val="0"/>
      <w:iCs w:val="0"/>
      <w:smallCaps w:val="0"/>
      <w:strike w:val="0"/>
      <w:sz w:val="22"/>
      <w:szCs w:val="22"/>
      <w:u w:val="none"/>
      <w:shd w:val="clear" w:color="auto" w:fill="auto"/>
    </w:rPr>
  </w:style>
  <w:style w:type="paragraph" w:customStyle="1" w:styleId="Style52">
    <w:name w:val="正文文本 (6)"/>
    <w:basedOn w:val="Normal"/>
    <w:link w:val="CharStyle53"/>
    <w:pPr>
      <w:widowControl w:val="0"/>
      <w:shd w:val="clear" w:color="auto" w:fill="auto"/>
      <w:spacing w:after="300"/>
    </w:pPr>
    <w:rPr>
      <w:rFonts w:ascii="SimSun" w:eastAsia="SimSun" w:hAnsi="SimSun" w:cs="SimSun"/>
      <w:b/>
      <w:bCs/>
      <w:i w:val="0"/>
      <w:iCs w:val="0"/>
      <w:smallCaps w:val="0"/>
      <w:strike w:val="0"/>
      <w:sz w:val="19"/>
      <w:szCs w:val="19"/>
      <w:u w:val="none"/>
      <w:shd w:val="clear" w:color="auto" w:fill="auto"/>
    </w:rPr>
  </w:style>
  <w:style w:type="paragraph" w:customStyle="1" w:styleId="Style60">
    <w:name w:val="正文文本 (7)"/>
    <w:basedOn w:val="Normal"/>
    <w:link w:val="CharStyle61"/>
    <w:pPr>
      <w:widowControl w:val="0"/>
      <w:shd w:val="clear" w:color="auto" w:fill="auto"/>
      <w:spacing w:after="200"/>
      <w:jc w:val="center"/>
    </w:pPr>
    <w:rPr>
      <w:rFonts w:ascii="SimHei" w:eastAsia="SimHei" w:hAnsi="SimHei" w:cs="SimHei"/>
      <w:b/>
      <w:bCs/>
      <w:i w:val="0"/>
      <w:iCs w:val="0"/>
      <w:smallCaps w:val="0"/>
      <w:strike w:val="0"/>
      <w:sz w:val="28"/>
      <w:szCs w:val="28"/>
      <w:u w:val="none"/>
      <w:shd w:val="clear" w:color="auto" w:fill="auto"/>
    </w:rPr>
  </w:style>
  <w:style w:type="paragraph" w:customStyle="1" w:styleId="Style76">
    <w:name w:val="标题 #5"/>
    <w:basedOn w:val="Normal"/>
    <w:link w:val="CharStyle77"/>
    <w:pPr>
      <w:widowControl w:val="0"/>
      <w:shd w:val="clear" w:color="auto" w:fill="auto"/>
      <w:spacing w:after="380"/>
      <w:ind w:firstLine="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9">
    <w:name w:val="页眉或页脚"/>
    <w:basedOn w:val="Normal"/>
    <w:link w:val="CharStyle8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6">
    <w:name w:val="正文文本 (8)"/>
    <w:basedOn w:val="Normal"/>
    <w:link w:val="CharStyle87"/>
    <w:pPr>
      <w:widowControl w:val="0"/>
      <w:shd w:val="clear" w:color="auto" w:fill="auto"/>
      <w:spacing w:after="240" w:line="310" w:lineRule="exact"/>
      <w:ind w:firstLine="440"/>
    </w:pPr>
    <w:rPr>
      <w:rFonts w:ascii="Times New Roman" w:eastAsia="Times New Roman" w:hAnsi="Times New Roman" w:cs="Times New Roma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深圳中青宝互动网络股份有限公司2020年年度报告全文</dc:title>
  <dc:subject/>
  <dc:creator>深圳中青宝互动网络股份有限公司</dc:creator>
  <cp:keywords/>
</cp:coreProperties>
</file>