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6.649994pt;margin-top:35.999985pt;width:67.800003pt;height:23.300003pt;mso-position-horizontal-relative:page;mso-position-vertical-relative:page;z-index:0" type="#_x0000_t75" stroked="false">
            <v:imagedata r:id="rId7" o:title=""/>
          </v:shape>
        </w:pict>
      </w:r>
      <w:r>
        <w:rPr/>
        <w:pict>
          <v:group style="position:absolute;margin-left:55.200001pt;margin-top:63.239983pt;width:436.9pt;height:.1pt;mso-position-horizontal-relative:page;mso-position-vertical-relative:page;z-index:1048" coordorigin="1104,1265" coordsize="8738,2">
            <v:shape style="position:absolute;left:1104;top:1265;width:8738;height:2" coordorigin="1104,1265" coordsize="8738,0" path="m1104,1265l9842,1265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1072" w:lineRule="exact"/>
        <w:ind w:left="28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2737527" cy="68122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2737527" cy="681227"/>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spacing w:line="460" w:lineRule="exact" w:before="0"/>
        <w:ind w:left="2783" w:right="2746" w:firstLine="0"/>
        <w:jc w:val="center"/>
        <w:rPr>
          <w:rFonts w:ascii="宋体" w:hAnsi="宋体" w:cs="宋体" w:eastAsia="宋体" w:hint="default"/>
          <w:sz w:val="36"/>
          <w:szCs w:val="36"/>
        </w:rPr>
      </w:pPr>
      <w:r>
        <w:rPr>
          <w:rFonts w:ascii="宋体" w:hAnsi="宋体" w:cs="宋体" w:eastAsia="宋体" w:hint="default"/>
          <w:b/>
          <w:bCs/>
          <w:sz w:val="36"/>
          <w:szCs w:val="36"/>
        </w:rPr>
        <w:t>东方财富信息股份有限公司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3" w:right="27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783" w:right="274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1031" w:footer="980" w:top="1340" w:bottom="1160" w:left="980" w:right="1020"/>
        </w:sectPr>
      </w:pPr>
    </w:p>
    <w:p>
      <w:pPr>
        <w:spacing w:line="240" w:lineRule="auto" w:before="11"/>
        <w:rPr>
          <w:rFonts w:ascii="宋体" w:hAnsi="宋体" w:cs="宋体" w:eastAsia="宋体" w:hint="default"/>
          <w:b/>
          <w:bCs/>
          <w:sz w:val="2"/>
          <w:szCs w:val="2"/>
        </w:rPr>
      </w:pPr>
      <w:r>
        <w:rPr/>
        <w:pict>
          <v:shape style="position:absolute;margin-left:56.649994pt;margin-top:42.599976pt;width:67.800003pt;height:23.300003pt;mso-position-horizontal-relative:page;mso-position-vertical-relative:page;z-index:1096"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6" w:firstLine="562"/>
        <w:jc w:val="both"/>
        <w:rPr>
          <w:b w:val="0"/>
          <w:bCs w:val="0"/>
        </w:rPr>
      </w:pPr>
      <w:r>
        <w:rPr>
          <w:spacing w:val="2"/>
        </w:rPr>
        <w:t>本公司董事会、监事会及董事、监事、高级管理人员保证本报告所载资料</w:t>
      </w:r>
      <w:r>
        <w:rPr>
          <w:w w:val="99"/>
        </w:rPr>
        <w:t> </w:t>
      </w:r>
      <w:r>
        <w:rPr>
          <w:spacing w:val="2"/>
        </w:rPr>
        <w:t>不存在任何虚假记载、误导性陈述或者重大遗漏，并对其内容的真实性、准确</w:t>
      </w:r>
      <w:r>
        <w:rPr>
          <w:w w:val="99"/>
        </w:rPr>
        <w:t> </w:t>
      </w:r>
      <w:r>
        <w:rPr/>
        <w:t>性和完整性承担个别及连带责任。</w:t>
      </w:r>
      <w:r>
        <w:rPr>
          <w:b w:val="0"/>
          <w:bCs w:val="0"/>
        </w:rPr>
      </w:r>
    </w:p>
    <w:p>
      <w:pPr>
        <w:pStyle w:val="Heading2"/>
        <w:spacing w:line="475" w:lineRule="auto" w:before="162"/>
        <w:ind w:left="714" w:right="0"/>
        <w:jc w:val="left"/>
        <w:rPr>
          <w:b w:val="0"/>
          <w:bCs w:val="0"/>
        </w:rPr>
      </w:pPr>
      <w:r>
        <w:rPr/>
        <w:t>所有董事均已出席了审议本报告的董事会会议。</w:t>
      </w:r>
      <w:r>
        <w:rPr>
          <w:w w:val="99"/>
        </w:rPr>
        <w:t> </w:t>
      </w:r>
      <w:r>
        <w:rPr>
          <w:w w:val="95"/>
        </w:rPr>
        <w:t>公司负责人其实、主管会计工作负责人陆威及会计机构负责人</w:t>
      </w:r>
      <w:r>
        <w:rPr>
          <w:rFonts w:ascii="Times New Roman" w:hAnsi="Times New Roman" w:cs="Times New Roman" w:eastAsia="Times New Roman" w:hint="default"/>
          <w:w w:val="95"/>
        </w:rPr>
        <w:t>(</w:t>
      </w:r>
      <w:r>
        <w:rPr>
          <w:w w:val="95"/>
        </w:rPr>
        <w:t>会计主管人</w:t>
      </w:r>
      <w:r>
        <w:rPr>
          <w:b w:val="0"/>
          <w:bCs w:val="0"/>
        </w:rPr>
      </w:r>
    </w:p>
    <w:p>
      <w:pPr>
        <w:pStyle w:val="Heading2"/>
        <w:spacing w:line="320" w:lineRule="exact"/>
        <w:ind w:right="0"/>
        <w:jc w:val="left"/>
        <w:rPr>
          <w:b w:val="0"/>
          <w:bCs w:val="0"/>
        </w:rPr>
      </w:pPr>
      <w:r>
        <w:rPr/>
        <w:t>员</w:t>
      </w:r>
      <w:r>
        <w:rPr>
          <w:rFonts w:ascii="Times New Roman" w:hAnsi="Times New Roman" w:cs="Times New Roman" w:eastAsia="Times New Roman" w:hint="default"/>
        </w:rPr>
        <w:t>)</w:t>
      </w:r>
      <w:r>
        <w:rPr/>
        <w:t>叶露声明：保证年度报告中财务报告的真实、准确、完整。</w:t>
      </w:r>
      <w:r>
        <w:rPr>
          <w:b w:val="0"/>
          <w:bCs w:val="0"/>
        </w:rPr>
      </w:r>
    </w:p>
    <w:p>
      <w:pPr>
        <w:spacing w:line="240" w:lineRule="auto" w:before="8"/>
        <w:rPr>
          <w:rFonts w:ascii="宋体" w:hAnsi="宋体" w:cs="宋体" w:eastAsia="宋体" w:hint="default"/>
          <w:b/>
          <w:bCs/>
          <w:sz w:val="25"/>
          <w:szCs w:val="25"/>
        </w:rPr>
      </w:pPr>
    </w:p>
    <w:p>
      <w:pPr>
        <w:pStyle w:val="Heading2"/>
        <w:spacing w:line="408" w:lineRule="auto"/>
        <w:ind w:right="116" w:firstLine="562"/>
        <w:jc w:val="both"/>
        <w:rPr>
          <w:b w:val="0"/>
          <w:bCs w:val="0"/>
        </w:rPr>
      </w:pPr>
      <w:r>
        <w:rPr>
          <w:spacing w:val="2"/>
        </w:rPr>
        <w:t>本报告中如有涉及未来的计划、业绩预测等方面的内容，均不构成本公司</w:t>
      </w:r>
      <w:r>
        <w:rPr>
          <w:w w:val="99"/>
        </w:rPr>
        <w:t> </w:t>
      </w:r>
      <w:r>
        <w:rPr>
          <w:spacing w:val="2"/>
        </w:rPr>
        <w:t>对任何投资者及相关人士的承诺，投资者及相关人士均应对此保持足够的风险</w:t>
      </w:r>
      <w:r>
        <w:rPr>
          <w:w w:val="99"/>
        </w:rPr>
        <w:t> </w:t>
      </w:r>
      <w:r>
        <w:rPr/>
        <w:t>认识，并且应当理解计划、预测与承诺之间的差异。</w:t>
      </w:r>
      <w:r>
        <w:rPr>
          <w:b w:val="0"/>
          <w:bCs w:val="0"/>
        </w:rPr>
      </w:r>
    </w:p>
    <w:p>
      <w:pPr>
        <w:spacing w:after="0" w:line="408" w:lineRule="auto"/>
        <w:jc w:val="both"/>
        <w:sectPr>
          <w:footerReference w:type="default" r:id="rId9"/>
          <w:pgSz w:w="11910" w:h="16840"/>
          <w:pgMar w:footer="980" w:header="1031" w:top="1340" w:bottom="1160" w:left="980" w:right="1020"/>
          <w:pgNumType w:start="2"/>
        </w:sectPr>
      </w:pPr>
    </w:p>
    <w:p>
      <w:pPr>
        <w:spacing w:line="240" w:lineRule="auto" w:before="11"/>
        <w:rPr>
          <w:rFonts w:ascii="宋体" w:hAnsi="宋体" w:cs="宋体" w:eastAsia="宋体" w:hint="default"/>
          <w:b/>
          <w:bCs/>
          <w:sz w:val="2"/>
          <w:szCs w:val="2"/>
        </w:rPr>
      </w:pPr>
      <w:r>
        <w:rPr/>
        <w:pict>
          <v:shape style="position:absolute;margin-left:56.649994pt;margin-top:42.599976pt;width:67.800003pt;height:23.300003pt;mso-position-horizontal-relative:page;mso-position-vertical-relative:page;z-index:1144"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line="460" w:lineRule="exact" w:before="0"/>
        <w:ind w:left="2783" w:right="274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28</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34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39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44</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47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0">
            <w:r>
              <w:rPr/>
              <w:t>第十节 备查文件目录</w:t>
            </w:r>
            <w:r>
              <w:rPr>
                <w:rFonts w:ascii="Times New Roman" w:hAnsi="Times New Roman" w:cs="Times New Roman" w:eastAsia="Times New Roman" w:hint="default"/>
              </w:rPr>
              <w:tab/>
              <w:t>116</w:t>
            </w:r>
          </w:hyperlink>
        </w:p>
        <w:p>
          <w:pPr/>
          <w:r>
            <w:fldChar w:fldCharType="end"/>
          </w:r>
        </w:p>
      </w:sdtContent>
    </w:sdt>
    <w:p>
      <w:pPr>
        <w:spacing w:after="0"/>
        <w:sectPr>
          <w:pgSz w:w="11910" w:h="16840"/>
          <w:pgMar w:header="1031" w:footer="980" w:top="1340" w:bottom="1160" w:left="980" w:right="1020"/>
        </w:sectPr>
      </w:pPr>
    </w:p>
    <w:p>
      <w:pPr>
        <w:spacing w:before="798"/>
        <w:ind w:left="2783" w:right="274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7"/>
        <w:ind w:left="0" w:right="118" w:firstLine="0"/>
        <w:jc w:val="right"/>
        <w:rPr>
          <w:rFonts w:ascii="宋体" w:hAnsi="宋体" w:cs="宋体" w:eastAsia="宋体" w:hint="default"/>
          <w:sz w:val="18"/>
          <w:szCs w:val="18"/>
        </w:rPr>
      </w:pPr>
      <w:r>
        <w:rPr/>
        <w:pict>
          <v:shape style="position:absolute;margin-left:56.400002pt;margin-top:-263.468292pt;width:479.3pt;height:402.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11"/>
                    <w:gridCol w:w="5436"/>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东方财富网</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Times New Roman" w:hAnsi="Times New Roman" w:cs="Times New Roman" w:eastAsia="Times New Roman" w:hint="default"/>
                            <w:spacing w:val="-1"/>
                            <w:w w:val="44"/>
                            <w:sz w:val="18"/>
                            <w:szCs w:val="18"/>
                          </w:rPr>
                          <w:t>―</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ea</w:t>
                          </w:r>
                          <w:r>
                            <w:rPr>
                              <w:rFonts w:ascii="Times New Roman" w:hAnsi="Times New Roman" w:cs="Times New Roman" w:eastAsia="Times New Roman" w:hint="default"/>
                              <w:w w:val="100"/>
                              <w:sz w:val="18"/>
                              <w:szCs w:val="18"/>
                            </w:rPr>
                            <w:t>s</w:t>
                          </w:r>
                          <w:r>
                            <w:rPr>
                              <w:rFonts w:ascii="Times New Roman" w:hAnsi="Times New Roman" w:cs="Times New Roman" w:eastAsia="Times New Roman" w:hint="default"/>
                              <w:spacing w:val="2"/>
                              <w:w w:val="100"/>
                              <w:sz w:val="18"/>
                              <w:szCs w:val="18"/>
                            </w:rPr>
                            <w:t>t</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spacing w:val="1"/>
                              <w:sz w:val="18"/>
                              <w:szCs w:val="18"/>
                            </w:rPr>
                            <w:t>on</w:t>
                          </w:r>
                          <w:r>
                            <w:rPr>
                              <w:rFonts w:ascii="Times New Roman" w:hAnsi="Times New Roman" w:cs="Times New Roman" w:eastAsia="Times New Roman" w:hint="default"/>
                              <w:spacing w:val="1"/>
                              <w:w w:val="100"/>
                              <w:sz w:val="18"/>
                              <w:szCs w:val="18"/>
                            </w:rPr>
                            <w:t>e</w:t>
                          </w:r>
                          <w:r>
                            <w:rPr>
                              <w:rFonts w:ascii="Times New Roman" w:hAnsi="Times New Roman" w:cs="Times New Roman" w:eastAsia="Times New Roman" w:hint="default"/>
                              <w:spacing w:val="-16"/>
                              <w:sz w:val="18"/>
                              <w:szCs w:val="18"/>
                            </w:rPr>
                            <w:t>y</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w w:val="100"/>
                              <w:sz w:val="18"/>
                              <w:szCs w:val="18"/>
                            </w:rPr>
                            <w:t>m</w:t>
                          </w:r>
                        </w:hyperlink>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的</w:t>
                        </w:r>
                        <w:r>
                          <w:rPr>
                            <w:rFonts w:ascii="宋体" w:hAnsi="宋体" w:cs="宋体" w:eastAsia="宋体" w:hint="default"/>
                            <w:sz w:val="18"/>
                            <w:szCs w:val="18"/>
                          </w:rPr>
                          <w:t>网站</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中金公司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中国国际金融有限公司</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立信事务所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东方财富信息股份有限公司股东大会</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r>
                  <w:tr>
                    <w:trPr>
                      <w:trHeight w:val="317"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艾瑞咨询</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49"/>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iResearch</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艾瑞咨询集团，是一家专注于网络媒体、电子商务、网络游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戏、无线增值等新经济领域，研究和了解消费者行为，并为网络行业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及传统行业客户提供数据产品服务和研究咨询服务的专业机构</w:t>
                        </w:r>
                      </w:p>
                    </w:tc>
                  </w:tr>
                  <w:tr>
                    <w:trPr>
                      <w:trHeight w:val="391"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CNNIC</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9"/>
                          <w:jc w:val="left"/>
                          <w:rPr>
                            <w:rFonts w:ascii="宋体" w:hAnsi="宋体" w:cs="宋体" w:eastAsia="宋体" w:hint="default"/>
                            <w:sz w:val="18"/>
                            <w:szCs w:val="18"/>
                          </w:rPr>
                        </w:pPr>
                        <w:r>
                          <w:rPr>
                            <w:rFonts w:ascii="宋体" w:hAnsi="宋体" w:cs="宋体" w:eastAsia="宋体" w:hint="default"/>
                            <w:sz w:val="18"/>
                            <w:szCs w:val="18"/>
                          </w:rPr>
                          <w:t>中国互联网络信息中心（</w:t>
                        </w:r>
                        <w:r>
                          <w:rPr>
                            <w:rFonts w:ascii="Times New Roman" w:hAnsi="Times New Roman" w:cs="Times New Roman" w:eastAsia="Times New Roman" w:hint="default"/>
                            <w:sz w:val="18"/>
                            <w:szCs w:val="18"/>
                          </w:rPr>
                          <w:t>China Internet </w:t>
                        </w:r>
                        <w:r>
                          <w:rPr>
                            <w:rFonts w:ascii="Times New Roman" w:hAnsi="Times New Roman" w:cs="Times New Roman" w:eastAsia="Times New Roman" w:hint="default"/>
                            <w:spacing w:val="-1"/>
                            <w:w w:val="99"/>
                            <w:sz w:val="18"/>
                            <w:szCs w:val="18"/>
                          </w:rPr>
                          <w:t>Network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Information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24"/>
                            <w:sz w:val="18"/>
                            <w:szCs w:val="18"/>
                          </w:rPr>
                          <w:t>Center</w:t>
                        </w:r>
                        <w:r>
                          <w:rPr>
                            <w:rFonts w:ascii="宋体" w:hAnsi="宋体" w:cs="宋体" w:eastAsia="宋体" w:hint="default"/>
                            <w:spacing w:val="-24"/>
                            <w:sz w:val="18"/>
                            <w:szCs w:val="18"/>
                          </w:rPr>
                          <w:t>），</w:t>
                        </w:r>
                        <w:r>
                          <w:rPr>
                            <w:rFonts w:ascii="宋体" w:hAnsi="宋体" w:cs="宋体" w:eastAsia="宋体" w:hint="default"/>
                            <w:spacing w:val="-82"/>
                            <w:sz w:val="18"/>
                            <w:szCs w:val="18"/>
                          </w:rPr>
                          <w:t> </w:t>
                        </w:r>
                        <w:r>
                          <w:rPr>
                            <w:rFonts w:ascii="宋体" w:hAnsi="宋体" w:cs="宋体" w:eastAsia="宋体" w:hint="default"/>
                            <w:spacing w:val="-3"/>
                            <w:sz w:val="18"/>
                            <w:szCs w:val="18"/>
                          </w:rPr>
                          <w:t>是经国家主管部门批准，于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日组建的管理和服务机构 行使国家互联网络信息中心的职责，负责管理维护中国互联网地址系 统，引领中国互联网地址行业发展，权威发布中国互联网统计信息， 代表中国参与国际互联网社群</w:t>
                        </w:r>
                      </w:p>
                    </w:tc>
                  </w:tr>
                  <w:tr>
                    <w:trPr>
                      <w:trHeight w:val="394"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2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中国网站排名网</w:t>
                        </w:r>
                      </w:p>
                    </w:tc>
                    <w:tc>
                      <w:tcPr>
                        <w:tcW w:w="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49"/>
                          <w:ind w:left="28"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网址为</w:t>
                        </w:r>
                        <w:r>
                          <w:rPr>
                            <w:rFonts w:ascii="宋体" w:hAnsi="宋体" w:cs="宋体" w:eastAsia="宋体" w:hint="default"/>
                            <w:spacing w:val="-52"/>
                            <w:sz w:val="18"/>
                            <w:szCs w:val="18"/>
                          </w:rPr>
                          <w:t> </w:t>
                        </w:r>
                        <w:hyperlink r:id="rId12">
                          <w:r>
                            <w:rPr>
                              <w:rFonts w:ascii="Times New Roman" w:hAnsi="Times New Roman" w:cs="Times New Roman" w:eastAsia="Times New Roman" w:hint="default"/>
                              <w:sz w:val="18"/>
                              <w:szCs w:val="18"/>
                            </w:rPr>
                            <w:t>www.chinarank.org.cn</w:t>
                          </w:r>
                        </w:hyperlink>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的网站，是由中国互联网协会主办，国 </w:t>
                        </w:r>
                        <w:r>
                          <w:rPr>
                            <w:rFonts w:ascii="宋体" w:hAnsi="宋体" w:cs="宋体" w:eastAsia="宋体" w:hint="default"/>
                            <w:spacing w:val="-2"/>
                            <w:sz w:val="18"/>
                            <w:szCs w:val="18"/>
                          </w:rPr>
                          <w:t>务院新闻办公室网络局、信息产业部电信管理局指导，北京中乾网润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信息技术有限公司提供技术支持的大型网站排名项目。以网站访问流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w w:val="100"/>
                            <w:sz w:val="18"/>
                            <w:szCs w:val="18"/>
                          </w:rPr>
                          <w:t>量统计数据为依据适时发布</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中国网站排名</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sz w:val="18"/>
                            <w:szCs w:val="18"/>
                          </w:rPr>
                        </w:r>
                      </w:p>
                    </w:tc>
                  </w:tr>
                  <w:tr>
                    <w:trPr>
                      <w:trHeight w:val="391" w:hRule="exact"/>
                    </w:trPr>
                    <w:tc>
                      <w:tcPr>
                        <w:tcW w:w="3524" w:type="dxa"/>
                        <w:vMerge/>
                        <w:tcBorders>
                          <w:left w:val="single" w:sz="4" w:space="0" w:color="000000"/>
                          <w:right w:val="single" w:sz="9" w:space="0" w:color="D2D2D2"/>
                        </w:tcBorders>
                      </w:tcPr>
                      <w:p>
                        <w:pPr/>
                      </w:p>
                    </w:tc>
                    <w:tc>
                      <w:tcPr>
                        <w:tcW w:w="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2D2D2"/>
                        </w:tcBorders>
                      </w:tcPr>
                      <w:p>
                        <w:pPr/>
                      </w:p>
                    </w:tc>
                    <w:tc>
                      <w:tcPr>
                        <w:tcW w:w="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0"/>
          <w:pgSz w:w="11910" w:h="16840"/>
          <w:pgMar w:header="852" w:footer="980" w:top="1340" w:bottom="1160" w:left="98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300059</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East Money Information</w:t>
            </w:r>
            <w:r>
              <w:rPr>
                <w:rFonts w:ascii="Times New Roman"/>
                <w:spacing w:val="-9"/>
                <w:sz w:val="18"/>
              </w:rPr>
              <w:t> </w:t>
            </w:r>
            <w:r>
              <w:rPr>
                <w:rFonts w:ascii="Times New Roman"/>
                <w:sz w:val="18"/>
              </w:rPr>
              <w:t>Co.,Ltd.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Eastmoney</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其实</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上海市嘉定区宝安公路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2999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201801</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200235</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www.eastmoney.com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3">
              <w:r>
                <w:rPr>
                  <w:rFonts w:ascii="Times New Roman"/>
                  <w:sz w:val="18"/>
                </w:rPr>
                <w:t>dongmi@eastmoney.com</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荣兴</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021-64382978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021-64382978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021-64389508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dongmi@eastmoney.com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dongmi@eastmoney.com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4">
              <w:r>
                <w:rPr>
                  <w:rFonts w:ascii="Times New Roman"/>
                  <w:sz w:val="18"/>
                </w:rPr>
                <w:t>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52" w:footer="980" w:top="1400" w:bottom="1160" w:left="980" w:right="10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嘉定区曹安路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1926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L173</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3101142094752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310114771458474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注册登记地点、经营</w:t>
            </w:r>
            <w:r>
              <w:rPr>
                <w:rFonts w:ascii="宋体" w:hAnsi="宋体" w:cs="宋体" w:eastAsia="宋体" w:hint="default"/>
                <w:sz w:val="18"/>
                <w:szCs w:val="18"/>
              </w:rPr>
              <w:t> 范围变更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嘉定区江桥镇华江 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3101142094752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注册登记地点变更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嘉定区曹安路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1926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3101142094752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注册登记地点变更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公司名称、注册资 </w:t>
            </w:r>
            <w:r>
              <w:rPr>
                <w:rFonts w:ascii="宋体" w:hAnsi="宋体" w:cs="宋体" w:eastAsia="宋体" w:hint="default"/>
                <w:spacing w:val="-10"/>
                <w:sz w:val="18"/>
                <w:szCs w:val="18"/>
              </w:rPr>
              <w:t>本、公司类型、营业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期限变更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公司名称变更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企业类型、注册资本</w:t>
            </w:r>
            <w:r>
              <w:rPr>
                <w:rFonts w:ascii="宋体" w:hAnsi="宋体" w:cs="宋体" w:eastAsia="宋体" w:hint="default"/>
                <w:sz w:val="18"/>
                <w:szCs w:val="18"/>
              </w:rPr>
              <w:t> 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法定代表人、注册资</w:t>
            </w:r>
            <w:r>
              <w:rPr>
                <w:rFonts w:ascii="宋体" w:hAnsi="宋体" w:cs="宋体" w:eastAsia="宋体" w:hint="default"/>
                <w:sz w:val="18"/>
                <w:szCs w:val="18"/>
              </w:rPr>
              <w:t> 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注册资本变更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嘉定区宝安公路</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310114001233032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4"/>
              <w:jc w:val="right"/>
              <w:rPr>
                <w:rFonts w:ascii="Times New Roman" w:hAnsi="Times New Roman" w:cs="Times New Roman" w:eastAsia="Times New Roman" w:hint="default"/>
                <w:sz w:val="18"/>
                <w:szCs w:val="18"/>
              </w:rPr>
            </w:pPr>
            <w:r>
              <w:rPr>
                <w:rFonts w:ascii="Times New Roman"/>
                <w:spacing w:val="-1"/>
                <w:sz w:val="18"/>
              </w:rPr>
              <w:t>310114771458474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77145847-4</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2" w:right="8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5"/>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222,701,535.89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280,308,218.79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184,961,424.89</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35,325,273.50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109,702,689.35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70,324,719.74</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43,364,773.50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121,413,726.88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74,033,225.17</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37,581,860.98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106,528,210.93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66,740,512.88</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30,737,065.98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96,610,667.27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71,503,668.00</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20,163,754.39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156,049,780.11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69,872,002.07</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1,801,371,020.90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1,823,711,142.99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1,681,845,672.78</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81,816,306.70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123,359,834.54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68,775,765.90</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1,719,485,114.74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1,700,302,619.76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1,613,029,808.83</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5"/>
      </w:tblGrid>
      <w:tr>
        <w:trPr>
          <w:trHeight w:val="36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0.7431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0.4991</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11.5216</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37,581,860.98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106,528,210.93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1,719,485,114.74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1,700,302,619.76</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55" w:right="0"/>
              <w:jc w:val="left"/>
              <w:rPr>
                <w:rFonts w:ascii="Times New Roman" w:hAnsi="Times New Roman" w:cs="Times New Roman" w:eastAsia="Times New Roman" w:hint="default"/>
                <w:sz w:val="18"/>
                <w:szCs w:val="18"/>
              </w:rPr>
            </w:pPr>
            <w:r>
              <w:rPr>
                <w:rFonts w:ascii="Times New Roman"/>
                <w:sz w:val="18"/>
              </w:rPr>
              <w:t>37,581,860.98</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106,528,210.93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1,719,485,114.74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1,700,302,619.76</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left"/>
        <w:rPr>
          <w:b w:val="0"/>
          <w:bCs w:val="0"/>
        </w:rPr>
      </w:pPr>
      <w:r>
        <w:rPr/>
        <w:t>三、报告期内非经常性损益的项目及金额</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Times New Roman"/>
                <w:sz w:val="18"/>
              </w:rPr>
              <w:t>9,639,500.00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14,908,000.00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根据税收、会计等法律、法规的要求对当</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-9,002,500.00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期损益进行一次性调整对当期损益的影响</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-3,196,962.47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-245,894.49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1,194,705.00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1,793,493.87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-530,839.45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6,844,795.00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9,917,543.66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-4,763,155.12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2" w:firstLine="0"/>
        <w:jc w:val="both"/>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四、重大风险提示</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before="0"/>
        <w:ind w:left="573" w:right="0" w:hanging="106"/>
        <w:jc w:val="left"/>
      </w:pPr>
      <w:r>
        <w:rPr/>
        <w:t>（</w:t>
      </w:r>
      <w:r>
        <w:rPr>
          <w:rFonts w:ascii="Times New Roman" w:hAnsi="Times New Roman" w:cs="Times New Roman" w:eastAsia="Times New Roman" w:hint="default"/>
        </w:rPr>
        <w:t>1</w:t>
      </w:r>
      <w:r>
        <w:rPr/>
        <w:t>）行业受证券市场景气度波动影响的风险</w:t>
      </w:r>
      <w:r>
        <w:rPr>
          <w:w w:val="100"/>
        </w:rPr>
        <w:t> </w:t>
      </w:r>
      <w:r>
        <w:rPr>
          <w:spacing w:val="-7"/>
        </w:rPr>
        <w:t>当前，国内网络财经信息服务的市场需求与证券市场景气度仍具有较高的相关性，证券市场投资者（包</w:t>
      </w:r>
    </w:p>
    <w:p>
      <w:pPr>
        <w:pStyle w:val="BodyText"/>
        <w:spacing w:line="264" w:lineRule="auto" w:before="22"/>
        <w:ind w:right="106"/>
        <w:jc w:val="both"/>
      </w:pPr>
      <w:r>
        <w:rPr/>
        <w:t>括直接投资</w:t>
      </w:r>
      <w:r>
        <w:rPr>
          <w:rFonts w:ascii="Times New Roman" w:hAnsi="Times New Roman" w:cs="Times New Roman" w:eastAsia="Times New Roman" w:hint="default"/>
        </w:rPr>
        <w:t>A</w:t>
      </w:r>
      <w:r>
        <w:rPr/>
        <w:t>股或购买基金间接投资</w:t>
      </w:r>
      <w:r>
        <w:rPr>
          <w:rFonts w:ascii="Times New Roman" w:hAnsi="Times New Roman" w:cs="Times New Roman" w:eastAsia="Times New Roman" w:hint="default"/>
        </w:rPr>
        <w:t>A</w:t>
      </w:r>
      <w:r>
        <w:rPr/>
        <w:t>股的投资者）在网络财经信息服务用户中仍占较高比重，一旦证券</w:t>
      </w:r>
      <w:r>
        <w:rPr>
          <w:spacing w:val="-14"/>
        </w:rPr>
        <w:t> </w:t>
      </w:r>
      <w:r>
        <w:rPr>
          <w:spacing w:val="-14"/>
        </w:rPr>
      </w:r>
      <w:r>
        <w:rPr>
          <w:spacing w:val="-2"/>
        </w:rPr>
        <w:t>市场景气度下降，市场活跃程度和投资者热情均会受到直接影响，并进而可能抑制投资者对网络财经信息</w:t>
      </w:r>
      <w:r>
        <w:rPr>
          <w:spacing w:val="-43"/>
        </w:rPr>
        <w:t> </w:t>
      </w:r>
      <w:r>
        <w:rPr>
          <w:spacing w:val="-43"/>
        </w:rPr>
      </w:r>
      <w:r>
        <w:rPr/>
        <w:t>服务的需求。</w:t>
      </w:r>
    </w:p>
    <w:p>
      <w:pPr>
        <w:pStyle w:val="BodyText"/>
        <w:spacing w:line="273" w:lineRule="auto" w:before="16"/>
        <w:ind w:right="106" w:firstLine="420"/>
        <w:jc w:val="both"/>
      </w:pPr>
      <w:r>
        <w:rPr>
          <w:spacing w:val="-2"/>
        </w:rPr>
        <w:t>应对措施：公司将继续积极推进财经大平台战略，丰富平台的内容和表现形式，延伸平台服务，加强</w:t>
      </w:r>
      <w:r>
        <w:rPr>
          <w:w w:val="100"/>
        </w:rPr>
        <w:t> </w:t>
      </w:r>
      <w:r>
        <w:rPr>
          <w:spacing w:val="-2"/>
        </w:rPr>
        <w:t>技术和产品的研发创新，提高服务的质量和水平，不断提升用户体验，巩固和增强庞大用户优势和用户黏</w:t>
      </w:r>
      <w:r>
        <w:rPr>
          <w:spacing w:val="-42"/>
        </w:rPr>
        <w:t> </w:t>
      </w:r>
      <w:r>
        <w:rPr>
          <w:spacing w:val="-42"/>
        </w:rPr>
      </w:r>
      <w:r>
        <w:rPr/>
        <w:t>性，降低证券市场景气度波动带来的影响。</w:t>
      </w:r>
    </w:p>
    <w:p>
      <w:pPr>
        <w:pStyle w:val="BodyText"/>
        <w:spacing w:line="256" w:lineRule="auto"/>
        <w:ind w:left="573" w:right="0" w:hanging="106"/>
        <w:jc w:val="left"/>
      </w:pPr>
      <w:r>
        <w:rPr/>
        <w:t>（</w:t>
      </w:r>
      <w:r>
        <w:rPr>
          <w:rFonts w:ascii="Times New Roman" w:hAnsi="Times New Roman" w:cs="Times New Roman" w:eastAsia="Times New Roman" w:hint="default"/>
        </w:rPr>
        <w:t>2</w:t>
      </w:r>
      <w:r>
        <w:rPr/>
        <w:t>）财经信息平台和网络信息传输系统安全运行风险</w:t>
      </w:r>
      <w:r>
        <w:rPr>
          <w:w w:val="100"/>
        </w:rPr>
        <w:t> </w:t>
      </w:r>
      <w:r>
        <w:rPr>
          <w:spacing w:val="-2"/>
        </w:rPr>
        <w:t>公司商业模式的持续运作和盈利模式的有效实施，有赖于公司财经信息平台和网络信息传输系统的安</w:t>
      </w:r>
    </w:p>
    <w:p>
      <w:pPr>
        <w:pStyle w:val="BodyText"/>
        <w:spacing w:line="273" w:lineRule="auto" w:before="22"/>
        <w:ind w:right="106"/>
        <w:jc w:val="both"/>
      </w:pPr>
      <w:r>
        <w:rPr>
          <w:spacing w:val="-2"/>
        </w:rPr>
        <w:t>全运行。如果出现互联网系统安全运行问题，可能造成本公司网站平台不能正常访问和金融数据服务客户</w:t>
      </w:r>
      <w:r>
        <w:rPr>
          <w:spacing w:val="-43"/>
        </w:rPr>
        <w:t> </w:t>
      </w:r>
      <w:r>
        <w:rPr>
          <w:spacing w:val="-43"/>
        </w:rPr>
      </w:r>
      <w:r>
        <w:rPr>
          <w:spacing w:val="-2"/>
        </w:rPr>
        <w:t>端不能正常使用等后果。虽然公司已制定了完善的数据库备份、数据安全传输和质量管理体系等措施，但</w:t>
      </w:r>
      <w:r>
        <w:rPr>
          <w:spacing w:val="-42"/>
        </w:rPr>
        <w:t> </w:t>
      </w:r>
      <w:r>
        <w:rPr>
          <w:spacing w:val="-42"/>
        </w:rPr>
      </w:r>
      <w:r>
        <w:rPr>
          <w:spacing w:val="-2"/>
        </w:rPr>
        <w:t>由于第三方服务提供方而造成的互联网系统安全运行问题，将可能影响公司网站平台的正常运行和财经信</w:t>
      </w:r>
      <w:r>
        <w:rPr>
          <w:spacing w:val="-43"/>
        </w:rPr>
        <w:t> </w:t>
      </w:r>
      <w:r>
        <w:rPr>
          <w:spacing w:val="-43"/>
        </w:rPr>
      </w:r>
      <w:r>
        <w:rPr/>
        <w:t>息服务的正常提供，降低用户体验和满意度，甚至给公司品牌形象带来不利影响。</w:t>
      </w:r>
    </w:p>
    <w:p>
      <w:pPr>
        <w:pStyle w:val="BodyText"/>
        <w:spacing w:line="273" w:lineRule="auto"/>
        <w:ind w:right="106" w:firstLine="420"/>
        <w:jc w:val="both"/>
      </w:pPr>
      <w:r>
        <w:rPr>
          <w:spacing w:val="-2"/>
        </w:rPr>
        <w:t>应对措施：公司将进一步完善内部软硬件管理规范，严格执行内部实时监控流程，确保安全设备的质</w:t>
      </w:r>
      <w:r>
        <w:rPr>
          <w:w w:val="100"/>
        </w:rPr>
        <w:t> </w:t>
      </w:r>
      <w:r>
        <w:rPr>
          <w:spacing w:val="-2"/>
        </w:rPr>
        <w:t>量，定期进行相关技术人员的安全技能培训，提高技术安全维护队伍的技术水平，以防范软件、硬件和系</w:t>
      </w:r>
      <w:r>
        <w:rPr>
          <w:spacing w:val="-47"/>
        </w:rPr>
        <w:t> </w:t>
      </w:r>
      <w:r>
        <w:rPr>
          <w:spacing w:val="-47"/>
        </w:rPr>
      </w:r>
      <w:r>
        <w:rPr>
          <w:spacing w:val="-2"/>
        </w:rPr>
        <w:t>统故障等风险。制定完善的数据库本地与异地灾备制度，配备专业的数据库管理与系统运营维护人员，以</w:t>
      </w:r>
      <w:r>
        <w:rPr>
          <w:spacing w:val="-44"/>
        </w:rPr>
        <w:t> </w:t>
      </w:r>
      <w:r>
        <w:rPr>
          <w:spacing w:val="-44"/>
        </w:rPr>
      </w:r>
      <w:r>
        <w:rPr/>
        <w:t>保证数据库系统与网络系统平稳运行和数据安全。</w:t>
      </w:r>
    </w:p>
    <w:p>
      <w:pPr>
        <w:pStyle w:val="BodyText"/>
        <w:spacing w:line="256" w:lineRule="auto"/>
        <w:ind w:left="573" w:right="0"/>
        <w:jc w:val="left"/>
      </w:pPr>
      <w:r>
        <w:rPr/>
        <w:t>（</w:t>
      </w:r>
      <w:r>
        <w:rPr>
          <w:rFonts w:ascii="Times New Roman" w:hAnsi="Times New Roman" w:cs="Times New Roman" w:eastAsia="Times New Roman" w:hint="default"/>
        </w:rPr>
        <w:t>3</w:t>
      </w:r>
      <w:r>
        <w:rPr/>
        <w:t>）行业竞争进一步加剧的风险</w:t>
      </w:r>
      <w:r>
        <w:rPr>
          <w:w w:val="100"/>
        </w:rPr>
        <w:t> </w:t>
      </w:r>
      <w:r>
        <w:rPr>
          <w:spacing w:val="-2"/>
        </w:rPr>
        <w:t>网络财经信息服务业是新兴行业，并且处于快速发展阶段，各种创新业务模式不断涌现，竞争较为激</w:t>
      </w:r>
    </w:p>
    <w:p>
      <w:pPr>
        <w:pStyle w:val="BodyText"/>
        <w:spacing w:line="273" w:lineRule="auto" w:before="22"/>
        <w:ind w:right="106"/>
        <w:jc w:val="both"/>
      </w:pPr>
      <w:r>
        <w:rPr>
          <w:spacing w:val="-2"/>
        </w:rPr>
        <w:t>烈，鉴于行业广阔的发展前景和国内资本市场的进一步开放，行业的参与者也将越来越多，这将进一步加</w:t>
      </w:r>
      <w:r>
        <w:rPr>
          <w:spacing w:val="-44"/>
        </w:rPr>
        <w:t> </w:t>
      </w:r>
      <w:r>
        <w:rPr>
          <w:spacing w:val="-44"/>
        </w:rPr>
      </w:r>
      <w:r>
        <w:rPr>
          <w:spacing w:val="-2"/>
        </w:rPr>
        <w:t>剧竞争，而缺乏竞争力和核心优势的企业将会被市场淘汰。如果公司不能紧跟行业发展形势，提高公司的</w:t>
      </w:r>
      <w:r>
        <w:rPr>
          <w:spacing w:val="-42"/>
        </w:rPr>
        <w:t> </w:t>
      </w:r>
      <w:r>
        <w:rPr>
          <w:spacing w:val="-42"/>
        </w:rPr>
      </w:r>
      <w:r>
        <w:rPr/>
        <w:t>竞争力和核心优势，可能将无法适应激烈的行业竞争。</w:t>
      </w:r>
    </w:p>
    <w:p>
      <w:pPr>
        <w:pStyle w:val="BodyText"/>
        <w:spacing w:line="273" w:lineRule="auto" w:before="8"/>
        <w:ind w:right="106" w:firstLine="420"/>
        <w:jc w:val="both"/>
      </w:pPr>
      <w:r>
        <w:rPr>
          <w:spacing w:val="-2"/>
        </w:rPr>
        <w:t>应对措施：公司将积极采取措施，加大研发投入，紧密跟踪行业发展趋势和前沿创新技术，并积极关</w:t>
      </w:r>
      <w:r>
        <w:rPr>
          <w:w w:val="100"/>
        </w:rPr>
        <w:t> </w:t>
      </w:r>
      <w:r>
        <w:rPr>
          <w:spacing w:val="-2"/>
        </w:rPr>
        <w:t>注行业竞争所带来的整合机遇，加强公司在用户访问量、用户黏性及技术方面的核心竞争优势，促进公司</w:t>
      </w:r>
      <w:r>
        <w:rPr>
          <w:spacing w:val="-44"/>
        </w:rPr>
        <w:t> </w:t>
      </w:r>
      <w:r>
        <w:rPr>
          <w:spacing w:val="-44"/>
        </w:rPr>
      </w:r>
      <w:r>
        <w:rPr/>
        <w:t>持续健康发展。</w:t>
      </w:r>
    </w:p>
    <w:p>
      <w:pPr>
        <w:spacing w:after="0" w:line="273" w:lineRule="auto"/>
        <w:jc w:val="both"/>
        <w:sectPr>
          <w:pgSz w:w="11910" w:h="16840"/>
          <w:pgMar w:header="852" w:footer="980" w:top="1340" w:bottom="1160" w:left="98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240" w:lineRule="auto"/>
        <w:ind w:left="3590" w:right="365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76"/>
        <w:jc w:val="left"/>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206" w:firstLine="420"/>
        <w:jc w:val="both"/>
      </w:pPr>
      <w:r>
        <w:rPr>
          <w:rFonts w:ascii="宋体" w:hAnsi="宋体" w:cs="宋体" w:eastAsia="宋体" w:hint="default"/>
          <w:spacing w:val="-2"/>
        </w:rPr>
        <w:t>2012</w:t>
      </w:r>
      <w:r>
        <w:rPr>
          <w:spacing w:val="-2"/>
        </w:rPr>
        <w:t>年，国际国内经济面临调整局面，整体经济环境更趋复杂多变，国际金融市场持续动荡，国内资</w:t>
      </w:r>
      <w:r>
        <w:rPr>
          <w:w w:val="100"/>
        </w:rPr>
        <w:t> </w:t>
      </w:r>
      <w:r>
        <w:rPr>
          <w:spacing w:val="-2"/>
        </w:rPr>
        <w:t>本市场持续低迷波动，网络财经信息服务业的发展受到了较大影响。面对这一形势，公司全体员工立足长</w:t>
      </w:r>
      <w:r>
        <w:rPr>
          <w:spacing w:val="-44"/>
        </w:rPr>
        <w:t> </w:t>
      </w:r>
      <w:r>
        <w:rPr>
          <w:spacing w:val="-44"/>
        </w:rPr>
      </w:r>
      <w:r>
        <w:rPr>
          <w:spacing w:val="-2"/>
        </w:rPr>
        <w:t>远，努力克服困难，认真扎实工作，积极推进财经大平台战略，认真落实</w:t>
      </w:r>
      <w:r>
        <w:rPr>
          <w:rFonts w:ascii="宋体" w:hAnsi="宋体" w:cs="宋体" w:eastAsia="宋体" w:hint="default"/>
          <w:spacing w:val="-2"/>
        </w:rPr>
        <w:t>2012</w:t>
      </w:r>
      <w:r>
        <w:rPr>
          <w:spacing w:val="-2"/>
        </w:rPr>
        <w:t>年度工作计划，努力推动主</w:t>
      </w:r>
      <w:r>
        <w:rPr>
          <w:spacing w:val="-46"/>
        </w:rPr>
        <w:t> </w:t>
      </w:r>
      <w:r>
        <w:rPr>
          <w:spacing w:val="-46"/>
        </w:rPr>
      </w:r>
      <w:r>
        <w:rPr>
          <w:spacing w:val="-2"/>
        </w:rPr>
        <w:t>营业务发展和募投项目顺利开展，积极拓展金融电子商务服务新业务，扎实推进内控规范实施工作，不断</w:t>
      </w:r>
      <w:r>
        <w:rPr>
          <w:spacing w:val="-42"/>
        </w:rPr>
        <w:t> </w:t>
      </w:r>
      <w:r>
        <w:rPr>
          <w:spacing w:val="-42"/>
        </w:rPr>
      </w:r>
      <w:r>
        <w:rPr/>
        <w:t>提高经营管理水平，进一步巩固和提升公司核心竞争力，为公司未来可持续健康发展打下坚实基础。</w:t>
      </w:r>
    </w:p>
    <w:p>
      <w:pPr>
        <w:pStyle w:val="BodyText"/>
        <w:spacing w:line="273" w:lineRule="auto"/>
        <w:ind w:right="206" w:firstLine="420"/>
        <w:jc w:val="both"/>
      </w:pPr>
      <w:r>
        <w:rPr>
          <w:spacing w:val="-2"/>
        </w:rPr>
        <w:t>报告期内，公司遵循互联网“用户为王”的本质，坚持以用户需求为中心，进一步加强硬件基础设施</w:t>
      </w:r>
      <w:r>
        <w:rPr>
          <w:w w:val="100"/>
        </w:rPr>
        <w:t> </w:t>
      </w:r>
      <w:r>
        <w:rPr>
          <w:spacing w:val="-2"/>
        </w:rPr>
        <w:t>投入，加强财经大平台系统架构体系的完善和建设，加强网站平台、金融终端平台、无线财经平台的研发</w:t>
      </w:r>
      <w:r>
        <w:rPr>
          <w:spacing w:val="-47"/>
        </w:rPr>
        <w:t> </w:t>
      </w:r>
      <w:r>
        <w:rPr>
          <w:spacing w:val="-47"/>
        </w:rPr>
      </w:r>
      <w:r>
        <w:rPr>
          <w:spacing w:val="-2"/>
        </w:rPr>
        <w:t>和创新，不断完善和提升用户体验，整体上实现了财经服务大平台的搭建和无缝链接，为公司未来为用户</w:t>
      </w:r>
      <w:r>
        <w:rPr>
          <w:spacing w:val="-44"/>
        </w:rPr>
        <w:t> </w:t>
      </w:r>
      <w:r>
        <w:rPr>
          <w:spacing w:val="-44"/>
        </w:rPr>
      </w:r>
      <w:r>
        <w:rPr/>
        <w:t>提供完整的一站式金融服务，奠定了坚实的平台基础，具有十分重要的战略意义。</w:t>
      </w:r>
    </w:p>
    <w:p>
      <w:pPr>
        <w:pStyle w:val="BodyText"/>
        <w:spacing w:line="273" w:lineRule="auto"/>
        <w:ind w:right="206" w:firstLine="420"/>
        <w:jc w:val="both"/>
      </w:pPr>
      <w:r>
        <w:rPr>
          <w:spacing w:val="-2"/>
        </w:rPr>
        <w:t>报告期内，公司对金融终端收费端产品进行了策略调整，金融数据服务业务预收收入出现了较大幅度</w:t>
      </w:r>
      <w:r>
        <w:rPr>
          <w:w w:val="100"/>
        </w:rPr>
        <w:t> </w:t>
      </w:r>
      <w:r>
        <w:rPr>
          <w:spacing w:val="-2"/>
        </w:rPr>
        <w:t>下降，金融数据服务业务收入较去年同期大幅下降。报告期内，公司进一步加大了东方财富通金融终端的</w:t>
      </w:r>
      <w:r>
        <w:rPr>
          <w:spacing w:val="-44"/>
        </w:rPr>
        <w:t> </w:t>
      </w:r>
      <w:r>
        <w:rPr>
          <w:spacing w:val="-44"/>
        </w:rPr>
      </w:r>
      <w:r>
        <w:rPr>
          <w:spacing w:val="-2"/>
        </w:rPr>
        <w:t>研发和推广，积极推进金融数据机构服务产品的研发，以期打造完整的金融终端服务大平台，满足个人用</w:t>
      </w:r>
      <w:r>
        <w:rPr>
          <w:spacing w:val="-43"/>
        </w:rPr>
        <w:t> </w:t>
      </w:r>
      <w:r>
        <w:rPr>
          <w:spacing w:val="-43"/>
        </w:rPr>
      </w:r>
      <w:r>
        <w:rPr>
          <w:spacing w:val="-2"/>
        </w:rPr>
        <w:t>户和机构用户对金融数据全平台、多终端、</w:t>
      </w:r>
      <w:r>
        <w:rPr>
          <w:rFonts w:ascii="宋体" w:hAnsi="宋体" w:cs="宋体" w:eastAsia="宋体" w:hint="default"/>
          <w:spacing w:val="-2"/>
        </w:rPr>
        <w:t>24</w:t>
      </w:r>
      <w:r>
        <w:rPr>
          <w:spacing w:val="-2"/>
        </w:rPr>
        <w:t>小时的个性化需求。报告期内，公司进一步加强了广告业务</w:t>
      </w:r>
      <w:r>
        <w:rPr>
          <w:spacing w:val="-45"/>
        </w:rPr>
        <w:t> </w:t>
      </w:r>
      <w:r>
        <w:rPr>
          <w:spacing w:val="-45"/>
        </w:rPr>
      </w:r>
      <w:r>
        <w:rPr>
          <w:spacing w:val="-2"/>
        </w:rPr>
        <w:t>营销服务体系的建设，推行条块化管理，加强落地化服务，完善绩效考核和激励机制，公司互联网广告服</w:t>
      </w:r>
      <w:r>
        <w:rPr>
          <w:spacing w:val="-50"/>
        </w:rPr>
        <w:t> </w:t>
      </w:r>
      <w:r>
        <w:rPr>
          <w:spacing w:val="-50"/>
        </w:rPr>
      </w:r>
      <w:r>
        <w:rPr/>
        <w:t>务业务发展总体平稳。</w:t>
      </w:r>
    </w:p>
    <w:p>
      <w:pPr>
        <w:pStyle w:val="BodyText"/>
        <w:spacing w:line="273" w:lineRule="auto"/>
        <w:ind w:right="76" w:firstLine="420"/>
        <w:jc w:val="left"/>
      </w:pPr>
      <w:r>
        <w:rPr/>
        <w:t>报告期内，公司根据中国证券监督管理委员会证监许可</w:t>
      </w:r>
      <w:r>
        <w:rPr>
          <w:rFonts w:ascii="宋体" w:hAnsi="宋体" w:cs="宋体" w:eastAsia="宋体" w:hint="default"/>
        </w:rPr>
        <w:t>[2012]206</w:t>
      </w:r>
      <w:r>
        <w:rPr/>
        <w:t>号《关于核准上海东方财富投资顾</w:t>
      </w:r>
      <w:r>
        <w:rPr>
          <w:w w:val="100"/>
        </w:rPr>
        <w:t> </w:t>
      </w:r>
      <w:r>
        <w:rPr/>
        <w:t>问有限公司证劵投资基金销售业务资格的批复》的要求，完成了子公司</w:t>
      </w:r>
      <w:r>
        <w:rPr>
          <w:spacing w:val="-5"/>
        </w:rPr>
        <w:t> </w:t>
      </w:r>
      <w:r>
        <w:rPr/>
        <w:t>“上海天天基金销售有限公司”</w:t>
      </w:r>
      <w:r>
        <w:rPr>
          <w:w w:val="100"/>
        </w:rPr>
        <w:t> </w:t>
      </w:r>
      <w:r>
        <w:rPr>
          <w:spacing w:val="-2"/>
        </w:rPr>
        <w:t>工商变更登记手续及证劵投资基金销售业务资格许可证的申领工作，并按照相关规定，积极做好基金第三</w:t>
      </w:r>
      <w:r>
        <w:rPr>
          <w:spacing w:val="-43"/>
        </w:rPr>
        <w:t> </w:t>
      </w:r>
      <w:r>
        <w:rPr>
          <w:spacing w:val="-43"/>
        </w:rPr>
      </w:r>
      <w:r>
        <w:rPr/>
        <w:t>方销售业务的筹备工作。</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20</w:t>
      </w:r>
      <w:r>
        <w:rPr/>
        <w:t>日起，对外正式开展证劵投资基金销售业务。公司坚持以客户为中</w:t>
      </w:r>
      <w:r>
        <w:rPr>
          <w:w w:val="100"/>
        </w:rPr>
        <w:t> </w:t>
      </w:r>
      <w:r>
        <w:rPr>
          <w:spacing w:val="-2"/>
        </w:rPr>
        <w:t>心，积极丰富基金产品线，提升交易功能，完善用户体验，提高服务质量和水平，努力做好基金第三方销</w:t>
      </w:r>
      <w:r>
        <w:rPr>
          <w:spacing w:val="-42"/>
        </w:rPr>
        <w:t> </w:t>
      </w:r>
      <w:r>
        <w:rPr>
          <w:spacing w:val="-42"/>
        </w:rPr>
      </w:r>
      <w:r>
        <w:rPr>
          <w:spacing w:val="-2"/>
        </w:rPr>
        <w:t>售业务的起步工作。经过下半年的试运行，总体实现了平稳开局。证劵投资基金销售业务的顺利开展，标</w:t>
      </w:r>
      <w:r>
        <w:rPr>
          <w:spacing w:val="-47"/>
        </w:rPr>
        <w:t> </w:t>
      </w:r>
      <w:r>
        <w:rPr>
          <w:spacing w:val="-47"/>
        </w:rPr>
      </w:r>
      <w:r>
        <w:rPr>
          <w:spacing w:val="-2"/>
        </w:rPr>
        <w:t>志着公司金融电子商务服务业务正式起步。在电子商务蓬勃发展的今天，金融电子商务未来发展的前景，</w:t>
      </w:r>
      <w:r>
        <w:rPr>
          <w:spacing w:val="-21"/>
        </w:rPr>
        <w:t> </w:t>
      </w:r>
      <w:r>
        <w:rPr>
          <w:spacing w:val="-21"/>
        </w:rPr>
      </w:r>
      <w:r>
        <w:rPr>
          <w:spacing w:val="-2"/>
        </w:rPr>
        <w:t>也将十分广阔，公司将会积极抓住机遇，充分发挥互联网财经大平台和海量用户的优势，全力做好金融电</w:t>
      </w:r>
      <w:r>
        <w:rPr>
          <w:spacing w:val="-44"/>
        </w:rPr>
        <w:t> </w:t>
      </w:r>
      <w:r>
        <w:rPr>
          <w:spacing w:val="-44"/>
        </w:rPr>
      </w:r>
      <w:r>
        <w:rPr>
          <w:spacing w:val="-2"/>
        </w:rPr>
        <w:t>子商务服务业务的拓展和推进工作，力争成为公司未来重要的战略业务和利润增长点，对公司未来业务结</w:t>
      </w:r>
      <w:r>
        <w:rPr>
          <w:spacing w:val="-41"/>
        </w:rPr>
        <w:t> </w:t>
      </w:r>
      <w:r>
        <w:rPr>
          <w:spacing w:val="-41"/>
        </w:rPr>
      </w:r>
      <w:r>
        <w:rPr/>
        <w:t>构进一步优化和长远业务发展持续成长，具有十分重要的战略意义。</w:t>
      </w:r>
    </w:p>
    <w:p>
      <w:pPr>
        <w:pStyle w:val="BodyText"/>
        <w:spacing w:line="273" w:lineRule="auto"/>
        <w:ind w:right="76" w:firstLine="420"/>
        <w:jc w:val="left"/>
      </w:pPr>
      <w:r>
        <w:rPr>
          <w:spacing w:val="-2"/>
        </w:rPr>
        <w:t>报告期内，公司进一步加强募投项目的建设和管理，严格规范募集资金的使用，继续稳步推进募集资</w:t>
      </w:r>
      <w:r>
        <w:rPr>
          <w:w w:val="100"/>
        </w:rPr>
        <w:t> </w:t>
      </w:r>
      <w:r>
        <w:rPr>
          <w:spacing w:val="-2"/>
        </w:rPr>
        <w:t>金投资项目的实施和建设，项目进展平稳、有序；同时，公司积极做好金融数据机构服务平台系统项目和</w:t>
      </w:r>
      <w:r>
        <w:rPr>
          <w:spacing w:val="-44"/>
        </w:rPr>
        <w:t> </w:t>
      </w:r>
      <w:r>
        <w:rPr>
          <w:spacing w:val="-44"/>
        </w:rPr>
      </w:r>
      <w:r>
        <w:rPr>
          <w:spacing w:val="-2"/>
        </w:rPr>
        <w:t>金融信息服务中心等超募资金投资项目的推进实施和协调工作。报告期末，公司完成了金融数据机构服务</w:t>
      </w:r>
      <w:r>
        <w:rPr>
          <w:spacing w:val="-43"/>
        </w:rPr>
        <w:t> </w:t>
      </w:r>
      <w:r>
        <w:rPr>
          <w:spacing w:val="-43"/>
        </w:rPr>
      </w:r>
      <w:r>
        <w:rPr/>
        <w:t>产品前期研发工作，</w:t>
      </w:r>
      <w:r>
        <w:rPr>
          <w:spacing w:val="-5"/>
        </w:rPr>
        <w:t> </w:t>
      </w:r>
      <w:r>
        <w:rPr>
          <w:rFonts w:ascii="宋体" w:hAnsi="宋体" w:cs="宋体" w:eastAsia="宋体" w:hint="default"/>
        </w:rPr>
        <w:t>2013</w:t>
      </w:r>
      <w:r>
        <w:rPr/>
        <w:t>年上半年将推出相关产品和服务，这对完善和提升金融数据服务业务，将起到</w:t>
      </w:r>
      <w:r>
        <w:rPr>
          <w:w w:val="100"/>
        </w:rPr>
        <w:t> </w:t>
      </w:r>
      <w:r>
        <w:rPr/>
        <w:t>积极的推动作用。</w:t>
      </w:r>
    </w:p>
    <w:p>
      <w:pPr>
        <w:pStyle w:val="BodyText"/>
        <w:spacing w:line="273" w:lineRule="auto"/>
        <w:ind w:right="206" w:firstLine="420"/>
        <w:jc w:val="both"/>
      </w:pPr>
      <w:r>
        <w:rPr>
          <w:spacing w:val="-2"/>
        </w:rPr>
        <w:t>报告期内，公司按照监管机构的部署和要求，制定并公布了公司内部控制规范实施工作方案，积极推</w:t>
      </w:r>
      <w:r>
        <w:rPr>
          <w:w w:val="100"/>
        </w:rPr>
        <w:t> </w:t>
      </w:r>
      <w:r>
        <w:rPr/>
        <w:t>进内部控制规范体系的试点实施工作。</w:t>
      </w:r>
    </w:p>
    <w:p>
      <w:pPr>
        <w:pStyle w:val="BodyText"/>
        <w:spacing w:line="273" w:lineRule="auto"/>
        <w:ind w:right="206" w:firstLine="420"/>
        <w:jc w:val="both"/>
      </w:pPr>
      <w:r>
        <w:rPr>
          <w:spacing w:val="-2"/>
        </w:rPr>
        <w:t>报告期内，公司进一步加强优秀人才的培养和引进工作，加强薪酬管理工作，完善考核激励制度，完</w:t>
      </w:r>
      <w:r>
        <w:rPr>
          <w:w w:val="100"/>
        </w:rPr>
        <w:t> </w:t>
      </w:r>
      <w:r>
        <w:rPr>
          <w:spacing w:val="-2"/>
        </w:rPr>
        <w:t>成了预留股票期权授予的相关工作，落实加强人力资源管理和人才队伍的建设，优化人力资源的配置。同</w:t>
      </w:r>
      <w:r>
        <w:rPr>
          <w:spacing w:val="-43"/>
        </w:rPr>
        <w:t> </w:t>
      </w:r>
      <w:r>
        <w:rPr>
          <w:spacing w:val="-43"/>
        </w:rPr>
      </w:r>
      <w:r>
        <w:rPr/>
        <w:t>时积极加强企业文化建设，为公司持续健康发展夯实人才基础，增强企业活力、凝聚力和市场竞争力。</w:t>
      </w:r>
    </w:p>
    <w:p>
      <w:pPr>
        <w:pStyle w:val="BodyText"/>
        <w:spacing w:line="273" w:lineRule="auto"/>
        <w:ind w:right="76" w:firstLine="420"/>
        <w:jc w:val="left"/>
      </w:pPr>
      <w:r>
        <w:rPr>
          <w:rFonts w:ascii="宋体" w:hAnsi="宋体" w:cs="宋体" w:eastAsia="宋体" w:hint="default"/>
          <w:spacing w:val="-2"/>
        </w:rPr>
        <w:t>2012</w:t>
      </w:r>
      <w:r>
        <w:rPr>
          <w:spacing w:val="-2"/>
        </w:rPr>
        <w:t>年度，公司实现营业收入</w:t>
      </w:r>
      <w:r>
        <w:rPr>
          <w:rFonts w:ascii="宋体" w:hAnsi="宋体" w:cs="宋体" w:eastAsia="宋体" w:hint="default"/>
          <w:spacing w:val="-2"/>
        </w:rPr>
        <w:t>22,270.15</w:t>
      </w:r>
      <w:r>
        <w:rPr>
          <w:spacing w:val="-2"/>
        </w:rPr>
        <w:t>万元，比上年同期下降</w:t>
      </w:r>
      <w:r>
        <w:rPr>
          <w:rFonts w:ascii="宋体" w:hAnsi="宋体" w:cs="宋体" w:eastAsia="宋体" w:hint="default"/>
          <w:spacing w:val="-2"/>
        </w:rPr>
        <w:t>20.55%</w:t>
      </w:r>
      <w:r>
        <w:rPr>
          <w:spacing w:val="-2"/>
        </w:rPr>
        <w:t>；实现营业利润</w:t>
      </w:r>
      <w:r>
        <w:rPr>
          <w:rFonts w:ascii="宋体" w:hAnsi="宋体" w:cs="宋体" w:eastAsia="宋体" w:hint="default"/>
          <w:spacing w:val="-2"/>
        </w:rPr>
        <w:t>3,532.53</w:t>
      </w:r>
      <w:r>
        <w:rPr>
          <w:spacing w:val="-2"/>
        </w:rPr>
        <w:t>万元，</w:t>
      </w:r>
      <w:r>
        <w:rPr>
          <w:w w:val="100"/>
        </w:rPr>
        <w:t> </w:t>
      </w:r>
      <w:r>
        <w:rPr/>
        <w:t>比上年同期下降</w:t>
      </w:r>
      <w:r>
        <w:rPr>
          <w:rFonts w:ascii="宋体" w:hAnsi="宋体" w:cs="宋体" w:eastAsia="宋体" w:hint="default"/>
        </w:rPr>
        <w:t>67.80%</w:t>
      </w:r>
      <w:r>
        <w:rPr/>
        <w:t>；归属于上市公司股东的净利润</w:t>
      </w:r>
      <w:r>
        <w:rPr>
          <w:rFonts w:ascii="宋体" w:hAnsi="宋体" w:cs="宋体" w:eastAsia="宋体" w:hint="default"/>
        </w:rPr>
        <w:t>3,758.19</w:t>
      </w:r>
      <w:r>
        <w:rPr/>
        <w:t>万元，比上年同期下降</w:t>
      </w:r>
      <w:r>
        <w:rPr>
          <w:rFonts w:ascii="宋体" w:hAnsi="宋体" w:cs="宋体" w:eastAsia="宋体" w:hint="default"/>
        </w:rPr>
        <w:t>64.72%</w:t>
      </w:r>
      <w:r>
        <w:rPr/>
        <w:t>。</w:t>
      </w:r>
    </w:p>
    <w:p>
      <w:pPr>
        <w:spacing w:after="0" w:line="273"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76"/>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76"/>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76"/>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12"/>
        <w:rPr>
          <w:rFonts w:ascii="宋体" w:hAnsi="宋体" w:cs="宋体" w:eastAsia="宋体" w:hint="default"/>
          <w:b/>
          <w:bCs/>
          <w:sz w:val="22"/>
          <w:szCs w:val="22"/>
        </w:rPr>
      </w:pPr>
    </w:p>
    <w:p>
      <w:pPr>
        <w:spacing w:before="44"/>
        <w:ind w:left="152" w:right="76"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94"/>
        <w:ind w:left="573" w:right="76"/>
        <w:jc w:val="left"/>
      </w:pPr>
      <w:r>
        <w:rPr/>
        <w:t>报告期内，由于整体经济下滑、资本市场持续低迷等原因，网络财经信息服务业的发展受到了较大影</w:t>
      </w:r>
    </w:p>
    <w:p>
      <w:pPr>
        <w:pStyle w:val="BodyText"/>
        <w:spacing w:line="273" w:lineRule="auto" w:before="37"/>
        <w:ind w:right="76"/>
        <w:jc w:val="left"/>
      </w:pPr>
      <w:r>
        <w:rPr>
          <w:spacing w:val="-2"/>
        </w:rPr>
        <w:t>响。同时，公司进行了金融终端收费端产品的策略调整，金融数据服务业务预收收入出现较大幅度下降，</w:t>
      </w:r>
      <w:r>
        <w:rPr>
          <w:spacing w:val="-21"/>
        </w:rPr>
        <w:t> </w:t>
      </w:r>
      <w:r>
        <w:rPr>
          <w:spacing w:val="-21"/>
        </w:rPr>
      </w:r>
      <w:r>
        <w:rPr/>
        <w:t>主营业务收入较去年同期出现较大幅度下降。</w:t>
      </w:r>
    </w:p>
    <w:p>
      <w:pPr>
        <w:spacing w:before="69"/>
        <w:ind w:left="152" w:right="76"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2" w:right="7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公司重大的在手订单情况</w:t>
      </w:r>
    </w:p>
    <w:p>
      <w:pPr>
        <w:spacing w:line="340" w:lineRule="auto" w:before="43"/>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数量分散的订单情况</w:t>
      </w:r>
    </w:p>
    <w:p>
      <w:pPr>
        <w:spacing w:line="340" w:lineRule="auto" w:before="39"/>
        <w:ind w:left="152" w:right="5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before="41"/>
        <w:ind w:left="152" w:right="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76"/>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539"/>
        <w:gridCol w:w="1368"/>
        <w:gridCol w:w="1366"/>
        <w:gridCol w:w="1368"/>
        <w:gridCol w:w="1369"/>
        <w:gridCol w:w="1366"/>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53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信息技术服务成本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64,732,333.89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60,150,212.35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7.62%</w:t>
            </w:r>
          </w:p>
        </w:tc>
      </w:tr>
    </w:tbl>
    <w:p>
      <w:pPr>
        <w:spacing w:line="240" w:lineRule="auto" w:before="3"/>
        <w:rPr>
          <w:rFonts w:ascii="宋体" w:hAnsi="宋体" w:cs="宋体" w:eastAsia="宋体" w:hint="default"/>
          <w:sz w:val="19"/>
          <w:szCs w:val="19"/>
        </w:rPr>
      </w:pPr>
    </w:p>
    <w:p>
      <w:pPr>
        <w:pStyle w:val="Heading5"/>
        <w:spacing w:line="240" w:lineRule="auto" w:before="36"/>
        <w:ind w:right="76"/>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96,748,393.17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109,836,587.04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sz w:val="18"/>
              </w:rPr>
              <w:t>-11.92%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234"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565" w:right="0"/>
              <w:jc w:val="left"/>
              <w:rPr>
                <w:rFonts w:ascii="Times New Roman" w:hAnsi="Times New Roman" w:cs="Times New Roman" w:eastAsia="Times New Roman" w:hint="default"/>
                <w:sz w:val="18"/>
                <w:szCs w:val="18"/>
              </w:rPr>
            </w:pPr>
            <w:r>
              <w:rPr>
                <w:rFonts w:ascii="Times New Roman"/>
                <w:sz w:val="18"/>
              </w:rPr>
              <w:t>65,386,886.85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571" w:right="0"/>
              <w:jc w:val="left"/>
              <w:rPr>
                <w:rFonts w:ascii="Times New Roman" w:hAnsi="Times New Roman" w:cs="Times New Roman" w:eastAsia="Times New Roman" w:hint="default"/>
                <w:sz w:val="18"/>
                <w:szCs w:val="18"/>
              </w:rPr>
            </w:pPr>
            <w:r>
              <w:rPr>
                <w:rFonts w:ascii="Times New Roman"/>
                <w:sz w:val="18"/>
              </w:rPr>
              <w:t>30,787,217.00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789" w:right="0"/>
              <w:jc w:val="left"/>
              <w:rPr>
                <w:rFonts w:ascii="Times New Roman" w:hAnsi="Times New Roman" w:cs="Times New Roman" w:eastAsia="Times New Roman" w:hint="default"/>
                <w:sz w:val="18"/>
                <w:szCs w:val="18"/>
              </w:rPr>
            </w:pPr>
            <w:r>
              <w:rPr>
                <w:rFonts w:ascii="Times New Roman"/>
                <w:sz w:val="18"/>
              </w:rPr>
              <w:t>112.38%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主要因为公司进一步加大了战略及 </w:t>
            </w:r>
            <w:r>
              <w:rPr>
                <w:rFonts w:ascii="宋体" w:hAnsi="宋体" w:cs="宋体" w:eastAsia="宋体" w:hint="default"/>
                <w:spacing w:val="-2"/>
                <w:sz w:val="18"/>
                <w:szCs w:val="18"/>
              </w:rPr>
              <w:t>业务投入，人员规模较去年同期有较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大幅度增长，管理费用较上年同期进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一步增长；同时，报告期内根据业务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发展的实际情况和内部组织架构服 </w:t>
            </w:r>
            <w:r>
              <w:rPr>
                <w:rFonts w:ascii="宋体" w:hAnsi="宋体" w:cs="宋体" w:eastAsia="宋体" w:hint="default"/>
                <w:spacing w:val="-2"/>
                <w:sz w:val="18"/>
                <w:szCs w:val="18"/>
              </w:rPr>
              <w:t>务职责的不断完善，对销售费用和管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理费用核算的组织架构，进行了完善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和调整，将原计入销售费用的相关部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门费用，自报告期初起，统一完善核</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234"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算口径计入管理费用。</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-48,779,024.89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-42,278,797.59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5,762,001.75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14,876,925.31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报告期内，企业所得税费用较上年同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期大幅下降</w:t>
            </w:r>
            <w:r>
              <w:rPr>
                <w:rFonts w:ascii="Times New Roman" w:hAnsi="Times New Roman" w:cs="Times New Roman" w:eastAsia="Times New Roman" w:hint="default"/>
                <w:sz w:val="18"/>
                <w:szCs w:val="18"/>
              </w:rPr>
              <w:t>,</w:t>
            </w:r>
            <w:r>
              <w:rPr>
                <w:rFonts w:ascii="宋体" w:hAnsi="宋体" w:cs="宋体" w:eastAsia="宋体" w:hint="default"/>
                <w:sz w:val="18"/>
                <w:szCs w:val="18"/>
              </w:rPr>
              <w:t>主要因为公司报告期内 利润总额较上年同期大幅下降。</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26" w:firstLine="420"/>
        <w:jc w:val="both"/>
      </w:pPr>
      <w:r>
        <w:rPr>
          <w:spacing w:val="-2"/>
        </w:rPr>
        <w:t>报告期内，为进一步巩固和加强公司核心竞争力，做好财经大平台的建设和完善工作，公司继续加强</w:t>
      </w:r>
      <w:r>
        <w:rPr>
          <w:w w:val="100"/>
        </w:rPr>
        <w:t> </w:t>
      </w:r>
      <w:r>
        <w:rPr>
          <w:spacing w:val="-2"/>
        </w:rPr>
        <w:t>研发工作，除了不断提升和加强现有产品和服务的技术能力外，同时针对行业发展趋势，积极做好新产品</w:t>
      </w:r>
      <w:r>
        <w:rPr>
          <w:spacing w:val="-43"/>
        </w:rPr>
        <w:t> </w:t>
      </w:r>
      <w:r>
        <w:rPr>
          <w:spacing w:val="-43"/>
        </w:rPr>
      </w:r>
      <w:r>
        <w:rPr/>
        <w:t>的研发和技术储备工作。报告期内，公司新增软件著作权</w:t>
      </w:r>
      <w:r>
        <w:rPr>
          <w:rFonts w:ascii="宋体" w:hAnsi="宋体" w:cs="宋体" w:eastAsia="宋体" w:hint="default"/>
        </w:rPr>
        <w:t>12</w:t>
      </w:r>
      <w:r>
        <w:rPr/>
        <w:t>项，新增非专利技术</w:t>
      </w:r>
      <w:r>
        <w:rPr>
          <w:rFonts w:ascii="宋体" w:hAnsi="宋体" w:cs="宋体" w:eastAsia="宋体" w:hint="default"/>
        </w:rPr>
        <w:t>4</w:t>
      </w:r>
      <w:r>
        <w:rPr/>
        <w:t>项。</w:t>
      </w:r>
    </w:p>
    <w:p>
      <w:pPr>
        <w:spacing w:line="240" w:lineRule="auto" w:before="2"/>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47"/>
        <w:gridCol w:w="1456"/>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39,596,000.00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10,974,682.94</w:t>
            </w:r>
          </w:p>
        </w:tc>
      </w:tr>
      <w:tr>
        <w:trPr>
          <w:trHeight w:val="403"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47" w:type="dxa"/>
            <w:tcBorders>
              <w:top w:val="single" w:sz="4" w:space="0" w:color="000000"/>
              <w:left w:val="single" w:sz="23" w:space="0" w:color="FFFFFF"/>
              <w:bottom w:val="single" w:sz="4" w:space="0" w:color="000000"/>
              <w:right w:val="nil" w:sz="6" w:space="0" w:color="auto"/>
            </w:tcBorders>
          </w:tcPr>
          <w:p>
            <w:pP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17.78%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pict>
          <v:shape style="position:absolute;margin-left:170.300003pt;margin-top:-32.73634pt;width:124.25pt;height:19.7pt;mso-position-horizontal-relative:page;mso-position-vertical-relative:paragraph;z-index:-6615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7.740005pt;margin-top:-32.73634pt;width:116.8pt;height:19.7pt;mso-position-horizontal-relative:page;mso-position-vertical-relative:paragraph;z-index:-661528" coordorigin="3555,-655" coordsize="2336,394">
            <v:shape style="position:absolute;left:3555;top:-655;width:2336;height:394" coordorigin="3555,-655" coordsize="2336,394" path="m3555,-261l5890,-261,5890,-655,3555,-655,3555,-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241,435,491.80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363,189,527.86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-33.52%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221,271,737.41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207,139,747.75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20,163,754.39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156,049,780.11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-87.08%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60,583,397.26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14,093,823.74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235,206,598.43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-94.01%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46,489,573.52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-194,106,598.43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123.95%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21,183,055.72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-21,183,055.72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45,470,272.19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-59,056,818.32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273" w:lineRule="auto" w:before="94"/>
        <w:ind w:right="0" w:firstLine="420"/>
        <w:jc w:val="left"/>
      </w:pPr>
      <w:r>
        <w:rPr>
          <w:spacing w:val="-2"/>
        </w:rPr>
        <w:t>报告期内，公司经营活动现金流入及经营活动产生的现金流量净额较上年同期相比出现较大幅度的下</w:t>
      </w:r>
      <w:r>
        <w:rPr>
          <w:w w:val="100"/>
        </w:rPr>
        <w:t> </w:t>
      </w:r>
      <w:r>
        <w:rPr/>
        <w:t>降，主要由于金融数据服务业务预收收入下降及上年同期收回了土地竞拍押金所致。</w:t>
      </w:r>
    </w:p>
    <w:p>
      <w:pPr>
        <w:pStyle w:val="BodyText"/>
        <w:spacing w:line="273" w:lineRule="auto"/>
        <w:ind w:left="573" w:right="0"/>
        <w:jc w:val="left"/>
      </w:pPr>
      <w:r>
        <w:rPr>
          <w:spacing w:val="-2"/>
        </w:rPr>
        <w:t>报告期内，投资活动现金流入量较上年同期增加，主要由于报告期内，人民币结构性存款到期收回。</w:t>
      </w:r>
      <w:r>
        <w:rPr>
          <w:spacing w:val="-27"/>
        </w:rPr>
        <w:t> </w:t>
      </w:r>
      <w:r>
        <w:rPr>
          <w:spacing w:val="-27"/>
        </w:rPr>
      </w:r>
      <w:r>
        <w:rPr>
          <w:spacing w:val="-2"/>
        </w:rPr>
        <w:t>报告期内，投资活动现金流出量较上年同期减少，主要由于上年同期公司支付了金融信息服务中心项</w:t>
      </w:r>
    </w:p>
    <w:p>
      <w:pPr>
        <w:pStyle w:val="BodyText"/>
        <w:spacing w:line="240" w:lineRule="auto"/>
        <w:ind w:right="0"/>
        <w:jc w:val="left"/>
      </w:pPr>
      <w:r>
        <w:rPr/>
        <w:t>目建设用地款。</w:t>
      </w:r>
    </w:p>
    <w:p>
      <w:pPr>
        <w:spacing w:after="0" w:line="240" w:lineRule="auto"/>
        <w:jc w:val="left"/>
        <w:sectPr>
          <w:pgSz w:w="11910" w:h="16840"/>
          <w:pgMar w:header="852" w:footer="980" w:top="1340" w:bottom="1160" w:left="980" w:right="1000"/>
        </w:sectPr>
      </w:pPr>
    </w:p>
    <w:p>
      <w:pPr>
        <w:spacing w:before="95"/>
        <w:ind w:left="152" w:right="76"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2" w:right="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76"/>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4"/>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29,142,722.37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13.09%</w:t>
            </w:r>
          </w:p>
        </w:tc>
      </w:tr>
    </w:tbl>
    <w:p>
      <w:pPr>
        <w:spacing w:before="49"/>
        <w:ind w:left="152" w:right="76"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1"/>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33,169,668.92</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49.53%</w:t>
            </w:r>
          </w:p>
        </w:tc>
      </w:tr>
    </w:tbl>
    <w:p>
      <w:pPr>
        <w:spacing w:before="49"/>
        <w:ind w:left="152" w:right="76" w:firstLine="0"/>
        <w:jc w:val="left"/>
        <w:rPr>
          <w:rFonts w:ascii="宋体" w:hAnsi="宋体" w:cs="宋体" w:eastAsia="宋体" w:hint="default"/>
          <w:sz w:val="18"/>
          <w:szCs w:val="18"/>
        </w:rPr>
      </w:pPr>
      <w:r>
        <w:rPr/>
        <w:pict>
          <v:shape style="position:absolute;margin-left:263.570007pt;margin-top:-20.1583pt;width:270.2pt;height:19.7pt;mso-position-horizontal-relative:page;mso-position-vertical-relative:paragraph;z-index:-6615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1583pt;width:262.75pt;height:19.7pt;mso-position-horizontal-relative:page;mso-position-vertical-relative:paragraph;z-index:-661480"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1"/>
        <w:ind w:left="152" w:right="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76"/>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before="115"/>
        <w:ind w:left="152" w:right="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76" w:firstLine="420"/>
        <w:jc w:val="left"/>
      </w:pPr>
      <w:r>
        <w:rPr/>
        <w:t>报告期内，公司按照在首次公开发行招股说明书中披露的发展战略，制定符合发展战略的经营计划，</w:t>
      </w:r>
      <w:r>
        <w:rPr>
          <w:w w:val="100"/>
        </w:rPr>
        <w:t> </w:t>
      </w:r>
      <w:r>
        <w:rPr>
          <w:spacing w:val="-2"/>
        </w:rPr>
        <w:t>积极推进财经大平台战略。公司进一步加大建立和完善海量财经资讯库和海量金融数据库的投入力度，扩</w:t>
      </w:r>
      <w:r>
        <w:rPr>
          <w:spacing w:val="-44"/>
        </w:rPr>
        <w:t> </w:t>
      </w:r>
      <w:r>
        <w:rPr>
          <w:spacing w:val="-44"/>
        </w:rPr>
      </w:r>
      <w:r>
        <w:rPr>
          <w:spacing w:val="-2"/>
        </w:rPr>
        <w:t>大财经资讯和金融数据库的覆盖面，满足用户对海量财经资讯和金融数据的需求。加大对海量财经资讯和</w:t>
      </w:r>
      <w:r>
        <w:rPr>
          <w:spacing w:val="-42"/>
        </w:rPr>
        <w:t> </w:t>
      </w:r>
      <w:r>
        <w:rPr>
          <w:spacing w:val="-42"/>
        </w:rPr>
      </w:r>
      <w:r>
        <w:rPr>
          <w:spacing w:val="-2"/>
        </w:rPr>
        <w:t>金融数据的整合和加工处理能力，提高财经资讯的可读性、可检索性和相关性。加强并完善博客、股吧等</w:t>
      </w:r>
      <w:r>
        <w:rPr>
          <w:spacing w:val="-47"/>
        </w:rPr>
        <w:t> </w:t>
      </w:r>
      <w:r>
        <w:rPr>
          <w:spacing w:val="-47"/>
        </w:rPr>
      </w:r>
      <w:r>
        <w:rPr>
          <w:spacing w:val="-5"/>
        </w:rPr>
        <w:t>互动频道和栏目功能，加强微博平台的优化和创新。同时完善多媒体财经视频服务，满足用户对财经新闻、</w:t>
      </w:r>
      <w:r>
        <w:rPr>
          <w:spacing w:val="-6"/>
        </w:rPr>
        <w:t> </w:t>
      </w:r>
      <w:r>
        <w:rPr>
          <w:spacing w:val="-6"/>
        </w:rPr>
      </w:r>
      <w:r>
        <w:rPr>
          <w:spacing w:val="-5"/>
        </w:rPr>
        <w:t>金融资讯、证券市场行情的视听多媒体需求，丰富财经信息平台的内容和表现方式，提升用户的使用体验。</w:t>
      </w:r>
      <w:r>
        <w:rPr>
          <w:spacing w:val="-4"/>
        </w:rPr>
        <w:t> </w:t>
      </w:r>
      <w:r>
        <w:rPr>
          <w:spacing w:val="-4"/>
        </w:rPr>
      </w:r>
      <w:r>
        <w:rPr>
          <w:spacing w:val="-2"/>
        </w:rPr>
        <w:t>拓展和延伸金融数据终端平台和无线财经信息平台，满足用户在不同环境下对财经信息和金融数据的全天</w:t>
      </w:r>
      <w:r>
        <w:rPr>
          <w:spacing w:val="-43"/>
        </w:rPr>
        <w:t> </w:t>
      </w:r>
      <w:r>
        <w:rPr>
          <w:spacing w:val="-43"/>
        </w:rPr>
      </w:r>
      <w:r>
        <w:rPr>
          <w:spacing w:val="-2"/>
        </w:rPr>
        <w:t>候需求，提升财经大平台的服务能力和水平，提升用户黏性。积极拓展和推进金融电子商务服务业务，丰</w:t>
      </w:r>
      <w:r>
        <w:rPr>
          <w:spacing w:val="-47"/>
        </w:rPr>
        <w:t> </w:t>
      </w:r>
      <w:r>
        <w:rPr>
          <w:spacing w:val="-47"/>
        </w:rPr>
      </w:r>
      <w:r>
        <w:rPr/>
        <w:t>富财经大平台的服务范围，进一步巩固和提升了公司的核心竞争力，夯实了公司持续健康发展的基础。</w:t>
      </w:r>
    </w:p>
    <w:p>
      <w:pPr>
        <w:spacing w:line="240" w:lineRule="auto" w:before="0"/>
        <w:rPr>
          <w:rFonts w:ascii="宋体" w:hAnsi="宋体" w:cs="宋体" w:eastAsia="宋体" w:hint="default"/>
          <w:sz w:val="20"/>
          <w:szCs w:val="20"/>
        </w:rPr>
      </w:pPr>
    </w:p>
    <w:p>
      <w:pPr>
        <w:spacing w:before="160"/>
        <w:ind w:left="152" w:right="76"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273" w:lineRule="auto" w:before="94"/>
        <w:ind w:right="206" w:firstLine="420"/>
        <w:jc w:val="both"/>
      </w:pPr>
      <w:r>
        <w:rPr/>
        <w:t>报告期内，公司全体员工立足长远发展，认真落实 </w:t>
      </w:r>
      <w:r>
        <w:rPr>
          <w:rFonts w:ascii="宋体" w:hAnsi="宋体" w:cs="宋体" w:eastAsia="宋体" w:hint="default"/>
        </w:rPr>
        <w:t>2012</w:t>
      </w:r>
      <w:r>
        <w:rPr>
          <w:rFonts w:ascii="宋体" w:hAnsi="宋体" w:cs="宋体" w:eastAsia="宋体" w:hint="default"/>
          <w:spacing w:val="-61"/>
        </w:rPr>
        <w:t> </w:t>
      </w:r>
      <w:r>
        <w:rPr/>
        <w:t>年度工作计划，积极推进财经大平台战略，</w:t>
      </w:r>
      <w:r>
        <w:rPr>
          <w:w w:val="100"/>
        </w:rPr>
        <w:t> </w:t>
      </w:r>
      <w:r>
        <w:rPr>
          <w:spacing w:val="-2"/>
        </w:rPr>
        <w:t>努力推动主营业务发展，积极做好基金第三方销售业务开局工作，做好募投项目建设工作，积极推进内控</w:t>
      </w:r>
      <w:r>
        <w:rPr>
          <w:spacing w:val="-44"/>
        </w:rPr>
        <w:t> </w:t>
      </w:r>
      <w:r>
        <w:rPr>
          <w:spacing w:val="-44"/>
        </w:rPr>
      </w:r>
      <w:r>
        <w:rPr>
          <w:spacing w:val="-2"/>
        </w:rPr>
        <w:t>规范实施工作，不断提高经营管理水平，进一步巩固和提升公司的核心竞争力，为公司未来可持续健康发</w:t>
      </w:r>
      <w:r>
        <w:rPr>
          <w:spacing w:val="-44"/>
        </w:rPr>
        <w:t> </w:t>
      </w:r>
      <w:r>
        <w:rPr>
          <w:spacing w:val="-44"/>
        </w:rPr>
      </w:r>
      <w:r>
        <w:rPr/>
        <w:t>展打下坚实基础。</w:t>
      </w:r>
    </w:p>
    <w:p>
      <w:pPr>
        <w:pStyle w:val="BodyText"/>
        <w:spacing w:line="273" w:lineRule="auto"/>
        <w:ind w:right="206" w:firstLine="420"/>
        <w:jc w:val="both"/>
      </w:pPr>
      <w:r>
        <w:rPr>
          <w:spacing w:val="-2"/>
        </w:rPr>
        <w:t>研发和创新方面：公司以用户需求为中心，持续不断推进产品和服务的升级和创新。加强硬件基础设</w:t>
      </w:r>
      <w:r>
        <w:rPr>
          <w:w w:val="100"/>
        </w:rPr>
        <w:t> </w:t>
      </w:r>
      <w:r>
        <w:rPr>
          <w:spacing w:val="-2"/>
        </w:rPr>
        <w:t>施建设，加强网站平台、金融终端收费端和免费端平台、无线财经平台的研发和创新，不断完善大平台系</w:t>
      </w:r>
      <w:r>
        <w:rPr>
          <w:spacing w:val="-47"/>
        </w:rPr>
        <w:t> </w:t>
      </w:r>
      <w:r>
        <w:rPr>
          <w:spacing w:val="-47"/>
        </w:rPr>
      </w:r>
      <w:r>
        <w:rPr/>
        <w:t>统架构体系。</w:t>
      </w:r>
    </w:p>
    <w:p>
      <w:pPr>
        <w:pStyle w:val="BodyText"/>
        <w:spacing w:line="273" w:lineRule="auto"/>
        <w:ind w:left="573" w:right="76"/>
        <w:jc w:val="left"/>
      </w:pPr>
      <w:r>
        <w:rPr/>
        <w:t>品牌建设方面：公司加强了品牌宣传的力度，公司知名度和品牌形象力得到进一步的提升。</w:t>
      </w:r>
      <w:r>
        <w:rPr>
          <w:w w:val="100"/>
        </w:rPr>
        <w:t> </w:t>
      </w:r>
      <w:r>
        <w:rPr>
          <w:spacing w:val="-3"/>
        </w:rPr>
        <w:t>业务拓展方面：金融数据服务业务方面，报告期内，公司进行了收费端产品的调整，预收收入出现较</w:t>
      </w:r>
    </w:p>
    <w:p>
      <w:pPr>
        <w:pStyle w:val="BodyText"/>
        <w:spacing w:line="273" w:lineRule="auto"/>
        <w:ind w:right="76"/>
        <w:jc w:val="left"/>
      </w:pPr>
      <w:r>
        <w:rPr/>
        <w:t>大幅度下降，对</w:t>
      </w:r>
      <w:r>
        <w:rPr>
          <w:spacing w:val="-56"/>
        </w:rPr>
        <w:t> </w:t>
      </w:r>
      <w:r>
        <w:rPr>
          <w:rFonts w:ascii="宋体" w:hAnsi="宋体" w:cs="宋体" w:eastAsia="宋体" w:hint="default"/>
        </w:rPr>
        <w:t>2012</w:t>
      </w:r>
      <w:r>
        <w:rPr>
          <w:rFonts w:ascii="宋体" w:hAnsi="宋体" w:cs="宋体" w:eastAsia="宋体" w:hint="default"/>
          <w:spacing w:val="-56"/>
        </w:rPr>
        <w:t> </w:t>
      </w:r>
      <w:r>
        <w:rPr/>
        <w:t>年度主营业务收入有较大影响。同时，公司进一步加强免费端东方财富通和无线财</w:t>
      </w:r>
      <w:r>
        <w:rPr>
          <w:w w:val="100"/>
        </w:rPr>
        <w:t> </w:t>
      </w:r>
      <w:r>
        <w:rPr>
          <w:spacing w:val="-2"/>
        </w:rPr>
        <w:t>经平台的研发和宣传推广应用，积极推进金融数据机构服务产品的研发，报告期末，完成了金融数据机构</w:t>
      </w:r>
    </w:p>
    <w:p>
      <w:pPr>
        <w:spacing w:after="0" w:line="273"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right="206"/>
        <w:jc w:val="both"/>
      </w:pPr>
      <w:r>
        <w:rPr>
          <w:spacing w:val="-2"/>
        </w:rPr>
        <w:t>服务产品前期研发工作。互联网广告服务业务方面，面对市场压力，公司进一步加强了广告业务营销服务</w:t>
      </w:r>
      <w:r>
        <w:rPr>
          <w:spacing w:val="-42"/>
        </w:rPr>
        <w:t> </w:t>
      </w:r>
      <w:r>
        <w:rPr>
          <w:spacing w:val="-42"/>
        </w:rPr>
      </w:r>
      <w:r>
        <w:rPr>
          <w:spacing w:val="-2"/>
        </w:rPr>
        <w:t>体系的建设，推行条块化管理，加强落地化服务，完善绩效考核和激励机制，实现了互联网广告服务业务</w:t>
      </w:r>
      <w:r>
        <w:rPr>
          <w:spacing w:val="-47"/>
        </w:rPr>
        <w:t> </w:t>
      </w:r>
      <w:r>
        <w:rPr>
          <w:spacing w:val="-47"/>
        </w:rPr>
      </w:r>
      <w:r>
        <w:rPr/>
        <w:t>的平稳发展。</w:t>
      </w:r>
    </w:p>
    <w:p>
      <w:pPr>
        <w:pStyle w:val="BodyText"/>
        <w:spacing w:line="273" w:lineRule="auto" w:before="48"/>
        <w:ind w:right="206" w:firstLine="420"/>
        <w:jc w:val="both"/>
      </w:pPr>
      <w:r>
        <w:rPr/>
        <w:t>基金第三方销售业务方面：报告期内，公司根据中国证券监督管理委员会证监许可</w:t>
      </w:r>
      <w:r>
        <w:rPr>
          <w:rFonts w:ascii="宋体" w:hAnsi="宋体" w:cs="宋体" w:eastAsia="宋体" w:hint="default"/>
        </w:rPr>
        <w:t>[2012]206</w:t>
      </w:r>
      <w:r>
        <w:rPr>
          <w:rFonts w:ascii="宋体" w:hAnsi="宋体" w:cs="宋体" w:eastAsia="宋体" w:hint="default"/>
          <w:spacing w:val="-56"/>
        </w:rPr>
        <w:t> </w:t>
      </w:r>
      <w:r>
        <w:rPr/>
        <w:t>号《关</w:t>
      </w:r>
      <w:r>
        <w:rPr>
          <w:w w:val="100"/>
        </w:rPr>
        <w:t> </w:t>
      </w:r>
      <w:r>
        <w:rPr>
          <w:spacing w:val="-2"/>
        </w:rPr>
        <w:t>于核准上海东方财富投资顾问有限公司证劵投资基金销售业务资格的批复》的要求，完成了子公司工商变</w:t>
      </w:r>
      <w:r>
        <w:rPr>
          <w:spacing w:val="-43"/>
        </w:rPr>
        <w:t> </w:t>
      </w:r>
      <w:r>
        <w:rPr>
          <w:spacing w:val="-43"/>
        </w:rPr>
      </w:r>
      <w:r>
        <w:rPr>
          <w:spacing w:val="-2"/>
        </w:rPr>
        <w:t>更登记及证劵投资基金销售业务资格许可证的申领工作。同时，按照相关规定，积极做好基金第三方销售</w:t>
      </w:r>
      <w:r>
        <w:rPr>
          <w:spacing w:val="-43"/>
        </w:rPr>
        <w:t> </w:t>
      </w:r>
      <w:r>
        <w:rPr>
          <w:spacing w:val="-43"/>
        </w:rPr>
      </w:r>
      <w:r>
        <w:rPr/>
        <w:t>的筹备工作，并于</w:t>
      </w:r>
      <w:r>
        <w:rPr>
          <w:spacing w:val="-45"/>
        </w:rPr>
        <w:t> </w:t>
      </w:r>
      <w:r>
        <w:rPr>
          <w:rFonts w:ascii="宋体" w:hAnsi="宋体" w:cs="宋体" w:eastAsia="宋体" w:hint="default"/>
        </w:rPr>
        <w:t>2012</w:t>
      </w:r>
      <w:r>
        <w:rPr>
          <w:rFonts w:ascii="宋体" w:hAnsi="宋体" w:cs="宋体" w:eastAsia="宋体" w:hint="default"/>
          <w:spacing w:val="-45"/>
        </w:rPr>
        <w:t> </w:t>
      </w:r>
      <w:r>
        <w:rPr/>
        <w:t>年</w:t>
      </w:r>
      <w:r>
        <w:rPr>
          <w:spacing w:val="-43"/>
        </w:rPr>
        <w:t> </w:t>
      </w:r>
      <w:r>
        <w:rPr>
          <w:rFonts w:ascii="宋体" w:hAnsi="宋体" w:cs="宋体" w:eastAsia="宋体" w:hint="default"/>
        </w:rPr>
        <w:t>7</w:t>
      </w:r>
      <w:r>
        <w:rPr>
          <w:rFonts w:ascii="宋体" w:hAnsi="宋体" w:cs="宋体" w:eastAsia="宋体" w:hint="default"/>
          <w:spacing w:val="-45"/>
        </w:rPr>
        <w:t> </w:t>
      </w:r>
      <w:r>
        <w:rPr/>
        <w:t>月</w:t>
      </w:r>
      <w:r>
        <w:rPr>
          <w:spacing w:val="-41"/>
        </w:rPr>
        <w:t> </w:t>
      </w:r>
      <w:r>
        <w:rPr>
          <w:rFonts w:ascii="宋体" w:hAnsi="宋体" w:cs="宋体" w:eastAsia="宋体" w:hint="default"/>
        </w:rPr>
        <w:t>20</w:t>
      </w:r>
      <w:r>
        <w:rPr>
          <w:rFonts w:ascii="宋体" w:hAnsi="宋体" w:cs="宋体" w:eastAsia="宋体" w:hint="default"/>
          <w:spacing w:val="-45"/>
        </w:rPr>
        <w:t> </w:t>
      </w:r>
      <w:r>
        <w:rPr>
          <w:spacing w:val="-3"/>
        </w:rPr>
        <w:t>日起，正式对外开展业务。面对国内资本市场的持续低迷波动，公司坚</w:t>
      </w:r>
      <w:r>
        <w:rPr>
          <w:spacing w:val="-100"/>
        </w:rPr>
        <w:t> </w:t>
      </w:r>
      <w:r>
        <w:rPr>
          <w:spacing w:val="-100"/>
        </w:rPr>
      </w:r>
      <w:r>
        <w:rPr>
          <w:spacing w:val="-2"/>
        </w:rPr>
        <w:t>持以“客户为中心”，积极丰富基金产品线，提升交易功能，提升用户体验，提高服务质量和水平，截止</w:t>
      </w:r>
      <w:r>
        <w:rPr>
          <w:spacing w:val="-48"/>
        </w:rPr>
        <w:t> </w:t>
      </w:r>
      <w:r>
        <w:rPr>
          <w:spacing w:val="-48"/>
        </w:rPr>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日，公司共推出了</w:t>
      </w:r>
      <w:r>
        <w:rPr>
          <w:spacing w:val="-53"/>
        </w:rPr>
        <w:t> </w:t>
      </w:r>
      <w:r>
        <w:rPr>
          <w:rFonts w:ascii="宋体" w:hAnsi="宋体" w:cs="宋体" w:eastAsia="宋体" w:hint="default"/>
        </w:rPr>
        <w:t>41</w:t>
      </w:r>
      <w:r>
        <w:rPr>
          <w:rFonts w:ascii="宋体" w:hAnsi="宋体" w:cs="宋体" w:eastAsia="宋体" w:hint="default"/>
          <w:spacing w:val="-54"/>
        </w:rPr>
        <w:t> </w:t>
      </w:r>
      <w:r>
        <w:rPr/>
        <w:t>家基金公司的</w:t>
      </w:r>
      <w:r>
        <w:rPr>
          <w:spacing w:val="-54"/>
        </w:rPr>
        <w:t> </w:t>
      </w:r>
      <w:r>
        <w:rPr>
          <w:rFonts w:ascii="宋体" w:hAnsi="宋体" w:cs="宋体" w:eastAsia="宋体" w:hint="default"/>
        </w:rPr>
        <w:t>681</w:t>
      </w:r>
      <w:r>
        <w:rPr>
          <w:rFonts w:ascii="宋体" w:hAnsi="宋体" w:cs="宋体" w:eastAsia="宋体" w:hint="default"/>
          <w:spacing w:val="-56"/>
        </w:rPr>
        <w:t> </w:t>
      </w:r>
      <w:r>
        <w:rPr/>
        <w:t>支基金产品。报告期内，公司金融电子商务平台</w:t>
      </w:r>
    </w:p>
    <w:p>
      <w:pPr>
        <w:pStyle w:val="BodyText"/>
        <w:spacing w:line="273" w:lineRule="auto"/>
        <w:ind w:right="211"/>
        <w:jc w:val="both"/>
      </w:pPr>
      <w:r>
        <w:rPr/>
        <w:t>共计实现基金认申购及定期定额申购交易</w:t>
      </w:r>
      <w:r>
        <w:rPr>
          <w:spacing w:val="-48"/>
        </w:rPr>
        <w:t> </w:t>
      </w:r>
      <w:r>
        <w:rPr>
          <w:rFonts w:ascii="宋体" w:hAnsi="宋体" w:cs="宋体" w:eastAsia="宋体" w:hint="default"/>
        </w:rPr>
        <w:t>6175</w:t>
      </w:r>
      <w:r>
        <w:rPr>
          <w:rFonts w:ascii="宋体" w:hAnsi="宋体" w:cs="宋体" w:eastAsia="宋体" w:hint="default"/>
          <w:spacing w:val="-46"/>
        </w:rPr>
        <w:t> </w:t>
      </w:r>
      <w:r>
        <w:rPr>
          <w:spacing w:val="-3"/>
        </w:rPr>
        <w:t>笔，基金销售额为</w:t>
      </w:r>
      <w:r>
        <w:rPr>
          <w:spacing w:val="-45"/>
        </w:rPr>
        <w:t> </w:t>
      </w:r>
      <w:r>
        <w:rPr>
          <w:rFonts w:ascii="宋体" w:hAnsi="宋体" w:cs="宋体" w:eastAsia="宋体" w:hint="default"/>
        </w:rPr>
        <w:t>7,035.80</w:t>
      </w:r>
      <w:r>
        <w:rPr>
          <w:rFonts w:ascii="宋体" w:hAnsi="宋体" w:cs="宋体" w:eastAsia="宋体" w:hint="default"/>
          <w:spacing w:val="-48"/>
        </w:rPr>
        <w:t> </w:t>
      </w:r>
      <w:r>
        <w:rPr>
          <w:spacing w:val="-3"/>
        </w:rPr>
        <w:t>万元，总体开局顺利，为该未</w:t>
      </w:r>
      <w:r>
        <w:rPr>
          <w:spacing w:val="-102"/>
        </w:rPr>
        <w:t> </w:t>
      </w:r>
      <w:r>
        <w:rPr>
          <w:spacing w:val="-102"/>
        </w:rPr>
      </w:r>
      <w:r>
        <w:rPr/>
        <w:t>来业务的健康发展，为公司金融电子商务服务业务的拓展和推进，打下了坚实的基础。</w:t>
      </w:r>
    </w:p>
    <w:p>
      <w:pPr>
        <w:pStyle w:val="BodyText"/>
        <w:spacing w:line="273" w:lineRule="auto" w:before="46"/>
        <w:ind w:right="103" w:firstLine="420"/>
        <w:jc w:val="both"/>
      </w:pPr>
      <w:r>
        <w:rPr/>
        <w:t>募投项目建设方面：报告期内，公司进一步加强募投项目的建设和管理，严格规范募集资金的使用，</w:t>
      </w:r>
      <w:r>
        <w:rPr>
          <w:w w:val="100"/>
        </w:rPr>
        <w:t> </w:t>
      </w:r>
      <w:r>
        <w:rPr>
          <w:spacing w:val="-2"/>
        </w:rPr>
        <w:t>继续稳步推进《大型网络在线平台系统升级项目》、《在线金融数据服务系统升级项目》、《基于手机端</w:t>
      </w:r>
      <w:r>
        <w:rPr>
          <w:spacing w:val="-45"/>
        </w:rPr>
        <w:t> </w:t>
      </w:r>
      <w:r>
        <w:rPr>
          <w:spacing w:val="-45"/>
        </w:rPr>
      </w:r>
      <w:r>
        <w:rPr>
          <w:spacing w:val="-2"/>
        </w:rPr>
        <w:t>的财经信息服务系统项目》三个募集资金投资项目的实施和建设，做好项目的监督和管理工作，提高资金</w:t>
      </w:r>
      <w:r>
        <w:rPr>
          <w:spacing w:val="-44"/>
        </w:rPr>
        <w:t> </w:t>
      </w:r>
      <w:r>
        <w:rPr>
          <w:spacing w:val="-44"/>
        </w:rPr>
      </w:r>
      <w:r>
        <w:rPr>
          <w:spacing w:val="-2"/>
        </w:rPr>
        <w:t>和资源的使用效率，项目进展平稳、有序；同时，公司积极做好金融数据机构服务平台系统项目和金融信</w:t>
      </w:r>
      <w:r>
        <w:rPr>
          <w:spacing w:val="-44"/>
        </w:rPr>
        <w:t> </w:t>
      </w:r>
      <w:r>
        <w:rPr>
          <w:spacing w:val="-44"/>
        </w:rPr>
      </w:r>
      <w:r>
        <w:rPr>
          <w:spacing w:val="-2"/>
        </w:rPr>
        <w:t>息服务中心等超募资金投资项目的推进实施和协调工作。报告期末，公司已完成了金融数据机构服务产品</w:t>
      </w:r>
      <w:r>
        <w:rPr>
          <w:spacing w:val="-42"/>
        </w:rPr>
        <w:t> </w:t>
      </w:r>
      <w:r>
        <w:rPr>
          <w:spacing w:val="-42"/>
        </w:rPr>
      </w:r>
      <w:r>
        <w:rPr>
          <w:spacing w:val="-5"/>
        </w:rPr>
        <w:t>前期研发工作，</w:t>
      </w:r>
      <w:r>
        <w:rPr>
          <w:rFonts w:ascii="宋体" w:hAnsi="宋体" w:cs="宋体" w:eastAsia="宋体" w:hint="default"/>
          <w:spacing w:val="-5"/>
        </w:rPr>
        <w:t>2013</w:t>
      </w:r>
      <w:r>
        <w:rPr>
          <w:rFonts w:ascii="宋体" w:hAnsi="宋体" w:cs="宋体" w:eastAsia="宋体" w:hint="default"/>
          <w:spacing w:val="-37"/>
        </w:rPr>
        <w:t> </w:t>
      </w:r>
      <w:r>
        <w:rPr>
          <w:spacing w:val="-4"/>
        </w:rPr>
        <w:t>年将进行产品的内部测试和完善工作，预计将于</w:t>
      </w:r>
      <w:r>
        <w:rPr>
          <w:spacing w:val="-33"/>
        </w:rPr>
        <w:t> </w:t>
      </w:r>
      <w:r>
        <w:rPr>
          <w:rFonts w:ascii="宋体" w:hAnsi="宋体" w:cs="宋体" w:eastAsia="宋体" w:hint="default"/>
        </w:rPr>
        <w:t>2013</w:t>
      </w:r>
      <w:r>
        <w:rPr>
          <w:rFonts w:ascii="宋体" w:hAnsi="宋体" w:cs="宋体" w:eastAsia="宋体" w:hint="default"/>
          <w:spacing w:val="-34"/>
        </w:rPr>
        <w:t> </w:t>
      </w:r>
      <w:r>
        <w:rPr/>
        <w:t>年上半年推出相关产品和服务。</w:t>
      </w:r>
    </w:p>
    <w:p>
      <w:pPr>
        <w:pStyle w:val="BodyText"/>
        <w:spacing w:line="273" w:lineRule="auto" w:before="48"/>
        <w:ind w:right="208" w:firstLine="420"/>
        <w:jc w:val="both"/>
      </w:pPr>
      <w:r>
        <w:rPr>
          <w:spacing w:val="-2"/>
        </w:rPr>
        <w:t>报告期内，公司按照监管机构的部署和要求，制定并公布了公司内部控制规范实施工作方案，积极推</w:t>
      </w:r>
      <w:r>
        <w:rPr>
          <w:spacing w:val="-3"/>
          <w:w w:val="100"/>
        </w:rPr>
        <w:t> </w:t>
      </w:r>
      <w:r>
        <w:rPr/>
        <w:t>进内部控制规范体系的建设工作。</w:t>
      </w:r>
    </w:p>
    <w:p>
      <w:pPr>
        <w:pStyle w:val="BodyText"/>
        <w:spacing w:line="273" w:lineRule="auto" w:before="48"/>
        <w:ind w:right="206" w:firstLine="420"/>
        <w:jc w:val="both"/>
      </w:pPr>
      <w:r>
        <w:rPr>
          <w:spacing w:val="-2"/>
        </w:rPr>
        <w:t>报告期内，公司进一步加强优秀人才的培养和引进工作，加强薪酬管理工作，完善考核激励制度，完</w:t>
      </w:r>
      <w:r>
        <w:rPr>
          <w:w w:val="100"/>
        </w:rPr>
        <w:t> </w:t>
      </w:r>
      <w:r>
        <w:rPr>
          <w:spacing w:val="-2"/>
        </w:rPr>
        <w:t>成了预留股票期权授予的相关工作，落实加强人力资源管理和人才队伍的建设，优化人力资源的配置。同</w:t>
      </w:r>
      <w:r>
        <w:rPr>
          <w:spacing w:val="-43"/>
        </w:rPr>
        <w:t> </w:t>
      </w:r>
      <w:r>
        <w:rPr>
          <w:spacing w:val="-43"/>
        </w:rPr>
      </w:r>
      <w:r>
        <w:rPr/>
        <w:t>时积极加强企业文化建设，为公司持续健康发展夯实人才基础，增强企业活力、凝聚力和市场竞争力。</w:t>
      </w:r>
    </w:p>
    <w:p>
      <w:pPr>
        <w:pStyle w:val="BodyText"/>
        <w:spacing w:line="273" w:lineRule="auto" w:before="46"/>
        <w:ind w:right="76" w:firstLine="420"/>
        <w:jc w:val="left"/>
      </w:pPr>
      <w:r>
        <w:rPr/>
        <w:t>报告期内，积极做好投资者来电、来访工作，做好深交所互动易平台、董秘邮箱问题的答复工作，加</w:t>
      </w:r>
      <w:r>
        <w:rPr>
          <w:w w:val="100"/>
        </w:rPr>
        <w:t> </w:t>
      </w:r>
      <w:r>
        <w:rPr>
          <w:spacing w:val="-5"/>
        </w:rPr>
        <w:t>强与投资者之间的沟通和交流，使投资者更深入了解公司运作和管理、经营状况、发展战略等情况，同时，</w:t>
      </w:r>
      <w:r>
        <w:rPr>
          <w:spacing w:val="-10"/>
        </w:rPr>
        <w:t> </w:t>
      </w:r>
      <w:r>
        <w:rPr>
          <w:spacing w:val="-10"/>
        </w:rPr>
      </w:r>
      <w:r>
        <w:rPr/>
        <w:t>积极组织人员参加培训，提高了投资者关系管理工作的水平。</w:t>
      </w:r>
    </w:p>
    <w:p>
      <w:pPr>
        <w:spacing w:before="69"/>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222,701,535.89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64,732,333.89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98,571,039.88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34,207,288.47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110,590,621.40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25,989,133.86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13,539,874.61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4,535,911.56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电信覆盖地区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145,041,340.16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42,158,956.94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联通覆盖地区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76,331,449.70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22,187,152.27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1,328,746.03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386,224.68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16"/>
        <w:gridCol w:w="1162"/>
        <w:gridCol w:w="1347"/>
        <w:gridCol w:w="1421"/>
        <w:gridCol w:w="1467"/>
        <w:gridCol w:w="1891"/>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7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76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46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1891"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31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16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42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112"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91"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40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2" w:type="dxa"/>
            <w:vMerge/>
            <w:tcBorders>
              <w:left w:val="single" w:sz="4" w:space="0" w:color="000000"/>
              <w:right w:val="single" w:sz="4" w:space="0" w:color="000000"/>
            </w:tcBorders>
            <w:shd w:val="clear" w:color="auto" w:fill="D2D2D2"/>
          </w:tcPr>
          <w:p>
            <w:pPr/>
          </w:p>
        </w:tc>
        <w:tc>
          <w:tcPr>
            <w:tcW w:w="13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1" w:type="dxa"/>
            <w:vMerge/>
            <w:tcBorders>
              <w:left w:val="single" w:sz="4" w:space="0" w:color="000000"/>
              <w:right w:val="single" w:sz="4" w:space="0" w:color="000000"/>
            </w:tcBorders>
            <w:shd w:val="clear" w:color="auto" w:fill="D2D2D2"/>
          </w:tcPr>
          <w:p>
            <w:pPr/>
          </w:p>
        </w:tc>
        <w:tc>
          <w:tcPr>
            <w:tcW w:w="1467" w:type="dxa"/>
            <w:vMerge/>
            <w:tcBorders>
              <w:left w:val="single" w:sz="4" w:space="0" w:color="000000"/>
              <w:bottom w:val="nil" w:sz="6" w:space="0" w:color="auto"/>
              <w:right w:val="single" w:sz="4" w:space="0" w:color="000000"/>
            </w:tcBorders>
            <w:shd w:val="clear" w:color="auto" w:fill="D2D2D2"/>
          </w:tcPr>
          <w:p>
            <w:pPr/>
          </w:p>
        </w:tc>
        <w:tc>
          <w:tcPr>
            <w:tcW w:w="189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162" w:type="dxa"/>
            <w:vMerge/>
            <w:tcBorders>
              <w:left w:val="single" w:sz="4" w:space="0" w:color="000000"/>
              <w:right w:val="single" w:sz="4" w:space="0" w:color="000000"/>
            </w:tcBorders>
            <w:shd w:val="clear" w:color="auto" w:fill="D2D2D2"/>
          </w:tcPr>
          <w:p>
            <w:pPr/>
          </w:p>
        </w:tc>
        <w:tc>
          <w:tcPr>
            <w:tcW w:w="1347" w:type="dxa"/>
            <w:vMerge/>
            <w:tcBorders>
              <w:left w:val="single" w:sz="4" w:space="0" w:color="000000"/>
              <w:bottom w:val="nil" w:sz="6" w:space="0" w:color="auto"/>
              <w:right w:val="single" w:sz="4" w:space="0" w:color="000000"/>
            </w:tcBorders>
            <w:shd w:val="clear" w:color="auto" w:fill="D2D2D2"/>
          </w:tcPr>
          <w:p>
            <w:pPr/>
          </w:p>
        </w:tc>
        <w:tc>
          <w:tcPr>
            <w:tcW w:w="1421" w:type="dxa"/>
            <w:vMerge/>
            <w:tcBorders>
              <w:left w:val="single" w:sz="4" w:space="0" w:color="000000"/>
              <w:right w:val="single" w:sz="4" w:space="0" w:color="000000"/>
            </w:tcBorders>
            <w:shd w:val="clear" w:color="auto" w:fill="D2D2D2"/>
          </w:tcPr>
          <w:p>
            <w:pPr/>
          </w:p>
        </w:tc>
        <w:tc>
          <w:tcPr>
            <w:tcW w:w="1467" w:type="dxa"/>
            <w:vMerge w:val="restart"/>
            <w:tcBorders>
              <w:top w:val="nil" w:sz="6" w:space="0" w:color="auto"/>
              <w:left w:val="single" w:sz="4" w:space="0" w:color="000000"/>
              <w:right w:val="single" w:sz="4" w:space="0" w:color="000000"/>
            </w:tcBorders>
            <w:shd w:val="clear" w:color="auto" w:fill="D2D2D2"/>
          </w:tcPr>
          <w:p>
            <w:pPr/>
          </w:p>
        </w:tc>
        <w:tc>
          <w:tcPr>
            <w:tcW w:w="189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3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467" w:type="dxa"/>
            <w:vMerge/>
            <w:tcBorders>
              <w:left w:val="single" w:sz="4" w:space="0" w:color="000000"/>
              <w:bottom w:val="single" w:sz="4" w:space="0" w:color="000000"/>
              <w:right w:val="single" w:sz="4" w:space="0" w:color="000000"/>
            </w:tcBorders>
            <w:shd w:val="clear" w:color="auto" w:fill="D2D2D2"/>
          </w:tcPr>
          <w:p>
            <w:pPr/>
          </w:p>
        </w:tc>
        <w:tc>
          <w:tcPr>
            <w:tcW w:w="18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1,526,871,263.72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1,481,400,991.53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81.23%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37,581,406.96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32,826,369.27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50,022,555.22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54,183,301.07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8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报告期内，公司核心竞争能力未发生重大变化。</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130,455.45</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20,459.34</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70,155.36</w:t>
            </w:r>
          </w:p>
        </w:tc>
      </w:tr>
      <w:tr>
        <w:trPr>
          <w:trHeight w:val="40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52" w:footer="980" w:top="1340" w:bottom="1160" w:left="980" w:right="680"/>
        </w:sectPr>
      </w:pPr>
    </w:p>
    <w:p>
      <w:pPr>
        <w:spacing w:line="240" w:lineRule="auto" w:before="0"/>
        <w:rPr>
          <w:rFonts w:ascii="宋体" w:hAnsi="宋体" w:cs="宋体" w:eastAsia="宋体" w:hint="default"/>
          <w:sz w:val="20"/>
          <w:szCs w:val="20"/>
        </w:rPr>
      </w:pPr>
      <w:r>
        <w:rPr/>
        <w:pict>
          <v:shape style="position:absolute;margin-left:56.400002pt;margin-top:71.999985pt;width:484.2pt;height:696.6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878"/>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9"/>
                          <w:ind w:left="151" w:right="0"/>
                          <w:jc w:val="left"/>
                          <w:rPr>
                            <w:rFonts w:ascii="Times New Roman" w:hAnsi="Times New Roman" w:cs="Times New Roman" w:eastAsia="Times New Roman" w:hint="default"/>
                            <w:sz w:val="18"/>
                            <w:szCs w:val="18"/>
                          </w:rPr>
                        </w:pPr>
                        <w:r>
                          <w:rPr>
                            <w:rFonts w:ascii="Times New Roman"/>
                            <w:sz w:val="18"/>
                          </w:rPr>
                          <w:t>(2)/(1)</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6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大型网络在线平台 系统升级项目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在线金融数据服务 系统升级项目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5,797.66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9,649.96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基于手机端的财经 信息服务系统项目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4,571.89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4,571.89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1,737.28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3,689.45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29,988.24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29,988.24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11,459.34</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27,155.36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w w:val="95"/>
                            <w:sz w:val="18"/>
                          </w:rPr>
                          <w:t>9,649.96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6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建设研发基地与金 融信息服务中心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43.28%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东方财富金融数据 机构服务平台系统项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51,214.82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51,214.82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81,203.06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81,203.06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20,459.34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70,155.36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9,649.96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804"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98" w:type="dxa"/>
                        <w:gridSpan w:val="10"/>
                        <w:vMerge w:val="restart"/>
                        <w:tcBorders>
                          <w:top w:val="single" w:sz="4" w:space="0" w:color="000000"/>
                          <w:left w:val="single" w:sz="10" w:space="0" w:color="D2D2D2"/>
                          <w:right w:val="single" w:sz="4" w:space="0" w:color="000000"/>
                        </w:tcBorders>
                      </w:tcPr>
                      <w:p>
                        <w:pPr>
                          <w:pStyle w:val="TableParagraph"/>
                          <w:spacing w:line="316"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大型网络在线平台系统升级项目、基于手机端的财经信息服务系统项目，投入进度较计划略有放缓 </w:t>
                        </w:r>
                        <w:r>
                          <w:rPr>
                            <w:rFonts w:ascii="宋体" w:hAnsi="宋体" w:cs="宋体" w:eastAsia="宋体" w:hint="default"/>
                            <w:spacing w:val="-2"/>
                            <w:sz w:val="18"/>
                            <w:szCs w:val="18"/>
                          </w:rPr>
                          <w:t>主要是为了应对复杂多变的国内外经济形势和资本市场的大幅波动，从保证公司整体业务平稳健康发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展和募投项目全面顺利开展等统筹考虑，为了发挥原有业务和募投项目的协同效应，发挥自有资金和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募投资金的协同效应，同时，鉴于主营业务收入有一定幅度下降，为避免募投项目费用化开支过快大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幅增长，公司进一步加强了募集资金项目的投入和管理，确保项目顺利推进，并达到预定使用目标</w:t>
                        </w:r>
                      </w:p>
                      <w:p>
                        <w:pPr>
                          <w:pStyle w:val="TableParagraph"/>
                          <w:spacing w:line="316" w:lineRule="auto" w:before="57"/>
                          <w:ind w:left="16" w:right="19"/>
                          <w:jc w:val="left"/>
                          <w:rPr>
                            <w:rFonts w:ascii="宋体" w:hAnsi="宋体" w:cs="宋体" w:eastAsia="宋体" w:hint="default"/>
                            <w:sz w:val="18"/>
                            <w:szCs w:val="18"/>
                          </w:rPr>
                        </w:pPr>
                        <w:r>
                          <w:rPr>
                            <w:rFonts w:ascii="宋体" w:hAnsi="宋体" w:cs="宋体" w:eastAsia="宋体" w:hint="default"/>
                            <w:spacing w:val="-2"/>
                            <w:sz w:val="18"/>
                            <w:szCs w:val="18"/>
                          </w:rPr>
                          <w:t>研发基地和金融信息服务中心项目，鉴于公司业务发展、项目规划要求、周边配套和整体经济低迷等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原因，项目建设进度较计划延缓，公司将根据实际对项目进行审慎分析，如需作调整，将按照规定 履行决策程序，并做好相关信息的披露工作。</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98" w:type="dxa"/>
                        <w:gridSpan w:val="10"/>
                        <w:vMerge/>
                        <w:tcBorders>
                          <w:left w:val="single" w:sz="10" w:space="0" w:color="D2D2D2"/>
                          <w:right w:val="single" w:sz="4" w:space="0" w:color="000000"/>
                        </w:tcBorders>
                      </w:tcPr>
                      <w:p>
                        <w:pPr/>
                      </w:p>
                    </w:tc>
                  </w:tr>
                  <w:tr>
                    <w:trPr>
                      <w:trHeight w:val="804"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8"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98"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8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20"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8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130,455.45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万元，其中超募资金为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100,467.21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、公司第一届董事会第十</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六次会议及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w:t>
                        </w:r>
                        <w:r>
                          <w:rPr>
                            <w:rFonts w:ascii="宋体" w:hAnsi="宋体" w:cs="宋体" w:eastAsia="宋体" w:hint="default"/>
                            <w:spacing w:val="-3"/>
                            <w:sz w:val="18"/>
                            <w:szCs w:val="18"/>
                          </w:rPr>
                          <w:t>时</w:t>
                        </w:r>
                        <w:r>
                          <w:rPr>
                            <w:rFonts w:ascii="宋体" w:hAnsi="宋体" w:cs="宋体" w:eastAsia="宋体" w:hint="default"/>
                            <w:sz w:val="18"/>
                            <w:szCs w:val="18"/>
                          </w:rPr>
                          <w:t>股东大会审议通过</w:t>
                        </w:r>
                        <w:r>
                          <w:rPr>
                            <w:rFonts w:ascii="宋体" w:hAnsi="宋体" w:cs="宋体" w:eastAsia="宋体" w:hint="default"/>
                            <w:spacing w:val="-41"/>
                            <w:sz w:val="18"/>
                            <w:szCs w:val="18"/>
                          </w:rPr>
                          <w:t>了</w:t>
                        </w:r>
                        <w:r>
                          <w:rPr>
                            <w:rFonts w:ascii="宋体" w:hAnsi="宋体" w:cs="宋体" w:eastAsia="宋体" w:hint="default"/>
                            <w:sz w:val="18"/>
                            <w:szCs w:val="18"/>
                          </w:rPr>
                          <w:t>《关于超募资金的使用计划</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计划使</w:t>
                        </w:r>
                        <w:r>
                          <w:rPr>
                            <w:rFonts w:ascii="宋体" w:hAnsi="宋体" w:cs="宋体" w:eastAsia="宋体" w:hint="default"/>
                            <w:spacing w:val="2"/>
                            <w:sz w:val="18"/>
                            <w:szCs w:val="18"/>
                          </w:rPr>
                          <w:t>用</w:t>
                        </w:r>
                        <w:r>
                          <w:rPr>
                            <w:rFonts w:ascii="宋体" w:hAnsi="宋体" w:cs="宋体" w:eastAsia="宋体" w:hint="default"/>
                            <w:sz w:val="18"/>
                            <w:szCs w:val="18"/>
                          </w:rPr>
                          <w:t>部分超募</w:t>
                        </w:r>
                      </w:p>
                      <w:p>
                        <w:pPr>
                          <w:pStyle w:val="TableParagraph"/>
                          <w:spacing w:line="309" w:lineRule="auto" w:before="63"/>
                          <w:ind w:left="16" w:right="2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46,214.82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万元建设研发基地和金融信息服务中心。根据公司第二届董事会第三次会议审议通过 </w:t>
                        </w:r>
                        <w:r>
                          <w:rPr>
                            <w:rFonts w:ascii="宋体" w:hAnsi="宋体" w:cs="宋体" w:eastAsia="宋体" w:hint="default"/>
                            <w:spacing w:val="-3"/>
                            <w:sz w:val="18"/>
                            <w:szCs w:val="18"/>
                          </w:rPr>
                          <w:t>的《关于成立项目公司负责金融信息服务中心建设和运营管理工作的议案》，公司拟用超募资金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万元（包含</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13,693.00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万元的金融信息服务中心项目建设用地款）注册成立项目公司，负责 </w:t>
                        </w:r>
                        <w:r>
                          <w:rPr>
                            <w:rFonts w:ascii="宋体" w:hAnsi="宋体" w:cs="宋体" w:eastAsia="宋体" w:hint="default"/>
                            <w:spacing w:val="-4"/>
                            <w:sz w:val="18"/>
                            <w:szCs w:val="18"/>
                          </w:rPr>
                          <w:t>金融信息服务中心项目的建设和运营管理工作。公司独立董事、监事会、保荐机构都发表了相关意见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同意上述超募资金的使用计划。公司已于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日注册成立了全资子公司上海东方财富置业</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有限公司，公司投资金额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、根据公司第一届董事会第十七次会议审议通过了《关于</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98" w:type="dxa"/>
                        <w:gridSpan w:val="10"/>
                        <w:vMerge/>
                        <w:tcBorders>
                          <w:left w:val="single" w:sz="10" w:space="0" w:color="D2D2D2"/>
                          <w:right w:val="single" w:sz="4" w:space="0" w:color="000000"/>
                        </w:tcBorders>
                      </w:tcPr>
                      <w:p>
                        <w:pPr/>
                      </w:p>
                    </w:tc>
                  </w:tr>
                  <w:tr>
                    <w:trPr>
                      <w:trHeight w:val="112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98"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0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3"/>
        <w:rPr>
          <w:rFonts w:ascii="宋体" w:hAnsi="宋体" w:cs="宋体" w:eastAsia="宋体" w:hint="default"/>
          <w:sz w:val="29"/>
          <w:szCs w:val="29"/>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44"/>
        <w:ind w:left="0" w:right="1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2" w:footer="980" w:top="1440" w:bottom="1160" w:left="980" w:right="940"/>
        </w:sectPr>
      </w:pPr>
    </w:p>
    <w:tbl>
      <w:tblPr>
        <w:tblW w:w="0" w:type="auto"/>
        <w:jc w:val="left"/>
        <w:tblInd w:w="149" w:type="dxa"/>
        <w:tblLayout w:type="fixed"/>
        <w:tblCellMar>
          <w:top w:w="0" w:type="dxa"/>
          <w:left w:w="0" w:type="dxa"/>
          <w:bottom w:w="0" w:type="dxa"/>
          <w:right w:w="0" w:type="dxa"/>
        </w:tblCellMar>
        <w:tblLook w:val="01E0"/>
      </w:tblPr>
      <w:tblGrid>
        <w:gridCol w:w="1770"/>
        <w:gridCol w:w="7898"/>
      </w:tblGrid>
      <w:tr>
        <w:trPr>
          <w:trHeight w:val="348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，公司计划使</w:t>
            </w:r>
            <w:r>
              <w:rPr>
                <w:rFonts w:ascii="宋体" w:hAnsi="宋体" w:cs="宋体" w:eastAsia="宋体" w:hint="default"/>
                <w:spacing w:val="2"/>
                <w:sz w:val="18"/>
                <w:szCs w:val="18"/>
              </w:rPr>
              <w:t>用</w:t>
            </w:r>
            <w:r>
              <w:rPr>
                <w:rFonts w:ascii="宋体" w:hAnsi="宋体" w:cs="宋体" w:eastAsia="宋体" w:hint="default"/>
                <w:sz w:val="18"/>
                <w:szCs w:val="18"/>
              </w:rPr>
              <w:t>部分超募资金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永</w:t>
            </w:r>
            <w:r>
              <w:rPr>
                <w:rFonts w:ascii="宋体" w:hAnsi="宋体" w:cs="宋体" w:eastAsia="宋体" w:hint="default"/>
                <w:sz w:val="18"/>
                <w:szCs w:val="18"/>
              </w:rPr>
              <w:t>久补充流</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动资金，独立董事、监事会、保荐机构都发表了相关意见，同意上述超募资金的使用。公司已于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日完成补充流动资金事项。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、根据公司第二届董事会第七次会议审议通过了《关于使用部</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pacing w:val="-4"/>
                <w:sz w:val="18"/>
                <w:szCs w:val="18"/>
              </w:rPr>
              <w:t>分超募资金投资设立全资子公司的议案》，公司拟使用超募资金</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万元投资设立全资子公司负责</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东方财富金融数据机构服务平台系统项目的具体建设和运营管理工作，公司独立董事、监事会、保荐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机构都发表了相关意见，同意上述超募资金的使用计划。公司已于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日注册成立了全资</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子公司上海东方财富金融数据服务有限公司，公司投资金额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万元，另支付了设立公司的验资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、根据公司第二届董事会第十二次会议审议通过了《关于使用部分超募资金永久补充流</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z w:val="18"/>
                <w:szCs w:val="18"/>
              </w:rPr>
              <w:t>，公司计划使</w:t>
            </w:r>
            <w:r>
              <w:rPr>
                <w:rFonts w:ascii="宋体" w:hAnsi="宋体" w:cs="宋体" w:eastAsia="宋体" w:hint="default"/>
                <w:spacing w:val="2"/>
                <w:sz w:val="18"/>
                <w:szCs w:val="18"/>
              </w:rPr>
              <w:t>用</w:t>
            </w:r>
            <w:r>
              <w:rPr>
                <w:rFonts w:ascii="宋体" w:hAnsi="宋体" w:cs="宋体" w:eastAsia="宋体" w:hint="default"/>
                <w:sz w:val="18"/>
                <w:szCs w:val="18"/>
              </w:rPr>
              <w:t>部分超募资金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永</w:t>
            </w:r>
            <w:r>
              <w:rPr>
                <w:rFonts w:ascii="宋体" w:hAnsi="宋体" w:cs="宋体" w:eastAsia="宋体" w:hint="default"/>
                <w:sz w:val="18"/>
                <w:szCs w:val="18"/>
              </w:rPr>
              <w:t>久补充流动资金，独立董事、监事会、</w:t>
            </w:r>
          </w:p>
          <w:p>
            <w:pPr>
              <w:pStyle w:val="TableParagraph"/>
              <w:spacing w:line="300" w:lineRule="auto" w:before="63"/>
              <w:ind w:left="24" w:right="21"/>
              <w:jc w:val="both"/>
              <w:rPr>
                <w:rFonts w:ascii="宋体" w:hAnsi="宋体" w:cs="宋体" w:eastAsia="宋体" w:hint="default"/>
                <w:sz w:val="18"/>
                <w:szCs w:val="18"/>
              </w:rPr>
            </w:pPr>
            <w:r>
              <w:rPr>
                <w:rFonts w:ascii="宋体" w:hAnsi="宋体" w:cs="宋体" w:eastAsia="宋体" w:hint="default"/>
                <w:spacing w:val="-3"/>
                <w:sz w:val="18"/>
                <w:szCs w:val="18"/>
              </w:rPr>
              <w:t>保荐机构都发表了相关意见，同意上述超募资金的使用。公司已于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日完成补充流动资 金事项。</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pacing w:val="-2"/>
                <w:sz w:val="18"/>
                <w:szCs w:val="18"/>
              </w:rPr>
              <w:t>公司第一届董事会第十三次会议审议通过了《关于用募集资金置换预先投入募集资金投资项目的自筹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资金的议案》，在募集资金实际到账之前，同意以本次募集资金</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1,698.00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万元置换公司预先已投入募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集资金投资项目的自筹资金。立信会计师事务所有限公司对公司以自筹资金预先投入募投项目的情况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进行了核验，并出具了信会师报字（</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11856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号《关于东方财富信息股份有限公司以自筹资金 </w:t>
            </w:r>
            <w:r>
              <w:rPr>
                <w:rFonts w:ascii="宋体" w:hAnsi="宋体" w:cs="宋体" w:eastAsia="宋体" w:hint="default"/>
                <w:spacing w:val="-6"/>
                <w:sz w:val="18"/>
                <w:szCs w:val="18"/>
              </w:rPr>
              <w:t>预先投入募投项目的鉴证报告》。</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48" w:lineRule="auto" w:before="77"/>
        <w:ind w:left="424" w:right="188" w:hanging="272"/>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、本公司招股说明书披露：“在线金融数据服务系统升级项目”实施当年产生收入，预计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年内年均营业收入为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13,550 </w:t>
      </w:r>
      <w:r>
        <w:rPr>
          <w:rFonts w:ascii="宋体" w:hAnsi="宋体" w:cs="宋体" w:eastAsia="宋体" w:hint="default"/>
          <w:sz w:val="18"/>
          <w:szCs w:val="18"/>
        </w:rPr>
        <w:t>万元，项目所产生的销售费用和管理费用（不含折旧）分别按营业收入的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和</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计提，预计</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年内税后年均净利润 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4,255.14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日，“在线金融数据服务系统升级项目”实现营业收入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9649.96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万元，扣除按预</w:t>
      </w:r>
    </w:p>
    <w:p>
      <w:pPr>
        <w:spacing w:before="21"/>
        <w:ind w:left="424" w:right="0" w:firstLine="0"/>
        <w:jc w:val="left"/>
        <w:rPr>
          <w:rFonts w:ascii="宋体" w:hAnsi="宋体" w:cs="宋体" w:eastAsia="宋体" w:hint="default"/>
          <w:sz w:val="18"/>
          <w:szCs w:val="18"/>
        </w:rPr>
      </w:pPr>
      <w:r>
        <w:rPr>
          <w:rFonts w:ascii="宋体" w:hAnsi="宋体" w:cs="宋体" w:eastAsia="宋体" w:hint="default"/>
          <w:sz w:val="18"/>
          <w:szCs w:val="18"/>
        </w:rPr>
        <w:t>计费用率计算的费用以及分摊成本后的税后净利润为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60" w:lineRule="auto" w:before="149"/>
        <w:ind w:left="4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日，“基于手机端的财经信息服务系统项目”尚未实现营业收入。本项目的建设是基于公司大 </w:t>
      </w:r>
      <w:r>
        <w:rPr>
          <w:rFonts w:ascii="宋体" w:hAnsi="宋体" w:cs="宋体" w:eastAsia="宋体" w:hint="default"/>
          <w:spacing w:val="-2"/>
          <w:sz w:val="18"/>
          <w:szCs w:val="18"/>
        </w:rPr>
        <w:t>平台战略的整体部署和需要，充分发挥了募投项目的整体协同效应和相互促进作用，拓展和延伸了无线平台和终端平台，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充分发挥了平台之间的协同效应，提升了大平台的服务能力和服务范围，进一步提升了服务质量，提高了公司的品牌知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名度和影响力，为未来公司整体业务的健康发展，为大平台整体效益的不断提升，本项目将发挥更大更积极的作用。</w:t>
      </w:r>
    </w:p>
    <w:p>
      <w:pPr>
        <w:spacing w:line="343" w:lineRule="auto" w:before="75"/>
        <w:ind w:left="424"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、建设研发基地与金融信息服务中心投入金额为成立“建设研发基地与金融信息服务中心”项目公司“上海东方财富置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业有限公司”投入的注册资本金。</w:t>
      </w:r>
    </w:p>
    <w:p>
      <w:pPr>
        <w:spacing w:after="0" w:line="343" w:lineRule="auto"/>
        <w:jc w:val="left"/>
        <w:rPr>
          <w:rFonts w:ascii="宋体" w:hAnsi="宋体" w:cs="宋体" w:eastAsia="宋体" w:hint="default"/>
          <w:sz w:val="18"/>
          <w:szCs w:val="18"/>
        </w:rPr>
        <w:sectPr>
          <w:pgSz w:w="11910" w:h="16840"/>
          <w:pgMar w:header="852" w:footer="980" w:top="1440" w:bottom="1160" w:left="980" w:right="940"/>
        </w:sectPr>
      </w:pPr>
    </w:p>
    <w:p>
      <w:pPr>
        <w:spacing w:line="240" w:lineRule="auto" w:before="3"/>
        <w:rPr>
          <w:rFonts w:ascii="宋体" w:hAnsi="宋体" w:cs="宋体" w:eastAsia="宋体" w:hint="default"/>
          <w:sz w:val="9"/>
          <w:szCs w:val="9"/>
        </w:rPr>
      </w:pPr>
    </w:p>
    <w:p>
      <w:pPr>
        <w:spacing w:line="345" w:lineRule="auto" w:before="44"/>
        <w:ind w:left="424"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、东方财富金融数据机构服务平台系统项目投入金额为成立全资子公司“上海东方财富金融数据服务有限公司”</w:t>
      </w:r>
      <w:r>
        <w:rPr>
          <w:rFonts w:ascii="宋体" w:hAnsi="宋体" w:cs="宋体" w:eastAsia="宋体" w:hint="default"/>
          <w:spacing w:val="6"/>
          <w:sz w:val="18"/>
          <w:szCs w:val="18"/>
        </w:rPr>
        <w:t> </w:t>
      </w:r>
      <w:r>
        <w:rPr>
          <w:rFonts w:ascii="宋体" w:hAnsi="宋体" w:cs="宋体" w:eastAsia="宋体" w:hint="default"/>
          <w:sz w:val="18"/>
          <w:szCs w:val="18"/>
        </w:rPr>
        <w:t>投入</w:t>
      </w:r>
      <w:r>
        <w:rPr>
          <w:rFonts w:ascii="宋体" w:hAnsi="宋体" w:cs="宋体" w:eastAsia="宋体" w:hint="default"/>
          <w:sz w:val="18"/>
          <w:szCs w:val="18"/>
        </w:rPr>
        <w:t> 的注册资本金。</w:t>
      </w:r>
    </w:p>
    <w:p>
      <w:pPr>
        <w:spacing w:line="240" w:lineRule="auto" w:before="9"/>
        <w:rPr>
          <w:rFonts w:ascii="宋体" w:hAnsi="宋体" w:cs="宋体" w:eastAsia="宋体" w:hint="default"/>
          <w:sz w:val="19"/>
          <w:szCs w:val="19"/>
        </w:rPr>
      </w:pPr>
    </w:p>
    <w:p>
      <w:pPr>
        <w:pStyle w:val="Heading5"/>
        <w:spacing w:line="240" w:lineRule="auto"/>
        <w:ind w:right="76"/>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76"/>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4"/>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76"/>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866"/>
        <w:jc w:val="left"/>
      </w:pPr>
      <w:r>
        <w:rPr>
          <w:spacing w:val="-2"/>
        </w:rPr>
        <w:t>截至报告期末，公司共有十家全资、控股子公司或下属单位，具体情况如下：</w:t>
      </w:r>
      <w:r>
        <w:rPr>
          <w:spacing w:val="-42"/>
        </w:rPr>
        <w:t> </w:t>
      </w:r>
      <w:r>
        <w:rPr>
          <w:spacing w:val="-42"/>
        </w:rPr>
      </w:r>
      <w:r>
        <w:rPr>
          <w:rFonts w:ascii="宋体" w:hAnsi="宋体" w:cs="宋体" w:eastAsia="宋体" w:hint="default"/>
        </w:rPr>
        <w:t>1</w:t>
      </w:r>
      <w:r>
        <w:rPr/>
        <w:t>、全资子公司</w:t>
      </w:r>
    </w:p>
    <w:p>
      <w:pPr>
        <w:spacing w:line="256"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上海中经商务咨询有限公司（简称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中经商务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pacing w:val="-2"/>
          <w:sz w:val="21"/>
          <w:szCs w:val="21"/>
        </w:rPr>
        <w:t>中经商务成立于</w:t>
      </w:r>
      <w:r>
        <w:rPr>
          <w:rFonts w:ascii="宋体" w:hAnsi="宋体" w:cs="宋体" w:eastAsia="宋体" w:hint="default"/>
          <w:spacing w:val="-2"/>
          <w:sz w:val="21"/>
          <w:szCs w:val="21"/>
        </w:rPr>
        <w:t>2006</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23</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50</w:t>
      </w:r>
      <w:r>
        <w:rPr>
          <w:rFonts w:ascii="宋体" w:hAnsi="宋体" w:cs="宋体" w:eastAsia="宋体" w:hint="default"/>
          <w:spacing w:val="-2"/>
          <w:sz w:val="21"/>
          <w:szCs w:val="21"/>
        </w:rPr>
        <w:t>万元，实收资本</w:t>
      </w:r>
      <w:r>
        <w:rPr>
          <w:rFonts w:ascii="宋体" w:hAnsi="宋体" w:cs="宋体" w:eastAsia="宋体" w:hint="default"/>
          <w:spacing w:val="-2"/>
          <w:sz w:val="21"/>
          <w:szCs w:val="21"/>
        </w:rPr>
        <w:t>50</w:t>
      </w:r>
      <w:r>
        <w:rPr>
          <w:rFonts w:ascii="宋体" w:hAnsi="宋体" w:cs="宋体" w:eastAsia="宋体" w:hint="default"/>
          <w:spacing w:val="-2"/>
          <w:sz w:val="21"/>
          <w:szCs w:val="21"/>
        </w:rPr>
        <w:t>万元。注册地址及主要生产经营地为</w:t>
      </w:r>
    </w:p>
    <w:p>
      <w:pPr>
        <w:pStyle w:val="BodyText"/>
        <w:spacing w:line="273" w:lineRule="auto" w:before="22"/>
        <w:ind w:right="76"/>
        <w:jc w:val="left"/>
      </w:pPr>
      <w:r>
        <w:rPr/>
        <w:t>龙田路</w:t>
      </w:r>
      <w:r>
        <w:rPr>
          <w:rFonts w:ascii="宋体" w:hAnsi="宋体" w:cs="宋体" w:eastAsia="宋体" w:hint="default"/>
        </w:rPr>
        <w:t>190</w:t>
      </w:r>
      <w:r>
        <w:rPr/>
        <w:t>号</w:t>
      </w:r>
      <w:r>
        <w:rPr>
          <w:rFonts w:ascii="宋体" w:hAnsi="宋体" w:cs="宋体" w:eastAsia="宋体" w:hint="default"/>
        </w:rPr>
        <w:t>2</w:t>
      </w:r>
      <w:r>
        <w:rPr/>
        <w:t>号楼</w:t>
      </w:r>
      <w:r>
        <w:rPr>
          <w:rFonts w:ascii="宋体" w:hAnsi="宋体" w:cs="宋体" w:eastAsia="宋体" w:hint="default"/>
        </w:rPr>
        <w:t>303</w:t>
      </w:r>
      <w:r>
        <w:rPr/>
        <w:t>室。经营范围为企业投资咨询、策划，商务咨询，投资理财咨询（除代理记帐），</w:t>
      </w:r>
      <w:r>
        <w:rPr>
          <w:w w:val="100"/>
        </w:rPr>
        <w:t> </w:t>
      </w:r>
      <w:r>
        <w:rPr>
          <w:spacing w:val="-2"/>
        </w:rPr>
        <w:t>会务会展服务咨询（除经纪），承接各类广告、制作，代理国内广告业务，计算机软硬件及网络系统领域</w:t>
      </w:r>
      <w:r>
        <w:rPr>
          <w:spacing w:val="-42"/>
        </w:rPr>
        <w:t> </w:t>
      </w:r>
      <w:r>
        <w:rPr>
          <w:spacing w:val="-42"/>
        </w:rPr>
      </w:r>
      <w:r>
        <w:rPr/>
        <w:t>内的技术开发、技术服务、技术咨询、技术转让。（涉及行政许可的，凭许可证经营）。</w:t>
      </w:r>
    </w:p>
    <w:p>
      <w:pPr>
        <w:pStyle w:val="BodyText"/>
        <w:spacing w:line="273" w:lineRule="auto"/>
        <w:ind w:right="76"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日，中经商务总资产为</w:t>
      </w:r>
      <w:r>
        <w:rPr>
          <w:rFonts w:ascii="宋体" w:hAnsi="宋体" w:cs="宋体" w:eastAsia="宋体" w:hint="default"/>
          <w:spacing w:val="-2"/>
        </w:rPr>
        <w:t>717.04</w:t>
      </w:r>
      <w:r>
        <w:rPr>
          <w:spacing w:val="-2"/>
        </w:rPr>
        <w:t>万元，净资产为</w:t>
      </w:r>
      <w:r>
        <w:rPr>
          <w:rFonts w:ascii="宋体" w:hAnsi="宋体" w:cs="宋体" w:eastAsia="宋体" w:hint="default"/>
          <w:spacing w:val="-2"/>
        </w:rPr>
        <w:t>716.11</w:t>
      </w:r>
      <w:r>
        <w:rPr>
          <w:spacing w:val="-2"/>
        </w:rPr>
        <w:t>万</w:t>
      </w:r>
      <w:r>
        <w:rPr>
          <w:w w:val="100"/>
        </w:rPr>
        <w:t> </w:t>
      </w:r>
      <w:r>
        <w:rPr/>
        <w:t>元，</w:t>
      </w:r>
      <w:r>
        <w:rPr>
          <w:rFonts w:ascii="宋体" w:hAnsi="宋体" w:cs="宋体" w:eastAsia="宋体" w:hint="default"/>
        </w:rPr>
        <w:t>2012</w:t>
      </w:r>
      <w:r>
        <w:rPr/>
        <w:t>年度实现净利润为</w:t>
      </w:r>
      <w:r>
        <w:rPr>
          <w:rFonts w:ascii="宋体" w:hAnsi="宋体" w:cs="宋体" w:eastAsia="宋体" w:hint="default"/>
        </w:rPr>
        <w:t>151.98</w:t>
      </w:r>
      <w:r>
        <w:rPr/>
        <w:t>万元。</w:t>
      </w:r>
    </w:p>
    <w:p>
      <w:pPr>
        <w:spacing w:line="256"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上海东银软件科技有限公司（简称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东银软件</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pacing w:val="-2"/>
          <w:sz w:val="21"/>
          <w:szCs w:val="21"/>
        </w:rPr>
        <w:t>东银软件成立于</w:t>
      </w:r>
      <w:r>
        <w:rPr>
          <w:rFonts w:ascii="宋体" w:hAnsi="宋体" w:cs="宋体" w:eastAsia="宋体" w:hint="default"/>
          <w:spacing w:val="-2"/>
          <w:sz w:val="21"/>
          <w:szCs w:val="21"/>
        </w:rPr>
        <w:t>2006</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
          <w:sz w:val="21"/>
          <w:szCs w:val="21"/>
        </w:rPr>
        <w:t>月</w:t>
      </w:r>
      <w:r>
        <w:rPr>
          <w:rFonts w:ascii="宋体" w:hAnsi="宋体" w:cs="宋体" w:eastAsia="宋体" w:hint="default"/>
          <w:spacing w:val="-2"/>
          <w:sz w:val="21"/>
          <w:szCs w:val="21"/>
        </w:rPr>
        <w:t>13</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200</w:t>
      </w:r>
      <w:r>
        <w:rPr>
          <w:rFonts w:ascii="宋体" w:hAnsi="宋体" w:cs="宋体" w:eastAsia="宋体" w:hint="default"/>
          <w:spacing w:val="-2"/>
          <w:sz w:val="21"/>
          <w:szCs w:val="21"/>
        </w:rPr>
        <w:t>万元，实收资本为</w:t>
      </w:r>
      <w:r>
        <w:rPr>
          <w:rFonts w:ascii="宋体" w:hAnsi="宋体" w:cs="宋体" w:eastAsia="宋体" w:hint="default"/>
          <w:spacing w:val="-2"/>
          <w:sz w:val="21"/>
          <w:szCs w:val="21"/>
        </w:rPr>
        <w:t>200</w:t>
      </w:r>
      <w:r>
        <w:rPr>
          <w:rFonts w:ascii="宋体" w:hAnsi="宋体" w:cs="宋体" w:eastAsia="宋体" w:hint="default"/>
          <w:spacing w:val="-2"/>
          <w:sz w:val="21"/>
          <w:szCs w:val="21"/>
        </w:rPr>
        <w:t>万元。注册地址及主要生产经营</w:t>
      </w:r>
    </w:p>
    <w:p>
      <w:pPr>
        <w:pStyle w:val="BodyText"/>
        <w:spacing w:line="273" w:lineRule="auto" w:before="22"/>
        <w:ind w:right="76"/>
        <w:jc w:val="left"/>
      </w:pPr>
      <w:r>
        <w:rPr/>
        <w:t>地为龙田路</w:t>
      </w:r>
      <w:r>
        <w:rPr>
          <w:rFonts w:ascii="宋体" w:hAnsi="宋体" w:cs="宋体" w:eastAsia="宋体" w:hint="default"/>
        </w:rPr>
        <w:t>190</w:t>
      </w:r>
      <w:r>
        <w:rPr/>
        <w:t>号</w:t>
      </w:r>
      <w:r>
        <w:rPr>
          <w:rFonts w:ascii="宋体" w:hAnsi="宋体" w:cs="宋体" w:eastAsia="宋体" w:hint="default"/>
        </w:rPr>
        <w:t>2</w:t>
      </w:r>
      <w:r>
        <w:rPr/>
        <w:t>号楼</w:t>
      </w:r>
      <w:r>
        <w:rPr>
          <w:rFonts w:ascii="宋体" w:hAnsi="宋体" w:cs="宋体" w:eastAsia="宋体" w:hint="default"/>
        </w:rPr>
        <w:t>307</w:t>
      </w:r>
      <w:r>
        <w:rPr/>
        <w:t>室。经营范围为投资咨询、策划、商务咨询（除经纪），软件设计、开发及销</w:t>
      </w:r>
      <w:r>
        <w:rPr>
          <w:w w:val="100"/>
        </w:rPr>
        <w:t> </w:t>
      </w:r>
      <w:r>
        <w:rPr>
          <w:spacing w:val="-5"/>
        </w:rPr>
        <w:t>售，计算机软硬件及网络专业领域内的技术开发、技术咨询、技术服务、技术转让、技术培训、技术承包、</w:t>
      </w:r>
      <w:r>
        <w:rPr>
          <w:spacing w:val="-6"/>
        </w:rPr>
        <w:t> </w:t>
      </w:r>
      <w:r>
        <w:rPr>
          <w:spacing w:val="-6"/>
        </w:rPr>
      </w:r>
      <w:r>
        <w:rPr/>
        <w:t>技术入股、技术中介，设计制作各类广告。（涉及行政许可的，凭许可证经营）。</w:t>
      </w:r>
    </w:p>
    <w:p>
      <w:pPr>
        <w:pStyle w:val="BodyText"/>
        <w:spacing w:line="273" w:lineRule="auto"/>
        <w:ind w:right="76"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日，东银软件总资产为</w:t>
      </w:r>
      <w:r>
        <w:rPr>
          <w:rFonts w:ascii="宋体" w:hAnsi="宋体" w:cs="宋体" w:eastAsia="宋体" w:hint="default"/>
          <w:spacing w:val="-2"/>
        </w:rPr>
        <w:t>336.09</w:t>
      </w:r>
      <w:r>
        <w:rPr>
          <w:spacing w:val="-2"/>
        </w:rPr>
        <w:t>万元，净资产为</w:t>
      </w:r>
      <w:r>
        <w:rPr>
          <w:rFonts w:ascii="宋体" w:hAnsi="宋体" w:cs="宋体" w:eastAsia="宋体" w:hint="default"/>
          <w:spacing w:val="-2"/>
        </w:rPr>
        <w:t>335.21</w:t>
      </w:r>
      <w:r>
        <w:rPr>
          <w:spacing w:val="-2"/>
        </w:rPr>
        <w:t>万</w:t>
      </w:r>
      <w:r>
        <w:rPr>
          <w:w w:val="100"/>
        </w:rPr>
        <w:t> </w:t>
      </w:r>
      <w:r>
        <w:rPr/>
        <w:t>元，</w:t>
      </w:r>
      <w:r>
        <w:rPr>
          <w:rFonts w:ascii="宋体" w:hAnsi="宋体" w:cs="宋体" w:eastAsia="宋体" w:hint="default"/>
        </w:rPr>
        <w:t>2012</w:t>
      </w:r>
      <w:r>
        <w:rPr/>
        <w:t>年度实现净利润</w:t>
      </w:r>
      <w:r>
        <w:rPr>
          <w:rFonts w:ascii="宋体" w:hAnsi="宋体" w:cs="宋体" w:eastAsia="宋体" w:hint="default"/>
        </w:rPr>
        <w:t>74.58</w:t>
      </w:r>
      <w:r>
        <w:rPr/>
        <w:t>万元。</w:t>
      </w:r>
    </w:p>
    <w:p>
      <w:pPr>
        <w:spacing w:line="273"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北京京东财信息科技有限公司（简称“北京东财”）</w:t>
      </w:r>
      <w:r>
        <w:rPr>
          <w:rFonts w:ascii="宋体" w:hAnsi="宋体" w:cs="宋体" w:eastAsia="宋体" w:hint="default"/>
          <w:b/>
          <w:bCs/>
          <w:w w:val="100"/>
          <w:sz w:val="21"/>
          <w:szCs w:val="21"/>
        </w:rPr>
        <w:t> </w:t>
      </w:r>
      <w:r>
        <w:rPr>
          <w:rFonts w:ascii="宋体" w:hAnsi="宋体" w:cs="宋体" w:eastAsia="宋体" w:hint="default"/>
          <w:spacing w:val="-2"/>
          <w:sz w:val="21"/>
          <w:szCs w:val="21"/>
        </w:rPr>
        <w:t>北京东财成立于</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100</w:t>
      </w:r>
      <w:r>
        <w:rPr>
          <w:rFonts w:ascii="宋体" w:hAnsi="宋体" w:cs="宋体" w:eastAsia="宋体" w:hint="default"/>
          <w:spacing w:val="-2"/>
          <w:sz w:val="21"/>
          <w:szCs w:val="21"/>
        </w:rPr>
        <w:t>万元，实收资本</w:t>
      </w:r>
      <w:r>
        <w:rPr>
          <w:rFonts w:ascii="宋体" w:hAnsi="宋体" w:cs="宋体" w:eastAsia="宋体" w:hint="default"/>
          <w:spacing w:val="-2"/>
          <w:sz w:val="21"/>
          <w:szCs w:val="21"/>
        </w:rPr>
        <w:t>100</w:t>
      </w:r>
      <w:r>
        <w:rPr>
          <w:rFonts w:ascii="宋体" w:hAnsi="宋体" w:cs="宋体" w:eastAsia="宋体" w:hint="default"/>
          <w:spacing w:val="-2"/>
          <w:sz w:val="21"/>
          <w:szCs w:val="21"/>
        </w:rPr>
        <w:t>万元。注册地址及主要经营地为北</w:t>
      </w:r>
    </w:p>
    <w:p>
      <w:pPr>
        <w:pStyle w:val="BodyText"/>
        <w:spacing w:line="273" w:lineRule="auto"/>
        <w:ind w:right="76"/>
        <w:jc w:val="left"/>
      </w:pPr>
      <w:r>
        <w:rPr>
          <w:spacing w:val="-2"/>
        </w:rPr>
        <w:t>京市朝阳区光华路</w:t>
      </w:r>
      <w:r>
        <w:rPr>
          <w:rFonts w:ascii="宋体" w:hAnsi="宋体" w:cs="宋体" w:eastAsia="宋体" w:hint="default"/>
          <w:spacing w:val="-2"/>
        </w:rPr>
        <w:t>4</w:t>
      </w:r>
      <w:r>
        <w:rPr>
          <w:spacing w:val="-2"/>
        </w:rPr>
        <w:t>号院</w:t>
      </w:r>
      <w:r>
        <w:rPr>
          <w:rFonts w:ascii="宋体" w:hAnsi="宋体" w:cs="宋体" w:eastAsia="宋体" w:hint="default"/>
          <w:spacing w:val="-2"/>
        </w:rPr>
        <w:t>3</w:t>
      </w:r>
      <w:r>
        <w:rPr>
          <w:spacing w:val="-2"/>
        </w:rPr>
        <w:t>号楼</w:t>
      </w:r>
      <w:r>
        <w:rPr>
          <w:rFonts w:ascii="宋体" w:hAnsi="宋体" w:cs="宋体" w:eastAsia="宋体" w:hint="default"/>
          <w:spacing w:val="-2"/>
        </w:rPr>
        <w:t>901-902</w:t>
      </w:r>
      <w:r>
        <w:rPr>
          <w:spacing w:val="-2"/>
        </w:rPr>
        <w:t>室。经营范围为技术推广服务；软件开发；投资咨询；企业策划；</w:t>
      </w:r>
      <w:r>
        <w:rPr>
          <w:spacing w:val="-15"/>
        </w:rPr>
        <w:t> </w:t>
      </w:r>
      <w:r>
        <w:rPr>
          <w:spacing w:val="-15"/>
        </w:rPr>
      </w:r>
      <w:r>
        <w:rPr/>
        <w:t>经济贸易咨询；会议及展览服务；设计、制作、代理、发布广告。</w:t>
      </w:r>
    </w:p>
    <w:p>
      <w:pPr>
        <w:pStyle w:val="BodyText"/>
        <w:spacing w:line="273" w:lineRule="auto"/>
        <w:ind w:right="287"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日，北京东财总资产为</w:t>
      </w:r>
      <w:r>
        <w:rPr>
          <w:rFonts w:ascii="宋体" w:hAnsi="宋体" w:cs="宋体" w:eastAsia="宋体" w:hint="default"/>
          <w:spacing w:val="-2"/>
        </w:rPr>
        <w:t>181.24</w:t>
      </w:r>
      <w:r>
        <w:rPr>
          <w:spacing w:val="-2"/>
        </w:rPr>
        <w:t>万元，净资产为</w:t>
      </w:r>
      <w:r>
        <w:rPr>
          <w:rFonts w:ascii="宋体" w:hAnsi="宋体" w:cs="宋体" w:eastAsia="宋体" w:hint="default"/>
          <w:spacing w:val="-2"/>
        </w:rPr>
        <w:t>45.62</w:t>
      </w:r>
      <w:r>
        <w:rPr>
          <w:spacing w:val="-2"/>
        </w:rPr>
        <w:t>万</w:t>
      </w:r>
      <w:r>
        <w:rPr>
          <w:w w:val="100"/>
        </w:rPr>
        <w:t> </w:t>
      </w:r>
      <w:r>
        <w:rPr/>
        <w:t>元，</w:t>
      </w:r>
      <w:r>
        <w:rPr>
          <w:rFonts w:ascii="宋体" w:hAnsi="宋体" w:cs="宋体" w:eastAsia="宋体" w:hint="default"/>
        </w:rPr>
        <w:t>2012</w:t>
      </w:r>
      <w:r>
        <w:rPr/>
        <w:t>年度实现净利润</w:t>
      </w:r>
      <w:r>
        <w:rPr>
          <w:rFonts w:ascii="宋体" w:hAnsi="宋体" w:cs="宋体" w:eastAsia="宋体" w:hint="default"/>
        </w:rPr>
        <w:t>-1.36</w:t>
      </w:r>
      <w:r>
        <w:rPr/>
        <w:t>万元。</w:t>
      </w:r>
    </w:p>
    <w:p>
      <w:pPr>
        <w:spacing w:line="273"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广州东财信息科技有限公司（简称“广州东财”）</w:t>
      </w:r>
      <w:r>
        <w:rPr>
          <w:rFonts w:ascii="宋体" w:hAnsi="宋体" w:cs="宋体" w:eastAsia="宋体" w:hint="default"/>
          <w:b/>
          <w:bCs/>
          <w:w w:val="100"/>
          <w:sz w:val="21"/>
          <w:szCs w:val="21"/>
        </w:rPr>
        <w:t> </w:t>
      </w:r>
      <w:r>
        <w:rPr>
          <w:rFonts w:ascii="宋体" w:hAnsi="宋体" w:cs="宋体" w:eastAsia="宋体" w:hint="default"/>
          <w:spacing w:val="-2"/>
          <w:sz w:val="21"/>
          <w:szCs w:val="21"/>
        </w:rPr>
        <w:t>广州东财成立于</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100</w:t>
      </w:r>
      <w:r>
        <w:rPr>
          <w:rFonts w:ascii="宋体" w:hAnsi="宋体" w:cs="宋体" w:eastAsia="宋体" w:hint="default"/>
          <w:spacing w:val="-2"/>
          <w:sz w:val="21"/>
          <w:szCs w:val="21"/>
        </w:rPr>
        <w:t>万元，实收资本</w:t>
      </w:r>
      <w:r>
        <w:rPr>
          <w:rFonts w:ascii="宋体" w:hAnsi="宋体" w:cs="宋体" w:eastAsia="宋体" w:hint="default"/>
          <w:spacing w:val="-2"/>
          <w:sz w:val="21"/>
          <w:szCs w:val="21"/>
        </w:rPr>
        <w:t>100</w:t>
      </w:r>
      <w:r>
        <w:rPr>
          <w:rFonts w:ascii="宋体" w:hAnsi="宋体" w:cs="宋体" w:eastAsia="宋体" w:hint="default"/>
          <w:spacing w:val="-2"/>
          <w:sz w:val="21"/>
          <w:szCs w:val="21"/>
        </w:rPr>
        <w:t>万元。注册地址及主要经营地为广州</w:t>
      </w:r>
    </w:p>
    <w:p>
      <w:pPr>
        <w:pStyle w:val="BodyText"/>
        <w:spacing w:line="273" w:lineRule="auto"/>
        <w:ind w:right="207"/>
        <w:jc w:val="both"/>
      </w:pPr>
      <w:r>
        <w:rPr>
          <w:spacing w:val="-2"/>
        </w:rPr>
        <w:t>市天河区天河东路</w:t>
      </w:r>
      <w:r>
        <w:rPr>
          <w:rFonts w:ascii="宋体" w:hAnsi="宋体" w:cs="宋体" w:eastAsia="宋体" w:hint="default"/>
          <w:spacing w:val="-2"/>
        </w:rPr>
        <w:t>153</w:t>
      </w:r>
      <w:r>
        <w:rPr>
          <w:spacing w:val="-2"/>
        </w:rPr>
        <w:t>号国德大厦</w:t>
      </w:r>
      <w:r>
        <w:rPr>
          <w:rFonts w:ascii="宋体" w:hAnsi="宋体" w:cs="宋体" w:eastAsia="宋体" w:hint="default"/>
          <w:spacing w:val="-2"/>
        </w:rPr>
        <w:t>8</w:t>
      </w:r>
      <w:r>
        <w:rPr>
          <w:spacing w:val="-2"/>
        </w:rPr>
        <w:t>层</w:t>
      </w:r>
      <w:r>
        <w:rPr>
          <w:rFonts w:ascii="宋体" w:hAnsi="宋体" w:cs="宋体" w:eastAsia="宋体" w:hint="default"/>
          <w:spacing w:val="-2"/>
        </w:rPr>
        <w:t>01</w:t>
      </w:r>
      <w:r>
        <w:rPr>
          <w:spacing w:val="-2"/>
        </w:rPr>
        <w:t>、</w:t>
      </w:r>
      <w:r>
        <w:rPr>
          <w:rFonts w:ascii="宋体" w:hAnsi="宋体" w:cs="宋体" w:eastAsia="宋体" w:hint="default"/>
          <w:spacing w:val="-2"/>
        </w:rPr>
        <w:t>02</w:t>
      </w:r>
      <w:r>
        <w:rPr>
          <w:spacing w:val="-2"/>
        </w:rPr>
        <w:t>单元。经营范围为计算机软硬件、网络系统的技术开发、技术</w:t>
      </w:r>
      <w:r>
        <w:rPr>
          <w:spacing w:val="-42"/>
        </w:rPr>
        <w:t> </w:t>
      </w:r>
      <w:r>
        <w:rPr>
          <w:spacing w:val="-42"/>
        </w:rPr>
      </w:r>
      <w:r>
        <w:rPr>
          <w:spacing w:val="-2"/>
        </w:rPr>
        <w:t>咨询、技术服务、技术转让；企业投资咨询、策划（证券、期货投资咨询除外）；商务信息咨询；会务会</w:t>
      </w:r>
      <w:r>
        <w:rPr>
          <w:spacing w:val="-43"/>
        </w:rPr>
        <w:t> </w:t>
      </w:r>
      <w:r>
        <w:rPr>
          <w:spacing w:val="-43"/>
        </w:rPr>
      </w:r>
      <w:r>
        <w:rPr/>
        <w:t>展咨询；设计、制作、发布、代理各类广告。</w:t>
      </w:r>
    </w:p>
    <w:p>
      <w:pPr>
        <w:pStyle w:val="BodyText"/>
        <w:spacing w:line="273" w:lineRule="auto"/>
        <w:ind w:right="287"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日，广州东财总资产为</w:t>
      </w:r>
      <w:r>
        <w:rPr>
          <w:rFonts w:ascii="宋体" w:hAnsi="宋体" w:cs="宋体" w:eastAsia="宋体" w:hint="default"/>
          <w:spacing w:val="-2"/>
        </w:rPr>
        <w:t>107.54</w:t>
      </w:r>
      <w:r>
        <w:rPr>
          <w:spacing w:val="-2"/>
        </w:rPr>
        <w:t>万元，净资产为</w:t>
      </w:r>
      <w:r>
        <w:rPr>
          <w:rFonts w:ascii="宋体" w:hAnsi="宋体" w:cs="宋体" w:eastAsia="宋体" w:hint="default"/>
          <w:spacing w:val="-2"/>
        </w:rPr>
        <w:t>67.09</w:t>
      </w:r>
      <w:r>
        <w:rPr>
          <w:spacing w:val="-2"/>
        </w:rPr>
        <w:t>万</w:t>
      </w:r>
      <w:r>
        <w:rPr>
          <w:w w:val="100"/>
        </w:rPr>
        <w:t> </w:t>
      </w:r>
      <w:r>
        <w:rPr/>
        <w:t>元，</w:t>
      </w:r>
      <w:r>
        <w:rPr>
          <w:rFonts w:ascii="宋体" w:hAnsi="宋体" w:cs="宋体" w:eastAsia="宋体" w:hint="default"/>
        </w:rPr>
        <w:t>2012</w:t>
      </w:r>
      <w:r>
        <w:rPr/>
        <w:t>年度实现净利润</w:t>
      </w:r>
      <w:r>
        <w:rPr>
          <w:rFonts w:ascii="宋体" w:hAnsi="宋体" w:cs="宋体" w:eastAsia="宋体" w:hint="default"/>
        </w:rPr>
        <w:t>-0.16</w:t>
      </w:r>
      <w:r>
        <w:rPr/>
        <w:t>万元。</w:t>
      </w:r>
    </w:p>
    <w:p>
      <w:pPr>
        <w:spacing w:after="0" w:line="273"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73" w:lineRule="auto" w:before="18"/>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上海天天基金销售有限公司（简称“天天基金”）</w:t>
      </w:r>
      <w:r>
        <w:rPr>
          <w:rFonts w:ascii="宋体" w:hAnsi="宋体" w:cs="宋体" w:eastAsia="宋体" w:hint="default"/>
          <w:b/>
          <w:bCs/>
          <w:w w:val="100"/>
          <w:sz w:val="21"/>
          <w:szCs w:val="21"/>
        </w:rPr>
        <w:t> </w:t>
      </w:r>
      <w:r>
        <w:rPr>
          <w:rFonts w:ascii="宋体" w:hAnsi="宋体" w:cs="宋体" w:eastAsia="宋体" w:hint="default"/>
          <w:spacing w:val="-2"/>
          <w:sz w:val="21"/>
          <w:szCs w:val="21"/>
        </w:rPr>
        <w:t>天天基金成立于</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w:t>
      </w:r>
      <w:r>
        <w:rPr>
          <w:rFonts w:ascii="宋体" w:hAnsi="宋体" w:cs="宋体" w:eastAsia="宋体" w:hint="default"/>
          <w:spacing w:val="-2"/>
          <w:sz w:val="21"/>
          <w:szCs w:val="21"/>
        </w:rPr>
        <w:t>日，原名为上海汇富信息科技有限公司及上海东方财富投资顾问有限公</w:t>
      </w:r>
    </w:p>
    <w:p>
      <w:pPr>
        <w:pStyle w:val="BodyText"/>
        <w:spacing w:line="273" w:lineRule="auto"/>
        <w:ind w:right="207"/>
        <w:jc w:val="both"/>
      </w:pPr>
      <w:r>
        <w:rPr>
          <w:spacing w:val="-2"/>
        </w:rPr>
        <w:t>司，现已更名并获得由上海市工商行政管理局颁发的新企业法人营业执照，注册资本</w:t>
      </w:r>
      <w:r>
        <w:rPr>
          <w:rFonts w:ascii="宋体" w:hAnsi="宋体" w:cs="宋体" w:eastAsia="宋体" w:hint="default"/>
          <w:spacing w:val="-2"/>
        </w:rPr>
        <w:t>5000</w:t>
      </w:r>
      <w:r>
        <w:rPr>
          <w:spacing w:val="-2"/>
        </w:rPr>
        <w:t>万元，实收资本</w:t>
      </w:r>
      <w:r>
        <w:rPr>
          <w:spacing w:val="-38"/>
        </w:rPr>
        <w:t> </w:t>
      </w:r>
      <w:r>
        <w:rPr>
          <w:spacing w:val="-38"/>
        </w:rPr>
      </w:r>
      <w:r>
        <w:rPr>
          <w:rFonts w:ascii="宋体" w:hAnsi="宋体" w:cs="宋体" w:eastAsia="宋体" w:hint="default"/>
          <w:spacing w:val="-2"/>
        </w:rPr>
        <w:t>5000</w:t>
      </w:r>
      <w:r>
        <w:rPr>
          <w:spacing w:val="-2"/>
        </w:rPr>
        <w:t>万元。注册地址及主要经营地为上海市徐汇区龙田路</w:t>
      </w:r>
      <w:r>
        <w:rPr>
          <w:rFonts w:ascii="宋体" w:hAnsi="宋体" w:cs="宋体" w:eastAsia="宋体" w:hint="default"/>
          <w:spacing w:val="-2"/>
        </w:rPr>
        <w:t>190</w:t>
      </w:r>
      <w:r>
        <w:rPr>
          <w:spacing w:val="-2"/>
        </w:rPr>
        <w:t>号</w:t>
      </w:r>
      <w:r>
        <w:rPr>
          <w:rFonts w:ascii="宋体" w:hAnsi="宋体" w:cs="宋体" w:eastAsia="宋体" w:hint="default"/>
          <w:spacing w:val="-2"/>
        </w:rPr>
        <w:t>2</w:t>
      </w:r>
      <w:r>
        <w:rPr>
          <w:spacing w:val="-2"/>
        </w:rPr>
        <w:t>号楼二层。经营范围为基金销售。（企业</w:t>
      </w:r>
      <w:r>
        <w:rPr>
          <w:spacing w:val="-39"/>
        </w:rPr>
        <w:t> </w:t>
      </w:r>
      <w:r>
        <w:rPr>
          <w:spacing w:val="-39"/>
        </w:rPr>
      </w:r>
      <w:r>
        <w:rPr/>
        <w:t>经营涉及行政许可的，凭许可证件经营）。</w:t>
      </w:r>
    </w:p>
    <w:p>
      <w:pPr>
        <w:pStyle w:val="BodyText"/>
        <w:spacing w:line="273" w:lineRule="auto"/>
        <w:ind w:right="208" w:firstLine="420"/>
        <w:jc w:val="left"/>
      </w:pPr>
      <w:r>
        <w:rPr>
          <w:spacing w:val="-7"/>
          <w:w w:val="100"/>
        </w:rPr>
        <w:t>经立信会计师事务所审计，截至</w:t>
      </w:r>
      <w:r>
        <w:rPr>
          <w:rFonts w:ascii="宋体" w:hAnsi="宋体" w:cs="宋体" w:eastAsia="宋体" w:hint="default"/>
          <w:spacing w:val="-7"/>
          <w:w w:val="100"/>
        </w:rPr>
        <w:t>2012</w:t>
      </w:r>
      <w:r>
        <w:rPr>
          <w:spacing w:val="-7"/>
          <w:w w:val="100"/>
        </w:rPr>
        <w:t>年</w:t>
      </w:r>
      <w:r>
        <w:rPr>
          <w:rFonts w:ascii="宋体" w:hAnsi="宋体" w:cs="宋体" w:eastAsia="宋体" w:hint="default"/>
          <w:spacing w:val="-7"/>
          <w:w w:val="100"/>
        </w:rPr>
        <w:t>12</w:t>
      </w:r>
      <w:r>
        <w:rPr>
          <w:spacing w:val="-7"/>
          <w:w w:val="100"/>
        </w:rPr>
        <w:t>月</w:t>
      </w:r>
      <w:r>
        <w:rPr>
          <w:rFonts w:ascii="宋体" w:hAnsi="宋体" w:cs="宋体" w:eastAsia="宋体" w:hint="default"/>
          <w:spacing w:val="-7"/>
          <w:w w:val="100"/>
        </w:rPr>
        <w:t>31</w:t>
      </w:r>
      <w:r>
        <w:rPr>
          <w:spacing w:val="-7"/>
          <w:w w:val="100"/>
        </w:rPr>
        <w:t>日，天天基金总资产为</w:t>
      </w:r>
      <w:r>
        <w:rPr>
          <w:rFonts w:ascii="宋体" w:hAnsi="宋体" w:cs="宋体" w:eastAsia="宋体" w:hint="default"/>
          <w:spacing w:val="-7"/>
          <w:w w:val="100"/>
        </w:rPr>
        <w:t>4</w:t>
      </w:r>
      <w:r>
        <w:rPr>
          <w:spacing w:val="-7"/>
          <w:w w:val="100"/>
        </w:rPr>
        <w:t>，</w:t>
      </w:r>
      <w:r>
        <w:rPr>
          <w:rFonts w:ascii="宋体" w:hAnsi="宋体" w:cs="宋体" w:eastAsia="宋体" w:hint="default"/>
          <w:spacing w:val="-7"/>
          <w:w w:val="100"/>
        </w:rPr>
        <w:t>612.93</w:t>
      </w:r>
      <w:r>
        <w:rPr>
          <w:spacing w:val="-7"/>
          <w:w w:val="100"/>
        </w:rPr>
        <w:t>万元，净资产为</w:t>
      </w:r>
      <w:r>
        <w:rPr>
          <w:rFonts w:ascii="宋体" w:hAnsi="宋体" w:cs="宋体" w:eastAsia="宋体" w:hint="default"/>
          <w:spacing w:val="-7"/>
          <w:w w:val="100"/>
        </w:rPr>
        <w:t>4,303.54</w:t>
      </w:r>
      <w:r>
        <w:rPr>
          <w:rFonts w:ascii="宋体" w:hAnsi="宋体" w:cs="宋体" w:eastAsia="宋体" w:hint="default"/>
          <w:w w:val="100"/>
        </w:rPr>
        <w:t> </w:t>
      </w:r>
      <w:r>
        <w:rPr/>
        <w:t>万元，</w:t>
      </w:r>
      <w:r>
        <w:rPr>
          <w:rFonts w:ascii="宋体" w:hAnsi="宋体" w:cs="宋体" w:eastAsia="宋体" w:hint="default"/>
        </w:rPr>
        <w:t>2012</w:t>
      </w:r>
      <w:r>
        <w:rPr/>
        <w:t>年度实现净利润</w:t>
      </w:r>
      <w:r>
        <w:rPr>
          <w:rFonts w:ascii="宋体" w:hAnsi="宋体" w:cs="宋体" w:eastAsia="宋体" w:hint="default"/>
        </w:rPr>
        <w:t>-485.91</w:t>
      </w:r>
      <w:r>
        <w:rPr/>
        <w:t>万元。</w:t>
      </w:r>
    </w:p>
    <w:p>
      <w:pPr>
        <w:spacing w:line="273"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上海东方财富证券研究所有限公司（简称“东财证券研究所”）</w:t>
      </w:r>
      <w:r>
        <w:rPr>
          <w:rFonts w:ascii="宋体" w:hAnsi="宋体" w:cs="宋体" w:eastAsia="宋体" w:hint="default"/>
          <w:b/>
          <w:bCs/>
          <w:w w:val="100"/>
          <w:sz w:val="21"/>
          <w:szCs w:val="21"/>
        </w:rPr>
        <w:t> </w:t>
      </w:r>
      <w:r>
        <w:rPr>
          <w:rFonts w:ascii="宋体" w:hAnsi="宋体" w:cs="宋体" w:eastAsia="宋体" w:hint="default"/>
          <w:spacing w:val="-2"/>
          <w:sz w:val="21"/>
          <w:szCs w:val="21"/>
        </w:rPr>
        <w:t>东财证券研究所成立于</w:t>
      </w:r>
      <w:r>
        <w:rPr>
          <w:rFonts w:ascii="宋体" w:hAnsi="宋体" w:cs="宋体" w:eastAsia="宋体" w:hint="default"/>
          <w:spacing w:val="-2"/>
          <w:sz w:val="21"/>
          <w:szCs w:val="21"/>
        </w:rPr>
        <w:t>1999</w:t>
      </w:r>
      <w:r>
        <w:rPr>
          <w:rFonts w:ascii="宋体" w:hAnsi="宋体" w:cs="宋体" w:eastAsia="宋体" w:hint="default"/>
          <w:spacing w:val="-2"/>
          <w:sz w:val="21"/>
          <w:szCs w:val="21"/>
        </w:rPr>
        <w:t>年</w:t>
      </w:r>
      <w:r>
        <w:rPr>
          <w:rFonts w:ascii="宋体" w:hAnsi="宋体" w:cs="宋体" w:eastAsia="宋体" w:hint="default"/>
          <w:spacing w:val="-2"/>
          <w:sz w:val="21"/>
          <w:szCs w:val="21"/>
        </w:rPr>
        <w:t>8</w:t>
      </w:r>
      <w:r>
        <w:rPr>
          <w:rFonts w:ascii="宋体" w:hAnsi="宋体" w:cs="宋体" w:eastAsia="宋体" w:hint="default"/>
          <w:spacing w:val="-2"/>
          <w:sz w:val="21"/>
          <w:szCs w:val="21"/>
        </w:rPr>
        <w:t>月</w:t>
      </w:r>
      <w:r>
        <w:rPr>
          <w:rFonts w:ascii="宋体" w:hAnsi="宋体" w:cs="宋体" w:eastAsia="宋体" w:hint="default"/>
          <w:spacing w:val="-2"/>
          <w:sz w:val="21"/>
          <w:szCs w:val="21"/>
        </w:rPr>
        <w:t>2</w:t>
      </w:r>
      <w:r>
        <w:rPr>
          <w:rFonts w:ascii="宋体" w:hAnsi="宋体" w:cs="宋体" w:eastAsia="宋体" w:hint="default"/>
          <w:spacing w:val="-2"/>
          <w:sz w:val="21"/>
          <w:szCs w:val="21"/>
        </w:rPr>
        <w:t>日，原名为上海金信证券研究所有限责任公司，现已更名并获得由</w:t>
      </w:r>
    </w:p>
    <w:p>
      <w:pPr>
        <w:pStyle w:val="BodyText"/>
        <w:spacing w:line="273" w:lineRule="auto"/>
        <w:ind w:right="189"/>
        <w:jc w:val="both"/>
      </w:pPr>
      <w:r>
        <w:rPr>
          <w:spacing w:val="-2"/>
        </w:rPr>
        <w:t>上海市工商行政管理局嘉定分局颁发的新企业法人营业执照。注册资本</w:t>
      </w:r>
      <w:r>
        <w:rPr>
          <w:rFonts w:ascii="宋体" w:hAnsi="宋体" w:cs="宋体" w:eastAsia="宋体" w:hint="default"/>
          <w:spacing w:val="-2"/>
        </w:rPr>
        <w:t>1,000</w:t>
      </w:r>
      <w:r>
        <w:rPr>
          <w:spacing w:val="-2"/>
        </w:rPr>
        <w:t>万元，实收资本</w:t>
      </w:r>
      <w:r>
        <w:rPr>
          <w:rFonts w:ascii="宋体" w:hAnsi="宋体" w:cs="宋体" w:eastAsia="宋体" w:hint="default"/>
          <w:spacing w:val="-2"/>
        </w:rPr>
        <w:t>1,000</w:t>
      </w:r>
      <w:r>
        <w:rPr>
          <w:spacing w:val="-2"/>
        </w:rPr>
        <w:t>万元。</w:t>
      </w:r>
      <w:r>
        <w:rPr>
          <w:spacing w:val="-15"/>
        </w:rPr>
        <w:t> </w:t>
      </w:r>
      <w:r>
        <w:rPr>
          <w:spacing w:val="-2"/>
        </w:rPr>
        <w:t>注册地址及主要经营地为上海市嘉定区马陆镇丰登路</w:t>
      </w:r>
      <w:r>
        <w:rPr>
          <w:rFonts w:ascii="宋体" w:hAnsi="宋体" w:cs="宋体" w:eastAsia="宋体" w:hint="default"/>
          <w:spacing w:val="-2"/>
        </w:rPr>
        <w:t>1028</w:t>
      </w:r>
      <w:r>
        <w:rPr>
          <w:spacing w:val="-2"/>
        </w:rPr>
        <w:t>弄</w:t>
      </w:r>
      <w:r>
        <w:rPr>
          <w:rFonts w:ascii="宋体" w:hAnsi="宋体" w:cs="宋体" w:eastAsia="宋体" w:hint="default"/>
          <w:spacing w:val="-2"/>
        </w:rPr>
        <w:t>8</w:t>
      </w:r>
      <w:r>
        <w:rPr>
          <w:spacing w:val="-2"/>
        </w:rPr>
        <w:t>号</w:t>
      </w:r>
      <w:r>
        <w:rPr>
          <w:rFonts w:ascii="宋体" w:hAnsi="宋体" w:cs="宋体" w:eastAsia="宋体" w:hint="default"/>
          <w:spacing w:val="-2"/>
        </w:rPr>
        <w:t>512</w:t>
      </w:r>
      <w:r>
        <w:rPr>
          <w:spacing w:val="-2"/>
        </w:rPr>
        <w:t>室。经营范围为证券投资咨询，企业财</w:t>
      </w:r>
      <w:r>
        <w:rPr>
          <w:spacing w:val="-34"/>
        </w:rPr>
        <w:t> </w:t>
      </w:r>
      <w:r>
        <w:rPr>
          <w:spacing w:val="-34"/>
        </w:rPr>
      </w:r>
      <w:r>
        <w:rPr>
          <w:spacing w:val="-2"/>
        </w:rPr>
        <w:t>务，企业管理，电脑、计算机软件领域的四技服务，经济信息咨询，企业管理咨询，投资管理咨询，提供</w:t>
      </w:r>
      <w:r>
        <w:rPr>
          <w:spacing w:val="-44"/>
        </w:rPr>
        <w:t> </w:t>
      </w:r>
      <w:r>
        <w:rPr>
          <w:spacing w:val="-44"/>
        </w:rPr>
      </w:r>
      <w:r>
        <w:rPr/>
        <w:t>劳务，电脑及配件销售。</w:t>
      </w:r>
    </w:p>
    <w:p>
      <w:pPr>
        <w:pStyle w:val="BodyText"/>
        <w:spacing w:line="273" w:lineRule="auto"/>
        <w:ind w:right="76"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日，东财证券研究所总资产为</w:t>
      </w:r>
      <w:r>
        <w:rPr>
          <w:rFonts w:ascii="宋体" w:hAnsi="宋体" w:cs="宋体" w:eastAsia="宋体" w:hint="default"/>
          <w:spacing w:val="-2"/>
        </w:rPr>
        <w:t>477.70</w:t>
      </w:r>
      <w:r>
        <w:rPr>
          <w:spacing w:val="-2"/>
        </w:rPr>
        <w:t>万元，净资产为</w:t>
      </w:r>
      <w:r>
        <w:rPr>
          <w:w w:val="100"/>
        </w:rPr>
        <w:t> </w:t>
      </w:r>
      <w:r>
        <w:rPr>
          <w:rFonts w:ascii="宋体" w:hAnsi="宋体" w:cs="宋体" w:eastAsia="宋体" w:hint="default"/>
        </w:rPr>
        <w:t>428.09</w:t>
      </w:r>
      <w:r>
        <w:rPr/>
        <w:t>元，</w:t>
      </w:r>
      <w:r>
        <w:rPr>
          <w:rFonts w:ascii="宋体" w:hAnsi="宋体" w:cs="宋体" w:eastAsia="宋体" w:hint="default"/>
        </w:rPr>
        <w:t>2012</w:t>
      </w:r>
      <w:r>
        <w:rPr/>
        <w:t>年度实现净利润</w:t>
      </w:r>
      <w:r>
        <w:rPr>
          <w:rFonts w:ascii="宋体" w:hAnsi="宋体" w:cs="宋体" w:eastAsia="宋体" w:hint="default"/>
        </w:rPr>
        <w:t>21.41</w:t>
      </w:r>
      <w:r>
        <w:rPr/>
        <w:t>万元。</w:t>
      </w:r>
    </w:p>
    <w:p>
      <w:pPr>
        <w:spacing w:line="273"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上海东方财富置业有限公司（简称“东财置业”）</w:t>
      </w:r>
      <w:r>
        <w:rPr>
          <w:rFonts w:ascii="宋体" w:hAnsi="宋体" w:cs="宋体" w:eastAsia="宋体" w:hint="default"/>
          <w:b/>
          <w:bCs/>
          <w:w w:val="100"/>
          <w:sz w:val="21"/>
          <w:szCs w:val="21"/>
        </w:rPr>
        <w:t> </w:t>
      </w:r>
      <w:r>
        <w:rPr>
          <w:rFonts w:ascii="宋体" w:hAnsi="宋体" w:cs="宋体" w:eastAsia="宋体" w:hint="default"/>
          <w:spacing w:val="-2"/>
          <w:sz w:val="21"/>
          <w:szCs w:val="21"/>
        </w:rPr>
        <w:t>东财置业成立于</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27</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2</w:t>
      </w:r>
      <w:r>
        <w:rPr>
          <w:rFonts w:ascii="宋体" w:hAnsi="宋体" w:cs="宋体" w:eastAsia="宋体" w:hint="default"/>
          <w:spacing w:val="-2"/>
          <w:sz w:val="21"/>
          <w:szCs w:val="21"/>
        </w:rPr>
        <w:t>亿元，实收资本</w:t>
      </w:r>
      <w:r>
        <w:rPr>
          <w:rFonts w:ascii="宋体" w:hAnsi="宋体" w:cs="宋体" w:eastAsia="宋体" w:hint="default"/>
          <w:spacing w:val="-2"/>
          <w:sz w:val="21"/>
          <w:szCs w:val="21"/>
        </w:rPr>
        <w:t>2</w:t>
      </w:r>
      <w:r>
        <w:rPr>
          <w:rFonts w:ascii="宋体" w:hAnsi="宋体" w:cs="宋体" w:eastAsia="宋体" w:hint="default"/>
          <w:spacing w:val="-2"/>
          <w:sz w:val="21"/>
          <w:szCs w:val="21"/>
        </w:rPr>
        <w:t>亿元。注册地址及主要经营地为嘉定区</w:t>
      </w:r>
    </w:p>
    <w:p>
      <w:pPr>
        <w:pStyle w:val="BodyText"/>
        <w:spacing w:line="273" w:lineRule="auto"/>
        <w:ind w:right="208"/>
        <w:jc w:val="both"/>
        <w:rPr>
          <w:rFonts w:ascii="宋体" w:hAnsi="宋体" w:cs="宋体" w:eastAsia="宋体" w:hint="default"/>
        </w:rPr>
      </w:pPr>
      <w:r>
        <w:rPr>
          <w:spacing w:val="-2"/>
        </w:rPr>
        <w:t>澄浏中路</w:t>
      </w:r>
      <w:r>
        <w:rPr>
          <w:rFonts w:ascii="宋体" w:hAnsi="宋体" w:cs="宋体" w:eastAsia="宋体" w:hint="default"/>
          <w:spacing w:val="-2"/>
        </w:rPr>
        <w:t>2572</w:t>
      </w:r>
      <w:r>
        <w:rPr>
          <w:spacing w:val="-2"/>
        </w:rPr>
        <w:t>号</w:t>
      </w:r>
      <w:r>
        <w:rPr>
          <w:rFonts w:ascii="宋体" w:hAnsi="宋体" w:cs="宋体" w:eastAsia="宋体" w:hint="default"/>
          <w:spacing w:val="-2"/>
        </w:rPr>
        <w:t>107</w:t>
      </w:r>
      <w:r>
        <w:rPr>
          <w:spacing w:val="-2"/>
        </w:rPr>
        <w:t>室。经营范围为房地产开发经营，物业管理。</w:t>
      </w:r>
      <w:r>
        <w:rPr>
          <w:rFonts w:ascii="宋体" w:hAnsi="宋体" w:cs="宋体" w:eastAsia="宋体" w:hint="default"/>
          <w:spacing w:val="-2"/>
        </w:rPr>
        <w:t>(</w:t>
      </w:r>
      <w:r>
        <w:rPr>
          <w:spacing w:val="-2"/>
        </w:rPr>
        <w:t>企业经营涉及行政许可的，凭许可证件</w:t>
      </w:r>
      <w:r>
        <w:rPr>
          <w:spacing w:val="-40"/>
        </w:rPr>
        <w:t> </w:t>
      </w:r>
      <w:r>
        <w:rPr>
          <w:spacing w:val="-40"/>
        </w:rPr>
      </w:r>
      <w:r>
        <w:rPr/>
        <w:t>经营</w:t>
      </w:r>
      <w:r>
        <w:rPr>
          <w:rFonts w:ascii="宋体" w:hAnsi="宋体" w:cs="宋体" w:eastAsia="宋体" w:hint="default"/>
        </w:rPr>
        <w:t>)</w:t>
      </w:r>
    </w:p>
    <w:p>
      <w:pPr>
        <w:pStyle w:val="BodyText"/>
        <w:spacing w:line="273" w:lineRule="auto"/>
        <w:ind w:right="290"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日，东财置业公司总资产为</w:t>
      </w:r>
      <w:r>
        <w:rPr>
          <w:rFonts w:ascii="宋体" w:hAnsi="宋体" w:cs="宋体" w:eastAsia="宋体" w:hint="default"/>
          <w:spacing w:val="-2"/>
        </w:rPr>
        <w:t>19,552.16</w:t>
      </w:r>
      <w:r>
        <w:rPr>
          <w:spacing w:val="-2"/>
        </w:rPr>
        <w:t>万元，净资产为</w:t>
      </w:r>
      <w:r>
        <w:rPr>
          <w:w w:val="100"/>
        </w:rPr>
        <w:t> </w:t>
      </w:r>
      <w:r>
        <w:rPr>
          <w:rFonts w:ascii="宋体" w:hAnsi="宋体" w:cs="宋体" w:eastAsia="宋体" w:hint="default"/>
        </w:rPr>
        <w:t>19,547.10</w:t>
      </w:r>
      <w:r>
        <w:rPr/>
        <w:t>万元，</w:t>
      </w:r>
      <w:r>
        <w:rPr>
          <w:rFonts w:ascii="宋体" w:hAnsi="宋体" w:cs="宋体" w:eastAsia="宋体" w:hint="default"/>
        </w:rPr>
        <w:t>2012</w:t>
      </w:r>
      <w:r>
        <w:rPr/>
        <w:t>年度实现净利润</w:t>
      </w:r>
      <w:r>
        <w:rPr>
          <w:rFonts w:ascii="宋体" w:hAnsi="宋体" w:cs="宋体" w:eastAsia="宋体" w:hint="default"/>
        </w:rPr>
        <w:t>-248.27</w:t>
      </w:r>
      <w:r>
        <w:rPr/>
        <w:t>万元。</w:t>
      </w:r>
    </w:p>
    <w:p>
      <w:pPr>
        <w:spacing w:line="273"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上海东方财富金融数据服务有限公司（简称“东财金融数据公司”）</w:t>
      </w:r>
      <w:r>
        <w:rPr>
          <w:rFonts w:ascii="宋体" w:hAnsi="宋体" w:cs="宋体" w:eastAsia="宋体" w:hint="default"/>
          <w:b/>
          <w:bCs/>
          <w:w w:val="100"/>
          <w:sz w:val="21"/>
          <w:szCs w:val="21"/>
        </w:rPr>
        <w:t> </w:t>
      </w:r>
      <w:r>
        <w:rPr>
          <w:rFonts w:ascii="宋体" w:hAnsi="宋体" w:cs="宋体" w:eastAsia="宋体" w:hint="default"/>
          <w:spacing w:val="-2"/>
          <w:sz w:val="21"/>
          <w:szCs w:val="21"/>
        </w:rPr>
        <w:t>东财金融服务成立于</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w:t>
      </w:r>
      <w:r>
        <w:rPr>
          <w:rFonts w:ascii="宋体" w:hAnsi="宋体" w:cs="宋体" w:eastAsia="宋体" w:hint="default"/>
          <w:spacing w:val="-2"/>
          <w:sz w:val="21"/>
          <w:szCs w:val="21"/>
        </w:rPr>
        <w:t>8</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5000</w:t>
      </w:r>
      <w:r>
        <w:rPr>
          <w:rFonts w:ascii="宋体" w:hAnsi="宋体" w:cs="宋体" w:eastAsia="宋体" w:hint="default"/>
          <w:spacing w:val="-2"/>
          <w:sz w:val="21"/>
          <w:szCs w:val="21"/>
        </w:rPr>
        <w:t>万元，实收资本</w:t>
      </w:r>
      <w:r>
        <w:rPr>
          <w:rFonts w:ascii="宋体" w:hAnsi="宋体" w:cs="宋体" w:eastAsia="宋体" w:hint="default"/>
          <w:spacing w:val="-2"/>
          <w:sz w:val="21"/>
          <w:szCs w:val="21"/>
        </w:rPr>
        <w:t>5000</w:t>
      </w:r>
      <w:r>
        <w:rPr>
          <w:rFonts w:ascii="宋体" w:hAnsi="宋体" w:cs="宋体" w:eastAsia="宋体" w:hint="default"/>
          <w:spacing w:val="-2"/>
          <w:sz w:val="21"/>
          <w:szCs w:val="21"/>
        </w:rPr>
        <w:t>万元。注册地址及主要经营</w:t>
      </w:r>
    </w:p>
    <w:p>
      <w:pPr>
        <w:pStyle w:val="BodyText"/>
        <w:spacing w:line="273" w:lineRule="auto" w:before="8"/>
        <w:ind w:right="189"/>
        <w:jc w:val="both"/>
        <w:rPr>
          <w:rFonts w:ascii="宋体" w:hAnsi="宋体" w:cs="宋体" w:eastAsia="宋体" w:hint="default"/>
        </w:rPr>
      </w:pPr>
      <w:r>
        <w:rPr>
          <w:spacing w:val="-2"/>
        </w:rPr>
        <w:t>地为嘉定区马陆镇封周路</w:t>
      </w:r>
      <w:r>
        <w:rPr>
          <w:rFonts w:ascii="宋体" w:hAnsi="宋体" w:cs="宋体" w:eastAsia="宋体" w:hint="default"/>
          <w:spacing w:val="-2"/>
        </w:rPr>
        <w:t>655</w:t>
      </w:r>
      <w:r>
        <w:rPr>
          <w:spacing w:val="-2"/>
        </w:rPr>
        <w:t>号</w:t>
      </w:r>
      <w:r>
        <w:rPr>
          <w:rFonts w:ascii="宋体" w:hAnsi="宋体" w:cs="宋体" w:eastAsia="宋体" w:hint="default"/>
          <w:spacing w:val="-2"/>
        </w:rPr>
        <w:t>604</w:t>
      </w:r>
      <w:r>
        <w:rPr>
          <w:spacing w:val="-2"/>
        </w:rPr>
        <w:t>室。经营范围为金融数据服务，计算机软硬件及网络系统的技术开发、</w:t>
      </w:r>
      <w:r>
        <w:rPr>
          <w:spacing w:val="-21"/>
        </w:rPr>
        <w:t> </w:t>
      </w:r>
      <w:r>
        <w:rPr>
          <w:spacing w:val="-21"/>
        </w:rPr>
      </w:r>
      <w:r>
        <w:rPr>
          <w:spacing w:val="-2"/>
        </w:rPr>
        <w:t>技术服务、技术咨询、技术转让，计算机软硬件的销售，企业投资咨询，企业策划，商务咨询，会务会展</w:t>
      </w:r>
      <w:r>
        <w:rPr>
          <w:spacing w:val="-48"/>
        </w:rPr>
        <w:t> </w:t>
      </w:r>
      <w:r>
        <w:rPr>
          <w:spacing w:val="-48"/>
        </w:rPr>
      </w:r>
      <w:r>
        <w:rPr/>
        <w:t>咨询服务，设计、制作、发布、代理国内外各类广告。</w:t>
      </w:r>
      <w:r>
        <w:rPr>
          <w:rFonts w:ascii="宋体" w:hAnsi="宋体" w:cs="宋体" w:eastAsia="宋体" w:hint="default"/>
        </w:rPr>
        <w:t>(</w:t>
      </w:r>
      <w:r>
        <w:rPr/>
        <w:t>企业经营涉及行政许可的，凭许可证件经营</w:t>
      </w:r>
      <w:r>
        <w:rPr>
          <w:rFonts w:ascii="宋体" w:hAnsi="宋体" w:cs="宋体" w:eastAsia="宋体" w:hint="default"/>
        </w:rPr>
        <w:t>)</w:t>
      </w:r>
    </w:p>
    <w:p>
      <w:pPr>
        <w:pStyle w:val="BodyText"/>
        <w:spacing w:line="273" w:lineRule="auto"/>
        <w:ind w:right="206"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日，东财金融数据公司总资产为</w:t>
      </w:r>
      <w:r>
        <w:rPr>
          <w:rFonts w:ascii="宋体" w:hAnsi="宋体" w:cs="宋体" w:eastAsia="宋体" w:hint="default"/>
          <w:spacing w:val="-2"/>
        </w:rPr>
        <w:t>4,962.44</w:t>
      </w:r>
      <w:r>
        <w:rPr>
          <w:spacing w:val="-2"/>
        </w:rPr>
        <w:t>万元，净资产</w:t>
      </w:r>
      <w:r>
        <w:rPr>
          <w:w w:val="100"/>
        </w:rPr>
        <w:t> </w:t>
      </w:r>
      <w:r>
        <w:rPr/>
        <w:t>为</w:t>
      </w:r>
      <w:r>
        <w:rPr>
          <w:rFonts w:ascii="宋体" w:hAnsi="宋体" w:cs="宋体" w:eastAsia="宋体" w:hint="default"/>
        </w:rPr>
        <w:t>4,879.00</w:t>
      </w:r>
      <w:r>
        <w:rPr/>
        <w:t>万元，</w:t>
      </w:r>
      <w:r>
        <w:rPr>
          <w:rFonts w:ascii="宋体" w:hAnsi="宋体" w:cs="宋体" w:eastAsia="宋体" w:hint="default"/>
        </w:rPr>
        <w:t>2012</w:t>
      </w:r>
      <w:r>
        <w:rPr/>
        <w:t>年度实现净利润</w:t>
      </w:r>
      <w:r>
        <w:rPr>
          <w:rFonts w:ascii="宋体" w:hAnsi="宋体" w:cs="宋体" w:eastAsia="宋体" w:hint="default"/>
        </w:rPr>
        <w:t>-119.26</w:t>
      </w:r>
      <w:r>
        <w:rPr/>
        <w:t>万元。</w:t>
      </w:r>
    </w:p>
    <w:p>
      <w:pPr>
        <w:pStyle w:val="Heading4"/>
        <w:spacing w:line="240" w:lineRule="auto" w:before="100"/>
        <w:ind w:right="76"/>
        <w:jc w:val="left"/>
      </w:pPr>
      <w:r>
        <w:rPr>
          <w:rFonts w:ascii="Times New Roman" w:hAnsi="Times New Roman" w:cs="Times New Roman" w:eastAsia="Times New Roman" w:hint="default"/>
        </w:rPr>
        <w:t>2</w:t>
      </w:r>
      <w:r>
        <w:rPr/>
        <w:t>、控股企业</w:t>
      </w:r>
    </w:p>
    <w:p>
      <w:pPr>
        <w:spacing w:line="273" w:lineRule="auto" w:before="12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4"/>
          <w:sz w:val="21"/>
          <w:szCs w:val="21"/>
        </w:rPr>
        <w:t> </w:t>
      </w:r>
      <w:r>
        <w:rPr>
          <w:rFonts w:ascii="宋体" w:hAnsi="宋体" w:cs="宋体" w:eastAsia="宋体" w:hint="default"/>
          <w:b/>
          <w:bCs/>
          <w:sz w:val="21"/>
          <w:szCs w:val="21"/>
        </w:rPr>
        <w:t>上海优优商务咨询有限公司（简称“优优商务”）</w:t>
      </w:r>
      <w:r>
        <w:rPr>
          <w:rFonts w:ascii="宋体" w:hAnsi="宋体" w:cs="宋体" w:eastAsia="宋体" w:hint="default"/>
          <w:b/>
          <w:bCs/>
          <w:w w:val="100"/>
          <w:sz w:val="21"/>
          <w:szCs w:val="21"/>
        </w:rPr>
        <w:t> </w:t>
      </w:r>
      <w:r>
        <w:rPr>
          <w:rFonts w:ascii="宋体" w:hAnsi="宋体" w:cs="宋体" w:eastAsia="宋体" w:hint="default"/>
          <w:spacing w:val="-2"/>
          <w:sz w:val="21"/>
          <w:szCs w:val="21"/>
        </w:rPr>
        <w:t>优优商务成立于</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22</w:t>
      </w:r>
      <w:r>
        <w:rPr>
          <w:rFonts w:ascii="宋体" w:hAnsi="宋体" w:cs="宋体" w:eastAsia="宋体" w:hint="default"/>
          <w:spacing w:val="-2"/>
          <w:sz w:val="21"/>
          <w:szCs w:val="21"/>
        </w:rPr>
        <w:t>日，注册资本</w:t>
      </w:r>
      <w:r>
        <w:rPr>
          <w:rFonts w:ascii="宋体" w:hAnsi="宋体" w:cs="宋体" w:eastAsia="宋体" w:hint="default"/>
          <w:spacing w:val="-2"/>
          <w:sz w:val="21"/>
          <w:szCs w:val="21"/>
        </w:rPr>
        <w:t>20</w:t>
      </w:r>
      <w:r>
        <w:rPr>
          <w:rFonts w:ascii="宋体" w:hAnsi="宋体" w:cs="宋体" w:eastAsia="宋体" w:hint="default"/>
          <w:spacing w:val="-2"/>
          <w:sz w:val="21"/>
          <w:szCs w:val="21"/>
        </w:rPr>
        <w:t>万元，实收资本</w:t>
      </w:r>
      <w:r>
        <w:rPr>
          <w:rFonts w:ascii="宋体" w:hAnsi="宋体" w:cs="宋体" w:eastAsia="宋体" w:hint="default"/>
          <w:spacing w:val="-2"/>
          <w:sz w:val="21"/>
          <w:szCs w:val="21"/>
        </w:rPr>
        <w:t>20</w:t>
      </w:r>
      <w:r>
        <w:rPr>
          <w:rFonts w:ascii="宋体" w:hAnsi="宋体" w:cs="宋体" w:eastAsia="宋体" w:hint="default"/>
          <w:spacing w:val="-2"/>
          <w:sz w:val="21"/>
          <w:szCs w:val="21"/>
        </w:rPr>
        <w:t>万元。注册地址及主要经营地为龙田</w:t>
      </w:r>
    </w:p>
    <w:p>
      <w:pPr>
        <w:pStyle w:val="BodyText"/>
        <w:spacing w:line="273" w:lineRule="auto"/>
        <w:ind w:right="76"/>
        <w:jc w:val="left"/>
      </w:pPr>
      <w:r>
        <w:rPr>
          <w:spacing w:val="-6"/>
        </w:rPr>
        <w:t>路</w:t>
      </w:r>
      <w:r>
        <w:rPr>
          <w:rFonts w:ascii="宋体" w:hAnsi="宋体" w:cs="宋体" w:eastAsia="宋体" w:hint="default"/>
          <w:spacing w:val="-6"/>
        </w:rPr>
        <w:t>190</w:t>
      </w:r>
      <w:r>
        <w:rPr>
          <w:spacing w:val="-6"/>
        </w:rPr>
        <w:t>号</w:t>
      </w:r>
      <w:r>
        <w:rPr>
          <w:rFonts w:ascii="宋体" w:hAnsi="宋体" w:cs="宋体" w:eastAsia="宋体" w:hint="default"/>
          <w:spacing w:val="-6"/>
        </w:rPr>
        <w:t>2</w:t>
      </w:r>
      <w:r>
        <w:rPr>
          <w:spacing w:val="-6"/>
        </w:rPr>
        <w:t>号楼</w:t>
      </w:r>
      <w:r>
        <w:rPr>
          <w:rFonts w:ascii="宋体" w:hAnsi="宋体" w:cs="宋体" w:eastAsia="宋体" w:hint="default"/>
          <w:spacing w:val="-6"/>
        </w:rPr>
        <w:t>309</w:t>
      </w:r>
      <w:r>
        <w:rPr>
          <w:spacing w:val="-6"/>
        </w:rPr>
        <w:t>室，经营范围为企业投资咨询与市场营销策划，商务咨询、会务会展服务咨询（除经纪），</w:t>
      </w:r>
      <w:r>
        <w:rPr>
          <w:spacing w:val="-43"/>
        </w:rPr>
        <w:t> </w:t>
      </w:r>
      <w:r>
        <w:rPr>
          <w:spacing w:val="-43"/>
        </w:rPr>
      </w:r>
      <w:r>
        <w:rPr>
          <w:spacing w:val="-7"/>
        </w:rPr>
        <w:t>设计、制作各类广告，计算机软硬件及网络系统领域内的技术开发、技术服务、技术咨询、技术转让。（涉</w:t>
      </w:r>
      <w:r>
        <w:rPr>
          <w:spacing w:val="-17"/>
        </w:rPr>
        <w:t> </w:t>
      </w:r>
      <w:r>
        <w:rPr>
          <w:spacing w:val="-17"/>
        </w:rPr>
      </w:r>
      <w:r>
        <w:rPr/>
        <w:t>及行政许可的，凭许可证经营）</w:t>
      </w:r>
    </w:p>
    <w:p>
      <w:pPr>
        <w:pStyle w:val="BodyText"/>
        <w:spacing w:line="273" w:lineRule="auto"/>
        <w:ind w:left="573" w:right="76"/>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日，东方财富持有优优商务</w:t>
      </w:r>
      <w:r>
        <w:rPr>
          <w:rFonts w:ascii="宋体" w:hAnsi="宋体" w:cs="宋体" w:eastAsia="宋体" w:hint="default"/>
        </w:rPr>
        <w:t>85%</w:t>
      </w:r>
      <w:r>
        <w:rPr/>
        <w:t>的股权。</w:t>
      </w:r>
      <w:r>
        <w:rPr>
          <w:w w:val="100"/>
        </w:rPr>
        <w:t> </w:t>
      </w: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日，优优商务总资产为</w:t>
      </w:r>
      <w:r>
        <w:rPr>
          <w:rFonts w:ascii="宋体" w:hAnsi="宋体" w:cs="宋体" w:eastAsia="宋体" w:hint="default"/>
          <w:spacing w:val="-2"/>
        </w:rPr>
        <w:t>8.14</w:t>
      </w:r>
      <w:r>
        <w:rPr>
          <w:spacing w:val="-2"/>
        </w:rPr>
        <w:t>万元，净资产为</w:t>
      </w:r>
      <w:r>
        <w:rPr>
          <w:rFonts w:ascii="宋体" w:hAnsi="宋体" w:cs="宋体" w:eastAsia="宋体" w:hint="default"/>
          <w:spacing w:val="-2"/>
        </w:rPr>
        <w:t>6.96</w:t>
      </w:r>
      <w:r>
        <w:rPr>
          <w:spacing w:val="-2"/>
        </w:rPr>
        <w:t>万元，</w:t>
      </w:r>
      <w:r>
        <w:rPr/>
      </w:r>
    </w:p>
    <w:p>
      <w:pPr>
        <w:pStyle w:val="BodyText"/>
        <w:spacing w:line="240" w:lineRule="auto"/>
        <w:ind w:right="76"/>
        <w:jc w:val="left"/>
      </w:pPr>
      <w:r>
        <w:rPr>
          <w:rFonts w:ascii="宋体" w:hAnsi="宋体" w:cs="宋体" w:eastAsia="宋体" w:hint="default"/>
        </w:rPr>
        <w:t>2012</w:t>
      </w:r>
      <w:r>
        <w:rPr/>
        <w:t>年度实现净利润</w:t>
      </w:r>
      <w:r>
        <w:rPr>
          <w:rFonts w:ascii="宋体" w:hAnsi="宋体" w:cs="宋体" w:eastAsia="宋体" w:hint="default"/>
        </w:rPr>
        <w:t>1.36</w:t>
      </w:r>
      <w:r>
        <w:rPr/>
        <w:t>万元。</w:t>
      </w:r>
    </w:p>
    <w:p>
      <w:pPr>
        <w:spacing w:line="273" w:lineRule="auto" w:before="157"/>
        <w:ind w:left="573" w:right="76" w:hanging="36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上海东方财富管理专修学院（简称“东财管理专修学院”）</w:t>
      </w:r>
      <w:r>
        <w:rPr>
          <w:rFonts w:ascii="宋体" w:hAnsi="宋体" w:cs="宋体" w:eastAsia="宋体" w:hint="default"/>
          <w:b/>
          <w:bCs/>
          <w:w w:val="100"/>
          <w:sz w:val="21"/>
          <w:szCs w:val="21"/>
        </w:rPr>
        <w:t> </w:t>
      </w:r>
      <w:r>
        <w:rPr>
          <w:rFonts w:ascii="宋体" w:hAnsi="宋体" w:cs="宋体" w:eastAsia="宋体" w:hint="default"/>
          <w:spacing w:val="-2"/>
          <w:sz w:val="21"/>
          <w:szCs w:val="21"/>
        </w:rPr>
        <w:t>东财管理专修学院系公司控制的非企业法人。东财管理专修学院成立于</w:t>
      </w:r>
      <w:r>
        <w:rPr>
          <w:rFonts w:ascii="宋体" w:hAnsi="宋体" w:cs="宋体" w:eastAsia="宋体" w:hint="default"/>
          <w:spacing w:val="-2"/>
          <w:sz w:val="21"/>
          <w:szCs w:val="21"/>
        </w:rPr>
        <w:t>2008</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8</w:t>
      </w:r>
      <w:r>
        <w:rPr>
          <w:rFonts w:ascii="宋体" w:hAnsi="宋体" w:cs="宋体" w:eastAsia="宋体" w:hint="default"/>
          <w:spacing w:val="-2"/>
          <w:sz w:val="21"/>
          <w:szCs w:val="21"/>
        </w:rPr>
        <w:t>日，原名为上海</w:t>
      </w:r>
    </w:p>
    <w:p>
      <w:pPr>
        <w:pStyle w:val="BodyText"/>
        <w:spacing w:line="273" w:lineRule="auto"/>
        <w:ind w:right="206"/>
        <w:jc w:val="both"/>
      </w:pPr>
      <w:r>
        <w:rPr>
          <w:spacing w:val="-2"/>
        </w:rPr>
        <w:t>东方理财专修学院，现已更名并获得由上海市徐汇区民政局颁发的新民办非企业单位登记证书。开办资金</w:t>
      </w:r>
      <w:r>
        <w:rPr>
          <w:spacing w:val="-42"/>
        </w:rPr>
        <w:t> </w:t>
      </w:r>
      <w:r>
        <w:rPr>
          <w:spacing w:val="-42"/>
        </w:rPr>
      </w:r>
      <w:r>
        <w:rPr>
          <w:spacing w:val="-2"/>
        </w:rPr>
        <w:t>为人民币</w:t>
      </w:r>
      <w:r>
        <w:rPr>
          <w:rFonts w:ascii="宋体" w:hAnsi="宋体" w:cs="宋体" w:eastAsia="宋体" w:hint="default"/>
          <w:spacing w:val="-2"/>
        </w:rPr>
        <w:t>100</w:t>
      </w:r>
      <w:r>
        <w:rPr>
          <w:spacing w:val="-2"/>
        </w:rPr>
        <w:t>万元（已全额缴纳），注册地址及主要经营地为上海市徐汇区龙田路</w:t>
      </w:r>
      <w:r>
        <w:rPr>
          <w:rFonts w:ascii="宋体" w:hAnsi="宋体" w:cs="宋体" w:eastAsia="宋体" w:hint="default"/>
          <w:spacing w:val="-2"/>
        </w:rPr>
        <w:t>190</w:t>
      </w:r>
      <w:r>
        <w:rPr>
          <w:spacing w:val="-2"/>
        </w:rPr>
        <w:t>号天华信息园</w:t>
      </w:r>
      <w:r>
        <w:rPr>
          <w:rFonts w:ascii="宋体" w:hAnsi="宋体" w:cs="宋体" w:eastAsia="宋体" w:hint="default"/>
          <w:spacing w:val="-2"/>
        </w:rPr>
        <w:t>2</w:t>
      </w:r>
      <w:r>
        <w:rPr>
          <w:spacing w:val="-2"/>
        </w:rPr>
        <w:t>号楼</w:t>
      </w:r>
      <w:r>
        <w:rPr>
          <w:rFonts w:ascii="宋体" w:hAnsi="宋体" w:cs="宋体" w:eastAsia="宋体" w:hint="default"/>
          <w:spacing w:val="-2"/>
        </w:rPr>
        <w:t>1</w:t>
      </w:r>
      <w:r>
        <w:rPr>
          <w:rFonts w:ascii="宋体" w:hAnsi="宋体" w:cs="宋体" w:eastAsia="宋体" w:hint="default"/>
          <w:spacing w:val="-42"/>
        </w:rPr>
        <w:t> </w:t>
      </w:r>
      <w:r>
        <w:rPr>
          <w:spacing w:val="-2"/>
        </w:rPr>
        <w:t>楼，业务范围为高等及以下非学历业余教育。东财管理专修学院自</w:t>
      </w:r>
      <w:r>
        <w:rPr>
          <w:rFonts w:ascii="宋体" w:hAnsi="宋体" w:cs="宋体" w:eastAsia="宋体" w:hint="default"/>
          <w:spacing w:val="-2"/>
        </w:rPr>
        <w:t>2009</w:t>
      </w:r>
      <w:r>
        <w:rPr>
          <w:spacing w:val="-2"/>
        </w:rPr>
        <w:t>年起正式运营，主要为本公司提供</w:t>
      </w:r>
    </w:p>
    <w:p>
      <w:pPr>
        <w:spacing w:after="0" w:line="273" w:lineRule="auto"/>
        <w:jc w:val="both"/>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left="573" w:right="515" w:hanging="421"/>
        <w:jc w:val="left"/>
      </w:pPr>
      <w:r>
        <w:rPr/>
        <w:t>员工培训和对外举办少量的短期培训。</w:t>
      </w:r>
      <w:r>
        <w:rPr>
          <w:w w:val="100"/>
        </w:rPr>
        <w:t> </w:t>
      </w: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日，东方财富出资占开办资金的比例为</w:t>
      </w:r>
      <w:r>
        <w:rPr>
          <w:rFonts w:ascii="宋体" w:hAnsi="宋体" w:cs="宋体" w:eastAsia="宋体" w:hint="default"/>
          <w:spacing w:val="-2"/>
        </w:rPr>
        <w:t>85%</w:t>
      </w:r>
      <w:r>
        <w:rPr>
          <w:spacing w:val="-2"/>
        </w:rPr>
        <w:t>。</w:t>
      </w:r>
    </w:p>
    <w:p>
      <w:pPr>
        <w:pStyle w:val="BodyText"/>
        <w:spacing w:line="273" w:lineRule="auto"/>
        <w:ind w:right="0" w:firstLine="420"/>
        <w:jc w:val="left"/>
      </w:pPr>
      <w:r>
        <w:rPr>
          <w:spacing w:val="-2"/>
        </w:rPr>
        <w:t>经立信会计师事务所审计，截至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日，东财管理专修学院总资产为</w:t>
      </w:r>
      <w:r>
        <w:rPr>
          <w:rFonts w:ascii="宋体" w:hAnsi="宋体" w:cs="宋体" w:eastAsia="宋体" w:hint="default"/>
          <w:spacing w:val="-2"/>
        </w:rPr>
        <w:t>99.09</w:t>
      </w:r>
      <w:r>
        <w:rPr>
          <w:spacing w:val="-2"/>
        </w:rPr>
        <w:t>万元，净资产为</w:t>
      </w:r>
      <w:r>
        <w:rPr>
          <w:w w:val="100"/>
        </w:rPr>
        <w:t> </w:t>
      </w:r>
      <w:r>
        <w:rPr>
          <w:rFonts w:ascii="宋体" w:hAnsi="宋体" w:cs="宋体" w:eastAsia="宋体" w:hint="default"/>
        </w:rPr>
        <w:t>39.44</w:t>
      </w:r>
      <w:r>
        <w:rPr/>
        <w:t>万元，</w:t>
      </w:r>
      <w:r>
        <w:rPr>
          <w:rFonts w:ascii="宋体" w:hAnsi="宋体" w:cs="宋体" w:eastAsia="宋体" w:hint="default"/>
        </w:rPr>
        <w:t>2012</w:t>
      </w:r>
      <w:r>
        <w:rPr/>
        <w:t>年实现净利润</w:t>
      </w:r>
      <w:r>
        <w:rPr>
          <w:rFonts w:ascii="宋体" w:hAnsi="宋体" w:cs="宋体" w:eastAsia="宋体" w:hint="default"/>
        </w:rPr>
        <w:t>12.58</w:t>
      </w:r>
      <w:r>
        <w:rPr/>
        <w:t>万元。</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三、公司未来发展的展望</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left="573" w:right="0"/>
        <w:jc w:val="left"/>
      </w:pPr>
      <w:r>
        <w:rPr/>
        <w:t>（一）公司所处行业的宏观经济趋势</w:t>
      </w:r>
      <w:r>
        <w:rPr>
          <w:w w:val="100"/>
        </w:rPr>
        <w:t> </w:t>
      </w:r>
      <w:r>
        <w:rPr>
          <w:spacing w:val="-2"/>
        </w:rPr>
        <w:t>十二五期间，公司所处的作为金融与互联网交叉的网络财经信息服务业迎来了难得的战略发展机遇</w:t>
      </w:r>
    </w:p>
    <w:p>
      <w:pPr>
        <w:pStyle w:val="BodyText"/>
        <w:spacing w:line="273" w:lineRule="auto"/>
        <w:ind w:right="104"/>
        <w:jc w:val="both"/>
      </w:pPr>
      <w:r>
        <w:rPr>
          <w:spacing w:val="-2"/>
        </w:rPr>
        <w:t>期，“十二五规划”提出了“要提升金融信息化水平，要以科技手段促进金融服务与管理创新，提高金融</w:t>
      </w:r>
      <w:r>
        <w:rPr>
          <w:spacing w:val="-45"/>
        </w:rPr>
        <w:t> </w:t>
      </w:r>
      <w:r>
        <w:rPr>
          <w:spacing w:val="-45"/>
        </w:rPr>
      </w:r>
      <w:r>
        <w:rPr>
          <w:spacing w:val="-2"/>
        </w:rPr>
        <w:t>信息化水平。完善金融业信息安全防护体系，大幅提升信息系统抵御风险能力。推广电子交易，不断提升</w:t>
      </w:r>
      <w:r>
        <w:rPr>
          <w:spacing w:val="-47"/>
        </w:rPr>
        <w:t> </w:t>
      </w:r>
      <w:r>
        <w:rPr>
          <w:spacing w:val="-47"/>
        </w:rPr>
      </w:r>
      <w:r>
        <w:rPr>
          <w:spacing w:val="-2"/>
        </w:rPr>
        <w:t>金融业电子渠道交易替代率。”、“有序拓展金融服务业”和“全面提升金融服务水平”等任务和目标，</w:t>
      </w:r>
      <w:r>
        <w:rPr>
          <w:spacing w:val="-22"/>
        </w:rPr>
        <w:t> </w:t>
      </w:r>
      <w:r>
        <w:rPr>
          <w:spacing w:val="-22"/>
        </w:rPr>
      </w:r>
      <w:r>
        <w:rPr>
          <w:spacing w:val="-2"/>
        </w:rPr>
        <w:t>这为我国网络财经信息服务行业的发展奠定了政策基础。同时，随着金融市场的不断扩大，机构投资者数</w:t>
      </w:r>
      <w:r>
        <w:rPr>
          <w:spacing w:val="-44"/>
        </w:rPr>
        <w:t> </w:t>
      </w:r>
      <w:r>
        <w:rPr>
          <w:spacing w:val="-44"/>
        </w:rPr>
      </w:r>
      <w:r>
        <w:rPr>
          <w:spacing w:val="-2"/>
        </w:rPr>
        <w:t>量将持续增长，加上居民理财意识增强、投资理念日益成熟，将会不断提升对专业财经资讯信息服务的需</w:t>
      </w:r>
      <w:r>
        <w:rPr>
          <w:spacing w:val="-45"/>
        </w:rPr>
        <w:t> </w:t>
      </w:r>
      <w:r>
        <w:rPr>
          <w:spacing w:val="-45"/>
        </w:rPr>
      </w:r>
      <w:r>
        <w:rPr/>
        <w:t>求，这也将促进行业的发展。</w:t>
      </w:r>
    </w:p>
    <w:p>
      <w:pPr>
        <w:pStyle w:val="BodyText"/>
        <w:spacing w:line="273" w:lineRule="auto"/>
        <w:ind w:right="0" w:firstLine="420"/>
        <w:jc w:val="left"/>
      </w:pPr>
      <w:r>
        <w:rPr>
          <w:spacing w:val="-2"/>
        </w:rPr>
        <w:t>十二五期间，互联网和宽带日益普及，以及互联网技术的不断革新和得到应用，也将推动行业的创新</w:t>
      </w:r>
      <w:r>
        <w:rPr>
          <w:w w:val="100"/>
        </w:rPr>
        <w:t> </w:t>
      </w:r>
      <w:r>
        <w:rPr/>
        <w:t>和发展。</w:t>
      </w:r>
    </w:p>
    <w:p>
      <w:pPr>
        <w:pStyle w:val="BodyText"/>
        <w:spacing w:line="273" w:lineRule="auto"/>
        <w:ind w:right="0" w:firstLine="420"/>
        <w:jc w:val="left"/>
      </w:pPr>
      <w:r>
        <w:rPr/>
        <w:t>报告期内，网民的规模进一步增加，根据中国互联网络信息中心（</w:t>
      </w:r>
      <w:r>
        <w:rPr>
          <w:rFonts w:ascii="宋体" w:hAnsi="宋体" w:cs="宋体" w:eastAsia="宋体" w:hint="default"/>
        </w:rPr>
        <w:t>CNNIC</w:t>
      </w:r>
      <w:r>
        <w:rPr/>
        <w:t>）发布的《第</w:t>
      </w:r>
      <w:r>
        <w:rPr>
          <w:rFonts w:ascii="宋体" w:hAnsi="宋体" w:cs="宋体" w:eastAsia="宋体" w:hint="default"/>
        </w:rPr>
        <w:t>31</w:t>
      </w:r>
      <w:r>
        <w:rPr/>
        <w:t>次中国互联</w:t>
      </w:r>
      <w:r>
        <w:rPr>
          <w:w w:val="100"/>
        </w:rPr>
        <w:t> </w:t>
      </w:r>
      <w:r>
        <w:rPr/>
        <w:t>网络发展状况统计报告》显示，截至</w:t>
      </w:r>
      <w:r>
        <w:rPr>
          <w:rFonts w:ascii="宋体" w:hAnsi="宋体" w:cs="宋体" w:eastAsia="宋体" w:hint="default"/>
        </w:rPr>
        <w:t>2012</w:t>
      </w:r>
      <w:r>
        <w:rPr/>
        <w:t>年</w:t>
      </w:r>
      <w:r>
        <w:rPr>
          <w:rFonts w:ascii="宋体" w:hAnsi="宋体" w:cs="宋体" w:eastAsia="宋体" w:hint="default"/>
        </w:rPr>
        <w:t>12</w:t>
      </w:r>
      <w:r>
        <w:rPr/>
        <w:t>月底，中国网民数量达到</w:t>
      </w:r>
      <w:r>
        <w:rPr>
          <w:rFonts w:ascii="宋体" w:hAnsi="宋体" w:cs="宋体" w:eastAsia="宋体" w:hint="default"/>
        </w:rPr>
        <w:t>5.64</w:t>
      </w:r>
      <w:r>
        <w:rPr/>
        <w:t>亿，互联网普及率为</w:t>
      </w:r>
      <w:r>
        <w:rPr>
          <w:rFonts w:ascii="宋体" w:hAnsi="宋体" w:cs="宋体" w:eastAsia="宋体" w:hint="default"/>
        </w:rPr>
        <w:t>42.1%</w:t>
      </w:r>
      <w:r>
        <w:rPr/>
        <w:t>。</w:t>
      </w:r>
      <w:r>
        <w:rPr>
          <w:w w:val="100"/>
        </w:rPr>
        <w:t> </w:t>
      </w:r>
      <w:r>
        <w:rPr>
          <w:rFonts w:ascii="宋体" w:hAnsi="宋体" w:cs="宋体" w:eastAsia="宋体" w:hint="default"/>
        </w:rPr>
        <w:t>2012</w:t>
      </w:r>
      <w:r>
        <w:rPr/>
        <w:t>年网民增量为</w:t>
      </w:r>
      <w:r>
        <w:rPr>
          <w:rFonts w:ascii="宋体" w:hAnsi="宋体" w:cs="宋体" w:eastAsia="宋体" w:hint="default"/>
        </w:rPr>
        <w:t>5090</w:t>
      </w:r>
      <w:r>
        <w:rPr/>
        <w:t>万，普及率提升</w:t>
      </w:r>
      <w:r>
        <w:rPr>
          <w:rFonts w:ascii="宋体" w:hAnsi="宋体" w:cs="宋体" w:eastAsia="宋体" w:hint="default"/>
        </w:rPr>
        <w:t>3.8</w:t>
      </w:r>
      <w:r>
        <w:rPr/>
        <w:t>个百分点。我国手机网民规模达到</w:t>
      </w:r>
      <w:r>
        <w:rPr>
          <w:rFonts w:ascii="宋体" w:hAnsi="宋体" w:cs="宋体" w:eastAsia="宋体" w:hint="default"/>
        </w:rPr>
        <w:t>4.20</w:t>
      </w:r>
      <w:r>
        <w:rPr/>
        <w:t>亿，较</w:t>
      </w:r>
      <w:r>
        <w:rPr>
          <w:rFonts w:ascii="宋体" w:hAnsi="宋体" w:cs="宋体" w:eastAsia="宋体" w:hint="default"/>
        </w:rPr>
        <w:t>2011</w:t>
      </w:r>
      <w:r>
        <w:rPr/>
        <w:t>年底增加了</w:t>
      </w:r>
      <w:r>
        <w:rPr>
          <w:w w:val="100"/>
        </w:rPr>
        <w:t> </w:t>
      </w:r>
      <w:r>
        <w:rPr>
          <w:spacing w:val="-2"/>
        </w:rPr>
        <w:t>约</w:t>
      </w:r>
      <w:r>
        <w:rPr>
          <w:rFonts w:ascii="宋体" w:hAnsi="宋体" w:cs="宋体" w:eastAsia="宋体" w:hint="default"/>
          <w:spacing w:val="-2"/>
        </w:rPr>
        <w:t>6440</w:t>
      </w:r>
      <w:r>
        <w:rPr>
          <w:spacing w:val="-2"/>
        </w:rPr>
        <w:t>万人。网民中用手机接入互联网的用户占比由上年底的</w:t>
      </w:r>
      <w:r>
        <w:rPr>
          <w:rFonts w:ascii="宋体" w:hAnsi="宋体" w:cs="宋体" w:eastAsia="宋体" w:hint="default"/>
          <w:spacing w:val="-2"/>
        </w:rPr>
        <w:t>69.3%</w:t>
      </w:r>
      <w:r>
        <w:rPr>
          <w:spacing w:val="-2"/>
        </w:rPr>
        <w:t>提升至</w:t>
      </w:r>
      <w:r>
        <w:rPr>
          <w:rFonts w:ascii="宋体" w:hAnsi="宋体" w:cs="宋体" w:eastAsia="宋体" w:hint="default"/>
          <w:spacing w:val="-2"/>
        </w:rPr>
        <w:t>74.5%</w:t>
      </w:r>
      <w:r>
        <w:rPr>
          <w:spacing w:val="-2"/>
        </w:rPr>
        <w:t>。网上银行和网上支付用</w:t>
      </w:r>
      <w:r>
        <w:rPr>
          <w:spacing w:val="-34"/>
        </w:rPr>
        <w:t> </w:t>
      </w:r>
      <w:r>
        <w:rPr>
          <w:spacing w:val="-34"/>
        </w:rPr>
      </w:r>
      <w:r>
        <w:rPr>
          <w:spacing w:val="-2"/>
        </w:rPr>
        <w:t>户规模在</w:t>
      </w:r>
      <w:r>
        <w:rPr>
          <w:rFonts w:ascii="宋体" w:hAnsi="宋体" w:cs="宋体" w:eastAsia="宋体" w:hint="default"/>
          <w:spacing w:val="-2"/>
        </w:rPr>
        <w:t>2012</w:t>
      </w:r>
      <w:r>
        <w:rPr>
          <w:spacing w:val="-2"/>
        </w:rPr>
        <w:t>年的增速分别达到</w:t>
      </w:r>
      <w:r>
        <w:rPr>
          <w:rFonts w:ascii="宋体" w:hAnsi="宋体" w:cs="宋体" w:eastAsia="宋体" w:hint="default"/>
          <w:spacing w:val="-2"/>
        </w:rPr>
        <w:t>33.2%</w:t>
      </w:r>
      <w:r>
        <w:rPr>
          <w:spacing w:val="-2"/>
        </w:rPr>
        <w:t>和</w:t>
      </w:r>
      <w:r>
        <w:rPr>
          <w:rFonts w:ascii="宋体" w:hAnsi="宋体" w:cs="宋体" w:eastAsia="宋体" w:hint="default"/>
          <w:spacing w:val="-2"/>
        </w:rPr>
        <w:t>32.3%</w:t>
      </w:r>
      <w:r>
        <w:rPr>
          <w:spacing w:val="-2"/>
        </w:rPr>
        <w:t>，截至</w:t>
      </w:r>
      <w:r>
        <w:rPr>
          <w:rFonts w:ascii="宋体" w:hAnsi="宋体" w:cs="宋体" w:eastAsia="宋体" w:hint="default"/>
          <w:spacing w:val="-2"/>
        </w:rPr>
        <w:t>2012</w:t>
      </w:r>
      <w:r>
        <w:rPr>
          <w:spacing w:val="-2"/>
        </w:rPr>
        <w:t>年底两者用户规模分别为</w:t>
      </w:r>
      <w:r>
        <w:rPr>
          <w:rFonts w:ascii="宋体" w:hAnsi="宋体" w:cs="宋体" w:eastAsia="宋体" w:hint="default"/>
          <w:spacing w:val="-2"/>
        </w:rPr>
        <w:t>2.21</w:t>
      </w:r>
      <w:r>
        <w:rPr>
          <w:spacing w:val="-2"/>
        </w:rPr>
        <w:t>亿和</w:t>
      </w:r>
      <w:r>
        <w:rPr>
          <w:rFonts w:ascii="宋体" w:hAnsi="宋体" w:cs="宋体" w:eastAsia="宋体" w:hint="default"/>
          <w:spacing w:val="-2"/>
        </w:rPr>
        <w:t>2.21</w:t>
      </w:r>
      <w:r>
        <w:rPr>
          <w:spacing w:val="-2"/>
        </w:rPr>
        <w:t>亿。手机</w:t>
      </w:r>
      <w:r>
        <w:rPr>
          <w:spacing w:val="-17"/>
        </w:rPr>
        <w:t> </w:t>
      </w:r>
      <w:r>
        <w:rPr>
          <w:spacing w:val="-17"/>
        </w:rPr>
      </w:r>
      <w:r>
        <w:rPr/>
        <w:t>在线支付发展速度突出，相比</w:t>
      </w:r>
      <w:r>
        <w:rPr>
          <w:rFonts w:ascii="宋体" w:hAnsi="宋体" w:cs="宋体" w:eastAsia="宋体" w:hint="default"/>
        </w:rPr>
        <w:t>2011</w:t>
      </w:r>
      <w:r>
        <w:rPr/>
        <w:t>年，手机在线支付使用率增长了</w:t>
      </w:r>
      <w:r>
        <w:rPr>
          <w:rFonts w:ascii="宋体" w:hAnsi="宋体" w:cs="宋体" w:eastAsia="宋体" w:hint="default"/>
        </w:rPr>
        <w:t>4.6</w:t>
      </w:r>
      <w:r>
        <w:rPr/>
        <w:t>个百分点。如图所示：</w:t>
      </w:r>
    </w:p>
    <w:p>
      <w:pPr>
        <w:spacing w:line="240" w:lineRule="auto" w:before="3"/>
        <w:rPr>
          <w:rFonts w:ascii="宋体" w:hAnsi="宋体" w:cs="宋体" w:eastAsia="宋体" w:hint="default"/>
          <w:sz w:val="3"/>
          <w:szCs w:val="3"/>
        </w:rPr>
      </w:pPr>
    </w:p>
    <w:p>
      <w:pPr>
        <w:spacing w:line="4941" w:lineRule="exact"/>
        <w:ind w:left="573"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741855" cy="3137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741855" cy="3137535"/>
                    </a:xfrm>
                    <a:prstGeom prst="rect">
                      <a:avLst/>
                    </a:prstGeom>
                  </pic:spPr>
                </pic:pic>
              </a:graphicData>
            </a:graphic>
          </wp:inline>
        </w:drawing>
      </w:r>
      <w:r>
        <w:rPr>
          <w:rFonts w:ascii="宋体" w:hAnsi="宋体" w:cs="宋体" w:eastAsia="宋体" w:hint="default"/>
          <w:position w:val="-98"/>
          <w:sz w:val="20"/>
          <w:szCs w:val="20"/>
        </w:rPr>
      </w:r>
    </w:p>
    <w:p>
      <w:pPr>
        <w:spacing w:after="0" w:line="4941" w:lineRule="exact"/>
        <w:rPr>
          <w:rFonts w:ascii="宋体" w:hAnsi="宋体" w:cs="宋体" w:eastAsia="宋体" w:hint="default"/>
          <w:sz w:val="20"/>
          <w:szCs w:val="20"/>
        </w:rPr>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7"/>
          <w:szCs w:val="7"/>
        </w:rPr>
      </w:pPr>
    </w:p>
    <w:p>
      <w:pPr>
        <w:spacing w:line="4865" w:lineRule="exact"/>
        <w:ind w:left="573"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747751" cy="3089433"/>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4747751" cy="3089433"/>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2"/>
        <w:rPr>
          <w:rFonts w:ascii="宋体" w:hAnsi="宋体" w:cs="宋体" w:eastAsia="宋体" w:hint="default"/>
          <w:sz w:val="25"/>
          <w:szCs w:val="25"/>
        </w:rPr>
      </w:pPr>
    </w:p>
    <w:p>
      <w:pPr>
        <w:pStyle w:val="BodyText"/>
        <w:spacing w:line="273" w:lineRule="auto" w:before="36"/>
        <w:ind w:right="76" w:firstLine="420"/>
        <w:jc w:val="left"/>
      </w:pPr>
      <w:r>
        <w:rPr>
          <w:spacing w:val="-7"/>
        </w:rPr>
        <w:t>同时，</w:t>
      </w:r>
      <w:r>
        <w:rPr>
          <w:rFonts w:ascii="宋体" w:hAnsi="宋体" w:cs="宋体" w:eastAsia="宋体" w:hint="default"/>
          <w:spacing w:val="-7"/>
        </w:rPr>
        <w:t>2012</w:t>
      </w:r>
      <w:r>
        <w:rPr>
          <w:spacing w:val="-7"/>
        </w:rPr>
        <w:t>年</w:t>
      </w:r>
      <w:r>
        <w:rPr>
          <w:rFonts w:ascii="宋体" w:hAnsi="宋体" w:cs="宋体" w:eastAsia="宋体" w:hint="default"/>
          <w:spacing w:val="-7"/>
        </w:rPr>
        <w:t>3</w:t>
      </w:r>
      <w:r>
        <w:rPr>
          <w:spacing w:val="-7"/>
        </w:rPr>
        <w:t>月，国家发改委等七部门研究制定了《关于下一代互联网“十二五”发展建设的意见》，</w:t>
      </w:r>
      <w:r>
        <w:rPr>
          <w:w w:val="100"/>
        </w:rPr>
        <w:t> </w:t>
      </w:r>
      <w:r>
        <w:rPr/>
        <w:t>提出“十二五”期间，我国互联网普及率达到</w:t>
      </w:r>
      <w:r>
        <w:rPr>
          <w:rFonts w:ascii="宋体" w:hAnsi="宋体" w:cs="宋体" w:eastAsia="宋体" w:hint="default"/>
        </w:rPr>
        <w:t>45%</w:t>
      </w:r>
      <w:r>
        <w:rPr/>
        <w:t>以上。网络与信息安全保障将成为重点工作之一，将加</w:t>
      </w:r>
      <w:r>
        <w:rPr>
          <w:spacing w:val="-26"/>
        </w:rPr>
        <w:t> </w:t>
      </w:r>
      <w:r>
        <w:rPr>
          <w:spacing w:val="-26"/>
        </w:rPr>
      </w:r>
      <w:r>
        <w:rPr/>
        <w:t>强网络与信息安全保障工作，全面提升下一代互联网安全性和可信性。这也为网络财经信息服务业加强网</w:t>
      </w:r>
      <w:r>
        <w:rPr>
          <w:w w:val="100"/>
        </w:rPr>
        <w:t> </w:t>
      </w:r>
      <w:r>
        <w:rPr/>
        <w:t>络财经大平台服务，拓展金融在线交易等服务领域，延伸服务范围奠定了基础。</w:t>
      </w:r>
    </w:p>
    <w:p>
      <w:pPr>
        <w:pStyle w:val="BodyText"/>
        <w:spacing w:line="273" w:lineRule="auto"/>
        <w:ind w:left="573" w:right="76" w:hanging="106"/>
        <w:jc w:val="left"/>
      </w:pPr>
      <w:r>
        <w:rPr/>
        <w:t>（二）公司的行业地位和优势</w:t>
      </w:r>
      <w:r>
        <w:rPr>
          <w:w w:val="100"/>
        </w:rPr>
        <w:t> </w:t>
      </w:r>
      <w:r>
        <w:rPr>
          <w:spacing w:val="-2"/>
        </w:rPr>
        <w:t>经过公司多年的运营，以“东方财富网”为核心的财经大平台已成为我国用户访问量最大、用户黏性</w:t>
      </w:r>
    </w:p>
    <w:p>
      <w:pPr>
        <w:pStyle w:val="BodyText"/>
        <w:spacing w:line="273" w:lineRule="auto"/>
        <w:ind w:right="206"/>
        <w:jc w:val="both"/>
      </w:pPr>
      <w:r>
        <w:rPr>
          <w:spacing w:val="-2"/>
        </w:rPr>
        <w:t>最高的互联网财经信息平台之一，根据我国多家互联网研究机构多种网站综合排名指标、用户访问量指标</w:t>
      </w:r>
      <w:r>
        <w:rPr>
          <w:spacing w:val="-44"/>
        </w:rPr>
        <w:t> </w:t>
      </w:r>
      <w:r>
        <w:rPr>
          <w:spacing w:val="-44"/>
        </w:rPr>
      </w:r>
      <w:r>
        <w:rPr>
          <w:spacing w:val="-2"/>
        </w:rPr>
        <w:t>和用户黏性指标的排名情况，本公司运营的“东方财富网”已在我国主要财经网站中具备了明显的用户访</w:t>
      </w:r>
      <w:r>
        <w:rPr>
          <w:spacing w:val="-42"/>
        </w:rPr>
        <w:t> </w:t>
      </w:r>
      <w:r>
        <w:rPr>
          <w:spacing w:val="-42"/>
        </w:rPr>
      </w:r>
      <w:r>
        <w:rPr/>
        <w:t>问量和用户黏性优势，占据了领先的行业地位。</w:t>
      </w:r>
    </w:p>
    <w:p>
      <w:pPr>
        <w:pStyle w:val="BodyText"/>
        <w:spacing w:line="357" w:lineRule="auto" w:before="127"/>
        <w:ind w:left="633" w:right="4702"/>
        <w:jc w:val="left"/>
      </w:pPr>
      <w:r>
        <w:rPr>
          <w:rFonts w:ascii="Times New Roman" w:hAnsi="Times New Roman" w:cs="Times New Roman" w:eastAsia="Times New Roman" w:hint="default"/>
        </w:rPr>
        <w:t>1</w:t>
      </w:r>
      <w:r>
        <w:rPr/>
        <w:t>、网站综合排名</w:t>
      </w:r>
      <w:r>
        <w:rPr>
          <w:w w:val="100"/>
        </w:rPr>
        <w:t> </w:t>
      </w:r>
      <w:r>
        <w:rPr>
          <w:spacing w:val="-1"/>
        </w:rPr>
        <w:t>中国网站排名（</w:t>
      </w:r>
      <w:hyperlink r:id="rId12">
        <w:r>
          <w:rPr>
            <w:rFonts w:ascii="Times New Roman" w:hAnsi="Times New Roman" w:cs="Times New Roman" w:eastAsia="Times New Roman" w:hint="default"/>
            <w:spacing w:val="-1"/>
          </w:rPr>
          <w:t>www.chinarank.org.cn</w:t>
        </w:r>
      </w:hyperlink>
      <w:r>
        <w:rPr>
          <w:spacing w:val="-1"/>
        </w:rPr>
        <w:t>）数据</w:t>
      </w:r>
    </w:p>
    <w:p>
      <w:pPr>
        <w:spacing w:line="240" w:lineRule="auto" w:before="11"/>
        <w:rPr>
          <w:rFonts w:ascii="宋体" w:hAnsi="宋体" w:cs="宋体" w:eastAsia="宋体" w:hint="default"/>
          <w:sz w:val="10"/>
          <w:szCs w:val="10"/>
        </w:rPr>
      </w:pPr>
    </w:p>
    <w:p>
      <w:pPr>
        <w:spacing w:line="3850" w:lineRule="exact"/>
        <w:ind w:left="489"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5675732" cy="2445067"/>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7" cstate="print"/>
                    <a:stretch>
                      <a:fillRect/>
                    </a:stretch>
                  </pic:blipFill>
                  <pic:spPr>
                    <a:xfrm>
                      <a:off x="0" y="0"/>
                      <a:ext cx="5675732" cy="2445067"/>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3"/>
        <w:rPr>
          <w:rFonts w:ascii="宋体" w:hAnsi="宋体" w:cs="宋体" w:eastAsia="宋体" w:hint="default"/>
          <w:sz w:val="16"/>
          <w:szCs w:val="16"/>
        </w:rPr>
      </w:pPr>
    </w:p>
    <w:p>
      <w:pPr>
        <w:pStyle w:val="BodyText"/>
        <w:spacing w:line="256" w:lineRule="auto" w:before="0"/>
        <w:ind w:right="207" w:firstLine="420"/>
        <w:jc w:val="left"/>
      </w:pPr>
      <w:r>
        <w:rPr>
          <w:w w:val="100"/>
        </w:rPr>
        <w:t>根据</w:t>
      </w:r>
      <w:r>
        <w:rPr>
          <w:spacing w:val="-3"/>
          <w:w w:val="100"/>
        </w:rPr>
        <w:t>中</w:t>
      </w:r>
      <w:r>
        <w:rPr>
          <w:w w:val="100"/>
        </w:rPr>
        <w:t>国</w:t>
      </w:r>
      <w:r>
        <w:rPr>
          <w:spacing w:val="-3"/>
          <w:w w:val="100"/>
        </w:rPr>
        <w:t>互</w:t>
      </w:r>
      <w:r>
        <w:rPr>
          <w:w w:val="100"/>
        </w:rPr>
        <w:t>联</w:t>
      </w:r>
      <w:r>
        <w:rPr>
          <w:spacing w:val="-3"/>
          <w:w w:val="100"/>
        </w:rPr>
        <w:t>网</w:t>
      </w:r>
      <w:r>
        <w:rPr>
          <w:w w:val="100"/>
        </w:rPr>
        <w:t>协</w:t>
      </w:r>
      <w:r>
        <w:rPr>
          <w:spacing w:val="-3"/>
          <w:w w:val="100"/>
        </w:rPr>
        <w:t>会</w:t>
      </w:r>
      <w:r>
        <w:rPr>
          <w:w w:val="100"/>
        </w:rPr>
        <w:t>主</w:t>
      </w:r>
      <w:r>
        <w:rPr>
          <w:spacing w:val="-3"/>
          <w:w w:val="100"/>
        </w:rPr>
        <w:t>办</w:t>
      </w:r>
      <w:r>
        <w:rPr>
          <w:w w:val="100"/>
        </w:rPr>
        <w:t>的中</w:t>
      </w:r>
      <w:r>
        <w:rPr>
          <w:spacing w:val="-3"/>
          <w:w w:val="100"/>
        </w:rPr>
        <w:t>国</w:t>
      </w:r>
      <w:r>
        <w:rPr>
          <w:w w:val="100"/>
        </w:rPr>
        <w:t>网</w:t>
      </w:r>
      <w:r>
        <w:rPr>
          <w:spacing w:val="-3"/>
          <w:w w:val="100"/>
        </w:rPr>
        <w:t>站</w:t>
      </w:r>
      <w:r>
        <w:rPr>
          <w:w w:val="100"/>
        </w:rPr>
        <w:t>排</w:t>
      </w:r>
      <w:r>
        <w:rPr>
          <w:spacing w:val="-3"/>
          <w:w w:val="100"/>
        </w:rPr>
        <w:t>名</w:t>
      </w:r>
      <w:r>
        <w:rPr>
          <w:w w:val="100"/>
        </w:rPr>
        <w:t>的</w:t>
      </w:r>
      <w:r>
        <w:rPr>
          <w:spacing w:val="-3"/>
          <w:w w:val="100"/>
        </w:rPr>
        <w:t>统计</w:t>
      </w:r>
      <w:r>
        <w:rPr>
          <w:spacing w:val="2"/>
          <w:w w:val="100"/>
        </w:rPr>
        <w:t>，</w:t>
      </w:r>
      <w:r>
        <w:rPr>
          <w:rFonts w:ascii="Times New Roman" w:hAnsi="Times New Roman" w:cs="Times New Roman" w:eastAsia="Times New Roman" w:hint="default"/>
          <w:spacing w:val="-3"/>
          <w:w w:val="44"/>
        </w:rPr>
        <w:t>―</w:t>
      </w:r>
      <w:r>
        <w:rPr>
          <w:w w:val="100"/>
        </w:rPr>
        <w:t>东方</w:t>
      </w:r>
      <w:r>
        <w:rPr>
          <w:spacing w:val="-3"/>
          <w:w w:val="100"/>
        </w:rPr>
        <w:t>财</w:t>
      </w:r>
      <w:r>
        <w:rPr>
          <w:w w:val="100"/>
        </w:rPr>
        <w:t>富</w:t>
      </w:r>
      <w:r>
        <w:rPr>
          <w:spacing w:val="-3"/>
          <w:w w:val="100"/>
        </w:rPr>
        <w:t>网</w:t>
      </w:r>
      <w:r>
        <w:rPr>
          <w:rFonts w:ascii="Times New Roman" w:hAnsi="Times New Roman" w:cs="Times New Roman" w:eastAsia="Times New Roman" w:hint="default"/>
          <w:spacing w:val="-1"/>
          <w:w w:val="159"/>
        </w:rPr>
        <w:t>‖</w:t>
      </w:r>
      <w:r>
        <w:rPr>
          <w:spacing w:val="-3"/>
          <w:w w:val="100"/>
        </w:rPr>
        <w:t>在</w:t>
      </w:r>
      <w:r>
        <w:rPr>
          <w:w w:val="100"/>
        </w:rPr>
        <w:t>全</w:t>
      </w:r>
      <w:r>
        <w:rPr>
          <w:spacing w:val="-3"/>
          <w:w w:val="100"/>
        </w:rPr>
        <w:t>球</w:t>
      </w:r>
      <w:r>
        <w:rPr>
          <w:w w:val="100"/>
        </w:rPr>
        <w:t>中</w:t>
      </w:r>
      <w:r>
        <w:rPr>
          <w:spacing w:val="-3"/>
          <w:w w:val="100"/>
        </w:rPr>
        <w:t>文财</w:t>
      </w:r>
      <w:r>
        <w:rPr>
          <w:w w:val="100"/>
        </w:rPr>
        <w:t>经门</w:t>
      </w:r>
      <w:r>
        <w:rPr>
          <w:spacing w:val="-3"/>
          <w:w w:val="100"/>
        </w:rPr>
        <w:t>户</w:t>
      </w:r>
      <w:r>
        <w:rPr>
          <w:w w:val="100"/>
        </w:rPr>
        <w:t>网</w:t>
      </w:r>
      <w:r>
        <w:rPr>
          <w:spacing w:val="-3"/>
          <w:w w:val="100"/>
        </w:rPr>
        <w:t>站</w:t>
      </w:r>
      <w:r>
        <w:rPr>
          <w:w w:val="100"/>
        </w:rPr>
        <w:t>中</w:t>
      </w:r>
      <w:r>
        <w:rPr>
          <w:spacing w:val="-3"/>
          <w:w w:val="100"/>
        </w:rPr>
        <w:t>持</w:t>
      </w:r>
      <w:r>
        <w:rPr>
          <w:w w:val="100"/>
        </w:rPr>
        <w:t>续</w:t>
      </w:r>
      <w:r>
        <w:rPr>
          <w:spacing w:val="-3"/>
          <w:w w:val="100"/>
        </w:rPr>
        <w:t>排</w:t>
      </w:r>
      <w:r>
        <w:rPr>
          <w:w w:val="100"/>
        </w:rPr>
        <w:t>名</w:t>
      </w:r>
      <w:r>
        <w:rPr>
          <w:w w:val="100"/>
        </w:rPr>
        <w:t> </w:t>
      </w:r>
      <w:r>
        <w:rPr/>
        <w:t>第一。</w:t>
      </w:r>
    </w:p>
    <w:p>
      <w:pPr>
        <w:spacing w:after="0" w:line="256"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8"/>
        <w:ind w:left="573" w:right="76"/>
        <w:jc w:val="left"/>
      </w:pPr>
      <w:r>
        <w:rPr>
          <w:rFonts w:ascii="Times New Roman" w:hAnsi="Times New Roman" w:cs="Times New Roman" w:eastAsia="Times New Roman" w:hint="default"/>
        </w:rPr>
        <w:t>2</w:t>
      </w:r>
      <w:r>
        <w:rPr/>
        <w:t>、用户访问量指标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5078" w:lineRule="exact"/>
        <w:ind w:left="467"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4354852" cy="3224783"/>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8" cstate="print"/>
                    <a:stretch>
                      <a:fillRect/>
                    </a:stretch>
                  </pic:blipFill>
                  <pic:spPr>
                    <a:xfrm>
                      <a:off x="0" y="0"/>
                      <a:ext cx="4354852" cy="3224783"/>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3"/>
        <w:rPr>
          <w:rFonts w:ascii="宋体" w:hAnsi="宋体" w:cs="宋体" w:eastAsia="宋体" w:hint="default"/>
          <w:sz w:val="29"/>
          <w:szCs w:val="29"/>
        </w:rPr>
      </w:pPr>
    </w:p>
    <w:p>
      <w:pPr>
        <w:pStyle w:val="BodyText"/>
        <w:spacing w:line="256" w:lineRule="auto" w:before="36"/>
        <w:ind w:right="76" w:firstLine="420"/>
        <w:jc w:val="left"/>
      </w:pPr>
      <w:r>
        <w:rPr>
          <w:w w:val="100"/>
        </w:rPr>
        <w:t>根据</w:t>
      </w:r>
      <w:r>
        <w:rPr>
          <w:spacing w:val="-3"/>
          <w:w w:val="100"/>
        </w:rPr>
        <w:t>艾</w:t>
      </w:r>
      <w:r>
        <w:rPr>
          <w:w w:val="100"/>
        </w:rPr>
        <w:t>瑞</w:t>
      </w:r>
      <w:r>
        <w:rPr>
          <w:spacing w:val="-3"/>
          <w:w w:val="100"/>
        </w:rPr>
        <w:t>咨</w:t>
      </w:r>
      <w:r>
        <w:rPr>
          <w:w w:val="100"/>
        </w:rPr>
        <w:t>询</w:t>
      </w:r>
      <w:r>
        <w:rPr>
          <w:spacing w:val="-3"/>
          <w:w w:val="100"/>
        </w:rPr>
        <w:t>根</w:t>
      </w:r>
      <w:r>
        <w:rPr>
          <w:w w:val="100"/>
        </w:rPr>
        <w:t>据</w:t>
      </w:r>
      <w:r>
        <w:rPr>
          <w:spacing w:val="-3"/>
          <w:w w:val="100"/>
        </w:rPr>
        <w:t>艾</w:t>
      </w:r>
      <w:r>
        <w:rPr>
          <w:w w:val="100"/>
        </w:rPr>
        <w:t>瑞</w:t>
      </w:r>
      <w:r>
        <w:rPr>
          <w:spacing w:val="-3"/>
          <w:w w:val="100"/>
        </w:rPr>
        <w:t>咨</w:t>
      </w:r>
      <w:r>
        <w:rPr>
          <w:w w:val="100"/>
        </w:rPr>
        <w:t>询</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Us</w:t>
      </w:r>
      <w:r>
        <w:rPr>
          <w:rFonts w:ascii="Times New Roman" w:hAnsi="Times New Roman" w:cs="Times New Roman" w:eastAsia="Times New Roman" w:hint="default"/>
          <w:spacing w:val="-1"/>
          <w:w w:val="100"/>
        </w:rPr>
        <w:t>e</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w w:val="100"/>
        </w:rPr>
        <w:t>T</w:t>
      </w:r>
      <w:r>
        <w:rPr>
          <w:rFonts w:ascii="Times New Roman" w:hAnsi="Times New Roman" w:cs="Times New Roman" w:eastAsia="Times New Roman" w:hint="default"/>
          <w:spacing w:val="-3"/>
          <w:w w:val="100"/>
        </w:rPr>
        <w:t>r</w:t>
      </w:r>
      <w:r>
        <w:rPr>
          <w:rFonts w:ascii="Times New Roman" w:hAnsi="Times New Roman" w:cs="Times New Roman" w:eastAsia="Times New Roman" w:hint="default"/>
          <w:w w:val="100"/>
        </w:rPr>
        <w:t>acke</w:t>
      </w:r>
      <w:r>
        <w:rPr>
          <w:rFonts w:ascii="Times New Roman" w:hAnsi="Times New Roman" w:cs="Times New Roman" w:eastAsia="Times New Roman" w:hint="default"/>
          <w:spacing w:val="-2"/>
          <w:w w:val="100"/>
        </w:rPr>
        <w:t>r</w:t>
      </w:r>
      <w:r>
        <w:rPr>
          <w:spacing w:val="-3"/>
          <w:w w:val="100"/>
        </w:rPr>
        <w:t>对</w:t>
      </w:r>
      <w:r>
        <w:rPr>
          <w:w w:val="100"/>
        </w:rPr>
        <w:t>我</w:t>
      </w:r>
      <w:r>
        <w:rPr>
          <w:spacing w:val="-3"/>
          <w:w w:val="100"/>
        </w:rPr>
        <w:t>国</w:t>
      </w:r>
      <w:r>
        <w:rPr>
          <w:w w:val="100"/>
        </w:rPr>
        <w:t>网</w:t>
      </w:r>
      <w:r>
        <w:rPr>
          <w:spacing w:val="-3"/>
          <w:w w:val="100"/>
        </w:rPr>
        <w:t>络</w:t>
      </w:r>
      <w:r>
        <w:rPr>
          <w:w w:val="100"/>
        </w:rPr>
        <w:t>用户</w:t>
      </w:r>
      <w:r>
        <w:rPr>
          <w:spacing w:val="-3"/>
          <w:w w:val="100"/>
        </w:rPr>
        <w:t>行</w:t>
      </w:r>
      <w:r>
        <w:rPr>
          <w:w w:val="100"/>
        </w:rPr>
        <w:t>为</w:t>
      </w:r>
      <w:r>
        <w:rPr>
          <w:spacing w:val="-3"/>
          <w:w w:val="100"/>
        </w:rPr>
        <w:t>研</w:t>
      </w:r>
      <w:r>
        <w:rPr>
          <w:w w:val="100"/>
        </w:rPr>
        <w:t>究</w:t>
      </w:r>
      <w:r>
        <w:rPr>
          <w:spacing w:val="-3"/>
          <w:w w:val="100"/>
        </w:rPr>
        <w:t>的</w:t>
      </w:r>
      <w:r>
        <w:rPr>
          <w:w w:val="100"/>
        </w:rPr>
        <w:t>数</w:t>
      </w:r>
      <w:r>
        <w:rPr>
          <w:spacing w:val="-3"/>
          <w:w w:val="100"/>
        </w:rPr>
        <w:t>据</w:t>
      </w:r>
      <w:r>
        <w:rPr>
          <w:spacing w:val="-56"/>
          <w:w w:val="100"/>
        </w:rPr>
        <w:t>，</w:t>
      </w:r>
      <w:r>
        <w:rPr>
          <w:rFonts w:ascii="Times New Roman" w:hAnsi="Times New Roman" w:cs="Times New Roman" w:eastAsia="Times New Roman" w:hint="default"/>
          <w:spacing w:val="-3"/>
          <w:w w:val="44"/>
        </w:rPr>
        <w:t>―</w:t>
      </w:r>
      <w:r>
        <w:rPr>
          <w:spacing w:val="-3"/>
          <w:w w:val="100"/>
        </w:rPr>
        <w:t>东</w:t>
      </w:r>
      <w:r>
        <w:rPr>
          <w:w w:val="100"/>
        </w:rPr>
        <w:t>方财</w:t>
      </w:r>
      <w:r>
        <w:rPr>
          <w:spacing w:val="-3"/>
          <w:w w:val="100"/>
        </w:rPr>
        <w:t>富</w:t>
      </w:r>
      <w:r>
        <w:rPr>
          <w:w w:val="100"/>
        </w:rPr>
        <w:t>网</w:t>
      </w:r>
      <w:r>
        <w:rPr>
          <w:rFonts w:ascii="Times New Roman" w:hAnsi="Times New Roman" w:cs="Times New Roman" w:eastAsia="Times New Roman" w:hint="default"/>
          <w:spacing w:val="-3"/>
          <w:w w:val="159"/>
        </w:rPr>
        <w:t>‖</w:t>
      </w:r>
      <w:r>
        <w:rPr>
          <w:w w:val="100"/>
        </w:rPr>
        <w:t>在</w:t>
      </w:r>
      <w:r>
        <w:rPr>
          <w:spacing w:val="-3"/>
          <w:w w:val="100"/>
        </w:rPr>
        <w:t>我</w:t>
      </w:r>
      <w:r>
        <w:rPr>
          <w:w w:val="100"/>
        </w:rPr>
        <w:t>国</w:t>
      </w:r>
      <w:r>
        <w:rPr>
          <w:spacing w:val="-3"/>
          <w:w w:val="100"/>
        </w:rPr>
        <w:t>财</w:t>
      </w:r>
      <w:r>
        <w:rPr>
          <w:w w:val="100"/>
        </w:rPr>
        <w:t>经类</w:t>
      </w:r>
      <w:r>
        <w:rPr>
          <w:w w:val="100"/>
        </w:rPr>
        <w:t> </w:t>
      </w:r>
      <w:r>
        <w:rPr/>
        <w:t>互联网网站中日均覆盖人数处于绝对领先地位。</w:t>
      </w:r>
    </w:p>
    <w:p>
      <w:pPr>
        <w:spacing w:before="124"/>
        <w:ind w:left="496" w:right="76" w:firstLine="0"/>
        <w:jc w:val="left"/>
        <w:rPr>
          <w:rFonts w:ascii="宋体" w:hAnsi="宋体" w:cs="宋体" w:eastAsia="宋体" w:hint="default"/>
          <w:sz w:val="21"/>
          <w:szCs w:val="21"/>
        </w:rPr>
      </w:pPr>
      <w:r>
        <w:rPr>
          <w:rFonts w:ascii="Times New Roman" w:hAnsi="Times New Roman" w:cs="Times New Roman" w:eastAsia="Times New Roman" w:hint="default"/>
          <w:sz w:val="23"/>
          <w:szCs w:val="23"/>
        </w:rPr>
        <w:t>3</w:t>
      </w:r>
      <w:r>
        <w:rPr>
          <w:rFonts w:ascii="宋体" w:hAnsi="宋体" w:cs="宋体" w:eastAsia="宋体" w:hint="default"/>
          <w:sz w:val="23"/>
          <w:szCs w:val="23"/>
        </w:rPr>
        <w:t>、</w:t>
      </w:r>
      <w:r>
        <w:rPr>
          <w:rFonts w:ascii="宋体" w:hAnsi="宋体" w:cs="宋体" w:eastAsia="宋体" w:hint="default"/>
          <w:sz w:val="21"/>
          <w:szCs w:val="21"/>
        </w:rPr>
        <w:t>用户黏性指标</w:t>
      </w:r>
    </w:p>
    <w:p>
      <w:pPr>
        <w:spacing w:line="240" w:lineRule="auto" w:before="1"/>
        <w:rPr>
          <w:rFonts w:ascii="宋体" w:hAnsi="宋体" w:cs="宋体" w:eastAsia="宋体" w:hint="default"/>
          <w:sz w:val="12"/>
          <w:szCs w:val="12"/>
        </w:rPr>
      </w:pPr>
    </w:p>
    <w:p>
      <w:pPr>
        <w:spacing w:line="5277" w:lineRule="exact"/>
        <w:ind w:left="153"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5255919" cy="335108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9" cstate="print"/>
                    <a:stretch>
                      <a:fillRect/>
                    </a:stretch>
                  </pic:blipFill>
                  <pic:spPr>
                    <a:xfrm>
                      <a:off x="0" y="0"/>
                      <a:ext cx="5255919" cy="3351085"/>
                    </a:xfrm>
                    <a:prstGeom prst="rect">
                      <a:avLst/>
                    </a:prstGeom>
                  </pic:spPr>
                </pic:pic>
              </a:graphicData>
            </a:graphic>
          </wp:inline>
        </w:drawing>
      </w:r>
      <w:r>
        <w:rPr>
          <w:rFonts w:ascii="宋体" w:hAnsi="宋体" w:cs="宋体" w:eastAsia="宋体" w:hint="default"/>
          <w:position w:val="-105"/>
          <w:sz w:val="20"/>
          <w:szCs w:val="20"/>
        </w:rPr>
      </w:r>
    </w:p>
    <w:p>
      <w:pPr>
        <w:pStyle w:val="BodyText"/>
        <w:spacing w:line="273" w:lineRule="auto" w:before="2"/>
        <w:ind w:left="573" w:right="76"/>
        <w:jc w:val="left"/>
      </w:pPr>
      <w:r>
        <w:rPr>
          <w:spacing w:val="-4"/>
          <w:w w:val="100"/>
        </w:rPr>
        <w:t>根据艾瑞咨询</w:t>
      </w:r>
      <w:r>
        <w:rPr>
          <w:rFonts w:ascii="宋体" w:hAnsi="宋体" w:cs="宋体" w:eastAsia="宋体" w:hint="default"/>
          <w:spacing w:val="-4"/>
          <w:w w:val="100"/>
        </w:rPr>
        <w:t>iUserTracker</w:t>
      </w:r>
      <w:r>
        <w:rPr>
          <w:spacing w:val="-4"/>
          <w:w w:val="100"/>
        </w:rPr>
        <w:t>数据，“东方财富网”在垂直财经网站中有效浏览时间处于绝对领先地位。</w:t>
      </w:r>
      <w:r>
        <w:rPr>
          <w:spacing w:val="-93"/>
          <w:w w:val="100"/>
        </w:rPr>
        <w:t> </w:t>
      </w:r>
      <w:r>
        <w:rPr>
          <w:spacing w:val="-93"/>
          <w:w w:val="100"/>
        </w:rPr>
      </w:r>
      <w:r>
        <w:rPr>
          <w:spacing w:val="-2"/>
        </w:rPr>
        <w:t>综上所示，公司所运营的以“东方财富网”为核心的财经服务大平台已在我国主要财经网站中具备了</w:t>
      </w:r>
    </w:p>
    <w:p>
      <w:pPr>
        <w:pStyle w:val="BodyText"/>
        <w:spacing w:line="273" w:lineRule="auto"/>
        <w:ind w:left="573" w:right="76" w:hanging="421"/>
        <w:jc w:val="left"/>
      </w:pPr>
      <w:r>
        <w:rPr/>
        <w:t>明显的用户访问量和用户黏性优势，形成了领先的行业地位。</w:t>
      </w:r>
      <w:r>
        <w:rPr>
          <w:w w:val="100"/>
        </w:rPr>
        <w:t> </w:t>
      </w:r>
      <w:r>
        <w:rPr>
          <w:spacing w:val="-2"/>
        </w:rPr>
        <w:t>公司目前所运营的以“东方财富网”为核心的财经信息服务大平台，保持了行业领先的用户访问量和</w:t>
      </w:r>
    </w:p>
    <w:p>
      <w:pPr>
        <w:spacing w:after="0" w:line="273"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left="573" w:right="76" w:hanging="421"/>
        <w:jc w:val="left"/>
      </w:pPr>
      <w:r>
        <w:rPr/>
        <w:t>用户黏性，培育了庞大的用户群体，形成了公司在网络财经信息服务行业的核心竞争力。</w:t>
      </w:r>
      <w:r>
        <w:rPr>
          <w:w w:val="100"/>
        </w:rPr>
        <w:t> </w:t>
      </w:r>
      <w:r>
        <w:rPr/>
        <w:t>作为中国首家登陆</w:t>
      </w:r>
      <w:r>
        <w:rPr>
          <w:rFonts w:ascii="宋体" w:hAnsi="宋体" w:cs="宋体" w:eastAsia="宋体" w:hint="default"/>
        </w:rPr>
        <w:t>A</w:t>
      </w:r>
      <w:r>
        <w:rPr/>
        <w:t>股市场的互联网财经门户公司，公司成功上市进一步提升了公司及平台的品牌价</w:t>
      </w:r>
    </w:p>
    <w:p>
      <w:pPr>
        <w:pStyle w:val="BodyText"/>
        <w:spacing w:line="273" w:lineRule="auto"/>
        <w:ind w:right="209"/>
        <w:jc w:val="both"/>
      </w:pPr>
      <w:r>
        <w:rPr>
          <w:spacing w:val="-2"/>
        </w:rPr>
        <w:t>值、广告媒介价值及产品营销渠道价值，使得公司的行业领先地位得到巩固，强大的品牌影响力，也将有</w:t>
      </w:r>
      <w:r>
        <w:rPr>
          <w:spacing w:val="-47"/>
        </w:rPr>
        <w:t> </w:t>
      </w:r>
      <w:r>
        <w:rPr>
          <w:spacing w:val="-47"/>
        </w:rPr>
      </w:r>
      <w:r>
        <w:rPr/>
        <w:t>利于公司在持续推动现有业务发展的同时，拓展新的发展机遇。</w:t>
      </w:r>
    </w:p>
    <w:p>
      <w:pPr>
        <w:pStyle w:val="BodyText"/>
        <w:spacing w:line="273" w:lineRule="auto"/>
        <w:ind w:right="76" w:firstLine="420"/>
        <w:jc w:val="left"/>
      </w:pPr>
      <w:r>
        <w:rPr>
          <w:spacing w:val="-5"/>
        </w:rPr>
        <w:t>此外，公司通过多年的积累和发展培养的既懂信息技术又熟悉金融知识的技术业务骨干，形成了独立、</w:t>
      </w:r>
      <w:r>
        <w:rPr>
          <w:w w:val="100"/>
        </w:rPr>
        <w:t> </w:t>
      </w:r>
      <w:r>
        <w:rPr/>
        <w:t>能力较强的研发团队；加上一支专业知识扎实、经验丰富、团结进取、富有创造力、稳定且能及时把握行</w:t>
      </w:r>
      <w:r>
        <w:rPr>
          <w:w w:val="100"/>
        </w:rPr>
        <w:t> </w:t>
      </w:r>
      <w:r>
        <w:rPr/>
        <w:t>业的发展趋势的经营管理团队，为公司未来持续健康发展奠定了人才基础。</w:t>
      </w:r>
    </w:p>
    <w:p>
      <w:pPr>
        <w:pStyle w:val="BodyText"/>
        <w:spacing w:line="273" w:lineRule="auto"/>
        <w:ind w:left="573" w:right="76"/>
        <w:jc w:val="left"/>
      </w:pPr>
      <w:r>
        <w:rPr/>
        <w:t>（三）</w:t>
      </w:r>
      <w:r>
        <w:rPr>
          <w:rFonts w:ascii="宋体" w:hAnsi="宋体" w:cs="宋体" w:eastAsia="宋体" w:hint="default"/>
        </w:rPr>
        <w:t>2013</w:t>
      </w:r>
      <w:r>
        <w:rPr/>
        <w:t>年度经营计划</w:t>
      </w:r>
      <w:r>
        <w:rPr>
          <w:w w:val="100"/>
        </w:rPr>
        <w:t> </w:t>
      </w:r>
      <w:r>
        <w:rPr>
          <w:rFonts w:ascii="宋体" w:hAnsi="宋体" w:cs="宋体" w:eastAsia="宋体" w:hint="default"/>
          <w:spacing w:val="-2"/>
        </w:rPr>
        <w:t>2013</w:t>
      </w:r>
      <w:r>
        <w:rPr>
          <w:spacing w:val="-2"/>
        </w:rPr>
        <w:t>年度，公司将立足于财经大平台战略，进一步发挥公司核心竞争优势，抓住机遇，科学决策，继</w:t>
      </w:r>
    </w:p>
    <w:p>
      <w:pPr>
        <w:pStyle w:val="BodyText"/>
        <w:spacing w:line="273" w:lineRule="auto"/>
        <w:ind w:right="206"/>
        <w:jc w:val="both"/>
      </w:pPr>
      <w:r>
        <w:rPr>
          <w:spacing w:val="-2"/>
        </w:rPr>
        <w:t>续加大战略性投入，拓展财经大平台服务的范围，提升平台的服务能力，进一步做好金融数据服务业务和</w:t>
      </w:r>
      <w:r>
        <w:rPr>
          <w:spacing w:val="-43"/>
        </w:rPr>
        <w:t> </w:t>
      </w:r>
      <w:r>
        <w:rPr>
          <w:spacing w:val="-43"/>
        </w:rPr>
      </w:r>
      <w:r>
        <w:rPr>
          <w:spacing w:val="-2"/>
        </w:rPr>
        <w:t>互联网广告服务业务，从战略高度全力推进金融电子商务服务业务的健康快速发展，为公司实现长期可持</w:t>
      </w:r>
      <w:r>
        <w:rPr>
          <w:spacing w:val="-44"/>
        </w:rPr>
        <w:t> </w:t>
      </w:r>
      <w:r>
        <w:rPr>
          <w:spacing w:val="-44"/>
        </w:rPr>
      </w:r>
      <w:r>
        <w:rPr/>
        <w:t>续健康发展，实现一站式金融服务平台的战略目标，打下坚实的基础。</w:t>
      </w:r>
    </w:p>
    <w:p>
      <w:pPr>
        <w:pStyle w:val="BodyText"/>
        <w:spacing w:line="273" w:lineRule="auto" w:before="8"/>
        <w:ind w:left="573" w:right="76"/>
        <w:jc w:val="left"/>
      </w:pPr>
      <w:r>
        <w:rPr/>
        <w:t>（</w:t>
      </w:r>
      <w:r>
        <w:rPr>
          <w:rFonts w:ascii="宋体" w:hAnsi="宋体" w:cs="宋体" w:eastAsia="宋体" w:hint="default"/>
        </w:rPr>
        <w:t>1</w:t>
      </w:r>
      <w:r>
        <w:rPr/>
        <w:t>）进一步加强财经服务大平台的建设，拓展平台服务范围，提升平台服务能力</w:t>
      </w:r>
      <w:r>
        <w:rPr>
          <w:w w:val="100"/>
        </w:rPr>
        <w:t> </w:t>
      </w:r>
      <w:r>
        <w:rPr>
          <w:spacing w:val="-2"/>
        </w:rPr>
        <w:t>公司将进一步加强财经服务大平台的建设战略性投入，加强软、硬件的投入，进一步完善平台架构，</w:t>
      </w:r>
    </w:p>
    <w:p>
      <w:pPr>
        <w:pStyle w:val="BodyText"/>
        <w:spacing w:line="273" w:lineRule="auto"/>
        <w:ind w:right="211"/>
        <w:jc w:val="both"/>
      </w:pPr>
      <w:r>
        <w:rPr>
          <w:spacing w:val="-2"/>
        </w:rPr>
        <w:t>拓展网站平台、终端平台、无线端平台的服务范围，同时加强各平台之间的互通协同效应，提升大平台的</w:t>
      </w:r>
      <w:r>
        <w:rPr>
          <w:spacing w:val="-49"/>
        </w:rPr>
        <w:t> </w:t>
      </w:r>
      <w:r>
        <w:rPr>
          <w:spacing w:val="-49"/>
        </w:rPr>
      </w:r>
      <w:r>
        <w:rPr/>
        <w:t>服务能力。</w:t>
      </w:r>
    </w:p>
    <w:p>
      <w:pPr>
        <w:pStyle w:val="BodyText"/>
        <w:spacing w:line="273" w:lineRule="auto"/>
        <w:ind w:left="573" w:right="76"/>
        <w:jc w:val="left"/>
      </w:pPr>
      <w:r>
        <w:rPr/>
        <w:t>（</w:t>
      </w:r>
      <w:r>
        <w:rPr>
          <w:rFonts w:ascii="宋体" w:hAnsi="宋体" w:cs="宋体" w:eastAsia="宋体" w:hint="default"/>
        </w:rPr>
        <w:t>2</w:t>
      </w:r>
      <w:r>
        <w:rPr/>
        <w:t>）进一步做好金融数据服务业务和互联网广告服务业务</w:t>
      </w:r>
      <w:r>
        <w:rPr>
          <w:w w:val="100"/>
        </w:rPr>
        <w:t> </w:t>
      </w:r>
      <w:r>
        <w:rPr>
          <w:spacing w:val="-2"/>
        </w:rPr>
        <w:t>公司将适应市场需求，进一步完善和丰富产品线，提升收费端产品的服务质量，继续加大免费端东方</w:t>
      </w:r>
    </w:p>
    <w:p>
      <w:pPr>
        <w:pStyle w:val="BodyText"/>
        <w:spacing w:line="273" w:lineRule="auto"/>
        <w:ind w:right="206"/>
        <w:jc w:val="both"/>
      </w:pPr>
      <w:r>
        <w:rPr>
          <w:spacing w:val="-2"/>
        </w:rPr>
        <w:t>财富通的研发升级和宣传推广应用，提升用户数量和市场占有率，同时将积极推进金融数据机构服务产品</w:t>
      </w:r>
      <w:r>
        <w:rPr>
          <w:spacing w:val="-42"/>
        </w:rPr>
        <w:t> </w:t>
      </w:r>
      <w:r>
        <w:rPr>
          <w:spacing w:val="-42"/>
        </w:rPr>
      </w:r>
      <w:r>
        <w:rPr/>
        <w:t>的内部测试和完善工作，推动产品的上市，满足不同用户对金融数据服务的个性化需求。</w:t>
      </w:r>
    </w:p>
    <w:p>
      <w:pPr>
        <w:pStyle w:val="BodyText"/>
        <w:spacing w:line="273" w:lineRule="auto"/>
        <w:ind w:right="76" w:firstLine="420"/>
        <w:jc w:val="left"/>
      </w:pPr>
      <w:r>
        <w:rPr>
          <w:spacing w:val="-2"/>
        </w:rPr>
        <w:t>公司将继续加强广告业务的投入，加强服务创新，加强落地化服务，加强营销服务体系调整和完善工</w:t>
      </w:r>
      <w:r>
        <w:rPr>
          <w:w w:val="100"/>
        </w:rPr>
        <w:t> </w:t>
      </w:r>
      <w:r>
        <w:rPr/>
        <w:t>作，进一步完善绩效考核和激励机制，推动广告业务持续良好发展。</w:t>
      </w:r>
    </w:p>
    <w:p>
      <w:pPr>
        <w:pStyle w:val="BodyText"/>
        <w:spacing w:line="273" w:lineRule="auto"/>
        <w:ind w:left="573" w:right="76"/>
        <w:jc w:val="left"/>
      </w:pPr>
      <w:r>
        <w:rPr/>
        <w:t>（</w:t>
      </w:r>
      <w:r>
        <w:rPr>
          <w:rFonts w:ascii="宋体" w:hAnsi="宋体" w:cs="宋体" w:eastAsia="宋体" w:hint="default"/>
        </w:rPr>
        <w:t>3</w:t>
      </w:r>
      <w:r>
        <w:rPr/>
        <w:t>）大力加强金融电子商务服务业务投入，力争推动基金第三方销售业务成为新的收入增长点</w:t>
      </w:r>
      <w:r>
        <w:rPr>
          <w:w w:val="100"/>
        </w:rPr>
        <w:t> </w:t>
      </w:r>
      <w:r>
        <w:rPr>
          <w:spacing w:val="-2"/>
        </w:rPr>
        <w:t>公司证劵投资基金销售业务的开展，拓展和增强了公司整体一站式金融服务的能力，提高了公司整体</w:t>
      </w:r>
    </w:p>
    <w:p>
      <w:pPr>
        <w:pStyle w:val="BodyText"/>
        <w:spacing w:line="273" w:lineRule="auto" w:before="8"/>
        <w:ind w:right="207"/>
        <w:jc w:val="both"/>
      </w:pPr>
      <w:r>
        <w:rPr>
          <w:spacing w:val="-2"/>
        </w:rPr>
        <w:t>市场竞争力，公司将坚持以“客户为中心”，积极丰富和覆盖市场基金产品，提升交易功能，提高服务质</w:t>
      </w:r>
      <w:r>
        <w:rPr>
          <w:spacing w:val="-42"/>
        </w:rPr>
        <w:t> </w:t>
      </w:r>
      <w:r>
        <w:rPr>
          <w:spacing w:val="-42"/>
        </w:rPr>
      </w:r>
      <w:r>
        <w:rPr>
          <w:spacing w:val="-2"/>
        </w:rPr>
        <w:t>量和水平，提升用户体验，努力做好基金第三方销售业务的发展，争取成为公司新的收入增长点，为未来</w:t>
      </w:r>
      <w:r>
        <w:rPr>
          <w:spacing w:val="-50"/>
        </w:rPr>
        <w:t> </w:t>
      </w:r>
      <w:r>
        <w:rPr>
          <w:spacing w:val="-50"/>
        </w:rPr>
      </w:r>
      <w:r>
        <w:rPr/>
        <w:t>金融电子商务服务业务的不断拓展，并保持持续健康发展，打下坚实的基础。</w:t>
      </w:r>
    </w:p>
    <w:p>
      <w:pPr>
        <w:pStyle w:val="BodyText"/>
        <w:spacing w:line="273" w:lineRule="auto"/>
        <w:ind w:left="678" w:right="76" w:hanging="106"/>
        <w:jc w:val="left"/>
      </w:pPr>
      <w:r>
        <w:rPr/>
        <w:t>（</w:t>
      </w:r>
      <w:r>
        <w:rPr>
          <w:rFonts w:ascii="宋体" w:hAnsi="宋体" w:cs="宋体" w:eastAsia="宋体" w:hint="default"/>
        </w:rPr>
        <w:t>4</w:t>
      </w:r>
      <w:r>
        <w:rPr/>
        <w:t>）加强品牌宣传，提升平台价值</w:t>
      </w:r>
      <w:r>
        <w:rPr>
          <w:w w:val="100"/>
        </w:rPr>
        <w:t> </w:t>
      </w:r>
      <w:r>
        <w:rPr>
          <w:rFonts w:ascii="宋体" w:hAnsi="宋体" w:cs="宋体" w:eastAsia="宋体" w:hint="default"/>
        </w:rPr>
        <w:t>2013</w:t>
      </w:r>
      <w:r>
        <w:rPr/>
        <w:t>年公司将进一步加强品牌宣传的力度，增强品牌影响力，进一步提升媒介、渠道价值，提升财</w:t>
      </w:r>
    </w:p>
    <w:p>
      <w:pPr>
        <w:pStyle w:val="BodyText"/>
        <w:spacing w:line="240" w:lineRule="auto"/>
        <w:ind w:right="0"/>
        <w:jc w:val="both"/>
      </w:pPr>
      <w:r>
        <w:rPr/>
        <w:t>经大平台的价值，推动业务进一步发展，实现企业持续健康成长。</w:t>
      </w:r>
    </w:p>
    <w:p>
      <w:pPr>
        <w:pStyle w:val="BodyText"/>
        <w:spacing w:line="273" w:lineRule="auto" w:before="37"/>
        <w:ind w:left="573" w:right="76"/>
        <w:jc w:val="left"/>
      </w:pPr>
      <w:r>
        <w:rPr/>
        <w:t>（</w:t>
      </w:r>
      <w:r>
        <w:rPr>
          <w:rFonts w:ascii="宋体" w:hAnsi="宋体" w:cs="宋体" w:eastAsia="宋体" w:hint="default"/>
        </w:rPr>
        <w:t>5</w:t>
      </w:r>
      <w:r>
        <w:rPr/>
        <w:t>）加强研发和创新工作</w:t>
      </w:r>
      <w:r>
        <w:rPr>
          <w:w w:val="100"/>
        </w:rPr>
        <w:t> </w:t>
      </w:r>
      <w:r>
        <w:rPr>
          <w:spacing w:val="-2"/>
        </w:rPr>
        <w:t>公司将继续增加网站平台、互动社区的技术升级改造，加强金融数据终端的核心技术升级，加强无线</w:t>
      </w:r>
    </w:p>
    <w:p>
      <w:pPr>
        <w:pStyle w:val="BodyText"/>
        <w:spacing w:line="273" w:lineRule="auto"/>
        <w:ind w:right="206"/>
        <w:jc w:val="both"/>
      </w:pPr>
      <w:r>
        <w:rPr>
          <w:spacing w:val="-2"/>
        </w:rPr>
        <w:t>财经终端技术等方面的研发投入。同时，进一步完善研发团队的绩效考核制度，完善创新激励机制，促进</w:t>
      </w:r>
      <w:r>
        <w:rPr>
          <w:spacing w:val="-44"/>
        </w:rPr>
        <w:t> </w:t>
      </w:r>
      <w:r>
        <w:rPr>
          <w:spacing w:val="-44"/>
        </w:rPr>
      </w:r>
      <w:r>
        <w:rPr/>
        <w:t>研发和创新工作。</w:t>
      </w:r>
    </w:p>
    <w:p>
      <w:pPr>
        <w:pStyle w:val="BodyText"/>
        <w:spacing w:line="273" w:lineRule="auto"/>
        <w:ind w:left="573" w:right="76"/>
        <w:jc w:val="left"/>
      </w:pPr>
      <w:r>
        <w:rPr/>
        <w:t>（</w:t>
      </w:r>
      <w:r>
        <w:rPr>
          <w:rFonts w:ascii="宋体" w:hAnsi="宋体" w:cs="宋体" w:eastAsia="宋体" w:hint="default"/>
        </w:rPr>
        <w:t>6</w:t>
      </w:r>
      <w:r>
        <w:rPr/>
        <w:t>）做好募集资金后期投资项目的建设</w:t>
      </w:r>
      <w:r>
        <w:rPr>
          <w:w w:val="100"/>
        </w:rPr>
        <w:t> </w:t>
      </w:r>
      <w:r>
        <w:rPr>
          <w:spacing w:val="-2"/>
        </w:rPr>
        <w:t>公司将按照计划要求，继续推进募投项目的后续建设工作，加强项目后期维护，实现项目建设目标。</w:t>
      </w:r>
      <w:r>
        <w:rPr>
          <w:spacing w:val="-27"/>
        </w:rPr>
        <w:t> </w:t>
      </w:r>
      <w:r>
        <w:rPr>
          <w:spacing w:val="-27"/>
        </w:rPr>
      </w:r>
      <w:r>
        <w:rPr>
          <w:spacing w:val="-2"/>
        </w:rPr>
        <w:t>超募资金项目方面：积极推进金融数据机构服务平台项目建设，完成产品的内部测试和完善工作，在</w:t>
      </w:r>
    </w:p>
    <w:p>
      <w:pPr>
        <w:pStyle w:val="BodyText"/>
        <w:spacing w:line="240" w:lineRule="auto"/>
        <w:ind w:right="0"/>
        <w:jc w:val="both"/>
      </w:pPr>
      <w:r>
        <w:rPr>
          <w:rFonts w:ascii="宋体" w:hAnsi="宋体" w:cs="宋体" w:eastAsia="宋体" w:hint="default"/>
        </w:rPr>
        <w:t>2013</w:t>
      </w:r>
      <w:r>
        <w:rPr/>
        <w:t>年推出机构端产品和服务，同时协调好金融信息服务中心项目。</w:t>
      </w:r>
    </w:p>
    <w:p>
      <w:pPr>
        <w:pStyle w:val="BodyText"/>
        <w:spacing w:line="273" w:lineRule="auto" w:before="37"/>
        <w:ind w:left="573" w:right="76"/>
        <w:jc w:val="left"/>
      </w:pPr>
      <w:r>
        <w:rPr/>
        <w:t>（</w:t>
      </w:r>
      <w:r>
        <w:rPr>
          <w:rFonts w:ascii="宋体" w:hAnsi="宋体" w:cs="宋体" w:eastAsia="宋体" w:hint="default"/>
        </w:rPr>
        <w:t>7</w:t>
      </w:r>
      <w:r>
        <w:rPr/>
        <w:t>）全面加强和提升企业管理水平</w:t>
      </w:r>
      <w:r>
        <w:rPr>
          <w:w w:val="100"/>
        </w:rPr>
        <w:t> </w:t>
      </w:r>
      <w:r>
        <w:rPr>
          <w:spacing w:val="-2"/>
        </w:rPr>
        <w:t>公司将进一步做好内部控制制度完善工作，进一步完善流程，使内控制度得到有效的体现，进一步提</w:t>
      </w:r>
    </w:p>
    <w:p>
      <w:pPr>
        <w:pStyle w:val="BodyText"/>
        <w:spacing w:line="273" w:lineRule="auto"/>
        <w:ind w:left="573" w:right="76" w:hanging="421"/>
        <w:jc w:val="left"/>
      </w:pPr>
      <w:r>
        <w:rPr/>
        <w:t>高公司内控管理质量和水平。</w:t>
      </w:r>
      <w:r>
        <w:rPr>
          <w:w w:val="100"/>
        </w:rPr>
        <w:t> </w:t>
      </w:r>
      <w:r>
        <w:rPr>
          <w:spacing w:val="-2"/>
        </w:rPr>
        <w:t>公司将进一步加强财务管理工作，加强财务团队的建设，提升团队专业能力和业务水平，加强资金的</w:t>
      </w:r>
    </w:p>
    <w:p>
      <w:pPr>
        <w:pStyle w:val="BodyText"/>
        <w:spacing w:line="273" w:lineRule="auto"/>
        <w:ind w:right="207"/>
        <w:jc w:val="both"/>
      </w:pPr>
      <w:r>
        <w:rPr>
          <w:spacing w:val="-2"/>
        </w:rPr>
        <w:t>管理，提高资金使用效率，加强应收账款的管理，降低风险，在进一步做好基础工作的基础上，充分发挥</w:t>
      </w:r>
      <w:r>
        <w:rPr>
          <w:spacing w:val="-43"/>
        </w:rPr>
        <w:t> </w:t>
      </w:r>
      <w:r>
        <w:rPr>
          <w:spacing w:val="-43"/>
        </w:rPr>
      </w:r>
      <w:r>
        <w:rPr/>
        <w:t>财务职能作用，为公司的持续健康发展提供决策支持。</w:t>
      </w:r>
    </w:p>
    <w:p>
      <w:pPr>
        <w:spacing w:after="0" w:line="273" w:lineRule="auto"/>
        <w:jc w:val="both"/>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right="76" w:firstLine="420"/>
        <w:jc w:val="left"/>
      </w:pPr>
      <w:r>
        <w:rPr>
          <w:spacing w:val="-5"/>
        </w:rPr>
        <w:t>公司将进一步加强人力资源管理，完善绩效考核机制，完善职位体系，建立人才梯队，进行人才储备，</w:t>
      </w:r>
      <w:r>
        <w:rPr>
          <w:w w:val="100"/>
        </w:rPr>
        <w:t> </w:t>
      </w:r>
      <w:r>
        <w:rPr/>
        <w:t>加强培训工作，提高员工的综合素质，不断优化人力资源结构。</w:t>
      </w:r>
    </w:p>
    <w:p>
      <w:pPr>
        <w:pStyle w:val="BodyText"/>
        <w:spacing w:line="273" w:lineRule="auto"/>
        <w:ind w:right="76" w:firstLine="420"/>
        <w:jc w:val="left"/>
      </w:pPr>
      <w:r>
        <w:rPr>
          <w:spacing w:val="-2"/>
        </w:rPr>
        <w:t>公司将积极加强企业文化建设和投入，形成团结、富有朝气活力和竞争力的企业文化，增强公司的凝</w:t>
      </w:r>
      <w:r>
        <w:rPr>
          <w:w w:val="100"/>
        </w:rPr>
        <w:t> </w:t>
      </w:r>
      <w:r>
        <w:rPr/>
        <w:t>聚力，促进公司持续健康发展。</w:t>
      </w:r>
    </w:p>
    <w:p>
      <w:pPr>
        <w:pStyle w:val="BodyText"/>
        <w:spacing w:line="273" w:lineRule="auto"/>
        <w:ind w:left="573" w:right="76"/>
        <w:jc w:val="left"/>
      </w:pPr>
      <w:r>
        <w:rPr/>
        <w:t>（</w:t>
      </w:r>
      <w:r>
        <w:rPr>
          <w:rFonts w:ascii="宋体" w:hAnsi="宋体" w:cs="宋体" w:eastAsia="宋体" w:hint="default"/>
        </w:rPr>
        <w:t>8</w:t>
      </w:r>
      <w:r>
        <w:rPr/>
        <w:t>）加强投资者关系管理工作</w:t>
      </w:r>
      <w:r>
        <w:rPr>
          <w:w w:val="100"/>
        </w:rPr>
        <w:t> </w:t>
      </w:r>
      <w:r>
        <w:rPr>
          <w:spacing w:val="-2"/>
        </w:rPr>
        <w:t>公司将进一步加强投资者关系管理工作，持续优化投资者沟通交流平台，加强与投资者和潜在投资者</w:t>
      </w:r>
    </w:p>
    <w:p>
      <w:pPr>
        <w:pStyle w:val="BodyText"/>
        <w:spacing w:line="273" w:lineRule="auto"/>
        <w:ind w:right="76"/>
        <w:jc w:val="left"/>
      </w:pPr>
      <w:r>
        <w:rPr>
          <w:spacing w:val="-2"/>
        </w:rPr>
        <w:t>之间的沟通和交流，使投资者更深入了解公司运作和管理、经营状况、发展战略等情况，促进公司与投资</w:t>
      </w:r>
      <w:r>
        <w:rPr>
          <w:spacing w:val="-47"/>
        </w:rPr>
        <w:t> </w:t>
      </w:r>
      <w:r>
        <w:rPr>
          <w:spacing w:val="-47"/>
        </w:rPr>
      </w:r>
      <w:r>
        <w:rPr/>
        <w:t>者之间建立长期、良好、融洽的互动关系。</w:t>
      </w:r>
    </w:p>
    <w:p>
      <w:pPr>
        <w:spacing w:line="240" w:lineRule="auto" w:before="8"/>
        <w:rPr>
          <w:rFonts w:ascii="宋体" w:hAnsi="宋体" w:cs="宋体" w:eastAsia="宋体" w:hint="default"/>
          <w:sz w:val="21"/>
          <w:szCs w:val="21"/>
        </w:rPr>
      </w:pPr>
    </w:p>
    <w:p>
      <w:pPr>
        <w:pStyle w:val="Heading3"/>
        <w:spacing w:line="240" w:lineRule="auto"/>
        <w:ind w:right="76"/>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76"/>
        <w:jc w:val="left"/>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76"/>
        <w:jc w:val="left"/>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273" w:lineRule="auto" w:before="94"/>
        <w:ind w:right="76" w:firstLine="420"/>
        <w:jc w:val="left"/>
      </w:pPr>
      <w:r>
        <w:rPr>
          <w:spacing w:val="-2"/>
        </w:rPr>
        <w:t>在符合利润分配原则、保证公司正常经营和长远发展的前提下，为了更好的兼顾股东的即期利益和长</w:t>
      </w:r>
      <w:r>
        <w:rPr>
          <w:w w:val="100"/>
        </w:rPr>
        <w:t> </w:t>
      </w:r>
      <w:r>
        <w:rPr/>
        <w:t>远利益，公司对《公司章程》进行了修改，并经公司</w:t>
      </w:r>
      <w:r>
        <w:rPr>
          <w:rFonts w:ascii="Times New Roman" w:hAnsi="Times New Roman" w:cs="Times New Roman" w:eastAsia="Times New Roman" w:hint="default"/>
        </w:rPr>
        <w:t>2011</w:t>
      </w:r>
      <w:r>
        <w:rPr/>
        <w:t>年年度股东大会审议通过，修改情况如下：</w:t>
      </w:r>
    </w:p>
    <w:p>
      <w:pPr>
        <w:pStyle w:val="BodyText"/>
        <w:spacing w:line="271" w:lineRule="auto" w:before="0"/>
        <w:ind w:right="76" w:firstLine="420"/>
        <w:jc w:val="left"/>
      </w:pPr>
      <w:r>
        <w:rPr/>
        <w:t>修改</w:t>
      </w:r>
      <w:r>
        <w:rPr>
          <w:rFonts w:ascii="Times New Roman" w:hAnsi="Times New Roman" w:cs="Times New Roman" w:eastAsia="Times New Roman" w:hint="default"/>
        </w:rPr>
        <w:t>1</w:t>
      </w:r>
      <w:r>
        <w:rPr/>
        <w:t>：第一百五十条</w:t>
      </w:r>
      <w:r>
        <w:rPr>
          <w:spacing w:val="-25"/>
        </w:rPr>
        <w:t> </w:t>
      </w:r>
      <w:r>
        <w:rPr/>
        <w:t>公司股东大会对利润分配方案作出决议后，公司董事会须在股东大会召开后</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3"/>
        </w:rPr>
        <w:t>个月内完成股利（或股份）的派发事项。 修改为：第一百五十条 公司重视对股东的合理投资回报，利润</w:t>
      </w:r>
      <w:r>
        <w:rPr>
          <w:spacing w:val="-100"/>
        </w:rPr>
        <w:t> </w:t>
      </w:r>
      <w:r>
        <w:rPr>
          <w:spacing w:val="-100"/>
        </w:rPr>
      </w:r>
      <w:r>
        <w:rPr>
          <w:spacing w:val="-2"/>
        </w:rPr>
        <w:t>分配应遵循重视对股东的合理投资回报和有利于公司长远发展的原则，公司利润分配政策应保持连续性和</w:t>
      </w:r>
      <w:r>
        <w:rPr>
          <w:spacing w:val="-43"/>
        </w:rPr>
        <w:t> </w:t>
      </w:r>
      <w:r>
        <w:rPr>
          <w:spacing w:val="-43"/>
        </w:rPr>
      </w:r>
      <w:r>
        <w:rPr>
          <w:spacing w:val="-2"/>
        </w:rPr>
        <w:t>稳定性，并符合法律、法规的相关规定。在公司存在可分配利润的情况下，公司的利润分配政策是原则上</w:t>
      </w:r>
      <w:r>
        <w:rPr>
          <w:spacing w:val="-47"/>
        </w:rPr>
        <w:t> </w:t>
      </w:r>
      <w:r>
        <w:rPr>
          <w:spacing w:val="-47"/>
        </w:rPr>
      </w:r>
      <w:r>
        <w:rPr>
          <w:spacing w:val="-2"/>
        </w:rPr>
        <w:t>每年应进行年度利润分配，可以进行中期股利分配。公司董事会未做出年度利润分配预案的，应当披露未</w:t>
      </w:r>
      <w:r>
        <w:rPr>
          <w:spacing w:val="-45"/>
        </w:rPr>
        <w:t> </w:t>
      </w:r>
      <w:r>
        <w:rPr>
          <w:spacing w:val="-45"/>
        </w:rPr>
      </w:r>
      <w:r>
        <w:rPr>
          <w:spacing w:val="-2"/>
        </w:rPr>
        <w:t>分红的原因，独立董事应当对此发表独立意见。公司股东大会对利润分配方案作出决议后，公司董事会须</w:t>
      </w:r>
      <w:r>
        <w:rPr>
          <w:spacing w:val="-44"/>
        </w:rPr>
        <w:t> </w:t>
      </w:r>
      <w:r>
        <w:rPr>
          <w:spacing w:val="-44"/>
        </w:rPr>
      </w:r>
      <w:r>
        <w:rPr/>
        <w:t>在股东大会召开后</w:t>
      </w:r>
      <w:r>
        <w:rPr>
          <w:rFonts w:ascii="Times New Roman" w:hAnsi="Times New Roman" w:cs="Times New Roman" w:eastAsia="Times New Roman" w:hint="default"/>
        </w:rPr>
        <w:t>2</w:t>
      </w:r>
      <w:r>
        <w:rPr/>
        <w:t>个月内完成股利（或股份）的派发事项。</w:t>
      </w:r>
    </w:p>
    <w:p>
      <w:pPr>
        <w:pStyle w:val="BodyText"/>
        <w:spacing w:line="268" w:lineRule="auto" w:before="0"/>
        <w:ind w:right="206" w:firstLine="420"/>
        <w:jc w:val="both"/>
      </w:pPr>
      <w:r>
        <w:rPr>
          <w:spacing w:val="-6"/>
        </w:rPr>
        <w:t>修改</w:t>
      </w:r>
      <w:r>
        <w:rPr>
          <w:rFonts w:ascii="Times New Roman" w:hAnsi="Times New Roman" w:cs="Times New Roman" w:eastAsia="Times New Roman" w:hint="default"/>
          <w:spacing w:val="-6"/>
        </w:rPr>
        <w:t>2</w:t>
      </w:r>
      <w:r>
        <w:rPr>
          <w:spacing w:val="-6"/>
        </w:rPr>
        <w:t>：第一百五十一条</w:t>
      </w:r>
      <w:r>
        <w:rPr>
          <w:spacing w:val="29"/>
        </w:rPr>
        <w:t> </w:t>
      </w:r>
      <w:r>
        <w:rPr>
          <w:spacing w:val="-3"/>
        </w:rPr>
        <w:t>公司利润分配应重视对投资者的合理投资回报，利润分配政策应保持一定的</w:t>
      </w:r>
      <w:r>
        <w:rPr>
          <w:w w:val="100"/>
        </w:rPr>
        <w:t> </w:t>
      </w:r>
      <w:r>
        <w:rPr>
          <w:spacing w:val="-2"/>
        </w:rPr>
        <w:t>连续性和稳定性。公司可以采取现金或股票形式进行利润分配。在保证正常生产经营及发展所需资金的前</w:t>
      </w:r>
      <w:r>
        <w:rPr>
          <w:spacing w:val="-44"/>
        </w:rPr>
        <w:t> </w:t>
      </w:r>
      <w:r>
        <w:rPr>
          <w:spacing w:val="-44"/>
        </w:rPr>
      </w:r>
      <w:r>
        <w:rPr/>
        <w:t>提下，公司应当进行适当比例的现金分红。</w:t>
      </w:r>
      <w:r>
        <w:rPr>
          <w:spacing w:val="-24"/>
        </w:rPr>
        <w:t> </w:t>
      </w:r>
      <w:r>
        <w:rPr>
          <w:spacing w:val="-3"/>
        </w:rPr>
        <w:t>修改为：第一百五十一条</w:t>
      </w:r>
      <w:r>
        <w:rPr>
          <w:spacing w:val="82"/>
        </w:rPr>
        <w:t> </w:t>
      </w:r>
      <w:r>
        <w:rPr>
          <w:spacing w:val="-4"/>
        </w:rPr>
        <w:t>公司利润分配政策如下：（一）公</w:t>
      </w:r>
      <w:r>
        <w:rPr>
          <w:spacing w:val="-102"/>
        </w:rPr>
        <w:t> </w:t>
      </w:r>
      <w:r>
        <w:rPr>
          <w:spacing w:val="-102"/>
        </w:rPr>
      </w:r>
      <w:r>
        <w:rPr>
          <w:spacing w:val="-2"/>
        </w:rPr>
        <w:t>司可以采取现金或者股票的方式分配股利。在公司存在可分配利润情况下，根据公司的营业情况和财务状</w:t>
      </w:r>
      <w:r>
        <w:rPr>
          <w:spacing w:val="-43"/>
        </w:rPr>
        <w:t> </w:t>
      </w:r>
      <w:r>
        <w:rPr>
          <w:spacing w:val="-43"/>
        </w:rPr>
      </w:r>
      <w:r>
        <w:rPr>
          <w:spacing w:val="-4"/>
        </w:rPr>
        <w:t>况，公司董事会可作出现金分配股利方案或</w:t>
      </w:r>
      <w:r>
        <w:rPr>
          <w:rFonts w:ascii="Times New Roman" w:hAnsi="Times New Roman" w:cs="Times New Roman" w:eastAsia="Times New Roman" w:hint="default"/>
          <w:spacing w:val="-4"/>
        </w:rPr>
        <w:t>/</w:t>
      </w:r>
      <w:r>
        <w:rPr>
          <w:spacing w:val="-4"/>
        </w:rPr>
        <w:t>和股票分配股利方案。（二）公司董事会未做出现金利润分配</w:t>
      </w:r>
      <w:r>
        <w:rPr>
          <w:spacing w:val="-9"/>
        </w:rPr>
        <w:t> </w:t>
      </w:r>
      <w:r>
        <w:rPr>
          <w:spacing w:val="-9"/>
        </w:rPr>
      </w:r>
      <w:r>
        <w:rPr>
          <w:spacing w:val="-2"/>
        </w:rPr>
        <w:t>预案的，应当披露未现金分红的原因、未用于分红的资金留存公司的用途，独立董事应当对此发表独立意</w:t>
      </w:r>
      <w:r>
        <w:rPr>
          <w:spacing w:val="-42"/>
        </w:rPr>
        <w:t> </w:t>
      </w:r>
      <w:r>
        <w:rPr>
          <w:spacing w:val="-42"/>
        </w:rPr>
      </w:r>
      <w:r>
        <w:rPr>
          <w:spacing w:val="-2"/>
        </w:rPr>
        <w:t>见。（三）公司利润分配不得超过累计可分配利润的范围，单一会计年度以现金方式分配的利润不少于当</w:t>
      </w:r>
      <w:r>
        <w:rPr>
          <w:spacing w:val="-44"/>
        </w:rPr>
        <w:t> </w:t>
      </w:r>
      <w:r>
        <w:rPr>
          <w:spacing w:val="-44"/>
        </w:rPr>
      </w:r>
      <w:r>
        <w:rPr>
          <w:spacing w:val="-2"/>
        </w:rPr>
        <w:t>年度实现可分配利润的</w:t>
      </w:r>
      <w:r>
        <w:rPr>
          <w:rFonts w:ascii="Times New Roman" w:hAnsi="Times New Roman" w:cs="Times New Roman" w:eastAsia="Times New Roman" w:hint="default"/>
          <w:spacing w:val="-2"/>
        </w:rPr>
        <w:t>10%</w:t>
      </w:r>
      <w:r>
        <w:rPr>
          <w:spacing w:val="-2"/>
        </w:rPr>
        <w:t>。（四）存在股东违规占用公司资金情况的，公司在实施现金分红时应当扣减</w:t>
      </w:r>
      <w:r>
        <w:rPr>
          <w:spacing w:val="-17"/>
        </w:rPr>
        <w:t> </w:t>
      </w:r>
      <w:r>
        <w:rPr>
          <w:spacing w:val="-17"/>
        </w:rPr>
      </w:r>
      <w:r>
        <w:rPr>
          <w:spacing w:val="-2"/>
        </w:rPr>
        <w:t>该股东所获分配的现金红利，以偿还其占用的公司资金。（五）公司根据生产经营情况、投资规划和长期</w:t>
      </w:r>
      <w:r>
        <w:rPr>
          <w:spacing w:val="-43"/>
        </w:rPr>
        <w:t> </w:t>
      </w:r>
      <w:r>
        <w:rPr>
          <w:spacing w:val="-43"/>
        </w:rPr>
      </w:r>
      <w:r>
        <w:rPr>
          <w:spacing w:val="-2"/>
        </w:rPr>
        <w:t>发展等需要确需调整利润分配政策的，调整后的利润分配政策不得违反中国证券监督管理委员会和证券交</w:t>
      </w:r>
      <w:r>
        <w:rPr>
          <w:spacing w:val="-43"/>
        </w:rPr>
        <w:t> </w:t>
      </w:r>
      <w:r>
        <w:rPr>
          <w:spacing w:val="-43"/>
        </w:rPr>
      </w:r>
      <w:r>
        <w:rPr/>
        <w:t>易所的有关规定。有关调整利润分配政策的议案，由董事会审议后提交公司股东大会批准。</w:t>
      </w:r>
    </w:p>
    <w:p>
      <w:pPr>
        <w:pStyle w:val="BodyText"/>
        <w:spacing w:line="240" w:lineRule="auto" w:before="12"/>
        <w:ind w:left="573" w:right="76"/>
        <w:jc w:val="left"/>
      </w:pPr>
      <w:r>
        <w:rPr/>
        <w:t>报告期内，公司严格执行现金分红政策的相关规定，并实施了</w:t>
      </w:r>
      <w:r>
        <w:rPr>
          <w:rFonts w:ascii="Times New Roman" w:hAnsi="Times New Roman" w:cs="Times New Roman" w:eastAsia="Times New Roman" w:hint="default"/>
        </w:rPr>
        <w:t>2011</w:t>
      </w:r>
      <w:r>
        <w:rPr/>
        <w:t>年度权益分派。</w:t>
      </w:r>
    </w:p>
    <w:p>
      <w:pPr>
        <w:spacing w:before="82"/>
        <w:ind w:left="152" w:right="76"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38" w:lineRule="auto" w:before="117"/>
        <w:ind w:left="152" w:right="3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w:t>
      </w:r>
    </w:p>
    <w:p>
      <w:pPr>
        <w:spacing w:after="0" w:line="338" w:lineRule="auto"/>
        <w:jc w:val="left"/>
        <w:rPr>
          <w:rFonts w:ascii="宋体" w:hAnsi="宋体" w:cs="宋体" w:eastAsia="宋体" w:hint="default"/>
          <w:sz w:val="18"/>
          <w:szCs w:val="18"/>
        </w:rPr>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before="38"/>
        <w:ind w:left="152" w:right="0"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220,953,921.28</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333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经立信会计师事务所审计，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年度实现归属于母公司股东的净利润为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37,581,860.98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元，其中母公司实现净利润为</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46,097,298.36 </w:t>
            </w:r>
            <w:r>
              <w:rPr>
                <w:rFonts w:ascii="宋体" w:hAnsi="宋体" w:cs="宋体" w:eastAsia="宋体" w:hint="default"/>
                <w:sz w:val="18"/>
                <w:szCs w:val="18"/>
              </w:rPr>
              <w:t>元。根据公司章程的有关规定，按照母公司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4,609,729.84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元，加年初未分配利润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200,466,352.76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年上半年分配利润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21,000,000.00</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日，公</w:t>
            </w:r>
          </w:p>
          <w:p>
            <w:pPr>
              <w:pStyle w:val="TableParagraph"/>
              <w:spacing w:line="328" w:lineRule="auto" w:before="63"/>
              <w:ind w:left="24" w:right="25"/>
              <w:jc w:val="left"/>
              <w:rPr>
                <w:rFonts w:ascii="宋体" w:hAnsi="宋体" w:cs="宋体" w:eastAsia="宋体" w:hint="default"/>
                <w:sz w:val="18"/>
                <w:szCs w:val="18"/>
              </w:rPr>
            </w:pPr>
            <w:r>
              <w:rPr>
                <w:rFonts w:ascii="宋体" w:hAnsi="宋体" w:cs="宋体" w:eastAsia="宋体" w:hint="default"/>
                <w:sz w:val="18"/>
                <w:szCs w:val="18"/>
              </w:rPr>
              <w:t>司可供股东分配利润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220,953,921.28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1"/>
                <w:sz w:val="18"/>
                <w:szCs w:val="18"/>
              </w:rPr>
              <w:t>根据公司实际经营成果和财务状况，结合公司发展战略，同时给投资者以持续回报，遵照中国证监会、深交所及公司章程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相关规定，拟提出公司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年度资本公积金转增股本及利润分配预案为：</w:t>
            </w:r>
          </w:p>
          <w:p>
            <w:pPr>
              <w:pStyle w:val="TableParagraph"/>
              <w:spacing w:line="240" w:lineRule="auto" w:before="2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、拟以现有总股本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万股为基数，用资本公积金向全体股东每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股，共转增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33,600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万股，转增后总股本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p>
            <w:pPr>
              <w:pStyle w:val="TableParagraph"/>
              <w:spacing w:line="300" w:lineRule="auto" w:before="10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、拟以现有总股本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33,600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万股为基数向全体股东每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股派发现金股利人民币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元（含税），合计派发现金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3,360.00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元，剩余未分配利润结转至下年度。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80"/>
        <w:ind w:left="573" w:right="0"/>
        <w:jc w:val="left"/>
      </w:pPr>
      <w:r>
        <w:rPr>
          <w:rFonts w:ascii="宋体" w:hAnsi="宋体" w:cs="宋体" w:eastAsia="宋体" w:hint="default"/>
        </w:rPr>
        <w:t>2010</w:t>
      </w:r>
      <w:r>
        <w:rPr/>
        <w:t>年度权益分派方案为：</w:t>
      </w:r>
    </w:p>
    <w:p>
      <w:pPr>
        <w:pStyle w:val="BodyText"/>
        <w:spacing w:line="273" w:lineRule="auto" w:before="37"/>
        <w:ind w:right="0" w:firstLine="420"/>
        <w:jc w:val="left"/>
      </w:pPr>
      <w:r>
        <w:rPr>
          <w:rFonts w:ascii="宋体" w:hAnsi="宋体" w:cs="宋体" w:eastAsia="宋体" w:hint="default"/>
          <w:spacing w:val="-2"/>
        </w:rPr>
        <w:t>1</w:t>
      </w:r>
      <w:r>
        <w:rPr>
          <w:spacing w:val="-2"/>
        </w:rPr>
        <w:t>、以现有总股本</w:t>
      </w:r>
      <w:r>
        <w:rPr>
          <w:rFonts w:ascii="宋体" w:hAnsi="宋体" w:cs="宋体" w:eastAsia="宋体" w:hint="default"/>
          <w:spacing w:val="-2"/>
        </w:rPr>
        <w:t>14,000</w:t>
      </w:r>
      <w:r>
        <w:rPr>
          <w:spacing w:val="-2"/>
        </w:rPr>
        <w:t>万股为基数，用资本公积金向全体股东每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股，共转增</w:t>
      </w:r>
      <w:r>
        <w:rPr>
          <w:rFonts w:ascii="宋体" w:hAnsi="宋体" w:cs="宋体" w:eastAsia="宋体" w:hint="default"/>
          <w:spacing w:val="-2"/>
        </w:rPr>
        <w:t>7,000</w:t>
      </w:r>
      <w:r>
        <w:rPr>
          <w:spacing w:val="-2"/>
        </w:rPr>
        <w:t>万股，</w:t>
      </w:r>
      <w:r>
        <w:rPr>
          <w:w w:val="100"/>
        </w:rPr>
        <w:t> </w:t>
      </w:r>
      <w:r>
        <w:rPr/>
        <w:t>转增后总股本增至</w:t>
      </w:r>
      <w:r>
        <w:rPr>
          <w:rFonts w:ascii="宋体" w:hAnsi="宋体" w:cs="宋体" w:eastAsia="宋体" w:hint="default"/>
        </w:rPr>
        <w:t>21,000</w:t>
      </w:r>
      <w:r>
        <w:rPr/>
        <w:t>万股。</w:t>
      </w:r>
    </w:p>
    <w:p>
      <w:pPr>
        <w:pStyle w:val="BodyText"/>
        <w:spacing w:line="273" w:lineRule="auto"/>
        <w:ind w:right="0" w:firstLine="420"/>
        <w:jc w:val="left"/>
      </w:pPr>
      <w:r>
        <w:rPr>
          <w:rFonts w:ascii="宋体" w:hAnsi="宋体" w:cs="宋体" w:eastAsia="宋体" w:hint="default"/>
          <w:spacing w:val="-2"/>
        </w:rPr>
        <w:t>2</w:t>
      </w:r>
      <w:r>
        <w:rPr>
          <w:spacing w:val="-2"/>
        </w:rPr>
        <w:t>、以现有总股本</w:t>
      </w:r>
      <w:r>
        <w:rPr>
          <w:rFonts w:ascii="宋体" w:hAnsi="宋体" w:cs="宋体" w:eastAsia="宋体" w:hint="default"/>
          <w:spacing w:val="-2"/>
        </w:rPr>
        <w:t>14,000</w:t>
      </w:r>
      <w:r>
        <w:rPr>
          <w:spacing w:val="-2"/>
        </w:rPr>
        <w:t>万股为基数向全体股东每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1.50</w:t>
      </w:r>
      <w:r>
        <w:rPr>
          <w:spacing w:val="-2"/>
        </w:rPr>
        <w:t>元（含税），合计派</w:t>
      </w:r>
      <w:r>
        <w:rPr>
          <w:w w:val="100"/>
        </w:rPr>
        <w:t> </w:t>
      </w:r>
      <w:r>
        <w:rPr/>
        <w:t>发现金</w:t>
      </w:r>
      <w:r>
        <w:rPr>
          <w:rFonts w:ascii="宋体" w:hAnsi="宋体" w:cs="宋体" w:eastAsia="宋体" w:hint="default"/>
        </w:rPr>
        <w:t>2,100.00</w:t>
      </w:r>
      <w:r>
        <w:rPr/>
        <w:t>万元，剩余未分配利润结转至下年度。</w:t>
      </w:r>
    </w:p>
    <w:p>
      <w:pPr>
        <w:pStyle w:val="BodyText"/>
        <w:spacing w:line="240" w:lineRule="auto"/>
        <w:ind w:left="573" w:right="0"/>
        <w:jc w:val="left"/>
        <w:rPr>
          <w:rFonts w:ascii="宋体" w:hAnsi="宋体" w:cs="宋体" w:eastAsia="宋体" w:hint="default"/>
        </w:rPr>
      </w:pPr>
      <w:r>
        <w:rPr>
          <w:rFonts w:ascii="宋体" w:hAnsi="宋体" w:cs="宋体" w:eastAsia="宋体" w:hint="default"/>
        </w:rPr>
        <w:t>2011</w:t>
      </w:r>
      <w:r>
        <w:rPr/>
        <w:t>年度权益分派方案为</w:t>
      </w:r>
      <w:r>
        <w:rPr>
          <w:rFonts w:ascii="宋体" w:hAnsi="宋体" w:cs="宋体" w:eastAsia="宋体" w:hint="default"/>
        </w:rPr>
        <w:t>:</w:t>
      </w:r>
    </w:p>
    <w:p>
      <w:pPr>
        <w:pStyle w:val="BodyText"/>
        <w:spacing w:line="273" w:lineRule="auto" w:before="37"/>
        <w:ind w:right="0" w:firstLine="420"/>
        <w:jc w:val="left"/>
      </w:pPr>
      <w:r>
        <w:rPr>
          <w:rFonts w:ascii="宋体" w:hAnsi="宋体" w:cs="宋体" w:eastAsia="宋体" w:hint="default"/>
          <w:spacing w:val="-2"/>
        </w:rPr>
        <w:t>1</w:t>
      </w:r>
      <w:r>
        <w:rPr>
          <w:spacing w:val="-2"/>
        </w:rPr>
        <w:t>、以总股本</w:t>
      </w:r>
      <w:r>
        <w:rPr>
          <w:rFonts w:ascii="宋体" w:hAnsi="宋体" w:cs="宋体" w:eastAsia="宋体" w:hint="default"/>
          <w:spacing w:val="-2"/>
        </w:rPr>
        <w:t>21,000</w:t>
      </w:r>
      <w:r>
        <w:rPr>
          <w:spacing w:val="-2"/>
        </w:rPr>
        <w:t>万股为基数，用资本公积金向全体股东每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6</w:t>
      </w:r>
      <w:r>
        <w:rPr>
          <w:spacing w:val="-2"/>
        </w:rPr>
        <w:t>股，共转增</w:t>
      </w:r>
      <w:r>
        <w:rPr>
          <w:rFonts w:ascii="宋体" w:hAnsi="宋体" w:cs="宋体" w:eastAsia="宋体" w:hint="default"/>
          <w:spacing w:val="-2"/>
        </w:rPr>
        <w:t>12,600</w:t>
      </w:r>
      <w:r>
        <w:rPr>
          <w:spacing w:val="-2"/>
        </w:rPr>
        <w:t>万股，转增</w:t>
      </w:r>
      <w:r>
        <w:rPr>
          <w:w w:val="100"/>
        </w:rPr>
        <w:t> </w:t>
      </w:r>
      <w:r>
        <w:rPr/>
        <w:t>后总股本增至</w:t>
      </w:r>
      <w:r>
        <w:rPr>
          <w:rFonts w:ascii="宋体" w:hAnsi="宋体" w:cs="宋体" w:eastAsia="宋体" w:hint="default"/>
        </w:rPr>
        <w:t>33,600</w:t>
      </w:r>
      <w:r>
        <w:rPr/>
        <w:t>万股。</w:t>
      </w:r>
    </w:p>
    <w:p>
      <w:pPr>
        <w:pStyle w:val="BodyText"/>
        <w:spacing w:line="273" w:lineRule="auto"/>
        <w:ind w:right="0" w:firstLine="420"/>
        <w:jc w:val="left"/>
      </w:pPr>
      <w:r>
        <w:rPr>
          <w:rFonts w:ascii="宋体" w:hAnsi="宋体" w:cs="宋体" w:eastAsia="宋体" w:hint="default"/>
          <w:spacing w:val="-2"/>
        </w:rPr>
        <w:t>2</w:t>
      </w:r>
      <w:r>
        <w:rPr>
          <w:spacing w:val="-2"/>
        </w:rPr>
        <w:t>、以总股本</w:t>
      </w:r>
      <w:r>
        <w:rPr>
          <w:rFonts w:ascii="宋体" w:hAnsi="宋体" w:cs="宋体" w:eastAsia="宋体" w:hint="default"/>
          <w:spacing w:val="-2"/>
        </w:rPr>
        <w:t>21,000</w:t>
      </w:r>
      <w:r>
        <w:rPr>
          <w:spacing w:val="-2"/>
        </w:rPr>
        <w:t>万股为基数向全体股东每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1.00</w:t>
      </w:r>
      <w:r>
        <w:rPr>
          <w:spacing w:val="-2"/>
        </w:rPr>
        <w:t>元（含税），合计派发现</w:t>
      </w:r>
      <w:r>
        <w:rPr>
          <w:w w:val="100"/>
        </w:rPr>
        <w:t> </w:t>
      </w:r>
      <w:r>
        <w:rPr/>
        <w:t>金</w:t>
      </w:r>
      <w:r>
        <w:rPr>
          <w:rFonts w:ascii="宋体" w:hAnsi="宋体" w:cs="宋体" w:eastAsia="宋体" w:hint="default"/>
        </w:rPr>
        <w:t>2,100.00</w:t>
      </w:r>
      <w:r>
        <w:rPr/>
        <w:t>万元，剩余未分配利润结转至下年度。</w:t>
      </w:r>
    </w:p>
    <w:p>
      <w:pPr>
        <w:pStyle w:val="BodyText"/>
        <w:spacing w:line="240" w:lineRule="auto"/>
        <w:ind w:left="573" w:right="0"/>
        <w:jc w:val="left"/>
        <w:rPr>
          <w:rFonts w:ascii="宋体" w:hAnsi="宋体" w:cs="宋体" w:eastAsia="宋体" w:hint="default"/>
        </w:rPr>
      </w:pPr>
      <w:r>
        <w:rPr>
          <w:rFonts w:ascii="宋体" w:hAnsi="宋体" w:cs="宋体" w:eastAsia="宋体" w:hint="default"/>
        </w:rPr>
        <w:t>2012</w:t>
      </w:r>
      <w:r>
        <w:rPr/>
        <w:t>年度权益分派预案为</w:t>
      </w:r>
      <w:r>
        <w:rPr>
          <w:rFonts w:ascii="宋体" w:hAnsi="宋体" w:cs="宋体" w:eastAsia="宋体" w:hint="default"/>
        </w:rPr>
        <w:t>:</w:t>
      </w:r>
    </w:p>
    <w:p>
      <w:pPr>
        <w:pStyle w:val="BodyText"/>
        <w:spacing w:line="273" w:lineRule="auto" w:before="37"/>
        <w:ind w:right="0" w:firstLine="420"/>
        <w:jc w:val="left"/>
      </w:pPr>
      <w:r>
        <w:rPr>
          <w:rFonts w:ascii="宋体" w:hAnsi="宋体" w:cs="宋体" w:eastAsia="宋体" w:hint="default"/>
          <w:spacing w:val="-2"/>
        </w:rPr>
        <w:t>1</w:t>
      </w:r>
      <w:r>
        <w:rPr>
          <w:spacing w:val="-2"/>
        </w:rPr>
        <w:t>、以总股本</w:t>
      </w:r>
      <w:r>
        <w:rPr>
          <w:rFonts w:ascii="宋体" w:hAnsi="宋体" w:cs="宋体" w:eastAsia="宋体" w:hint="default"/>
          <w:spacing w:val="-2"/>
        </w:rPr>
        <w:t>33,600</w:t>
      </w:r>
      <w:r>
        <w:rPr>
          <w:spacing w:val="-2"/>
        </w:rPr>
        <w:t>万股为基数，用资本公积金向全体股东每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股，共转增</w:t>
      </w:r>
      <w:r>
        <w:rPr>
          <w:rFonts w:ascii="宋体" w:hAnsi="宋体" w:cs="宋体" w:eastAsia="宋体" w:hint="default"/>
          <w:spacing w:val="-2"/>
        </w:rPr>
        <w:t>33,600</w:t>
      </w:r>
      <w:r>
        <w:rPr>
          <w:spacing w:val="-2"/>
        </w:rPr>
        <w:t>万股，转</w:t>
      </w:r>
      <w:r>
        <w:rPr>
          <w:w w:val="100"/>
        </w:rPr>
        <w:t> </w:t>
      </w:r>
      <w:r>
        <w:rPr/>
        <w:t>增后总股本增至</w:t>
      </w:r>
      <w:r>
        <w:rPr>
          <w:rFonts w:ascii="宋体" w:hAnsi="宋体" w:cs="宋体" w:eastAsia="宋体" w:hint="default"/>
        </w:rPr>
        <w:t>67,200</w:t>
      </w:r>
      <w:r>
        <w:rPr/>
        <w:t>万股。</w:t>
      </w:r>
    </w:p>
    <w:p>
      <w:pPr>
        <w:pStyle w:val="BodyText"/>
        <w:spacing w:line="273" w:lineRule="auto" w:before="8"/>
        <w:ind w:right="0" w:firstLine="420"/>
        <w:jc w:val="left"/>
      </w:pPr>
      <w:r>
        <w:rPr>
          <w:rFonts w:ascii="宋体" w:hAnsi="宋体" w:cs="宋体" w:eastAsia="宋体" w:hint="default"/>
          <w:spacing w:val="-2"/>
        </w:rPr>
        <w:t>2</w:t>
      </w:r>
      <w:r>
        <w:rPr>
          <w:spacing w:val="-2"/>
        </w:rPr>
        <w:t>、以总股本</w:t>
      </w:r>
      <w:r>
        <w:rPr>
          <w:rFonts w:ascii="宋体" w:hAnsi="宋体" w:cs="宋体" w:eastAsia="宋体" w:hint="default"/>
          <w:spacing w:val="-2"/>
        </w:rPr>
        <w:t>33,600</w:t>
      </w:r>
      <w:r>
        <w:rPr>
          <w:spacing w:val="-2"/>
        </w:rPr>
        <w:t>万股为基数向全体股东每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1.00</w:t>
      </w:r>
      <w:r>
        <w:rPr>
          <w:spacing w:val="-2"/>
        </w:rPr>
        <w:t>元（含税），合计派发现</w:t>
      </w:r>
      <w:r>
        <w:rPr>
          <w:w w:val="100"/>
        </w:rPr>
        <w:t> </w:t>
      </w:r>
      <w:r>
        <w:rPr/>
        <w:t>金</w:t>
      </w:r>
      <w:r>
        <w:rPr>
          <w:rFonts w:ascii="宋体" w:hAnsi="宋体" w:cs="宋体" w:eastAsia="宋体" w:hint="default"/>
        </w:rPr>
        <w:t>3,360.00</w:t>
      </w:r>
      <w:r>
        <w:rPr/>
        <w:t>万元，剩余未分配利润结转至下年度。</w:t>
      </w:r>
    </w:p>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37,581,860.98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106,528,210.93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21,000,000.00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66,740,512.88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七、内幕信息知情人管理制度的建立和执行情况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left="573" w:right="0"/>
        <w:jc w:val="left"/>
      </w:pPr>
      <w:r>
        <w:rPr/>
        <w:t>（一）</w:t>
      </w:r>
      <w:r>
        <w:rPr>
          <w:spacing w:val="-2"/>
        </w:rPr>
        <w:t> </w:t>
      </w:r>
      <w:r>
        <w:rPr/>
        <w:t>内幕知情人登记管理制度建立情况</w:t>
      </w:r>
      <w:r>
        <w:rPr>
          <w:w w:val="100"/>
        </w:rPr>
        <w:t> </w:t>
      </w:r>
      <w:r>
        <w:rPr>
          <w:spacing w:val="-7"/>
        </w:rPr>
        <w:t>为规范公司的内幕信息管理，加强内幕信息保密工作，维护信息披露的公平原则，公司专门制订了《内</w:t>
      </w:r>
    </w:p>
    <w:p>
      <w:pPr>
        <w:pStyle w:val="BodyText"/>
        <w:spacing w:line="273" w:lineRule="auto"/>
        <w:ind w:left="573" w:right="0" w:hanging="421"/>
        <w:jc w:val="left"/>
      </w:pPr>
      <w:r>
        <w:rPr/>
        <w:t>幕信息知情人报备制度》并经</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6</w:t>
      </w:r>
      <w:r>
        <w:rPr/>
        <w:t>日召开的公司第一届董事会第十三次会议审议通过。</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24</w:t>
      </w:r>
      <w:r>
        <w:rPr>
          <w:spacing w:val="-2"/>
        </w:rPr>
        <w:t>日，公司召开了第二届董事会第十二次会议，审议通过了《关于修订</w:t>
      </w:r>
      <w:r>
        <w:rPr>
          <w:rFonts w:ascii="宋体" w:hAnsi="宋体" w:cs="宋体" w:eastAsia="宋体" w:hint="default"/>
          <w:spacing w:val="-2"/>
        </w:rPr>
        <w:t>&lt;</w:t>
      </w:r>
      <w:r>
        <w:rPr>
          <w:spacing w:val="-2"/>
        </w:rPr>
        <w:t>东方财富信息股份</w:t>
      </w:r>
    </w:p>
    <w:p>
      <w:pPr>
        <w:pStyle w:val="BodyText"/>
        <w:spacing w:line="273" w:lineRule="auto"/>
        <w:ind w:right="0"/>
        <w:jc w:val="left"/>
      </w:pPr>
      <w:r>
        <w:rPr>
          <w:spacing w:val="-2"/>
        </w:rPr>
        <w:t>有限公司内幕信息知情人报备制度</w:t>
      </w:r>
      <w:r>
        <w:rPr>
          <w:rFonts w:ascii="宋体" w:hAnsi="宋体" w:cs="宋体" w:eastAsia="宋体" w:hint="default"/>
          <w:spacing w:val="-2"/>
        </w:rPr>
        <w:t>&gt;</w:t>
      </w:r>
      <w:r>
        <w:rPr>
          <w:spacing w:val="-2"/>
        </w:rPr>
        <w:t>的议案》，形成了《东方财富信息股份有限公司内幕信息知情人登记</w:t>
      </w:r>
      <w:r>
        <w:rPr>
          <w:spacing w:val="-22"/>
        </w:rPr>
        <w:t> </w:t>
      </w:r>
      <w:r>
        <w:rPr>
          <w:spacing w:val="-22"/>
        </w:rPr>
      </w:r>
      <w:r>
        <w:rPr/>
        <w:t>管理制度》。</w:t>
      </w:r>
    </w:p>
    <w:p>
      <w:pPr>
        <w:pStyle w:val="BodyText"/>
        <w:spacing w:line="273" w:lineRule="auto" w:before="8"/>
        <w:ind w:left="573" w:right="5430"/>
        <w:jc w:val="left"/>
      </w:pPr>
      <w:r>
        <w:rPr/>
        <w:t>（二）</w:t>
      </w:r>
      <w:r>
        <w:rPr>
          <w:spacing w:val="-2"/>
        </w:rPr>
        <w:t> </w:t>
      </w:r>
      <w:r>
        <w:rPr/>
        <w:t>内幕知情人登记管理制度执行情况</w:t>
      </w:r>
      <w:r>
        <w:rPr>
          <w:w w:val="100"/>
        </w:rPr>
        <w:t> </w:t>
      </w:r>
      <w:r>
        <w:rPr>
          <w:rFonts w:ascii="宋体" w:hAnsi="宋体" w:cs="宋体" w:eastAsia="宋体" w:hint="default"/>
        </w:rPr>
        <w:t>1</w:t>
      </w:r>
      <w:r>
        <w:rPr/>
        <w:t>、公司重大事项的信息保密工作</w:t>
      </w:r>
    </w:p>
    <w:p>
      <w:pPr>
        <w:pStyle w:val="BodyText"/>
        <w:spacing w:line="273" w:lineRule="auto"/>
        <w:ind w:right="106" w:firstLine="420"/>
        <w:jc w:val="both"/>
      </w:pPr>
      <w:r>
        <w:rPr>
          <w:spacing w:val="-2"/>
        </w:rPr>
        <w:t>报告期内，公司严格执行内幕信息登记管理制度，严格规范信息传递流程，在定期报告披露期间和临</w:t>
      </w:r>
      <w:r>
        <w:rPr>
          <w:w w:val="100"/>
        </w:rPr>
        <w:t> </w:t>
      </w:r>
      <w:r>
        <w:rPr>
          <w:spacing w:val="-2"/>
        </w:rPr>
        <w:t>时公告披露期间，对未公开信息，公司严格控制知情人范围填写《内幕信息知情人登记表》，如实、完整</w:t>
      </w:r>
      <w:r>
        <w:rPr>
          <w:spacing w:val="-45"/>
        </w:rPr>
        <w:t> </w:t>
      </w:r>
      <w:r>
        <w:rPr>
          <w:spacing w:val="-45"/>
        </w:rPr>
      </w:r>
      <w:r>
        <w:rPr>
          <w:spacing w:val="-2"/>
        </w:rPr>
        <w:t>记录上述信息在公开前的所有内幕信息知情人名单，以及知情人知悉内幕信息的时间等。按照相关法规规</w:t>
      </w:r>
      <w:r>
        <w:rPr>
          <w:spacing w:val="-44"/>
        </w:rPr>
        <w:t> </w:t>
      </w:r>
      <w:r>
        <w:rPr>
          <w:spacing w:val="-44"/>
        </w:rPr>
      </w:r>
      <w:r>
        <w:rPr/>
        <w:t>定向监管机构报送定期报告和临时报告相关资料的同时报备内幕信息知情人登记情况。</w:t>
      </w:r>
    </w:p>
    <w:p>
      <w:pPr>
        <w:pStyle w:val="BodyText"/>
        <w:spacing w:line="273" w:lineRule="auto"/>
        <w:ind w:left="573" w:right="0"/>
        <w:jc w:val="left"/>
      </w:pPr>
      <w:r>
        <w:rPr>
          <w:rFonts w:ascii="宋体" w:hAnsi="宋体" w:cs="宋体" w:eastAsia="宋体" w:hint="default"/>
        </w:rPr>
        <w:t>2</w:t>
      </w:r>
      <w:r>
        <w:rPr/>
        <w:t>、内幕知情人在敏感期买卖本公司股票情况</w:t>
      </w:r>
      <w:r>
        <w:rPr>
          <w:w w:val="100"/>
        </w:rPr>
        <w:t> </w:t>
      </w:r>
      <w:r>
        <w:rPr>
          <w:spacing w:val="-2"/>
        </w:rPr>
        <w:t>报告期内，公司董事、监事和高管及其配偶、父母、子女等直系亲属未有在敏感期买卖公司股票的行</w:t>
      </w:r>
    </w:p>
    <w:p>
      <w:pPr>
        <w:pStyle w:val="BodyText"/>
        <w:spacing w:line="240" w:lineRule="auto"/>
        <w:ind w:right="0"/>
        <w:jc w:val="left"/>
      </w:pPr>
      <w:r>
        <w:rPr/>
        <w:t>为发生。</w:t>
      </w:r>
    </w:p>
    <w:p>
      <w:pPr>
        <w:pStyle w:val="BodyText"/>
        <w:spacing w:line="273" w:lineRule="auto" w:before="37"/>
        <w:ind w:left="573" w:right="0"/>
        <w:jc w:val="left"/>
      </w:pPr>
      <w:r>
        <w:rPr>
          <w:rFonts w:ascii="宋体" w:hAnsi="宋体" w:cs="宋体" w:eastAsia="宋体" w:hint="default"/>
        </w:rPr>
        <w:t>3</w:t>
      </w:r>
      <w:r>
        <w:rPr/>
        <w:t>、对董事、监事、高级管理人进行内幕信息相关法律培训。</w:t>
      </w:r>
      <w:r>
        <w:rPr>
          <w:w w:val="100"/>
        </w:rPr>
        <w:t> </w:t>
      </w:r>
      <w:r>
        <w:rPr>
          <w:spacing w:val="-2"/>
        </w:rPr>
        <w:t>为了提高董事、监事、高级管理人员对内幕信息重要性的认识，公司组织董监高及相关人员进行内部</w:t>
      </w:r>
    </w:p>
    <w:p>
      <w:pPr>
        <w:pStyle w:val="BodyText"/>
        <w:spacing w:line="273" w:lineRule="auto" w:before="8"/>
        <w:ind w:left="573" w:right="109" w:hanging="421"/>
        <w:jc w:val="left"/>
      </w:pPr>
      <w:r>
        <w:rPr/>
        <w:t>培训并参加了监管机构组织的内募交易警示录的参观学习。</w:t>
      </w:r>
      <w:r>
        <w:rPr>
          <w:w w:val="100"/>
        </w:rPr>
        <w:t> </w:t>
      </w:r>
      <w:r>
        <w:rPr>
          <w:rFonts w:ascii="宋体" w:hAnsi="宋体" w:cs="宋体" w:eastAsia="宋体" w:hint="default"/>
        </w:rPr>
        <w:t>4</w:t>
      </w:r>
      <w:r>
        <w:rPr/>
        <w:t>、公司对调研（或采访）信息管理的落实情况</w:t>
      </w:r>
      <w:r>
        <w:rPr>
          <w:w w:val="100"/>
        </w:rPr>
        <w:t> </w:t>
      </w:r>
      <w:r>
        <w:rPr>
          <w:spacing w:val="-2"/>
        </w:rPr>
        <w:t>公司根据《深交所创业板上市公司信息披露指引》的规定，对来公司调研（或采访）的机构和人员均</w:t>
      </w:r>
    </w:p>
    <w:p>
      <w:pPr>
        <w:pStyle w:val="BodyText"/>
        <w:spacing w:line="273" w:lineRule="auto"/>
        <w:ind w:right="0"/>
        <w:jc w:val="left"/>
      </w:pPr>
      <w:r>
        <w:rPr>
          <w:spacing w:val="-2"/>
        </w:rPr>
        <w:t>事先要求其签署《承诺书》，以保证机构调研（或采访）人员能遵守相关规定和公司相关信息按规定渠道</w:t>
      </w:r>
      <w:r>
        <w:rPr>
          <w:spacing w:val="-43"/>
        </w:rPr>
        <w:t> </w:t>
      </w:r>
      <w:r>
        <w:rPr>
          <w:spacing w:val="-43"/>
        </w:rPr>
      </w:r>
      <w:r>
        <w:rPr/>
        <w:t>披露。</w:t>
      </w:r>
    </w:p>
    <w:p>
      <w:pPr>
        <w:pStyle w:val="BodyText"/>
        <w:spacing w:line="273" w:lineRule="auto"/>
        <w:ind w:right="190" w:firstLine="420"/>
        <w:jc w:val="both"/>
      </w:pPr>
      <w:r>
        <w:rPr>
          <w:rFonts w:ascii="宋体" w:hAnsi="宋体" w:cs="宋体" w:eastAsia="宋体" w:hint="default"/>
          <w:spacing w:val="-2"/>
        </w:rPr>
        <w:t>5</w:t>
      </w:r>
      <w:r>
        <w:rPr>
          <w:spacing w:val="-2"/>
        </w:rPr>
        <w:t>、报告期内，公司严格按照规定，做好内幕信息的管理工作，公司及相关人员未发生因内幕信息知</w:t>
      </w:r>
      <w:r>
        <w:rPr>
          <w:w w:val="100"/>
        </w:rPr>
        <w:t> </w:t>
      </w:r>
      <w:r>
        <w:rPr/>
        <w:t>情人登记制度执行或涉嫌内幕交易被监管部门采取监管措施及行政处罚的情况。</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八、报告期内接待调研、沟通、采访等活动登记表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44"/>
        <w:ind w:left="0" w:right="116" w:firstLine="0"/>
        <w:jc w:val="right"/>
        <w:rPr>
          <w:rFonts w:ascii="宋体" w:hAnsi="宋体" w:cs="宋体" w:eastAsia="宋体" w:hint="default"/>
          <w:sz w:val="18"/>
          <w:szCs w:val="18"/>
        </w:rPr>
      </w:pPr>
      <w:r>
        <w:rPr/>
        <w:pict>
          <v:shape style="position:absolute;margin-left:56.400002pt;margin-top:-52.118282pt;width:479.3pt;height:170.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6"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湘财证券、中金公 司、上海鼎锋资产 管理、安信证券、 上海聚益投资、东 方证券资产管理等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0"/>
                          <w:jc w:val="both"/>
                          <w:rPr>
                            <w:rFonts w:ascii="宋体" w:hAnsi="宋体" w:cs="宋体" w:eastAsia="宋体" w:hint="default"/>
                            <w:sz w:val="18"/>
                            <w:szCs w:val="18"/>
                          </w:rPr>
                        </w:pPr>
                        <w:r>
                          <w:rPr>
                            <w:rFonts w:ascii="宋体" w:hAnsi="宋体" w:cs="宋体" w:eastAsia="宋体" w:hint="default"/>
                            <w:spacing w:val="-4"/>
                            <w:sz w:val="18"/>
                            <w:szCs w:val="18"/>
                          </w:rPr>
                          <w:t>公司发展历程、行业情况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盈利能力、发展战略、公 司面临机遇及挑战等。</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23"/>
                          <w:jc w:val="both"/>
                          <w:rPr>
                            <w:rFonts w:ascii="宋体" w:hAnsi="宋体" w:cs="宋体" w:eastAsia="宋体" w:hint="default"/>
                            <w:sz w:val="18"/>
                            <w:szCs w:val="18"/>
                          </w:rPr>
                        </w:pPr>
                        <w:r>
                          <w:rPr>
                            <w:rFonts w:ascii="宋体" w:hAnsi="宋体" w:cs="宋体" w:eastAsia="宋体" w:hint="default"/>
                            <w:sz w:val="18"/>
                            <w:szCs w:val="18"/>
                          </w:rPr>
                          <w:t>中金公司、上海鼎 锋资产管理、上海 伟仁投资、江苏江</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pacing w:val="-4"/>
                            <w:sz w:val="18"/>
                            <w:szCs w:val="18"/>
                          </w:rPr>
                          <w:t>公司发展历程、行业情况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盈利能力、发展战略、公 司面临机遇及挑战等。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4"/>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2" w:footer="980" w:top="1340" w:bottom="116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0" w:right="116" w:firstLine="0"/>
        <w:jc w:val="right"/>
        <w:rPr>
          <w:rFonts w:ascii="宋体" w:hAnsi="宋体" w:cs="宋体" w:eastAsia="宋体" w:hint="default"/>
          <w:sz w:val="18"/>
          <w:szCs w:val="18"/>
        </w:rPr>
      </w:pPr>
      <w:r>
        <w:rPr/>
        <w:pict>
          <v:shape style="position:absolute;margin-left:56.400002pt;margin-top:-104.668304pt;width:479.3pt;height:359.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92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鸿中锦控股、江苏 新业科技投资发 展、上海融昌资产 管理、上海颐盛投 资管理、上海健永 投资、上海衡盈等</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光大证券、上海朱 雀投资、上海从容 投资管理、泰达宏 利基金管理等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pacing w:val="-4"/>
                            <w:sz w:val="18"/>
                            <w:szCs w:val="18"/>
                          </w:rPr>
                          <w:t>公司发展历程、行业情况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盈利能力、发展战略、公 司面临机遇及挑战等。</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中欧基金、汇添富 基金等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pacing w:val="-4"/>
                            <w:sz w:val="18"/>
                            <w:szCs w:val="18"/>
                          </w:rPr>
                          <w:t>公司发展历程、行业情况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盈利能力、发展战略、公 司面临机遇及挑战等。</w:t>
                        </w:r>
                      </w:p>
                    </w:tc>
                  </w:tr>
                  <w:tr>
                    <w:trPr>
                      <w:trHeight w:val="289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国泰君安、上海金 元惠理资产管理、 国元证券、上海原 君投资管理、上海 行知创业投资、长 信基金、 兴业证券、上海万 丰友方投资管理、 中欧基金等</w:t>
                        </w:r>
                      </w:p>
                    </w:tc>
                    <w:tc>
                      <w:tcPr>
                        <w:tcW w:w="20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1" w:right="75"/>
                          <w:jc w:val="both"/>
                          <w:rPr>
                            <w:rFonts w:ascii="宋体" w:hAnsi="宋体" w:cs="宋体" w:eastAsia="宋体" w:hint="default"/>
                            <w:sz w:val="18"/>
                            <w:szCs w:val="18"/>
                          </w:rPr>
                        </w:pPr>
                        <w:r>
                          <w:rPr>
                            <w:rFonts w:ascii="宋体" w:hAnsi="宋体" w:cs="宋体" w:eastAsia="宋体" w:hint="default"/>
                            <w:spacing w:val="-4"/>
                            <w:sz w:val="18"/>
                            <w:szCs w:val="18"/>
                          </w:rPr>
                          <w:t>公司发展历程、行业情况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盈利能力、发展战略、公 司面临机遇及挑战等。</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4"/>
        <w:ind w:left="0" w:right="116" w:firstLine="0"/>
        <w:jc w:val="right"/>
        <w:rPr>
          <w:rFonts w:ascii="宋体" w:hAnsi="宋体" w:cs="宋体" w:eastAsia="宋体" w:hint="default"/>
          <w:sz w:val="18"/>
          <w:szCs w:val="18"/>
        </w:rPr>
      </w:pPr>
      <w:r>
        <w:rPr/>
        <w:pict>
          <v:shape style="position:absolute;margin-left:388.993011pt;margin-top:32.991714pt;width:144.9pt;height:17.55pt;mso-position-horizontal-relative:page;mso-position-vertical-relative:paragraph;z-index:-66116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海通证券、</w:t>
                  </w: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29"/>
          <w:szCs w:val="29"/>
        </w:rPr>
      </w:pPr>
    </w:p>
    <w:p>
      <w:pPr>
        <w:spacing w:line="350" w:lineRule="exact"/>
        <w:ind w:left="766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01.55pt;height:17.55pt;mso-position-horizontal-relative:char;mso-position-vertical-relative:line" coordorigin="0,0" coordsize="2031,351">
            <v:group style="position:absolute;left:0;top:0;width:2031;height:351" coordorigin="0,0" coordsize="2031,351">
              <v:shape style="position:absolute;left:0;top:0;width:2031;height:351" coordorigin="0,0" coordsize="2031,351" path="m0,350l2031,350,2031,0,0,0,0,350xe" filled="true" fillcolor="#ffffff" stroked="false">
                <v:path arrowok="t"/>
                <v:fill type="solid"/>
              </v:shape>
            </v:group>
          </v:group>
        </w:pict>
      </w:r>
      <w:r>
        <w:rPr>
          <w:rFonts w:ascii="宋体" w:hAnsi="宋体" w:cs="宋体" w:eastAsia="宋体" w:hint="default"/>
          <w:position w:val="-6"/>
          <w:sz w:val="20"/>
          <w:szCs w:val="20"/>
        </w:rPr>
      </w:r>
    </w:p>
    <w:p>
      <w:pPr>
        <w:spacing w:after="0" w:line="350" w:lineRule="exact"/>
        <w:rPr>
          <w:rFonts w:ascii="宋体" w:hAnsi="宋体" w:cs="宋体" w:eastAsia="宋体" w:hint="default"/>
          <w:sz w:val="20"/>
          <w:szCs w:val="20"/>
        </w:rPr>
        <w:sectPr>
          <w:pgSz w:w="11910" w:h="16840"/>
          <w:pgMar w:header="852" w:footer="980" w:top="1340" w:bottom="1160" w:left="980" w:right="10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240" w:lineRule="auto"/>
        <w:ind w:right="2742"/>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8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本年度公司无重大诉讼、仲裁事项。</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64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会计师事务所对资金占用的专项审核意见</w:t>
      </w:r>
    </w:p>
    <w:p>
      <w:pPr>
        <w:pStyle w:val="BodyText"/>
        <w:spacing w:line="256" w:lineRule="auto" w:before="6"/>
        <w:ind w:right="0" w:firstLine="420"/>
        <w:jc w:val="left"/>
      </w:pPr>
      <w:r>
        <w:rPr>
          <w:spacing w:val="-2"/>
        </w:rPr>
        <w:t>我们认为，贵公司</w:t>
      </w:r>
      <w:r>
        <w:rPr>
          <w:rFonts w:ascii="Times New Roman" w:hAnsi="Times New Roman" w:cs="Times New Roman" w:eastAsia="Times New Roman" w:hint="default"/>
          <w:spacing w:val="-2"/>
        </w:rPr>
        <w:t>2012</w:t>
      </w:r>
      <w:r>
        <w:rPr>
          <w:spacing w:val="-2"/>
        </w:rPr>
        <w:t>年度控股股东及其他关联方资金往来情况汇总表的财务信息在所有重大方面按</w:t>
      </w:r>
      <w:r>
        <w:rPr>
          <w:w w:val="100"/>
        </w:rPr>
        <w:t> </w:t>
      </w:r>
      <w:r>
        <w:rPr/>
        <w:t>照监管机构的相关规定编制以满足监管要求。</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三、破产重整相关事项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四、资产交易事项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五、公司股权激励的实施情况及其影响</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0" w:firstLine="420"/>
        <w:jc w:val="left"/>
      </w:pP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日公司召开了第二届董事会第十三次会议，审议通过了《关于对</w:t>
      </w:r>
      <w:r>
        <w:rPr>
          <w:rFonts w:ascii="宋体" w:hAnsi="宋体" w:cs="宋体" w:eastAsia="宋体" w:hint="default"/>
          <w:spacing w:val="-2"/>
        </w:rPr>
        <w:t>&lt;</w:t>
      </w:r>
      <w:r>
        <w:rPr>
          <w:spacing w:val="-2"/>
        </w:rPr>
        <w:t>股票期权激励计划</w:t>
      </w:r>
      <w:r>
        <w:rPr>
          <w:rFonts w:ascii="宋体" w:hAnsi="宋体" w:cs="宋体" w:eastAsia="宋体" w:hint="default"/>
          <w:spacing w:val="-2"/>
        </w:rPr>
        <w:t>&gt;</w:t>
      </w:r>
      <w:r>
        <w:rPr>
          <w:rFonts w:ascii="宋体" w:hAnsi="宋体" w:cs="宋体" w:eastAsia="宋体" w:hint="default"/>
          <w:w w:val="100"/>
        </w:rPr>
        <w:t> </w:t>
      </w:r>
      <w:r>
        <w:rPr/>
        <w:t>激励对象及所涉股票期权数量进行调整的议案》，截至</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20</w:t>
      </w:r>
      <w:r>
        <w:rPr/>
        <w:t>日，《股票期权激励计划》中首次授</w:t>
      </w:r>
      <w:r>
        <w:rPr>
          <w:w w:val="100"/>
        </w:rPr>
        <w:t> </w:t>
      </w:r>
      <w:r>
        <w:rPr/>
        <w:t>予期权的激励对象方玉书等</w:t>
      </w:r>
      <w:r>
        <w:rPr>
          <w:rFonts w:ascii="宋体" w:hAnsi="宋体" w:cs="宋体" w:eastAsia="宋体" w:hint="default"/>
        </w:rPr>
        <w:t>25</w:t>
      </w:r>
      <w:r>
        <w:rPr/>
        <w:t>人因个人原因在期权授予之后行权之前离职，所涉及股票期权数量共计</w:t>
      </w:r>
      <w:r>
        <w:rPr>
          <w:w w:val="100"/>
        </w:rPr>
        <w:t> </w:t>
      </w:r>
      <w:r>
        <w:rPr>
          <w:rFonts w:ascii="宋体" w:hAnsi="宋体" w:cs="宋体" w:eastAsia="宋体" w:hint="default"/>
        </w:rPr>
        <w:t>97.20</w:t>
      </w:r>
      <w:r>
        <w:rPr/>
        <w:t>万份，根据《股票期权激励计划》，上述人员已不具备激励对象资格，所涉股票期权将注销。</w:t>
      </w:r>
    </w:p>
    <w:p>
      <w:pPr>
        <w:pStyle w:val="BodyText"/>
        <w:spacing w:line="273" w:lineRule="auto"/>
        <w:ind w:right="0" w:firstLine="420"/>
        <w:jc w:val="left"/>
      </w:pPr>
      <w:r>
        <w:rPr>
          <w:rFonts w:ascii="宋体" w:hAnsi="宋体" w:cs="宋体" w:eastAsia="宋体" w:hint="default"/>
        </w:rPr>
        <w:t>2</w:t>
      </w:r>
      <w:r>
        <w:rPr/>
        <w:t>、</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18</w:t>
      </w:r>
      <w:r>
        <w:rPr/>
        <w:t>日公司召开了第二届董事会第十四次会议，审议通过了《关于调整</w:t>
      </w:r>
      <w:r>
        <w:rPr>
          <w:rFonts w:ascii="宋体" w:hAnsi="宋体" w:cs="宋体" w:eastAsia="宋体" w:hint="default"/>
        </w:rPr>
        <w:t>&lt;</w:t>
      </w:r>
      <w:r>
        <w:rPr/>
        <w:t>股票期权激励计</w:t>
      </w:r>
      <w:r>
        <w:rPr>
          <w:w w:val="100"/>
        </w:rPr>
        <w:t> </w:t>
      </w:r>
      <w:r>
        <w:rPr/>
        <w:t>划</w:t>
      </w:r>
      <w:r>
        <w:rPr>
          <w:rFonts w:ascii="宋体" w:hAnsi="宋体" w:cs="宋体" w:eastAsia="宋体" w:hint="default"/>
        </w:rPr>
        <w:t>&gt;</w:t>
      </w:r>
      <w:r>
        <w:rPr/>
        <w:t>期权数量及行权价格的议案》，经本次调整后，首次授予股票期权数量为</w:t>
      </w:r>
      <w:r>
        <w:rPr>
          <w:rFonts w:ascii="宋体" w:hAnsi="宋体" w:cs="宋体" w:eastAsia="宋体" w:hint="default"/>
        </w:rPr>
        <w:t>567.36</w:t>
      </w:r>
      <w:r>
        <w:rPr/>
        <w:t>万份，预留部分股票</w:t>
      </w:r>
      <w:r>
        <w:rPr>
          <w:w w:val="100"/>
        </w:rPr>
        <w:t> </w:t>
      </w:r>
      <w:r>
        <w:rPr>
          <w:spacing w:val="-2"/>
        </w:rPr>
        <w:t>期权数量为</w:t>
      </w:r>
      <w:r>
        <w:rPr>
          <w:rFonts w:ascii="宋体" w:hAnsi="宋体" w:cs="宋体" w:eastAsia="宋体" w:hint="default"/>
          <w:spacing w:val="-2"/>
        </w:rPr>
        <w:t>60.00</w:t>
      </w:r>
      <w:r>
        <w:rPr>
          <w:spacing w:val="-2"/>
        </w:rPr>
        <w:t>万份。首次授予的股票期权的行权价为</w:t>
      </w:r>
      <w:r>
        <w:rPr>
          <w:rFonts w:ascii="宋体" w:hAnsi="宋体" w:cs="宋体" w:eastAsia="宋体" w:hint="default"/>
          <w:spacing w:val="-2"/>
        </w:rPr>
        <w:t>22.25</w:t>
      </w:r>
      <w:r>
        <w:rPr>
          <w:spacing w:val="-2"/>
        </w:rPr>
        <w:t>元。公司独立董事发表了相关事项的独立意</w:t>
      </w:r>
      <w:r>
        <w:rPr>
          <w:spacing w:val="-38"/>
        </w:rPr>
        <w:t> </w:t>
      </w:r>
      <w:r>
        <w:rPr>
          <w:spacing w:val="-38"/>
        </w:rPr>
      </w:r>
      <w:r>
        <w:rPr/>
        <w:t>见，同意上述调整。</w:t>
      </w:r>
    </w:p>
    <w:p>
      <w:pPr>
        <w:pStyle w:val="BodyText"/>
        <w:spacing w:line="273" w:lineRule="auto"/>
        <w:ind w:right="0" w:firstLine="420"/>
        <w:jc w:val="left"/>
      </w:pPr>
      <w:r>
        <w:rPr>
          <w:rFonts w:ascii="宋体" w:hAnsi="宋体" w:cs="宋体" w:eastAsia="宋体" w:hint="default"/>
        </w:rPr>
        <w:t>3</w:t>
      </w:r>
      <w:r>
        <w:rPr/>
        <w:t>、</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w:t>
      </w:r>
      <w:r>
        <w:rPr/>
        <w:t>日，公司第二届董事会第十五次会议审议通过了《关于公司首期股票期权激励计划预</w:t>
      </w:r>
      <w:r>
        <w:rPr>
          <w:w w:val="100"/>
        </w:rPr>
        <w:t> </w:t>
      </w:r>
      <w:r>
        <w:rPr/>
        <w:t>留期权授予相关事项的议案》，同意授予</w:t>
      </w:r>
      <w:r>
        <w:rPr>
          <w:rFonts w:ascii="宋体" w:hAnsi="宋体" w:cs="宋体" w:eastAsia="宋体" w:hint="default"/>
        </w:rPr>
        <w:t>12</w:t>
      </w:r>
      <w:r>
        <w:rPr/>
        <w:t>名激励对象</w:t>
      </w:r>
      <w:r>
        <w:rPr>
          <w:rFonts w:ascii="宋体" w:hAnsi="宋体" w:cs="宋体" w:eastAsia="宋体" w:hint="default"/>
        </w:rPr>
        <w:t>60.00</w:t>
      </w:r>
      <w:r>
        <w:rPr/>
        <w:t>万份股票期权，确定公司预留股票期权的授</w:t>
      </w:r>
      <w:r>
        <w:rPr>
          <w:w w:val="100"/>
        </w:rPr>
        <w:t> </w:t>
      </w:r>
      <w:r>
        <w:rPr>
          <w:spacing w:val="-2"/>
        </w:rPr>
        <w:t>予日为</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w:t>
      </w:r>
      <w:r>
        <w:rPr>
          <w:spacing w:val="-2"/>
        </w:rPr>
        <w:t>日。独立董事就上述股票期权激励计划相关事项发表了独立意见，同意公司股票期权激</w:t>
      </w:r>
      <w:r>
        <w:rPr>
          <w:spacing w:val="-37"/>
        </w:rPr>
        <w:t> </w:t>
      </w:r>
      <w:r>
        <w:rPr>
          <w:spacing w:val="-37"/>
        </w:rPr>
      </w:r>
      <w:r>
        <w:rPr/>
        <w:t>励计划预留期权的授权日为</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w:t>
      </w:r>
      <w:r>
        <w:rPr/>
        <w:t>日，并同意</w:t>
      </w:r>
      <w:r>
        <w:rPr>
          <w:rFonts w:ascii="宋体" w:hAnsi="宋体" w:cs="宋体" w:eastAsia="宋体" w:hint="default"/>
        </w:rPr>
        <w:t>12</w:t>
      </w:r>
      <w:r>
        <w:rPr/>
        <w:t>名激励对象获授</w:t>
      </w:r>
      <w:r>
        <w:rPr>
          <w:rFonts w:ascii="宋体" w:hAnsi="宋体" w:cs="宋体" w:eastAsia="宋体" w:hint="default"/>
        </w:rPr>
        <w:t>60.00</w:t>
      </w:r>
      <w:r>
        <w:rPr/>
        <w:t>万份股票期权。</w:t>
      </w:r>
    </w:p>
    <w:p>
      <w:pPr>
        <w:pStyle w:val="BodyText"/>
        <w:spacing w:line="273" w:lineRule="auto"/>
        <w:ind w:right="190" w:firstLine="420"/>
        <w:jc w:val="both"/>
      </w:pPr>
      <w:r>
        <w:rPr>
          <w:spacing w:val="-2"/>
        </w:rPr>
        <w:t>公司选择</w:t>
      </w:r>
      <w:r>
        <w:rPr>
          <w:rFonts w:ascii="宋体" w:hAnsi="宋体" w:cs="宋体" w:eastAsia="宋体" w:hint="default"/>
          <w:spacing w:val="-2"/>
        </w:rPr>
        <w:t>Black-Scholes</w:t>
      </w:r>
      <w:r>
        <w:rPr>
          <w:spacing w:val="-2"/>
        </w:rPr>
        <w:t>模型。对预留期权进行了测算，根据本次授予的期权数量，假设各期可行权</w:t>
      </w:r>
      <w:r>
        <w:rPr>
          <w:w w:val="100"/>
        </w:rPr>
        <w:t> </w:t>
      </w:r>
      <w:r>
        <w:rPr>
          <w:spacing w:val="-2"/>
        </w:rPr>
        <w:t>的股票期权数量不发生变化，从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w:t>
      </w:r>
      <w:r>
        <w:rPr>
          <w:spacing w:val="-2"/>
        </w:rPr>
        <w:t>日开始摊销，则</w:t>
      </w:r>
      <w:r>
        <w:rPr>
          <w:rFonts w:ascii="宋体" w:hAnsi="宋体" w:cs="宋体" w:eastAsia="宋体" w:hint="default"/>
          <w:spacing w:val="-2"/>
        </w:rPr>
        <w:t>2012</w:t>
      </w:r>
      <w:r>
        <w:rPr>
          <w:spacing w:val="-2"/>
        </w:rPr>
        <w:t>年</w:t>
      </w:r>
      <w:r>
        <w:rPr>
          <w:rFonts w:ascii="宋体" w:hAnsi="宋体" w:cs="宋体" w:eastAsia="宋体" w:hint="default"/>
          <w:spacing w:val="-2"/>
        </w:rPr>
        <w:t>-2016</w:t>
      </w:r>
      <w:r>
        <w:rPr>
          <w:spacing w:val="-2"/>
        </w:rPr>
        <w:t>年期权成本或费用摊销情况的预</w:t>
      </w:r>
      <w:r>
        <w:rPr>
          <w:spacing w:val="-7"/>
        </w:rPr>
        <w:t> </w:t>
      </w:r>
      <w:r>
        <w:rPr>
          <w:spacing w:val="-7"/>
        </w:rPr>
      </w:r>
      <w:r>
        <w:rPr/>
        <w:t>测算结果如下（单位：万元）：</w:t>
      </w:r>
    </w:p>
    <w:tbl>
      <w:tblPr>
        <w:tblW w:w="0" w:type="auto"/>
        <w:jc w:val="left"/>
        <w:tblInd w:w="145" w:type="dxa"/>
        <w:tblLayout w:type="fixed"/>
        <w:tblCellMar>
          <w:top w:w="0" w:type="dxa"/>
          <w:left w:w="0" w:type="dxa"/>
          <w:bottom w:w="0" w:type="dxa"/>
          <w:right w:w="0" w:type="dxa"/>
        </w:tblCellMar>
        <w:tblLook w:val="01E0"/>
      </w:tblPr>
      <w:tblGrid>
        <w:gridCol w:w="1488"/>
        <w:gridCol w:w="1465"/>
        <w:gridCol w:w="1464"/>
        <w:gridCol w:w="1316"/>
        <w:gridCol w:w="1296"/>
        <w:gridCol w:w="1465"/>
      </w:tblGrid>
      <w:tr>
        <w:trPr>
          <w:trHeight w:val="34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总摊销费用</w:t>
            </w:r>
            <w:r>
              <w:rPr>
                <w:rFonts w:ascii="宋体" w:hAnsi="宋体" w:cs="宋体" w:eastAsia="宋体" w:hint="default"/>
                <w:sz w:val="18"/>
                <w:szCs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年摊销费用</w:t>
            </w:r>
            <w:r>
              <w:rPr>
                <w:rFonts w:ascii="宋体" w:hAnsi="宋体" w:cs="宋体" w:eastAsia="宋体" w:hint="default"/>
                <w:sz w:val="18"/>
                <w:szCs w:val="18"/>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年摊销费用</w:t>
            </w:r>
            <w:r>
              <w:rPr>
                <w:rFonts w:ascii="宋体" w:hAnsi="宋体" w:cs="宋体" w:eastAsia="宋体" w:hint="default"/>
                <w:sz w:val="18"/>
                <w:szCs w:val="18"/>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年摊销费用</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年摊销费用</w:t>
            </w:r>
            <w:r>
              <w:rPr>
                <w:rFonts w:ascii="宋体" w:hAnsi="宋体" w:cs="宋体" w:eastAsia="宋体" w:hint="default"/>
                <w:sz w:val="18"/>
                <w:szCs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年摊销费用</w:t>
            </w:r>
            <w:r>
              <w:rPr>
                <w:rFonts w:ascii="宋体" w:hAnsi="宋体" w:cs="宋体" w:eastAsia="宋体" w:hint="default"/>
                <w:sz w:val="18"/>
                <w:szCs w:val="18"/>
              </w:rPr>
            </w:r>
          </w:p>
        </w:tc>
      </w:tr>
      <w:tr>
        <w:trPr>
          <w:trHeight w:val="34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218.96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76.03</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77.55</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41.05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19.77</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4.56</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1020"/>
        </w:sectPr>
      </w:pPr>
    </w:p>
    <w:p>
      <w:pPr>
        <w:spacing w:before="95"/>
        <w:ind w:left="152" w:right="76" w:firstLine="0"/>
        <w:jc w:val="left"/>
        <w:rPr>
          <w:rFonts w:ascii="宋体" w:hAnsi="宋体" w:cs="宋体" w:eastAsia="宋体" w:hint="default"/>
          <w:sz w:val="18"/>
          <w:szCs w:val="18"/>
        </w:rPr>
      </w:pPr>
      <w:r>
        <w:rPr>
          <w:rFonts w:ascii="宋体" w:hAnsi="宋体" w:cs="宋体" w:eastAsia="宋体" w:hint="default"/>
          <w:sz w:val="18"/>
          <w:szCs w:val="18"/>
        </w:rPr>
        <w:t>股权激励事项临时报告披露网站查询</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1"/>
        <w:gridCol w:w="3192"/>
        <w:gridCol w:w="3190"/>
      </w:tblGrid>
      <w:tr>
        <w:trPr>
          <w:trHeight w:val="401" w:hRule="exact"/>
        </w:trPr>
        <w:tc>
          <w:tcPr>
            <w:tcW w:w="3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1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东方财富信息股份有限公司第二届董事会 第十三次会议决议公告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东方财富信息股份有限公司第二届监事会 第八次会议决议公告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1027"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both"/>
              <w:rPr>
                <w:rFonts w:ascii="宋体" w:hAnsi="宋体" w:cs="宋体" w:eastAsia="宋体" w:hint="default"/>
                <w:sz w:val="18"/>
                <w:szCs w:val="18"/>
              </w:rPr>
            </w:pPr>
            <w:r>
              <w:rPr>
                <w:rFonts w:ascii="宋体" w:hAnsi="宋体" w:cs="宋体" w:eastAsia="宋体" w:hint="default"/>
                <w:sz w:val="18"/>
                <w:szCs w:val="18"/>
              </w:rPr>
              <w:t>东方财富信息股份有限公司关于对公司股 票期权激励计划激励对象及所涉股票期权 数量进行调整的公告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102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both"/>
              <w:rPr>
                <w:rFonts w:ascii="宋体" w:hAnsi="宋体" w:cs="宋体" w:eastAsia="宋体" w:hint="default"/>
                <w:sz w:val="18"/>
                <w:szCs w:val="18"/>
              </w:rPr>
            </w:pPr>
            <w:r>
              <w:rPr>
                <w:rFonts w:ascii="宋体" w:hAnsi="宋体" w:cs="宋体" w:eastAsia="宋体" w:hint="default"/>
                <w:sz w:val="18"/>
                <w:szCs w:val="18"/>
              </w:rPr>
              <w:t>东方财富信息股份有限公司独立董事关于 公司股票期权激励计划相关事项的独立意 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1027"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国浩律师（上海）事务所关于东方财富信 息股份有限公司股票期权激励计划股票期 权数量调整的法律意见书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东方财富信息股份有限公司第二届董事会 第十四次会议决议公告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东方财富信息股份有限公司第二届监事会 第九次会议决议公告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102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both"/>
              <w:rPr>
                <w:rFonts w:ascii="宋体" w:hAnsi="宋体" w:cs="宋体" w:eastAsia="宋体" w:hint="default"/>
                <w:sz w:val="18"/>
                <w:szCs w:val="18"/>
              </w:rPr>
            </w:pPr>
            <w:r>
              <w:rPr>
                <w:rFonts w:ascii="宋体" w:hAnsi="宋体" w:cs="宋体" w:eastAsia="宋体" w:hint="default"/>
                <w:sz w:val="18"/>
                <w:szCs w:val="18"/>
              </w:rPr>
              <w:t>东方财富信息股份有限公司关于对公司股 票期权激励计划涉及的股票期权数量和行 权价格进行调整的公告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1027"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both"/>
              <w:rPr>
                <w:rFonts w:ascii="宋体" w:hAnsi="宋体" w:cs="宋体" w:eastAsia="宋体" w:hint="default"/>
                <w:sz w:val="18"/>
                <w:szCs w:val="18"/>
              </w:rPr>
            </w:pPr>
            <w:r>
              <w:rPr>
                <w:rFonts w:ascii="宋体" w:hAnsi="宋体" w:cs="宋体" w:eastAsia="宋体" w:hint="default"/>
                <w:sz w:val="18"/>
                <w:szCs w:val="18"/>
              </w:rPr>
              <w:t>东方财富信息股份有限公司独立董事关于 公司股票期权激励计划相关事项的独立意 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102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both"/>
              <w:rPr>
                <w:rFonts w:ascii="宋体" w:hAnsi="宋体" w:cs="宋体" w:eastAsia="宋体" w:hint="default"/>
                <w:sz w:val="18"/>
                <w:szCs w:val="18"/>
              </w:rPr>
            </w:pPr>
            <w:r>
              <w:rPr>
                <w:rFonts w:ascii="宋体" w:hAnsi="宋体" w:cs="宋体" w:eastAsia="宋体" w:hint="default"/>
                <w:sz w:val="18"/>
                <w:szCs w:val="18"/>
              </w:rPr>
              <w:t>国浩律师（上海）事务所关于东方财富信 息股份有限公司股票期权激励计划股票期 权数量和行权价格调整的法律意见书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东方财富信息股份有限公司第二届董事会 第十五次会议决议公告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东方财富信息股份有限公司第二届监事会 第十次会议决议公告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71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东方财富信息股份有限公司关于首期股票 期权激励计划预留期权授予的公告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102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both"/>
              <w:rPr>
                <w:rFonts w:ascii="宋体" w:hAnsi="宋体" w:cs="宋体" w:eastAsia="宋体" w:hint="default"/>
                <w:sz w:val="18"/>
                <w:szCs w:val="18"/>
              </w:rPr>
            </w:pPr>
            <w:r>
              <w:rPr>
                <w:rFonts w:ascii="宋体" w:hAnsi="宋体" w:cs="宋体" w:eastAsia="宋体" w:hint="default"/>
                <w:sz w:val="18"/>
                <w:szCs w:val="18"/>
              </w:rPr>
              <w:t>东方财富信息股份有限公司独立董事关于 公司股票期权激励计划预留期权授予相关 事项的独立意见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986"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国浩律师（上海）事务所关于东方财富信 息股份有限公司首期股票期权激励计划预 留股票期权授予相关事项的法律意见书之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40" w:bottom="1160" w:left="980" w:right="920"/>
        </w:sectPr>
      </w:pPr>
    </w:p>
    <w:p>
      <w:pPr>
        <w:spacing w:line="240" w:lineRule="auto" w:before="9"/>
        <w:rPr>
          <w:rFonts w:ascii="宋体" w:hAnsi="宋体" w:cs="宋体" w:eastAsia="宋体" w:hint="default"/>
          <w:sz w:val="6"/>
          <w:szCs w:val="6"/>
        </w:rPr>
      </w:pPr>
      <w:r>
        <w:rPr/>
        <w:pict>
          <v:shape style="position:absolute;margin-left:303.529999pt;margin-top:452.949982pt;width:156.3pt;height:148.2pt;mso-position-horizontal-relative:page;mso-position-vertical-relative:page;z-index:-66107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0" w:right="783" w:firstLine="899"/>
                    <w:jc w:val="right"/>
                    <w:rPr>
                      <w:rFonts w:ascii="宋体" w:hAnsi="宋体" w:cs="宋体" w:eastAsia="宋体" w:hint="default"/>
                      <w:sz w:val="18"/>
                      <w:szCs w:val="18"/>
                    </w:rPr>
                  </w:pPr>
                  <w:r>
                    <w:rPr>
                      <w:rFonts w:ascii="宋体" w:hAnsi="宋体" w:cs="宋体" w:eastAsia="宋体" w:hint="default"/>
                      <w:sz w:val="18"/>
                      <w:szCs w:val="18"/>
                    </w:rPr>
                    <w:t>本公司控股股东、 以上股份的股东熊向东先生、</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18"/>
                      <w:szCs w:val="18"/>
                    </w:rPr>
                  </w:pPr>
                </w:p>
                <w:p>
                  <w:pPr>
                    <w:spacing w:before="0"/>
                    <w:ind w:left="0" w:right="788"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11.374023pt;margin-top:620.716003pt;width:48.45pt;height:148.25pt;mso-position-horizontal-relative:page;mso-position-vertical-relative:page;z-index:-66104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61"/>
        <w:gridCol w:w="3192"/>
        <w:gridCol w:w="3190"/>
      </w:tblGrid>
      <w:tr>
        <w:trPr>
          <w:trHeight w:val="36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签署页</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东方财富信息股份有限公司关于股票期权 激励计划预留期权授予完成登记的公告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bl>
    <w:p>
      <w:pPr>
        <w:spacing w:line="240" w:lineRule="auto" w:before="1"/>
        <w:rPr>
          <w:rFonts w:ascii="宋体" w:hAnsi="宋体" w:cs="宋体" w:eastAsia="宋体" w:hint="default"/>
          <w:sz w:val="18"/>
          <w:szCs w:val="18"/>
        </w:rPr>
      </w:pPr>
    </w:p>
    <w:p>
      <w:pPr>
        <w:pStyle w:val="Heading3"/>
        <w:spacing w:line="240" w:lineRule="auto" w:before="26"/>
        <w:ind w:right="516"/>
        <w:jc w:val="left"/>
        <w:rPr>
          <w:b w:val="0"/>
          <w:bCs w:val="0"/>
        </w:rPr>
      </w:pPr>
      <w:r>
        <w:rPr/>
        <w:t>六、重大关联交易</w:t>
      </w:r>
      <w:r>
        <w:rPr>
          <w:b w:val="0"/>
          <w:bCs w:val="0"/>
        </w:rPr>
      </w:r>
    </w:p>
    <w:p>
      <w:pPr>
        <w:spacing w:line="240" w:lineRule="auto" w:before="6"/>
        <w:rPr>
          <w:rFonts w:ascii="宋体" w:hAnsi="宋体" w:cs="宋体" w:eastAsia="宋体" w:hint="default"/>
          <w:b/>
          <w:bCs/>
          <w:sz w:val="26"/>
          <w:szCs w:val="26"/>
        </w:rPr>
      </w:pPr>
    </w:p>
    <w:p>
      <w:pPr>
        <w:spacing w:before="0"/>
        <w:ind w:left="152" w:right="5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516"/>
        <w:jc w:val="left"/>
        <w:rPr>
          <w:b w:val="0"/>
          <w:bCs w:val="0"/>
        </w:rPr>
      </w:pPr>
      <w:r>
        <w:rPr/>
        <w:t>七、重大合同及其履行情况</w:t>
      </w:r>
      <w:r>
        <w:rPr>
          <w:b w:val="0"/>
          <w:bCs w:val="0"/>
        </w:rPr>
      </w:r>
    </w:p>
    <w:p>
      <w:pPr>
        <w:spacing w:line="240" w:lineRule="auto" w:before="6"/>
        <w:rPr>
          <w:rFonts w:ascii="宋体" w:hAnsi="宋体" w:cs="宋体" w:eastAsia="宋体" w:hint="default"/>
          <w:b/>
          <w:bCs/>
          <w:sz w:val="26"/>
          <w:szCs w:val="26"/>
        </w:rPr>
      </w:pPr>
    </w:p>
    <w:p>
      <w:pPr>
        <w:spacing w:before="0"/>
        <w:ind w:left="152" w:right="5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3"/>
        <w:spacing w:line="240" w:lineRule="auto"/>
        <w:ind w:right="516"/>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516"/>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56"/>
        <w:gridCol w:w="646"/>
        <w:gridCol w:w="5012"/>
        <w:gridCol w:w="855"/>
        <w:gridCol w:w="1080"/>
        <w:gridCol w:w="900"/>
      </w:tblGrid>
      <w:tr>
        <w:trPr>
          <w:trHeight w:val="401"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5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646" w:type="dxa"/>
            <w:tcBorders>
              <w:top w:val="single" w:sz="4" w:space="0" w:color="000000"/>
              <w:left w:val="single" w:sz="4" w:space="0" w:color="000000"/>
              <w:bottom w:val="single" w:sz="4" w:space="0" w:color="000000"/>
              <w:right w:val="single" w:sz="4" w:space="0" w:color="000000"/>
            </w:tcBorders>
          </w:tcPr>
          <w:p>
            <w:pPr/>
          </w:p>
        </w:tc>
        <w:tc>
          <w:tcPr>
            <w:tcW w:w="501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1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收购报告书或权益</w:t>
            </w:r>
          </w:p>
        </w:tc>
        <w:tc>
          <w:tcPr>
            <w:tcW w:w="646" w:type="dxa"/>
            <w:vMerge w:val="restart"/>
            <w:tcBorders>
              <w:top w:val="single" w:sz="4" w:space="0" w:color="000000"/>
              <w:left w:val="single" w:sz="4" w:space="0" w:color="000000"/>
              <w:right w:val="single" w:sz="4" w:space="0" w:color="000000"/>
            </w:tcBorders>
          </w:tcPr>
          <w:p>
            <w:pPr/>
          </w:p>
        </w:tc>
        <w:tc>
          <w:tcPr>
            <w:tcW w:w="5012"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311" w:hRule="exact"/>
        </w:trPr>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变动报告书中所作</w:t>
            </w:r>
          </w:p>
        </w:tc>
        <w:tc>
          <w:tcPr>
            <w:tcW w:w="646" w:type="dxa"/>
            <w:vMerge/>
            <w:tcBorders>
              <w:left w:val="single" w:sz="4" w:space="0" w:color="000000"/>
              <w:right w:val="single" w:sz="4" w:space="0" w:color="000000"/>
            </w:tcBorders>
          </w:tcPr>
          <w:p>
            <w:pPr/>
          </w:p>
        </w:tc>
        <w:tc>
          <w:tcPr>
            <w:tcW w:w="5012"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60" w:hRule="exact"/>
        </w:trPr>
        <w:tc>
          <w:tcPr>
            <w:tcW w:w="1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646" w:type="dxa"/>
            <w:vMerge/>
            <w:tcBorders>
              <w:left w:val="single" w:sz="4" w:space="0" w:color="000000"/>
              <w:bottom w:val="single" w:sz="4" w:space="0" w:color="000000"/>
              <w:right w:val="single" w:sz="4" w:space="0" w:color="000000"/>
            </w:tcBorders>
          </w:tcPr>
          <w:p>
            <w:pPr/>
          </w:p>
        </w:tc>
        <w:tc>
          <w:tcPr>
            <w:tcW w:w="5012"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71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资产置换时所作承 诺</w:t>
            </w:r>
          </w:p>
        </w:tc>
        <w:tc>
          <w:tcPr>
            <w:tcW w:w="646" w:type="dxa"/>
            <w:tcBorders>
              <w:top w:val="single" w:sz="4" w:space="0" w:color="000000"/>
              <w:left w:val="single" w:sz="4" w:space="0" w:color="000000"/>
              <w:bottom w:val="single" w:sz="4" w:space="0" w:color="000000"/>
              <w:right w:val="single" w:sz="4" w:space="0" w:color="000000"/>
            </w:tcBorders>
          </w:tcPr>
          <w:p>
            <w:pPr/>
          </w:p>
        </w:tc>
        <w:tc>
          <w:tcPr>
            <w:tcW w:w="501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75" w:hRule="exact"/>
        </w:trPr>
        <w:tc>
          <w:tcPr>
            <w:tcW w:w="1556"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5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  避免同业竞争的承诺</w:t>
            </w:r>
          </w:p>
        </w:tc>
        <w:tc>
          <w:tcPr>
            <w:tcW w:w="855" w:type="dxa"/>
            <w:vMerge w:val="restart"/>
            <w:tcBorders>
              <w:top w:val="single" w:sz="4" w:space="0" w:color="000000"/>
              <w:left w:val="single" w:sz="4" w:space="0" w:color="000000"/>
              <w:right w:val="single" w:sz="4" w:space="0" w:color="000000"/>
            </w:tcBorders>
          </w:tcPr>
          <w:p>
            <w:pPr>
              <w:pStyle w:val="TableParagraph"/>
              <w:spacing w:line="2964" w:lineRule="exact"/>
              <w:ind w:right="-51"/>
              <w:jc w:val="left"/>
              <w:rPr>
                <w:rFonts w:ascii="宋体" w:hAnsi="宋体" w:cs="宋体" w:eastAsia="宋体" w:hint="default"/>
                <w:sz w:val="20"/>
                <w:szCs w:val="20"/>
              </w:rPr>
            </w:pPr>
            <w:r>
              <w:rPr>
                <w:rFonts w:ascii="宋体" w:hAnsi="宋体" w:cs="宋体" w:eastAsia="宋体" w:hint="default"/>
                <w:position w:val="-58"/>
                <w:sz w:val="20"/>
                <w:szCs w:val="20"/>
              </w:rPr>
              <w:pict>
                <v:group style="width:42.3pt;height:148.2pt;mso-position-horizontal-relative:char;mso-position-vertical-relative:line" coordorigin="0,0" coordsize="846,2964">
                  <v:group style="position:absolute;left:0;top:0;width:846;height:2964" coordorigin="0,0" coordsize="846,2964">
                    <v:shape style="position:absolute;left:0;top:0;width:846;height:2964" coordorigin="0,0" coordsize="846,2964" path="m0,2964l845,2964,845,0,0,0,0,2964xe" filled="true" fillcolor="#ffffff" stroked="false">
                      <v:path arrowok="t"/>
                      <v:fill type="solid"/>
                    </v:shape>
                  </v:group>
                </v:group>
              </w:pict>
            </w:r>
            <w:r>
              <w:rPr>
                <w:rFonts w:ascii="宋体" w:hAnsi="宋体" w:cs="宋体" w:eastAsia="宋体" w:hint="default"/>
                <w:position w:val="-58"/>
                <w:sz w:val="20"/>
                <w:szCs w:val="20"/>
              </w:rPr>
            </w: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964" w:lineRule="exact"/>
              <w:ind w:right="-51"/>
              <w:jc w:val="left"/>
              <w:rPr>
                <w:rFonts w:ascii="宋体" w:hAnsi="宋体" w:cs="宋体" w:eastAsia="宋体" w:hint="default"/>
                <w:sz w:val="20"/>
                <w:szCs w:val="20"/>
              </w:rPr>
            </w:pPr>
            <w:r>
              <w:rPr>
                <w:rFonts w:ascii="宋体" w:hAnsi="宋体" w:cs="宋体" w:eastAsia="宋体" w:hint="default"/>
                <w:position w:val="-58"/>
                <w:sz w:val="20"/>
                <w:szCs w:val="20"/>
              </w:rPr>
              <w:pict>
                <v:group style="width:42.3pt;height:148.25pt;mso-position-horizontal-relative:char;mso-position-vertical-relative:line" coordorigin="0,0" coordsize="846,2965">
                  <v:group style="position:absolute;left:0;top:0;width:846;height:2965" coordorigin="0,0" coordsize="846,2965">
                    <v:shape style="position:absolute;left:0;top:0;width:846;height:2965" coordorigin="0,0" coordsize="846,2965" path="m0,2964l845,2964,845,0,0,0,0,2964xe" filled="true" fillcolor="#ffffff" stroked="false">
                      <v:path arrowok="t"/>
                      <v:fill type="solid"/>
                    </v:shape>
                  </v:group>
                </v:group>
              </w:pict>
            </w:r>
            <w:r>
              <w:rPr>
                <w:rFonts w:ascii="宋体" w:hAnsi="宋体" w:cs="宋体" w:eastAsia="宋体" w:hint="default"/>
                <w:position w:val="-58"/>
                <w:sz w:val="20"/>
                <w:szCs w:val="20"/>
              </w:rPr>
            </w:r>
          </w:p>
        </w:tc>
        <w:tc>
          <w:tcPr>
            <w:tcW w:w="1080"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为避免同业竞争</w:t>
            </w:r>
            <w:r>
              <w:rPr>
                <w:rFonts w:ascii="宋体" w:hAnsi="宋体" w:cs="宋体" w:eastAsia="宋体" w:hint="default"/>
                <w:spacing w:val="-87"/>
                <w:sz w:val="18"/>
                <w:szCs w:val="18"/>
              </w:rPr>
              <w:t>，</w:t>
            </w:r>
            <w:r>
              <w:rPr>
                <w:rFonts w:ascii="宋体" w:hAnsi="宋体" w:cs="宋体" w:eastAsia="宋体" w:hint="default"/>
                <w:sz w:val="18"/>
                <w:szCs w:val="18"/>
              </w:rPr>
              <w:t>保护公司及其他股东的利益，</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实际控制人其实先生</w:t>
            </w:r>
            <w:r>
              <w:rPr>
                <w:rFonts w:ascii="宋体" w:hAnsi="宋体" w:cs="宋体" w:eastAsia="宋体" w:hint="default"/>
                <w:spacing w:val="-92"/>
                <w:sz w:val="18"/>
                <w:szCs w:val="18"/>
              </w:rPr>
              <w:t>、</w:t>
            </w:r>
            <w:r>
              <w:rPr>
                <w:rFonts w:ascii="宋体" w:hAnsi="宋体" w:cs="宋体" w:eastAsia="宋体" w:hint="default"/>
                <w:sz w:val="18"/>
                <w:szCs w:val="18"/>
              </w:rPr>
              <w:t>持有</w:t>
            </w:r>
            <w:r>
              <w:rPr>
                <w:rFonts w:ascii="宋体" w:hAnsi="宋体" w:cs="宋体" w:eastAsia="宋体" w:hint="default"/>
                <w:spacing w:val="2"/>
                <w:sz w:val="18"/>
                <w:szCs w:val="18"/>
              </w:rPr>
              <w:t>公</w:t>
            </w:r>
            <w:r>
              <w:rPr>
                <w:rFonts w:ascii="宋体" w:hAnsi="宋体" w:cs="宋体" w:eastAsia="宋体" w:hint="default"/>
                <w:sz w:val="18"/>
                <w:szCs w:val="18"/>
              </w:rPr>
              <w:t>司</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徐豪先生以及深圳秉合（已变更为“石河子秉合</w:t>
            </w:r>
            <w:r>
              <w:rPr>
                <w:rFonts w:ascii="宋体" w:hAnsi="宋体" w:cs="宋体" w:eastAsia="宋体" w:hint="default"/>
                <w:spacing w:val="-92"/>
                <w:sz w:val="18"/>
                <w:szCs w:val="18"/>
              </w:rPr>
              <w:t>”</w:t>
            </w:r>
            <w:r>
              <w:rPr>
                <w:rFonts w:ascii="宋体" w:hAnsi="宋体" w:cs="宋体" w:eastAsia="宋体" w:hint="default"/>
                <w:sz w:val="18"/>
                <w:szCs w:val="18"/>
              </w:rPr>
              <w:t>）分别出</w:t>
            </w:r>
            <w:r>
              <w:rPr>
                <w:rFonts w:ascii="宋体" w:hAnsi="宋体" w:cs="宋体" w:eastAsia="宋体" w:hint="default"/>
                <w:spacing w:val="2"/>
                <w:sz w:val="18"/>
                <w:szCs w:val="18"/>
              </w:rPr>
              <w:t>具</w:t>
            </w:r>
            <w:r>
              <w:rPr>
                <w:rFonts w:ascii="宋体" w:hAnsi="宋体" w:cs="宋体" w:eastAsia="宋体" w:hint="default"/>
                <w:sz w:val="18"/>
                <w:szCs w:val="18"/>
              </w:rPr>
              <w:t>了</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、控股股东及实际控制人关于避免同业</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竞争的承诺。</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日，本公司控股股东、实际控制人</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宋体" w:hAnsi="宋体" w:cs="宋体" w:eastAsia="宋体" w:hint="default"/>
                <w:sz w:val="18"/>
                <w:szCs w:val="18"/>
              </w:rPr>
              <w:t>公开发</w:t>
            </w: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其实先生出具了《关于避免同业竞争承诺函</w:t>
            </w:r>
            <w:r>
              <w:rPr>
                <w:rFonts w:ascii="宋体" w:hAnsi="宋体" w:cs="宋体" w:eastAsia="宋体" w:hint="default"/>
                <w:spacing w:val="-92"/>
                <w:sz w:val="18"/>
                <w:szCs w:val="18"/>
              </w:rPr>
              <w:t>》</w:t>
            </w:r>
            <w:r>
              <w:rPr>
                <w:rFonts w:ascii="宋体" w:hAnsi="宋体" w:cs="宋体" w:eastAsia="宋体" w:hint="default"/>
                <w:sz w:val="18"/>
                <w:szCs w:val="18"/>
              </w:rPr>
              <w:t>，承诺如下</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1</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1868" w:hRule="exact"/>
        </w:trPr>
        <w:tc>
          <w:tcPr>
            <w:tcW w:w="15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行前股</w:t>
            </w:r>
          </w:p>
          <w:p>
            <w:pPr>
              <w:pStyle w:val="TableParagraph"/>
              <w:spacing w:line="319" w:lineRule="auto" w:before="76"/>
              <w:ind w:left="23" w:right="71"/>
              <w:jc w:val="left"/>
              <w:rPr>
                <w:rFonts w:ascii="宋体" w:hAnsi="宋体" w:cs="宋体" w:eastAsia="宋体" w:hint="default"/>
                <w:sz w:val="18"/>
                <w:szCs w:val="18"/>
              </w:rPr>
            </w:pPr>
            <w:r>
              <w:rPr>
                <w:rFonts w:ascii="宋体" w:hAnsi="宋体" w:cs="宋体" w:eastAsia="宋体" w:hint="default"/>
                <w:sz w:val="18"/>
                <w:szCs w:val="18"/>
              </w:rPr>
              <w:t>东、公 司董 事、监 事、高 级管理</w:t>
            </w: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312" w:lineRule="auto" w:before="26"/>
              <w:ind w:left="23" w:right="21"/>
              <w:jc w:val="left"/>
              <w:rPr>
                <w:rFonts w:ascii="宋体" w:hAnsi="宋体" w:cs="宋体" w:eastAsia="宋体" w:hint="default"/>
                <w:sz w:val="18"/>
                <w:szCs w:val="18"/>
              </w:rPr>
            </w:pPr>
            <w:r>
              <w:rPr>
                <w:rFonts w:ascii="宋体" w:hAnsi="宋体" w:cs="宋体" w:eastAsia="宋体" w:hint="default"/>
                <w:spacing w:val="-4"/>
                <w:sz w:val="18"/>
                <w:szCs w:val="18"/>
              </w:rPr>
              <w:t>本人所控制的除东方财富以外的公司、分公司、合营或联营公司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及其他任何类型的企业现时不存在从事与东方财富有相同或类 </w:t>
            </w:r>
            <w:r>
              <w:rPr>
                <w:rFonts w:ascii="宋体" w:hAnsi="宋体" w:cs="宋体" w:eastAsia="宋体" w:hint="default"/>
                <w:spacing w:val="-7"/>
                <w:sz w:val="18"/>
                <w:szCs w:val="18"/>
              </w:rPr>
              <w:t>似业务的情形，与东方财富之间不存在同业竞争。（</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）在作为东</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方财富实际控制人期间，将不设立从事与东方财富有相同或类似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业务的公司。</w:t>
            </w:r>
            <w:r>
              <w:rPr>
                <w:rFonts w:ascii="宋体" w:hAnsi="宋体" w:cs="宋体" w:eastAsia="宋体" w:hint="default"/>
                <w:spacing w:val="-42"/>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）承诺不利用东方财富实际控制人地位，损害</w:t>
            </w:r>
            <w:r>
              <w:rPr>
                <w:rFonts w:ascii="宋体" w:hAnsi="宋体" w:cs="宋体" w:eastAsia="宋体" w:hint="default"/>
                <w:sz w:val="18"/>
                <w:szCs w:val="18"/>
              </w:rPr>
              <w:t> </w:t>
            </w:r>
            <w:r>
              <w:rPr>
                <w:rFonts w:ascii="宋体" w:hAnsi="宋体" w:cs="宋体" w:eastAsia="宋体" w:hint="default"/>
                <w:spacing w:val="-4"/>
                <w:sz w:val="18"/>
                <w:szCs w:val="18"/>
              </w:rPr>
              <w:t>东方财富及东方财富其他股东的利益。如违反上述承诺，本人愿</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before="143"/>
              <w:ind w:left="23" w:right="-34"/>
              <w:jc w:val="left"/>
              <w:rPr>
                <w:rFonts w:ascii="宋体" w:hAnsi="宋体" w:cs="宋体" w:eastAsia="宋体" w:hint="default"/>
                <w:sz w:val="18"/>
                <w:szCs w:val="18"/>
              </w:rPr>
            </w:pPr>
            <w:r>
              <w:rPr>
                <w:rFonts w:ascii="宋体" w:hAnsi="宋体" w:cs="宋体" w:eastAsia="宋体" w:hint="default"/>
                <w:sz w:val="18"/>
                <w:szCs w:val="18"/>
              </w:rPr>
              <w:t>报告期内， 所有承诺 都得到了 严格的履 行。</w:t>
            </w:r>
          </w:p>
        </w:tc>
      </w:tr>
      <w:tr>
        <w:trPr>
          <w:trHeight w:val="332"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意承担由此产生的全部责任</w:t>
            </w:r>
            <w:r>
              <w:rPr>
                <w:rFonts w:ascii="宋体" w:hAnsi="宋体" w:cs="宋体" w:eastAsia="宋体" w:hint="default"/>
                <w:spacing w:val="-85"/>
                <w:sz w:val="18"/>
                <w:szCs w:val="18"/>
              </w:rPr>
              <w:t>，</w:t>
            </w:r>
            <w:r>
              <w:rPr>
                <w:rFonts w:ascii="宋体" w:hAnsi="宋体" w:cs="宋体" w:eastAsia="宋体" w:hint="default"/>
                <w:sz w:val="18"/>
                <w:szCs w:val="18"/>
              </w:rPr>
              <w:t>充分赔偿或补偿由此给东方财富造</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成的所有直接或间接损失。上述承诺一经签署立即生效，且上述</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承诺在本人对东方财富拥有由资本因素或非资本因素形成的直</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接或间接的控制权或对东方财富存在重大影响期间持续有效</w:t>
            </w:r>
            <w:r>
              <w:rPr>
                <w:rFonts w:ascii="宋体" w:hAnsi="宋体" w:cs="宋体" w:eastAsia="宋体" w:hint="default"/>
                <w:spacing w:val="-85"/>
                <w:sz w:val="18"/>
                <w:szCs w:val="18"/>
              </w:rPr>
              <w:t>，</w:t>
            </w:r>
            <w:r>
              <w:rPr>
                <w:rFonts w:ascii="宋体" w:hAnsi="宋体" w:cs="宋体" w:eastAsia="宋体" w:hint="default"/>
                <w:sz w:val="18"/>
                <w:szCs w:val="18"/>
              </w:rPr>
              <w:t>且</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不可变更或撤销</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以上的其他股东关于避免同业竞</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56"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争的承诺（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3"/>
                <w:sz w:val="18"/>
                <w:szCs w:val="18"/>
              </w:rPr>
              <w:t>日，本公司持股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556"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5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股东熊向东先生及徐豪先生出具</w:t>
            </w:r>
            <w:r>
              <w:rPr>
                <w:rFonts w:ascii="宋体" w:hAnsi="宋体" w:cs="宋体" w:eastAsia="宋体" w:hint="default"/>
                <w:spacing w:val="-85"/>
                <w:sz w:val="18"/>
                <w:szCs w:val="18"/>
              </w:rPr>
              <w:t>了</w:t>
            </w:r>
            <w:r>
              <w:rPr>
                <w:rFonts w:ascii="宋体" w:hAnsi="宋体" w:cs="宋体" w:eastAsia="宋体" w:hint="default"/>
                <w:sz w:val="18"/>
                <w:szCs w:val="18"/>
              </w:rPr>
              <w:t>《关于避免同业竞争承诺函》</w:t>
            </w:r>
          </w:p>
        </w:tc>
        <w:tc>
          <w:tcPr>
            <w:tcW w:w="85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600"/>
        </w:sectPr>
      </w:pPr>
    </w:p>
    <w:tbl>
      <w:tblPr>
        <w:tblW w:w="0" w:type="auto"/>
        <w:jc w:val="left"/>
        <w:tblInd w:w="148" w:type="dxa"/>
        <w:tblLayout w:type="fixed"/>
        <w:tblCellMar>
          <w:top w:w="0" w:type="dxa"/>
          <w:left w:w="0" w:type="dxa"/>
          <w:bottom w:w="0" w:type="dxa"/>
          <w:right w:w="0" w:type="dxa"/>
        </w:tblCellMar>
        <w:tblLook w:val="01E0"/>
      </w:tblPr>
      <w:tblGrid>
        <w:gridCol w:w="1556"/>
        <w:gridCol w:w="646"/>
        <w:gridCol w:w="5012"/>
        <w:gridCol w:w="855"/>
        <w:gridCol w:w="1080"/>
        <w:gridCol w:w="900"/>
      </w:tblGrid>
      <w:tr>
        <w:trPr>
          <w:trHeight w:val="315" w:hRule="exact"/>
        </w:trPr>
        <w:tc>
          <w:tcPr>
            <w:tcW w:w="1556" w:type="dxa"/>
            <w:vMerge w:val="restart"/>
            <w:tcBorders>
              <w:top w:val="single" w:sz="4" w:space="0" w:color="000000"/>
              <w:left w:val="single" w:sz="4" w:space="0" w:color="000000"/>
              <w:right w:val="single" w:sz="4" w:space="0" w:color="000000"/>
            </w:tcBorders>
          </w:tcPr>
          <w:p>
            <w:pPr/>
          </w:p>
        </w:tc>
        <w:tc>
          <w:tcPr>
            <w:tcW w:w="646" w:type="dxa"/>
            <w:vMerge w:val="restart"/>
            <w:tcBorders>
              <w:top w:val="single" w:sz="4" w:space="0" w:color="000000"/>
              <w:left w:val="single" w:sz="4" w:space="0" w:color="000000"/>
              <w:right w:val="single" w:sz="4" w:space="0" w:color="000000"/>
            </w:tcBorders>
          </w:tcPr>
          <w:p>
            <w:pPr/>
          </w:p>
        </w:tc>
        <w:tc>
          <w:tcPr>
            <w:tcW w:w="5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承诺如下</w:t>
            </w:r>
            <w:r>
              <w:rPr>
                <w:rFonts w:ascii="宋体" w:hAnsi="宋体" w:cs="宋体" w:eastAsia="宋体" w:hint="default"/>
                <w:spacing w:val="-92"/>
                <w:sz w:val="18"/>
                <w:szCs w:val="18"/>
              </w:rPr>
              <w:t>：</w:t>
            </w:r>
            <w:r>
              <w:rPr>
                <w:rFonts w:ascii="宋体" w:hAnsi="宋体" w:cs="宋体" w:eastAsia="宋体" w:hint="default"/>
                <w:sz w:val="18"/>
                <w:szCs w:val="18"/>
              </w:rPr>
              <w:t>“本人及本人所控</w:t>
            </w:r>
            <w:r>
              <w:rPr>
                <w:rFonts w:ascii="宋体" w:hAnsi="宋体" w:cs="宋体" w:eastAsia="宋体" w:hint="default"/>
                <w:spacing w:val="2"/>
                <w:sz w:val="18"/>
                <w:szCs w:val="18"/>
              </w:rPr>
              <w:t>制</w:t>
            </w:r>
            <w:r>
              <w:rPr>
                <w:rFonts w:ascii="宋体" w:hAnsi="宋体" w:cs="宋体" w:eastAsia="宋体" w:hint="default"/>
                <w:sz w:val="18"/>
                <w:szCs w:val="18"/>
              </w:rPr>
              <w:t>的企业并未以任何方式直接或间</w:t>
            </w:r>
          </w:p>
        </w:tc>
        <w:tc>
          <w:tcPr>
            <w:tcW w:w="855" w:type="dxa"/>
            <w:vMerge w:val="restart"/>
            <w:tcBorders>
              <w:top w:val="single" w:sz="4" w:space="0" w:color="000000"/>
              <w:left w:val="single" w:sz="4" w:space="0" w:color="000000"/>
              <w:right w:val="single" w:sz="4" w:space="0" w:color="000000"/>
            </w:tcBorders>
          </w:tcPr>
          <w:p>
            <w:pPr>
              <w:pStyle w:val="TableParagraph"/>
              <w:spacing w:line="13850" w:lineRule="exact"/>
              <w:ind w:right="-51"/>
              <w:jc w:val="left"/>
              <w:rPr>
                <w:rFonts w:ascii="宋体" w:hAnsi="宋体" w:cs="宋体" w:eastAsia="宋体" w:hint="default"/>
                <w:sz w:val="20"/>
                <w:szCs w:val="20"/>
              </w:rPr>
            </w:pPr>
            <w:r>
              <w:rPr>
                <w:rFonts w:ascii="宋体" w:hAnsi="宋体" w:cs="宋体" w:eastAsia="宋体" w:hint="default"/>
                <w:position w:val="-276"/>
                <w:sz w:val="20"/>
                <w:szCs w:val="20"/>
              </w:rPr>
              <w:pict>
                <v:group style="width:42.3pt;height:692.5pt;mso-position-horizontal-relative:char;mso-position-vertical-relative:line" coordorigin="0,0" coordsize="846,13850">
                  <v:group style="position:absolute;left:0;top:0;width:846;height:13850" coordorigin="0,0" coordsize="846,13850">
                    <v:shape style="position:absolute;left:0;top:0;width:846;height:13850" coordorigin="0,0" coordsize="846,13850" path="m0,13850l845,13850,845,0,0,0,0,13850xe" filled="true" fillcolor="#ffffff" stroked="false">
                      <v:path arrowok="t"/>
                      <v:fill type="solid"/>
                    </v:shape>
                  </v:group>
                </v:group>
              </w:pict>
            </w:r>
            <w:r>
              <w:rPr>
                <w:rFonts w:ascii="宋体" w:hAnsi="宋体" w:cs="宋体" w:eastAsia="宋体" w:hint="default"/>
                <w:position w:val="-276"/>
                <w:sz w:val="20"/>
                <w:szCs w:val="20"/>
              </w:rPr>
            </w:r>
          </w:p>
        </w:tc>
        <w:tc>
          <w:tcPr>
            <w:tcW w:w="108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接从事与东方财富相同或相似的业务</w:t>
            </w:r>
            <w:r>
              <w:rPr>
                <w:rFonts w:ascii="宋体" w:hAnsi="宋体" w:cs="宋体" w:eastAsia="宋体" w:hint="default"/>
                <w:spacing w:val="-85"/>
                <w:sz w:val="18"/>
                <w:szCs w:val="18"/>
              </w:rPr>
              <w:t>，</w:t>
            </w:r>
            <w:r>
              <w:rPr>
                <w:rFonts w:ascii="宋体" w:hAnsi="宋体" w:cs="宋体" w:eastAsia="宋体" w:hint="default"/>
                <w:sz w:val="18"/>
                <w:szCs w:val="18"/>
              </w:rPr>
              <w:t>并未拥有从事与东方财富</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可能产生同业竞争企业的任何股份或在任何竞争企业有任何权</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85"/>
                <w:sz w:val="18"/>
                <w:szCs w:val="18"/>
              </w:rPr>
              <w:t>；</w:t>
            </w:r>
            <w:r>
              <w:rPr>
                <w:rFonts w:ascii="宋体" w:hAnsi="宋体" w:cs="宋体" w:eastAsia="宋体" w:hint="default"/>
                <w:sz w:val="18"/>
                <w:szCs w:val="18"/>
              </w:rPr>
              <w:t>将来不会以任何方式直接或间接从事与东方财富相竞</w:t>
            </w:r>
            <w:r>
              <w:rPr>
                <w:rFonts w:ascii="宋体" w:hAnsi="宋体" w:cs="宋体" w:eastAsia="宋体" w:hint="default"/>
                <w:spacing w:val="1"/>
                <w:sz w:val="18"/>
                <w:szCs w:val="18"/>
              </w:rPr>
              <w:t>争</w:t>
            </w:r>
            <w:r>
              <w:rPr>
                <w:rFonts w:ascii="宋体" w:hAnsi="宋体" w:cs="宋体" w:eastAsia="宋体" w:hint="default"/>
                <w:sz w:val="18"/>
                <w:szCs w:val="18"/>
              </w:rPr>
              <w:t>的业</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务，不会直接或间接投资、收购竞争企业，也不会以任何方式为</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竞争企业提供任何业务上的帮助或支持。如违反上述承诺，本人</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愿意承担由此产生的全部责任</w:t>
            </w:r>
            <w:r>
              <w:rPr>
                <w:rFonts w:ascii="宋体" w:hAnsi="宋体" w:cs="宋体" w:eastAsia="宋体" w:hint="default"/>
                <w:spacing w:val="-85"/>
                <w:sz w:val="18"/>
                <w:szCs w:val="18"/>
              </w:rPr>
              <w:t>，</w:t>
            </w:r>
            <w:r>
              <w:rPr>
                <w:rFonts w:ascii="宋体" w:hAnsi="宋体" w:cs="宋体" w:eastAsia="宋体" w:hint="default"/>
                <w:sz w:val="18"/>
                <w:szCs w:val="18"/>
              </w:rPr>
              <w:t>充分赔偿或补偿由此给东方财富</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造成的所有直接或间接损失</w:t>
            </w:r>
            <w:r>
              <w:rPr>
                <w:rFonts w:ascii="宋体" w:hAnsi="宋体" w:cs="宋体" w:eastAsia="宋体" w:hint="default"/>
                <w:spacing w:val="-85"/>
                <w:sz w:val="18"/>
                <w:szCs w:val="18"/>
              </w:rPr>
              <w:t>。</w:t>
            </w:r>
            <w:r>
              <w:rPr>
                <w:rFonts w:ascii="宋体" w:hAnsi="宋体" w:cs="宋体" w:eastAsia="宋体" w:hint="default"/>
                <w:sz w:val="18"/>
                <w:szCs w:val="18"/>
              </w:rPr>
              <w:t>上述承诺在本人对东方财富拥有由</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资本因素或非资本因素形成的直接或间接的控制权或对东方财</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7"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富存在重大影响期间持续有效，且不可变更或撤销</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2009</w:t>
            </w:r>
            <w:r>
              <w:rPr>
                <w:rFonts w:ascii="Times New Roman" w:hAnsi="Times New Roman" w:cs="Times New Roman" w:eastAsia="Times New Roman" w:hint="default"/>
                <w:sz w:val="18"/>
                <w:szCs w:val="18"/>
              </w:rPr>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以上的法人股东深圳秉合出具了</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07"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《关于避免同业竞争承诺函</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承诺如下</w:t>
            </w:r>
            <w:r>
              <w:rPr>
                <w:rFonts w:ascii="宋体" w:hAnsi="宋体" w:cs="宋体" w:eastAsia="宋体" w:hint="default"/>
                <w:spacing w:val="-135"/>
                <w:sz w:val="18"/>
                <w:szCs w:val="18"/>
              </w:rPr>
              <w:t>：</w:t>
            </w:r>
            <w:r>
              <w:rPr>
                <w:rFonts w:ascii="宋体" w:hAnsi="宋体" w:cs="宋体" w:eastAsia="宋体" w:hint="default"/>
                <w:sz w:val="18"/>
                <w:szCs w:val="18"/>
              </w:rPr>
              <w:t>“本公司及本公司</w:t>
            </w:r>
            <w:r>
              <w:rPr>
                <w:rFonts w:ascii="宋体" w:hAnsi="宋体" w:cs="宋体" w:eastAsia="宋体" w:hint="default"/>
                <w:spacing w:val="2"/>
                <w:sz w:val="18"/>
                <w:szCs w:val="18"/>
              </w:rPr>
              <w:t>所</w:t>
            </w:r>
            <w:r>
              <w:rPr>
                <w:rFonts w:ascii="宋体" w:hAnsi="宋体" w:cs="宋体" w:eastAsia="宋体" w:hint="default"/>
                <w:sz w:val="18"/>
                <w:szCs w:val="18"/>
              </w:rPr>
              <w:t>控</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制的企业并未以任何方式直接或间接从事与东方财富相同或相</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似的业务</w:t>
            </w:r>
            <w:r>
              <w:rPr>
                <w:rFonts w:ascii="宋体" w:hAnsi="宋体" w:cs="宋体" w:eastAsia="宋体" w:hint="default"/>
                <w:spacing w:val="-85"/>
                <w:sz w:val="18"/>
                <w:szCs w:val="18"/>
              </w:rPr>
              <w:t>，</w:t>
            </w:r>
            <w:r>
              <w:rPr>
                <w:rFonts w:ascii="宋体" w:hAnsi="宋体" w:cs="宋体" w:eastAsia="宋体" w:hint="default"/>
                <w:sz w:val="18"/>
                <w:szCs w:val="18"/>
              </w:rPr>
              <w:t>并未拥有从事与东方财富可能产生同业竞争的企业的</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468"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任何股份或在任何竞争企业有任何权益</w:t>
            </w:r>
            <w:r>
              <w:rPr>
                <w:rFonts w:ascii="宋体" w:hAnsi="宋体" w:cs="宋体" w:eastAsia="宋体" w:hint="default"/>
                <w:spacing w:val="-85"/>
                <w:sz w:val="18"/>
                <w:szCs w:val="18"/>
              </w:rPr>
              <w:t>；</w:t>
            </w:r>
            <w:r>
              <w:rPr>
                <w:rFonts w:ascii="宋体" w:hAnsi="宋体" w:cs="宋体" w:eastAsia="宋体" w:hint="default"/>
                <w:sz w:val="18"/>
                <w:szCs w:val="18"/>
              </w:rPr>
              <w:t>将来不会以任何方式直</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468"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收购竞争企业</w:t>
            </w:r>
            <w:r>
              <w:rPr>
                <w:rFonts w:ascii="宋体" w:hAnsi="宋体" w:cs="宋体" w:eastAsia="宋体" w:hint="default"/>
                <w:spacing w:val="-85"/>
                <w:sz w:val="18"/>
                <w:szCs w:val="18"/>
              </w:rPr>
              <w:t>，</w:t>
            </w:r>
            <w:r>
              <w:rPr>
                <w:rFonts w:ascii="宋体" w:hAnsi="宋体" w:cs="宋体" w:eastAsia="宋体" w:hint="default"/>
                <w:sz w:val="18"/>
                <w:szCs w:val="18"/>
              </w:rPr>
              <w:t>也不会以任何方式为竞争企业提供任何业务上的</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帮助或支持。如违反上述承诺，本公司愿意承担由此产生的全部</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宋体" w:hAnsi="宋体" w:cs="宋体" w:eastAsia="宋体" w:hint="default"/>
                <w:spacing w:val="-85"/>
                <w:sz w:val="18"/>
                <w:szCs w:val="18"/>
              </w:rPr>
              <w:t>，</w:t>
            </w:r>
            <w:r>
              <w:rPr>
                <w:rFonts w:ascii="宋体" w:hAnsi="宋体" w:cs="宋体" w:eastAsia="宋体" w:hint="default"/>
                <w:sz w:val="18"/>
                <w:szCs w:val="18"/>
              </w:rPr>
              <w:t>充分赔偿或补偿由此给东方财富造成的所有直接或间接损</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pacing w:val="-85"/>
                <w:sz w:val="18"/>
                <w:szCs w:val="18"/>
              </w:rPr>
              <w:t>。</w:t>
            </w:r>
            <w:r>
              <w:rPr>
                <w:rFonts w:ascii="宋体" w:hAnsi="宋体" w:cs="宋体" w:eastAsia="宋体" w:hint="default"/>
                <w:sz w:val="18"/>
                <w:szCs w:val="18"/>
              </w:rPr>
              <w:t>上述承诺在本公司对东方财富拥有由资本因素或非资本因素</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形成的直接或间接的控制权或对东方财富存在重大影响期间持</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3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续有效，且不可变更或撤销</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5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（二）  减少和规范关联交易的承诺</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31"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pacing w:val="-4"/>
                <w:sz w:val="18"/>
                <w:szCs w:val="18"/>
              </w:rPr>
              <w:t>为了尽量减少和规范关联交易，保护公司与其他股东权益，本公</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司控制股东</w:t>
            </w:r>
            <w:r>
              <w:rPr>
                <w:rFonts w:ascii="宋体" w:hAnsi="宋体" w:cs="宋体" w:eastAsia="宋体" w:hint="default"/>
                <w:spacing w:val="-85"/>
                <w:sz w:val="18"/>
                <w:szCs w:val="18"/>
              </w:rPr>
              <w:t>、</w:t>
            </w:r>
            <w:r>
              <w:rPr>
                <w:rFonts w:ascii="宋体" w:hAnsi="宋体" w:cs="宋体" w:eastAsia="宋体" w:hint="default"/>
                <w:sz w:val="18"/>
                <w:szCs w:val="18"/>
              </w:rPr>
              <w:t>实际控制人其实先生出具了关于减少及规范关联交</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易的承诺函，承诺将尽量减少关联交易，在进行确有必要且无法</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避免的关联交易时，保证按市场化原则和公允价格进行公平操</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85"/>
                <w:sz w:val="18"/>
                <w:szCs w:val="18"/>
              </w:rPr>
              <w:t>，</w:t>
            </w:r>
            <w:r>
              <w:rPr>
                <w:rFonts w:ascii="宋体" w:hAnsi="宋体" w:cs="宋体" w:eastAsia="宋体" w:hint="default"/>
                <w:sz w:val="18"/>
                <w:szCs w:val="18"/>
              </w:rPr>
              <w:t>并按相关法律法规以及规范性文件的规定履行交易程序及信</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3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3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4"/>
                <w:sz w:val="18"/>
                <w:szCs w:val="18"/>
              </w:rPr>
              <w:t>（三）股份锁定承诺为了保证公司的稳定性、延续性，本公司相</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关股东已经分别做出股份锁定承诺</w:t>
            </w:r>
            <w:r>
              <w:rPr>
                <w:rFonts w:ascii="宋体" w:hAnsi="宋体" w:cs="宋体" w:eastAsia="宋体" w:hint="default"/>
                <w:spacing w:val="-85"/>
                <w:sz w:val="18"/>
                <w:szCs w:val="18"/>
              </w:rPr>
              <w:t>。</w:t>
            </w:r>
            <w:r>
              <w:rPr>
                <w:rFonts w:ascii="宋体" w:hAnsi="宋体" w:cs="宋体" w:eastAsia="宋体" w:hint="default"/>
                <w:sz w:val="18"/>
                <w:szCs w:val="18"/>
              </w:rPr>
              <w:t>本公司控股股东及实际控制</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人其实先生及股东沈友根先生、陆丽丽女士承诺：自公司股票上</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市之日起三十六个月内</w:t>
            </w:r>
            <w:r>
              <w:rPr>
                <w:rFonts w:ascii="宋体" w:hAnsi="宋体" w:cs="宋体" w:eastAsia="宋体" w:hint="default"/>
                <w:spacing w:val="-85"/>
                <w:sz w:val="18"/>
                <w:szCs w:val="18"/>
              </w:rPr>
              <w:t>，</w:t>
            </w:r>
            <w:r>
              <w:rPr>
                <w:rFonts w:ascii="宋体" w:hAnsi="宋体" w:cs="宋体" w:eastAsia="宋体" w:hint="default"/>
                <w:sz w:val="18"/>
                <w:szCs w:val="18"/>
              </w:rPr>
              <w:t>不转让或者委托他人管理其现持有的公</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司股份，也不由公司回购该部分股份。本公司公开发行股份前的</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其他股东承诺：自公司股票上市之日起一年内，不转让或者委托</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他人管理其现持有的公司股份，也不由公司回购该部分股份。此</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外，海通开元承诺：自成为东方财富信息股份有限公司股东之日</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7"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日）起三十六个月内，不转让或委托他人管理</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07"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其直接或间接持有的公司公开发行股票前已发行的股份</w:t>
            </w:r>
            <w:r>
              <w:rPr>
                <w:rFonts w:ascii="宋体" w:hAnsi="宋体" w:cs="宋体" w:eastAsia="宋体" w:hint="default"/>
                <w:spacing w:val="-85"/>
                <w:sz w:val="18"/>
                <w:szCs w:val="18"/>
              </w:rPr>
              <w:t>，</w:t>
            </w:r>
            <w:r>
              <w:rPr>
                <w:rFonts w:ascii="宋体" w:hAnsi="宋体" w:cs="宋体" w:eastAsia="宋体" w:hint="default"/>
                <w:sz w:val="18"/>
                <w:szCs w:val="18"/>
              </w:rPr>
              <w:t>也不由</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公司回购其直接或间接持有的公司公开发行股票前已发行的股</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份；其实先生、陶涛先生、陆威先生、程磊先生、史佳先生、鲍</w:t>
            </w:r>
            <w:r>
              <w:rPr>
                <w:rFonts w:ascii="宋体" w:hAnsi="宋体" w:cs="宋体" w:eastAsia="宋体" w:hint="default"/>
                <w:sz w:val="18"/>
                <w:szCs w:val="18"/>
              </w:rPr>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一青先生及廖双辉先生作为本公司董事</w:t>
            </w:r>
            <w:r>
              <w:rPr>
                <w:rFonts w:ascii="宋体" w:hAnsi="宋体" w:cs="宋体" w:eastAsia="宋体" w:hint="default"/>
                <w:spacing w:val="-85"/>
                <w:sz w:val="18"/>
                <w:szCs w:val="18"/>
              </w:rPr>
              <w:t>、</w:t>
            </w:r>
            <w:r>
              <w:rPr>
                <w:rFonts w:ascii="宋体" w:hAnsi="宋体" w:cs="宋体" w:eastAsia="宋体" w:hint="default"/>
                <w:sz w:val="18"/>
                <w:szCs w:val="18"/>
              </w:rPr>
              <w:t>监事或高级管理人员分</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2" w:hRule="exact"/>
        </w:trPr>
        <w:tc>
          <w:tcPr>
            <w:tcW w:w="1556" w:type="dxa"/>
            <w:vMerge/>
            <w:tcBorders>
              <w:left w:val="single" w:sz="4" w:space="0" w:color="000000"/>
              <w:right w:val="single" w:sz="4" w:space="0" w:color="000000"/>
            </w:tcBorders>
          </w:tcPr>
          <w:p>
            <w:pPr/>
          </w:p>
        </w:tc>
        <w:tc>
          <w:tcPr>
            <w:tcW w:w="646" w:type="dxa"/>
            <w:vMerge/>
            <w:tcBorders>
              <w:left w:val="single" w:sz="4" w:space="0" w:color="000000"/>
              <w:right w:val="single" w:sz="4" w:space="0" w:color="000000"/>
            </w:tcBorders>
          </w:tcPr>
          <w:p>
            <w:pPr/>
          </w:p>
        </w:tc>
        <w:tc>
          <w:tcPr>
            <w:tcW w:w="5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别承诺：除遵守上述一年承诺期限外，在任职期间每年转让的股</w:t>
            </w:r>
          </w:p>
        </w:tc>
        <w:tc>
          <w:tcPr>
            <w:tcW w:w="85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319" w:hRule="exact"/>
        </w:trPr>
        <w:tc>
          <w:tcPr>
            <w:tcW w:w="1556"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5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份不超过其所持有公司股份总数的百分之二十五</w:t>
            </w:r>
            <w:r>
              <w:rPr>
                <w:rFonts w:ascii="宋体" w:hAnsi="宋体" w:cs="宋体" w:eastAsia="宋体" w:hint="default"/>
                <w:spacing w:val="-85"/>
                <w:sz w:val="18"/>
                <w:szCs w:val="18"/>
              </w:rPr>
              <w:t>，</w:t>
            </w:r>
            <w:r>
              <w:rPr>
                <w:rFonts w:ascii="宋体" w:hAnsi="宋体" w:cs="宋体" w:eastAsia="宋体" w:hint="default"/>
                <w:sz w:val="18"/>
                <w:szCs w:val="18"/>
              </w:rPr>
              <w:t>在离职后半年</w:t>
            </w:r>
          </w:p>
        </w:tc>
        <w:tc>
          <w:tcPr>
            <w:tcW w:w="85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bl>
    <w:p>
      <w:pPr>
        <w:rPr>
          <w:sz w:val="2"/>
          <w:szCs w:val="2"/>
        </w:rPr>
      </w:pPr>
      <w:r>
        <w:rPr/>
        <w:pict>
          <v:shape style="position:absolute;margin-left:168.139999pt;margin-top:72.475983pt;width:291.7pt;height:692.5pt;mso-position-horizontal-relative:page;mso-position-vertical-relative:page;z-index:-66100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接或间接从事与东方财富相竞争的业务，不会直接或间接投资、</w:t>
                  </w:r>
                </w:p>
              </w:txbxContent>
            </v:textbox>
            <w10:wrap type="none"/>
          </v:shape>
        </w:pict>
      </w:r>
    </w:p>
    <w:p>
      <w:pPr>
        <w:spacing w:after="0"/>
        <w:rPr>
          <w:sz w:val="2"/>
          <w:szCs w:val="2"/>
        </w:rPr>
        <w:sectPr>
          <w:pgSz w:w="11910" w:h="16840"/>
          <w:pgMar w:header="852" w:footer="980" w:top="1440" w:bottom="1160" w:left="980" w:right="600"/>
        </w:sectPr>
      </w:pPr>
    </w:p>
    <w:p>
      <w:pPr>
        <w:spacing w:line="240" w:lineRule="auto" w:before="9"/>
        <w:rPr>
          <w:rFonts w:ascii="宋体" w:hAnsi="宋体" w:cs="宋体" w:eastAsia="宋体" w:hint="default"/>
          <w:b/>
          <w:bCs/>
          <w:sz w:val="6"/>
          <w:szCs w:val="6"/>
        </w:rPr>
      </w:pPr>
      <w:r>
        <w:rPr/>
        <w:pict>
          <v:shape style="position:absolute;margin-left:186.139999pt;margin-top:72.47998pt;width:273.7pt;height:142.5pt;mso-position-horizontal-relative:page;mso-position-vertical-relative:page;z-index:-6609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月内（含第十二个月）不转让本人直接持有的本公司股份。</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556"/>
        <w:gridCol w:w="646"/>
        <w:gridCol w:w="5012"/>
        <w:gridCol w:w="855"/>
        <w:gridCol w:w="1080"/>
        <w:gridCol w:w="900"/>
      </w:tblGrid>
      <w:tr>
        <w:trPr>
          <w:trHeight w:val="2859" w:hRule="exact"/>
        </w:trPr>
        <w:tc>
          <w:tcPr>
            <w:tcW w:w="155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4"/>
                <w:sz w:val="18"/>
                <w:szCs w:val="18"/>
              </w:rPr>
              <w:t>内，不转让其所持有的公司股份。公司全体董事、监事和高级管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理人员后续追加如下承诺：本人若在首次公开发行股票上市之日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起六个月内（含第六个月）申报离职，将自申报离职之日起十八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个月（含第十八个月）内不转让本人直接持有的本公司股份；本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人若在首次公开发行股票上市之日起第七个月至第十二个月（含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第七个月、第十二个月）之间申报离职，将自申报离职之日起十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二个 因上市公司进行权益分派等导致本人直接持有本公司股份发生 变化的，本人仍遵守前款承诺。</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849" w:lineRule="exact"/>
              <w:ind w:right="-51"/>
              <w:jc w:val="left"/>
              <w:rPr>
                <w:rFonts w:ascii="宋体" w:hAnsi="宋体" w:cs="宋体" w:eastAsia="宋体" w:hint="default"/>
                <w:sz w:val="20"/>
                <w:szCs w:val="20"/>
              </w:rPr>
            </w:pPr>
            <w:r>
              <w:rPr>
                <w:rFonts w:ascii="宋体" w:hAnsi="宋体" w:cs="宋体" w:eastAsia="宋体" w:hint="default"/>
                <w:position w:val="-56"/>
                <w:sz w:val="20"/>
                <w:szCs w:val="20"/>
              </w:rPr>
              <w:pict>
                <v:group style="width:42.3pt;height:142.5pt;mso-position-horizontal-relative:char;mso-position-vertical-relative:line" coordorigin="0,0" coordsize="846,2850">
                  <v:group style="position:absolute;left:0;top:0;width:846;height:2850" coordorigin="0,0" coordsize="846,2850">
                    <v:shape style="position:absolute;left:0;top:0;width:846;height:2850" coordorigin="0,0" coordsize="846,2850" path="m0,2849l845,2849,845,0,0,0,0,2849xe" filled="true" fillcolor="#ffffff" stroked="false">
                      <v:path arrowok="t"/>
                      <v:fill type="solid"/>
                    </v:shape>
                  </v:group>
                </v:group>
              </w:pict>
            </w:r>
            <w:r>
              <w:rPr>
                <w:rFonts w:ascii="宋体" w:hAnsi="宋体" w:cs="宋体" w:eastAsia="宋体" w:hint="default"/>
                <w:position w:val="-56"/>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646" w:type="dxa"/>
            <w:tcBorders>
              <w:top w:val="single" w:sz="4" w:space="0" w:color="000000"/>
              <w:left w:val="single" w:sz="4" w:space="0" w:color="000000"/>
              <w:bottom w:val="single" w:sz="4" w:space="0" w:color="000000"/>
              <w:right w:val="single" w:sz="4" w:space="0" w:color="000000"/>
            </w:tcBorders>
          </w:tcPr>
          <w:p>
            <w:pPr/>
          </w:p>
        </w:tc>
        <w:tc>
          <w:tcPr>
            <w:tcW w:w="501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未完成履行的具体 原因及下一步计划</w:t>
            </w:r>
          </w:p>
        </w:tc>
        <w:tc>
          <w:tcPr>
            <w:tcW w:w="8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是否就导致的同业 竞争和关联交易问 题作出承诺</w:t>
            </w:r>
          </w:p>
        </w:tc>
        <w:tc>
          <w:tcPr>
            <w:tcW w:w="8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报告期内，所有承诺都得到了严格的履行。</w:t>
            </w:r>
          </w:p>
        </w:tc>
      </w:tr>
    </w:tbl>
    <w:p>
      <w:pPr>
        <w:spacing w:line="240" w:lineRule="auto" w:before="3"/>
        <w:rPr>
          <w:rFonts w:ascii="宋体" w:hAnsi="宋体" w:cs="宋体" w:eastAsia="宋体" w:hint="default"/>
          <w:b/>
          <w:bCs/>
          <w:sz w:val="19"/>
          <w:szCs w:val="19"/>
        </w:rPr>
      </w:pPr>
    </w:p>
    <w:p>
      <w:pPr>
        <w:pStyle w:val="Heading5"/>
        <w:spacing w:line="259" w:lineRule="auto" w:before="36"/>
        <w:ind w:right="516"/>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1"/>
        </w:rPr>
        <w:t> </w:t>
      </w:r>
      <w:r>
        <w:rPr>
          <w:spacing w:val="-61"/>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5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516"/>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516"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姚辉、邵振宇</w:t>
            </w:r>
          </w:p>
        </w:tc>
      </w:tr>
    </w:tbl>
    <w:p>
      <w:pPr>
        <w:spacing w:before="49"/>
        <w:ind w:left="152" w:right="516"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5"/>
        <w:ind w:left="152" w:right="5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51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上市公司及其子公司是否被列入环保部门公布的污染严重企业名单</w:t>
      </w:r>
    </w:p>
    <w:p>
      <w:pPr>
        <w:spacing w:after="0" w:line="340" w:lineRule="auto"/>
        <w:jc w:val="left"/>
        <w:rPr>
          <w:rFonts w:ascii="宋体" w:hAnsi="宋体" w:cs="宋体" w:eastAsia="宋体" w:hint="default"/>
          <w:sz w:val="18"/>
          <w:szCs w:val="18"/>
        </w:rPr>
        <w:sectPr>
          <w:pgSz w:w="11910" w:h="16840"/>
          <w:pgMar w:header="852" w:footer="980" w:top="1340" w:bottom="1160" w:left="980" w:right="600"/>
        </w:sectPr>
      </w:pPr>
    </w:p>
    <w:p>
      <w:pPr>
        <w:spacing w:line="340" w:lineRule="auto" w:before="95"/>
        <w:ind w:left="15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上市公司及其子公司是否存在其他重大社会安全问题</w:t>
      </w:r>
    </w:p>
    <w:p>
      <w:pPr>
        <w:spacing w:line="340" w:lineRule="auto" w:before="39"/>
        <w:ind w:left="15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报告期内是否被行政处罚</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十三、违规对外担保情况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十四、年度报告披露后面临暂停上市和终止上市情况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十五、其他重大事项的说明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340" w:bottom="1160" w:left="98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240" w:lineRule="auto"/>
        <w:ind w:left="2964"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778"/>
        <w:gridCol w:w="1147"/>
        <w:gridCol w:w="845"/>
        <w:gridCol w:w="845"/>
        <w:gridCol w:w="596"/>
        <w:gridCol w:w="1027"/>
        <w:gridCol w:w="996"/>
        <w:gridCol w:w="997"/>
        <w:gridCol w:w="965"/>
        <w:gridCol w:w="814"/>
      </w:tblGrid>
      <w:tr>
        <w:trPr>
          <w:trHeight w:val="206"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4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6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991" w:type="dxa"/>
            <w:gridSpan w:val="2"/>
            <w:vMerge/>
            <w:tcBorders>
              <w:left w:val="single" w:sz="4" w:space="0" w:color="000000"/>
              <w:bottom w:val="single" w:sz="4" w:space="0" w:color="000000"/>
              <w:right w:val="single" w:sz="4" w:space="0" w:color="000000"/>
            </w:tcBorders>
            <w:shd w:val="clear" w:color="auto" w:fill="D2D2D2"/>
          </w:tcPr>
          <w:p>
            <w:pPr/>
          </w:p>
        </w:tc>
        <w:tc>
          <w:tcPr>
            <w:tcW w:w="4460" w:type="dxa"/>
            <w:gridSpan w:val="5"/>
            <w:vMerge/>
            <w:tcBorders>
              <w:left w:val="single" w:sz="4" w:space="0" w:color="000000"/>
              <w:bottom w:val="single" w:sz="4" w:space="0" w:color="000000"/>
              <w:right w:val="single" w:sz="4" w:space="0" w:color="000000"/>
            </w:tcBorders>
            <w:shd w:val="clear" w:color="auto" w:fill="D2D2D2"/>
          </w:tcPr>
          <w:p>
            <w:pPr/>
          </w:p>
        </w:tc>
        <w:tc>
          <w:tcPr>
            <w:tcW w:w="177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778"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4" w:hRule="exact"/>
        </w:trPr>
        <w:tc>
          <w:tcPr>
            <w:tcW w:w="1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596"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996" w:type="dxa"/>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4" w:space="0" w:color="000000"/>
              <w:bottom w:val="single" w:sz="4" w:space="0" w:color="000000"/>
              <w:right w:val="single" w:sz="4" w:space="0" w:color="000000"/>
            </w:tcBorders>
            <w:shd w:val="clear" w:color="auto" w:fill="D2D2D2"/>
          </w:tcPr>
          <w:p>
            <w:pPr/>
          </w:p>
        </w:tc>
        <w:tc>
          <w:tcPr>
            <w:tcW w:w="965"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90,098,676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51,801,373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-15,763,054</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36,038,319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126,136,995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37.54%</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84,126,637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40.06%</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48,377,866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-15,496,860</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32,881,006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117,007,643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34.82%</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-12,000,000</w:t>
            </w:r>
            <w:r>
              <w:rPr>
                <w:rFonts w:ascii="Times New Roman"/>
                <w:sz w:val="18"/>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76,626,637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36.49%</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43,877,866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-3,496,860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40,381,006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117,007,643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34.82%</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5,972,039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3,423,507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-266,194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3,157,313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9,129,352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119,901,324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74,198,627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15,763,054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89,961,681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209,863,005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62.46%</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119,901,324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74,198,627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15,763,054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89,961,681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209,863,005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62.46%</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240" w:lineRule="auto" w:before="96"/>
        <w:ind w:left="573" w:right="0"/>
        <w:jc w:val="left"/>
      </w:pPr>
      <w:r>
        <w:rPr/>
        <w:t>报告期内，公司实施了</w:t>
      </w:r>
      <w:r>
        <w:rPr>
          <w:rFonts w:ascii="Times New Roman" w:hAnsi="Times New Roman" w:cs="Times New Roman" w:eastAsia="Times New Roman" w:hint="default"/>
        </w:rPr>
        <w:t>2011</w:t>
      </w:r>
      <w:r>
        <w:rPr/>
        <w:t>年度权益分派，以总股本</w:t>
      </w:r>
      <w:r>
        <w:rPr>
          <w:rFonts w:ascii="Times New Roman" w:hAnsi="Times New Roman" w:cs="Times New Roman" w:eastAsia="Times New Roman" w:hint="default"/>
        </w:rPr>
        <w:t>21,000</w:t>
      </w:r>
      <w:r>
        <w:rPr/>
        <w:t>万股为基数，用资本公积金向全体股东每</w:t>
      </w:r>
    </w:p>
    <w:p>
      <w:pPr>
        <w:pStyle w:val="BodyText"/>
        <w:spacing w:line="240" w:lineRule="auto" w:before="21"/>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股，共转增</w:t>
      </w:r>
      <w:r>
        <w:rPr>
          <w:rFonts w:ascii="Times New Roman" w:hAnsi="Times New Roman" w:cs="Times New Roman" w:eastAsia="Times New Roman" w:hint="default"/>
        </w:rPr>
        <w:t>12,600</w:t>
      </w:r>
      <w:r>
        <w:rPr/>
        <w:t>万股，转增后总股本增至</w:t>
      </w:r>
      <w:r>
        <w:rPr>
          <w:rFonts w:ascii="Times New Roman" w:hAnsi="Times New Roman" w:cs="Times New Roman" w:eastAsia="Times New Roman" w:hint="default"/>
        </w:rPr>
        <w:t>33,600</w:t>
      </w:r>
      <w:r>
        <w:rPr/>
        <w:t>万股。</w:t>
      </w:r>
    </w:p>
    <w:p>
      <w:pPr>
        <w:spacing w:before="82"/>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left="573" w:right="0"/>
        <w:jc w:val="left"/>
        <w:rPr>
          <w:rFonts w:ascii="宋体" w:hAnsi="宋体" w:cs="宋体" w:eastAsia="宋体" w:hint="default"/>
        </w:rPr>
      </w:pP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19</w:t>
      </w:r>
      <w:r>
        <w:rPr/>
        <w:t>日，公司</w:t>
      </w:r>
      <w:r>
        <w:rPr>
          <w:rFonts w:ascii="宋体" w:hAnsi="宋体" w:cs="宋体" w:eastAsia="宋体" w:hint="default"/>
        </w:rPr>
        <w:t>2011</w:t>
      </w:r>
      <w:r>
        <w:rPr/>
        <w:t>年年度股东大会审议通过了</w:t>
      </w:r>
      <w:r>
        <w:rPr>
          <w:rFonts w:ascii="宋体" w:hAnsi="宋体" w:cs="宋体" w:eastAsia="宋体" w:hint="default"/>
        </w:rPr>
        <w:t>2011</w:t>
      </w:r>
      <w:r>
        <w:rPr/>
        <w:t>年度权益分派方案</w:t>
      </w:r>
      <w:r>
        <w:rPr>
          <w:rFonts w:ascii="宋体" w:hAnsi="宋体" w:cs="宋体" w:eastAsia="宋体" w:hint="default"/>
        </w:rPr>
        <w:t>:</w:t>
      </w:r>
    </w:p>
    <w:p>
      <w:pPr>
        <w:pStyle w:val="BodyText"/>
        <w:spacing w:line="273" w:lineRule="auto" w:before="37"/>
        <w:ind w:right="0" w:firstLine="420"/>
        <w:jc w:val="left"/>
      </w:pPr>
      <w:r>
        <w:rPr>
          <w:rFonts w:ascii="宋体" w:hAnsi="宋体" w:cs="宋体" w:eastAsia="宋体" w:hint="default"/>
          <w:spacing w:val="-2"/>
        </w:rPr>
        <w:t>1</w:t>
      </w:r>
      <w:r>
        <w:rPr>
          <w:spacing w:val="-2"/>
        </w:rPr>
        <w:t>、以总股本</w:t>
      </w:r>
      <w:r>
        <w:rPr>
          <w:rFonts w:ascii="宋体" w:hAnsi="宋体" w:cs="宋体" w:eastAsia="宋体" w:hint="default"/>
          <w:spacing w:val="-2"/>
        </w:rPr>
        <w:t>21,000</w:t>
      </w:r>
      <w:r>
        <w:rPr>
          <w:spacing w:val="-2"/>
        </w:rPr>
        <w:t>万股为基数，用资本公积金向全体股东每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6</w:t>
      </w:r>
      <w:r>
        <w:rPr>
          <w:spacing w:val="-2"/>
        </w:rPr>
        <w:t>股，共转增</w:t>
      </w:r>
      <w:r>
        <w:rPr>
          <w:rFonts w:ascii="宋体" w:hAnsi="宋体" w:cs="宋体" w:eastAsia="宋体" w:hint="default"/>
          <w:spacing w:val="-2"/>
        </w:rPr>
        <w:t>12,600</w:t>
      </w:r>
      <w:r>
        <w:rPr>
          <w:spacing w:val="-2"/>
        </w:rPr>
        <w:t>万股，转增</w:t>
      </w:r>
      <w:r>
        <w:rPr>
          <w:w w:val="100"/>
        </w:rPr>
        <w:t> </w:t>
      </w:r>
      <w:r>
        <w:rPr/>
        <w:t>后总股本增至</w:t>
      </w:r>
      <w:r>
        <w:rPr>
          <w:rFonts w:ascii="宋体" w:hAnsi="宋体" w:cs="宋体" w:eastAsia="宋体" w:hint="default"/>
        </w:rPr>
        <w:t>33,600</w:t>
      </w:r>
      <w:r>
        <w:rPr/>
        <w:t>万股。</w:t>
      </w:r>
    </w:p>
    <w:p>
      <w:pPr>
        <w:pStyle w:val="BodyText"/>
        <w:spacing w:line="273" w:lineRule="auto"/>
        <w:ind w:right="0" w:firstLine="420"/>
        <w:jc w:val="left"/>
      </w:pPr>
      <w:r>
        <w:rPr>
          <w:rFonts w:ascii="宋体" w:hAnsi="宋体" w:cs="宋体" w:eastAsia="宋体" w:hint="default"/>
          <w:spacing w:val="-2"/>
        </w:rPr>
        <w:t>2</w:t>
      </w:r>
      <w:r>
        <w:rPr>
          <w:spacing w:val="-2"/>
        </w:rPr>
        <w:t>、以总股本</w:t>
      </w:r>
      <w:r>
        <w:rPr>
          <w:rFonts w:ascii="宋体" w:hAnsi="宋体" w:cs="宋体" w:eastAsia="宋体" w:hint="default"/>
          <w:spacing w:val="-2"/>
        </w:rPr>
        <w:t>21,000</w:t>
      </w:r>
      <w:r>
        <w:rPr>
          <w:spacing w:val="-2"/>
        </w:rPr>
        <w:t>万股为基数向全体股东每</w:t>
      </w:r>
      <w:r>
        <w:rPr>
          <w:rFonts w:ascii="宋体" w:hAnsi="宋体" w:cs="宋体" w:eastAsia="宋体" w:hint="default"/>
          <w:spacing w:val="-2"/>
        </w:rPr>
        <w:t>10</w:t>
      </w:r>
      <w:r>
        <w:rPr>
          <w:spacing w:val="-2"/>
        </w:rPr>
        <w:t>股派发现金股利人民币</w:t>
      </w:r>
      <w:r>
        <w:rPr>
          <w:rFonts w:ascii="宋体" w:hAnsi="宋体" w:cs="宋体" w:eastAsia="宋体" w:hint="default"/>
          <w:spacing w:val="-2"/>
        </w:rPr>
        <w:t>1.00</w:t>
      </w:r>
      <w:r>
        <w:rPr>
          <w:spacing w:val="-2"/>
        </w:rPr>
        <w:t>元（含税），合计派发现</w:t>
      </w:r>
      <w:r>
        <w:rPr>
          <w:w w:val="100"/>
        </w:rPr>
        <w:t> </w:t>
      </w:r>
      <w:r>
        <w:rPr/>
        <w:t>金</w:t>
      </w:r>
      <w:r>
        <w:rPr>
          <w:rFonts w:ascii="宋体" w:hAnsi="宋体" w:cs="宋体" w:eastAsia="宋体" w:hint="default"/>
        </w:rPr>
        <w:t>2,100.00</w:t>
      </w:r>
      <w:r>
        <w:rPr/>
        <w:t>万元，剩余未分配利润结转至下年度。</w:t>
      </w:r>
    </w:p>
    <w:p>
      <w:pPr>
        <w:pStyle w:val="BodyText"/>
        <w:spacing w:line="240" w:lineRule="auto"/>
        <w:ind w:left="573" w:right="0"/>
        <w:jc w:val="left"/>
      </w:pPr>
      <w:r>
        <w:rPr/>
        <w:t>公司于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11</w:t>
      </w:r>
      <w:r>
        <w:rPr/>
        <w:t>日，实施完成了上述权益分派方案。</w:t>
      </w:r>
    </w:p>
    <w:p>
      <w:pPr>
        <w:spacing w:before="98"/>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273" w:lineRule="auto" w:before="97"/>
        <w:ind w:right="0" w:firstLine="420"/>
        <w:jc w:val="left"/>
      </w:pPr>
      <w:r>
        <w:rPr>
          <w:spacing w:val="-2"/>
        </w:rPr>
        <w:t>本次股份变动使得近一年每股收益、稀释每股收益、归属于公司普通股股东的每股净资产下降，具体</w:t>
      </w:r>
      <w:r>
        <w:rPr>
          <w:w w:val="100"/>
        </w:rPr>
        <w:t> </w:t>
      </w:r>
      <w:r>
        <w:rPr/>
        <w:t>指标详见“第三节主要会计数据和财务指标”。</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464"/>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58,876,027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35,325,616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94,201,643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宋体" w:hAnsi="宋体" w:cs="宋体" w:eastAsia="宋体" w:hint="default"/>
                <w:sz w:val="18"/>
                <w:szCs w:val="18"/>
              </w:rPr>
              <w:t>公开发行前限售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2" w:footer="980" w:top="1340" w:bottom="1160" w:left="980" w:right="640"/>
        </w:sectPr>
      </w:pPr>
    </w:p>
    <w:p>
      <w:pPr>
        <w:spacing w:line="240" w:lineRule="auto" w:before="0"/>
        <w:rPr>
          <w:rFonts w:ascii="宋体" w:hAnsi="宋体" w:cs="宋体" w:eastAsia="宋体" w:hint="default"/>
          <w:b/>
          <w:bCs/>
          <w:sz w:val="20"/>
          <w:szCs w:val="20"/>
        </w:rPr>
      </w:pPr>
      <w:r>
        <w:rPr/>
        <w:pict>
          <v:shape style="position:absolute;margin-left:56.400002pt;margin-top:71.999985pt;width:484.2pt;height:435.55pt;mso-position-horizontal-relative:page;mso-position-vertical-relative:page;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9"/>
                    <w:gridCol w:w="1368"/>
                    <w:gridCol w:w="1366"/>
                    <w:gridCol w:w="1368"/>
                    <w:gridCol w:w="1366"/>
                    <w:gridCol w:w="1464"/>
                  </w:tblGrid>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海通开元投资有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公开发行前限售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p>
                        <w:pPr>
                          <w:pStyle w:val="TableParagraph"/>
                          <w:spacing w:line="314"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（原解限日期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 </w:t>
                        </w:r>
                        <w:r>
                          <w:rPr>
                            <w:rFonts w:ascii="宋体" w:hAnsi="宋体" w:cs="宋体" w:eastAsia="宋体" w:hint="default"/>
                            <w:spacing w:val="-5"/>
                            <w:sz w:val="18"/>
                            <w:szCs w:val="18"/>
                          </w:rPr>
                          <w:t>为非交易日，实际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解限日期顺延至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公开发行前限售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7,053,750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公开发行前限售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2,622,645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3,496,860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3,496,860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公开发行前限售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p>
                        <w:pPr>
                          <w:pStyle w:val="TableParagraph"/>
                          <w:spacing w:line="314"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（原解限日期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 </w:t>
                        </w:r>
                        <w:r>
                          <w:rPr>
                            <w:rFonts w:ascii="宋体" w:hAnsi="宋体" w:cs="宋体" w:eastAsia="宋体" w:hint="default"/>
                            <w:spacing w:val="-5"/>
                            <w:sz w:val="18"/>
                            <w:szCs w:val="18"/>
                          </w:rPr>
                          <w:t>为非交易日，实际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解限日期顺延至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1,966,983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3,147,173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655,661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廖双辉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534,375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董监高限售股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8"/>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90,098,676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15,496,860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51,535,179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126,136,995</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spacing w:before="44"/>
        <w:ind w:left="0" w:right="1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1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506" w:lineRule="auto" w:before="26"/>
        <w:ind w:left="152" w:right="7164" w:firstLine="0"/>
        <w:jc w:val="left"/>
        <w:rPr>
          <w:rFonts w:ascii="宋体" w:hAnsi="宋体" w:cs="宋体" w:eastAsia="宋体" w:hint="default"/>
          <w:sz w:val="18"/>
          <w:szCs w:val="18"/>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5"/>
        <w:spacing w:line="240" w:lineRule="auto" w:before="15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0" w:firstLine="420"/>
        <w:jc w:val="left"/>
      </w:pPr>
      <w:r>
        <w:rPr>
          <w:spacing w:val="-2"/>
        </w:rPr>
        <w:t>报告期内，公司用资本公积金转增了股本，公司以</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日股本</w:t>
      </w:r>
      <w:r>
        <w:rPr>
          <w:rFonts w:ascii="宋体" w:hAnsi="宋体" w:cs="宋体" w:eastAsia="宋体" w:hint="default"/>
          <w:spacing w:val="-2"/>
        </w:rPr>
        <w:t>210,000,000</w:t>
      </w:r>
      <w:r>
        <w:rPr>
          <w:spacing w:val="-2"/>
        </w:rPr>
        <w:t>股本为基数，按</w:t>
      </w:r>
      <w:r>
        <w:rPr>
          <w:w w:val="100"/>
        </w:rPr>
        <w:t> </w:t>
      </w:r>
      <w:r>
        <w:rPr/>
        <w:t>每</w:t>
      </w:r>
      <w:r>
        <w:rPr>
          <w:rFonts w:ascii="宋体" w:hAnsi="宋体" w:cs="宋体" w:eastAsia="宋体" w:hint="default"/>
        </w:rPr>
        <w:t>10</w:t>
      </w:r>
      <w:r>
        <w:rPr/>
        <w:t>股转增</w:t>
      </w:r>
      <w:r>
        <w:rPr>
          <w:rFonts w:ascii="宋体" w:hAnsi="宋体" w:cs="宋体" w:eastAsia="宋体" w:hint="default"/>
        </w:rPr>
        <w:t>6</w:t>
      </w:r>
      <w:r>
        <w:rPr/>
        <w:t>股由资本公积转增</w:t>
      </w:r>
      <w:r>
        <w:rPr>
          <w:rFonts w:ascii="宋体" w:hAnsi="宋体" w:cs="宋体" w:eastAsia="宋体" w:hint="default"/>
        </w:rPr>
        <w:t>126,000,000</w:t>
      </w:r>
      <w:r>
        <w:rPr/>
        <w:t>股，转增后总股本增至</w:t>
      </w:r>
      <w:r>
        <w:rPr>
          <w:rFonts w:ascii="宋体" w:hAnsi="宋体" w:cs="宋体" w:eastAsia="宋体" w:hint="default"/>
        </w:rPr>
        <w:t>336,000,000</w:t>
      </w:r>
      <w:r>
        <w:rPr/>
        <w:t>股。</w:t>
      </w:r>
    </w:p>
    <w:p>
      <w:pPr>
        <w:spacing w:after="0" w:line="273" w:lineRule="auto"/>
        <w:jc w:val="left"/>
        <w:sectPr>
          <w:pgSz w:w="11910" w:h="16840"/>
          <w:pgMar w:header="852" w:footer="980" w:top="1440" w:bottom="116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94"/>
        <w:gridCol w:w="1461"/>
        <w:gridCol w:w="1378"/>
        <w:gridCol w:w="1362"/>
        <w:gridCol w:w="1368"/>
        <w:gridCol w:w="1179"/>
        <w:gridCol w:w="184"/>
        <w:gridCol w:w="1076"/>
      </w:tblGrid>
      <w:tr>
        <w:trPr>
          <w:trHeight w:val="408" w:hRule="exact"/>
        </w:trPr>
        <w:tc>
          <w:tcPr>
            <w:tcW w:w="33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17,384</w:t>
            </w:r>
          </w:p>
        </w:tc>
        <w:tc>
          <w:tcPr>
            <w:tcW w:w="40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40" w:right="0"/>
              <w:jc w:val="left"/>
              <w:rPr>
                <w:rFonts w:ascii="Times New Roman" w:hAnsi="Times New Roman" w:cs="Times New Roman" w:eastAsia="Times New Roman" w:hint="default"/>
                <w:sz w:val="18"/>
                <w:szCs w:val="18"/>
              </w:rPr>
            </w:pPr>
            <w:r>
              <w:rPr>
                <w:rFonts w:ascii="Times New Roman"/>
                <w:sz w:val="18"/>
              </w:rPr>
              <w:t>13,952</w:t>
            </w:r>
          </w:p>
        </w:tc>
      </w:tr>
      <w:tr>
        <w:trPr>
          <w:trHeight w:val="396" w:hRule="exact"/>
        </w:trPr>
        <w:tc>
          <w:tcPr>
            <w:tcW w:w="990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6"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43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8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439"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94" w:type="dxa"/>
            <w:vMerge/>
            <w:tcBorders>
              <w:left w:val="single" w:sz="4" w:space="0" w:color="000000"/>
              <w:bottom w:val="nil" w:sz="6" w:space="0" w:color="auto"/>
              <w:right w:val="single" w:sz="4" w:space="0" w:color="000000"/>
            </w:tcBorders>
            <w:shd w:val="clear" w:color="auto" w:fill="D2D2D2"/>
          </w:tcPr>
          <w:p>
            <w:pPr/>
          </w:p>
        </w:tc>
        <w:tc>
          <w:tcPr>
            <w:tcW w:w="1461"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260"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28.04%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94,201,643</w:t>
            </w:r>
          </w:p>
        </w:tc>
        <w:tc>
          <w:tcPr>
            <w:tcW w:w="136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94,201,643</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熊向东</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7.27%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24,410,947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3.43%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11,520,000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3.36%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11,286,000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海通开元投资有限公司</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2.83%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徐豪</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2.71%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光大证券股份有限公司 客户信用交易担保证券 账户</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1.71%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5,761,747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4,196,232</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5,594,976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1.25%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4,196,232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3,147,173</w:t>
            </w:r>
          </w:p>
        </w:tc>
        <w:tc>
          <w:tcPr>
            <w:tcW w:w="1179"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0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33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61"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4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3355" w:type="dxa"/>
            <w:gridSpan w:val="2"/>
            <w:vMerge/>
            <w:tcBorders>
              <w:left w:val="single" w:sz="4" w:space="0" w:color="000000"/>
              <w:bottom w:val="single" w:sz="4" w:space="0" w:color="000000"/>
              <w:right w:val="single" w:sz="4" w:space="0" w:color="000000"/>
            </w:tcBorders>
            <w:shd w:val="clear" w:color="auto" w:fill="D2D2D2"/>
          </w:tcPr>
          <w:p>
            <w:pPr/>
          </w:p>
        </w:tc>
        <w:tc>
          <w:tcPr>
            <w:tcW w:w="4108" w:type="dxa"/>
            <w:gridSpan w:val="3"/>
            <w:vMerge/>
            <w:tcBorders>
              <w:left w:val="single" w:sz="4" w:space="0" w:color="000000"/>
              <w:bottom w:val="single" w:sz="4" w:space="0" w:color="000000"/>
              <w:right w:val="single" w:sz="4" w:space="0" w:color="000000"/>
            </w:tcBorders>
            <w:shd w:val="clear" w:color="auto" w:fill="D2D2D2"/>
          </w:tcPr>
          <w:p>
            <w:pPr/>
          </w:p>
        </w:tc>
        <w:tc>
          <w:tcPr>
            <w:tcW w:w="13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熊向东</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24,410,947</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海通开元投资有限公司</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9,503,467</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徐豪</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光大证券股份有限公司客户信用交易担保 证券账户</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5,761,747</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5,594,976</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中国银行－招商先锋证券投资基金</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4,000,458</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3,996,873</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 券投资基金</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3,574,943</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中国工商银行－宝盈泛沿海区域增长股票 证券投资基金</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2,641,805</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招商证券股份有限公司客户信用交易担保</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2,504,100</w:t>
            </w:r>
          </w:p>
        </w:tc>
        <w:tc>
          <w:tcPr>
            <w:tcW w:w="1363" w:type="dxa"/>
            <w:gridSpan w:val="2"/>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76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spacing w:before="44"/>
        <w:ind w:left="0" w:right="107" w:firstLine="0"/>
        <w:jc w:val="right"/>
        <w:rPr>
          <w:rFonts w:ascii="宋体" w:hAnsi="宋体" w:cs="宋体" w:eastAsia="宋体" w:hint="default"/>
          <w:sz w:val="18"/>
          <w:szCs w:val="18"/>
        </w:rPr>
      </w:pPr>
      <w:r>
        <w:rPr/>
        <w:pict>
          <v:shape style="position:absolute;margin-left:56.459999pt;margin-top:-34.468292pt;width:495.8pt;height:69.9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7"/>
                    <w:gridCol w:w="4104"/>
                    <w:gridCol w:w="1369"/>
                    <w:gridCol w:w="1070"/>
                  </w:tblGrid>
                  <w:tr>
                    <w:trPr>
                      <w:trHeight w:val="363" w:hRule="exact"/>
                    </w:trPr>
                    <w:tc>
                      <w:tcPr>
                        <w:tcW w:w="3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证券账户</w:t>
                        </w:r>
                      </w:p>
                    </w:tc>
                    <w:tc>
                      <w:tcPr>
                        <w:tcW w:w="410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其实先生与沈友根先生系父子关系，与陆丽丽女士系夫妻关系，三人合计持有股份 占公司总股本的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34.82%</w:t>
                        </w:r>
                        <w:r>
                          <w:rPr>
                            <w:rFonts w:ascii="宋体" w:hAnsi="宋体" w:cs="宋体" w:eastAsia="宋体" w:hint="default"/>
                            <w:spacing w:val="-5"/>
                            <w:sz w:val="18"/>
                            <w:szCs w:val="18"/>
                          </w:rPr>
                          <w:t>。除此之外，公司未知上述其他股东之间是否存在关联关系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也未知是否属于一致行动人。</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2"/>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0" w:firstLine="420"/>
        <w:jc w:val="left"/>
      </w:pP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日，其实先生持有公司股份</w:t>
      </w:r>
      <w:r>
        <w:rPr>
          <w:rFonts w:ascii="Times New Roman" w:hAnsi="Times New Roman" w:cs="Times New Roman" w:eastAsia="Times New Roman" w:hint="default"/>
          <w:spacing w:val="-2"/>
        </w:rPr>
        <w:t>94,201,643</w:t>
      </w:r>
      <w:r>
        <w:rPr>
          <w:spacing w:val="-2"/>
        </w:rPr>
        <w:t>股，为公司的控股股东及实际控制人。其实，</w:t>
      </w:r>
      <w:r>
        <w:rPr>
          <w:w w:val="100"/>
        </w:rPr>
        <w:t> </w:t>
      </w:r>
      <w:r>
        <w:rPr/>
        <w:t>中国国籍，自公司成立以来一直担任公司董事长，是公司的发起人。</w:t>
      </w:r>
    </w:p>
    <w:p>
      <w:pPr>
        <w:pStyle w:val="BodyText"/>
        <w:spacing w:line="600" w:lineRule="atLeast" w:before="13"/>
        <w:ind w:left="573" w:right="0" w:hanging="421"/>
        <w:jc w:val="left"/>
      </w:pPr>
      <w:r>
        <w:rPr>
          <w:rFonts w:ascii="Times New Roman" w:hAnsi="Times New Roman" w:cs="Times New Roman" w:eastAsia="Times New Roman" w:hint="default"/>
          <w:b/>
          <w:bCs/>
        </w:rPr>
        <w:t>3</w:t>
      </w:r>
      <w:r>
        <w:rPr>
          <w:rFonts w:ascii="宋体" w:hAnsi="宋体" w:cs="宋体" w:eastAsia="宋体" w:hint="default"/>
          <w:b/>
          <w:bCs/>
        </w:rPr>
        <w:t>、公司实际控制人情况</w:t>
      </w:r>
      <w:r>
        <w:rPr>
          <w:rFonts w:ascii="宋体" w:hAnsi="宋体" w:cs="宋体" w:eastAsia="宋体" w:hint="default"/>
          <w:b/>
          <w:bCs/>
          <w:w w:val="100"/>
        </w:rPr>
        <w:t> </w:t>
      </w:r>
      <w:r>
        <w:rPr>
          <w:spacing w:val="-4"/>
        </w:rPr>
        <w:t>截至</w:t>
      </w:r>
      <w:r>
        <w:rPr>
          <w:rFonts w:ascii="宋体" w:hAnsi="宋体" w:cs="宋体" w:eastAsia="宋体" w:hint="default"/>
          <w:spacing w:val="-4"/>
        </w:rPr>
        <w:t>2012</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日，其实先生持有公司股份</w:t>
      </w:r>
      <w:r>
        <w:rPr>
          <w:rFonts w:ascii="宋体" w:hAnsi="宋体" w:cs="宋体" w:eastAsia="宋体" w:hint="default"/>
          <w:spacing w:val="-4"/>
        </w:rPr>
        <w:t>94,201,643</w:t>
      </w:r>
      <w:r>
        <w:rPr>
          <w:spacing w:val="-4"/>
        </w:rPr>
        <w:t>股，为公司的控股股东及实际控制人。其实，</w:t>
      </w:r>
    </w:p>
    <w:p>
      <w:pPr>
        <w:pStyle w:val="BodyText"/>
        <w:spacing w:line="240" w:lineRule="auto" w:before="37"/>
        <w:ind w:right="0"/>
        <w:jc w:val="left"/>
      </w:pPr>
      <w:r>
        <w:rPr/>
        <w:t>中国国籍，自公司成立以来一直担任公司董事长，是公司的发起人。</w:t>
      </w:r>
    </w:p>
    <w:p>
      <w:pPr>
        <w:spacing w:before="98"/>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3"/>
        <w:rPr>
          <w:rFonts w:ascii="宋体" w:hAnsi="宋体" w:cs="宋体" w:eastAsia="宋体" w:hint="default"/>
          <w:sz w:val="28"/>
          <w:szCs w:val="28"/>
        </w:rPr>
      </w:pPr>
    </w:p>
    <w:p>
      <w:pPr>
        <w:spacing w:line="1665" w:lineRule="exact"/>
        <w:ind w:left="279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2762885" cy="105727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0" cstate="print"/>
                    <a:stretch>
                      <a:fillRect/>
                    </a:stretch>
                  </pic:blipFill>
                  <pic:spPr>
                    <a:xfrm>
                      <a:off x="0" y="0"/>
                      <a:ext cx="2762885" cy="1057275"/>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4"/>
        <w:rPr>
          <w:rFonts w:ascii="宋体" w:hAnsi="宋体" w:cs="宋体" w:eastAsia="宋体" w:hint="default"/>
          <w:sz w:val="20"/>
          <w:szCs w:val="20"/>
        </w:rPr>
      </w:pPr>
    </w:p>
    <w:p>
      <w:pPr>
        <w:pStyle w:val="Heading4"/>
        <w:spacing w:line="240" w:lineRule="auto"/>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94,201,643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公开发行前限售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公开发行前限售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公开发行前限售</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4,196,232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任职期内执行董监高限 售规定</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3,147,173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任职期内执行董监高限 售规定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790,098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任职期内执行董监高限</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700"/>
        </w:sectPr>
      </w:pPr>
    </w:p>
    <w:p>
      <w:pPr>
        <w:spacing w:line="240" w:lineRule="auto" w:before="7"/>
        <w:rPr>
          <w:rFonts w:ascii="Times New Roman" w:hAnsi="Times New Roman" w:cs="Times New Roman" w:eastAsia="Times New Roman"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售规定</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廖双辉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任职期内执行董监高限 售规定</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230,849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任职期内执行董监高限 售规定</w:t>
            </w:r>
          </w:p>
        </w:tc>
      </w:tr>
    </w:tbl>
    <w:p>
      <w:pPr>
        <w:spacing w:after="0" w:line="316" w:lineRule="auto"/>
        <w:jc w:val="left"/>
        <w:rPr>
          <w:rFonts w:ascii="宋体" w:hAnsi="宋体" w:cs="宋体" w:eastAsia="宋体" w:hint="default"/>
          <w:sz w:val="18"/>
          <w:szCs w:val="18"/>
        </w:rPr>
        <w:sectPr>
          <w:pgSz w:w="11910" w:h="16840"/>
          <w:pgMar w:header="852" w:footer="980" w:top="1340" w:bottom="116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pStyle w:val="Heading1"/>
        <w:spacing w:line="240" w:lineRule="auto"/>
        <w:ind w:left="225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3"/>
        <w:spacing w:line="240" w:lineRule="auto"/>
        <w:ind w:left="732" w:right="0"/>
        <w:jc w:val="left"/>
        <w:rPr>
          <w:b w:val="0"/>
          <w:bCs w:val="0"/>
        </w:rPr>
      </w:pPr>
      <w:r>
        <w:rPr/>
        <w:pict>
          <v:shape style="position:absolute;margin-left:435.792999pt;margin-top:97.415596pt;width:56.7pt;height:15.6pt;mso-position-horizontal-relative:page;mso-position-vertical-relative:paragraph;z-index:-66083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504.102997pt;margin-top:91.661598pt;width:65.45pt;height:39.050pt;mso-position-horizontal-relative:page;mso-position-vertical-relative:paragraph;z-index:-660808" type="#_x0000_t202" filled="false" stroked="false">
            <v:textbox inset="0,0,0,0">
              <w:txbxContent>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682"/>
        <w:gridCol w:w="987"/>
        <w:gridCol w:w="437"/>
        <w:gridCol w:w="420"/>
        <w:gridCol w:w="934"/>
        <w:gridCol w:w="835"/>
        <w:gridCol w:w="1121"/>
        <w:gridCol w:w="912"/>
        <w:gridCol w:w="684"/>
        <w:gridCol w:w="986"/>
        <w:gridCol w:w="685"/>
        <w:gridCol w:w="67"/>
        <w:gridCol w:w="615"/>
        <w:gridCol w:w="684"/>
        <w:gridCol w:w="836"/>
      </w:tblGrid>
      <w:tr>
        <w:trPr>
          <w:trHeight w:val="196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3"/>
              <w:jc w:val="right"/>
              <w:rPr>
                <w:rFonts w:ascii="宋体" w:hAnsi="宋体" w:cs="宋体" w:eastAsia="宋体" w:hint="default"/>
                <w:sz w:val="18"/>
                <w:szCs w:val="18"/>
              </w:rPr>
            </w:pPr>
            <w:r>
              <w:rPr>
                <w:rFonts w:ascii="宋体" w:hAnsi="宋体" w:cs="宋体" w:eastAsia="宋体" w:hint="default"/>
                <w:sz w:val="18"/>
                <w:szCs w:val="18"/>
              </w:rPr>
              <w:t>年龄</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80" w:right="10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8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5" w:right="62"/>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实</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58,876,027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35,325,616</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94,201,643</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陶</w:t>
            </w:r>
            <w:r>
              <w:rPr>
                <w:rFonts w:ascii="宋体" w:hAnsi="宋体" w:cs="宋体" w:eastAsia="宋体" w:hint="default"/>
                <w:spacing w:val="1"/>
                <w:sz w:val="18"/>
                <w:szCs w:val="18"/>
              </w:rPr>
              <w:t> </w:t>
            </w:r>
            <w:r>
              <w:rPr>
                <w:rFonts w:ascii="宋体" w:hAnsi="宋体" w:cs="宋体" w:eastAsia="宋体" w:hint="default"/>
                <w:sz w:val="18"/>
                <w:szCs w:val="18"/>
              </w:rPr>
              <w:t>涛</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8"/>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2,622,645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1,573,587</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4,196,232</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133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陆</w:t>
            </w:r>
            <w:r>
              <w:rPr>
                <w:rFonts w:ascii="宋体" w:hAnsi="宋体" w:cs="宋体" w:eastAsia="宋体" w:hint="default"/>
                <w:spacing w:val="1"/>
                <w:sz w:val="18"/>
                <w:szCs w:val="18"/>
              </w:rPr>
              <w:t> </w:t>
            </w:r>
            <w:r>
              <w:rPr>
                <w:rFonts w:ascii="宋体" w:hAnsi="宋体" w:cs="宋体" w:eastAsia="宋体" w:hint="default"/>
                <w:sz w:val="18"/>
                <w:szCs w:val="18"/>
              </w:rPr>
              <w:t>威</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8"/>
              <w:jc w:val="both"/>
              <w:rPr>
                <w:rFonts w:ascii="宋体" w:hAnsi="宋体" w:cs="宋体" w:eastAsia="宋体" w:hint="default"/>
                <w:sz w:val="18"/>
                <w:szCs w:val="18"/>
              </w:rPr>
            </w:pPr>
            <w:r>
              <w:rPr>
                <w:rFonts w:ascii="宋体" w:hAnsi="宋体" w:cs="宋体" w:eastAsia="宋体" w:hint="default"/>
                <w:sz w:val="18"/>
                <w:szCs w:val="18"/>
              </w:rPr>
              <w:t>副董事长、 副总经理、 财务总监、 董事会秘书</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192,375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115,424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269,399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81"/>
              <w:jc w:val="left"/>
              <w:rPr>
                <w:rFonts w:ascii="宋体" w:hAnsi="宋体" w:cs="宋体" w:eastAsia="宋体" w:hint="default"/>
                <w:sz w:val="18"/>
                <w:szCs w:val="18"/>
              </w:rPr>
            </w:pPr>
            <w:r>
              <w:rPr>
                <w:rFonts w:ascii="宋体" w:hAnsi="宋体" w:cs="宋体" w:eastAsia="宋体" w:hint="default"/>
                <w:sz w:val="18"/>
                <w:szCs w:val="18"/>
              </w:rPr>
              <w:t>权益分 派、出售</w:t>
            </w: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1"/>
                <w:sz w:val="18"/>
                <w:szCs w:val="18"/>
              </w:rPr>
              <w:t> </w:t>
            </w:r>
            <w:r>
              <w:rPr>
                <w:rFonts w:ascii="宋体" w:hAnsi="宋体" w:cs="宋体" w:eastAsia="宋体" w:hint="default"/>
                <w:sz w:val="18"/>
                <w:szCs w:val="18"/>
              </w:rPr>
              <w:t>磊</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8"/>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658,415</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395,049</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1,053,464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廖双辉</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48"/>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637,500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382,500</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张赛美</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李智平</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吕长江</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沈国权</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3,496,860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2,098,116</w:t>
            </w: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5,594,976</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权益分派</w:t>
            </w:r>
          </w:p>
        </w:tc>
      </w:tr>
      <w:tr>
        <w:trPr>
          <w:trHeight w:val="713"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毛芸飞</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66,483,822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39,890,292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106,335,714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400" w:right="40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76"/>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56" w:lineRule="auto" w:before="80"/>
        <w:ind w:left="573" w:right="76"/>
        <w:jc w:val="left"/>
      </w:pPr>
      <w:r>
        <w:rPr>
          <w:rFonts w:ascii="Times New Roman" w:hAnsi="Times New Roman" w:cs="Times New Roman" w:eastAsia="Times New Roman" w:hint="default"/>
        </w:rPr>
        <w:t>1</w:t>
      </w:r>
      <w:r>
        <w:rPr/>
        <w:t>、董事会成员</w:t>
      </w:r>
      <w:r>
        <w:rPr>
          <w:w w:val="100"/>
        </w:rPr>
        <w:t> </w:t>
      </w:r>
      <w:r>
        <w:rPr>
          <w:spacing w:val="-2"/>
        </w:rPr>
        <w:t>其实，男，</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10</w:t>
      </w:r>
      <w:r>
        <w:rPr>
          <w:spacing w:val="-2"/>
        </w:rPr>
        <w:t>月生，中国国籍，无永久境外居留权，上海市第十一届政协委员，上海交通大学</w:t>
      </w:r>
    </w:p>
    <w:p>
      <w:pPr>
        <w:pStyle w:val="BodyText"/>
        <w:spacing w:line="264" w:lineRule="auto" w:before="5"/>
        <w:ind w:right="76"/>
        <w:jc w:val="left"/>
      </w:pPr>
      <w:r>
        <w:rPr>
          <w:spacing w:val="-2"/>
        </w:rPr>
        <w:t>工学学士、复旦大学高级工商管理硕士（</w:t>
      </w:r>
      <w:r>
        <w:rPr>
          <w:rFonts w:ascii="Times New Roman" w:hAnsi="Times New Roman" w:cs="Times New Roman" w:eastAsia="Times New Roman" w:hint="default"/>
          <w:spacing w:val="-2"/>
        </w:rPr>
        <w:t>EMBA</w:t>
      </w:r>
      <w:r>
        <w:rPr>
          <w:spacing w:val="-2"/>
        </w:rPr>
        <w:t>）。曾任职中国国际期货经纪</w:t>
      </w:r>
      <w:r>
        <w:rPr>
          <w:rFonts w:ascii="Times New Roman" w:hAnsi="Times New Roman" w:cs="Times New Roman" w:eastAsia="Times New Roman" w:hint="default"/>
          <w:spacing w:val="-2"/>
        </w:rPr>
        <w:t>(</w:t>
      </w:r>
      <w:r>
        <w:rPr>
          <w:spacing w:val="-2"/>
        </w:rPr>
        <w:t>上海</w:t>
      </w:r>
      <w:r>
        <w:rPr>
          <w:rFonts w:ascii="Times New Roman" w:hAnsi="Times New Roman" w:cs="Times New Roman" w:eastAsia="Times New Roman" w:hint="default"/>
          <w:spacing w:val="-2"/>
        </w:rPr>
        <w:t>)</w:t>
      </w:r>
      <w:r>
        <w:rPr>
          <w:spacing w:val="-2"/>
        </w:rPr>
        <w:t>有限公司、上海世基</w:t>
      </w:r>
      <w:r>
        <w:rPr>
          <w:spacing w:val="-17"/>
        </w:rPr>
        <w:t> </w:t>
      </w:r>
      <w:r>
        <w:rPr>
          <w:spacing w:val="-17"/>
        </w:rPr>
      </w:r>
      <w:r>
        <w:rPr>
          <w:spacing w:val="-2"/>
        </w:rPr>
        <w:t>投资顾问有限公司副总经理、上海久联证券经纪有限公司总裁助理兼研发部总经理、上海益邦投资咨询有</w:t>
      </w:r>
      <w:r>
        <w:rPr>
          <w:spacing w:val="-44"/>
        </w:rPr>
        <w:t> </w:t>
      </w:r>
      <w:r>
        <w:rPr>
          <w:spacing w:val="-44"/>
        </w:rPr>
      </w:r>
      <w:r>
        <w:rPr/>
        <w:t>限公司总经理。其实先生是公司的创始人，现任本公司董事长，任期为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6" w:lineRule="auto" w:before="0"/>
        <w:ind w:right="207" w:firstLine="420"/>
        <w:jc w:val="both"/>
      </w:pPr>
      <w:r>
        <w:rPr>
          <w:spacing w:val="-2"/>
        </w:rPr>
        <w:t>陶涛，男，</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12</w:t>
      </w:r>
      <w:r>
        <w:rPr>
          <w:spacing w:val="-2"/>
        </w:rPr>
        <w:t>月生，中国国籍，无永久境外居留权，大学本科。曾任职于上海兰生集团有限公</w:t>
      </w:r>
      <w:r>
        <w:rPr>
          <w:w w:val="100"/>
        </w:rPr>
        <w:t> </w:t>
      </w:r>
      <w:r>
        <w:rPr>
          <w:spacing w:val="-2"/>
        </w:rPr>
        <w:t>司企宣部、公共事务部、总经理办公室，期间担任东视财经特约记者，负责东方电视台、北京电视台、深</w:t>
      </w:r>
      <w:r>
        <w:rPr>
          <w:spacing w:val="-45"/>
        </w:rPr>
        <w:t> </w:t>
      </w:r>
      <w:r>
        <w:rPr>
          <w:spacing w:val="-45"/>
        </w:rPr>
      </w:r>
      <w:r>
        <w:rPr>
          <w:spacing w:val="-2"/>
        </w:rPr>
        <w:t>圳电视台联合制作的《证券无限三地通》节目的上海地区采编工作。现任本公司副董事长、总经理，任期</w:t>
      </w:r>
      <w:r>
        <w:rPr>
          <w:spacing w:val="-43"/>
        </w:rPr>
        <w:t> </w:t>
      </w:r>
      <w:r>
        <w:rPr>
          <w:spacing w:val="-43"/>
        </w:rPr>
      </w:r>
      <w:r>
        <w:rPr/>
        <w:t>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4" w:lineRule="auto" w:before="0"/>
        <w:ind w:right="206" w:firstLine="420"/>
        <w:jc w:val="both"/>
      </w:pPr>
      <w:r>
        <w:rPr>
          <w:spacing w:val="-2"/>
        </w:rPr>
        <w:t>陆威，男，</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10</w:t>
      </w:r>
      <w:r>
        <w:rPr>
          <w:spacing w:val="-2"/>
        </w:rPr>
        <w:t>月生，中国国籍，无永久境外居留权，复旦大学高级工商管理硕士（</w:t>
      </w:r>
      <w:r>
        <w:rPr>
          <w:rFonts w:ascii="Times New Roman" w:hAnsi="Times New Roman" w:cs="Times New Roman" w:eastAsia="Times New Roman" w:hint="default"/>
          <w:spacing w:val="-2"/>
        </w:rPr>
        <w:t>EMBA</w:t>
      </w:r>
      <w:r>
        <w:rPr>
          <w:spacing w:val="-2"/>
        </w:rPr>
        <w:t>），</w:t>
      </w:r>
      <w:r>
        <w:rPr>
          <w:w w:val="100"/>
        </w:rPr>
        <w:t> </w:t>
      </w:r>
      <w:r>
        <w:rPr>
          <w:spacing w:val="-2"/>
        </w:rPr>
        <w:t>高级会计师。曾任中外运集装箱运输有限公司财务部资金计划科经理、财务部总经理助理、副总经理、总</w:t>
      </w:r>
      <w:r>
        <w:rPr>
          <w:spacing w:val="-47"/>
        </w:rPr>
        <w:t> </w:t>
      </w:r>
      <w:r>
        <w:rPr>
          <w:spacing w:val="-47"/>
        </w:rPr>
      </w:r>
      <w:r>
        <w:rPr/>
        <w:t>经理。现任本公司副董事长、副总经理、财务总监、董事会秘书，任期为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4" w:lineRule="auto" w:before="0"/>
        <w:ind w:right="76" w:firstLine="420"/>
        <w:jc w:val="left"/>
      </w:pPr>
      <w:r>
        <w:rPr/>
        <w:t>程磊，男，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2</w:t>
      </w:r>
      <w:r>
        <w:rPr/>
        <w:t>月生，中国国籍，无永久境外居留权，复旦大学计算机软件专业本科学历，复旦</w:t>
      </w:r>
      <w:r>
        <w:rPr>
          <w:w w:val="100"/>
        </w:rPr>
        <w:t> </w:t>
      </w:r>
      <w:r>
        <w:rPr>
          <w:spacing w:val="-2"/>
        </w:rPr>
        <w:t>大学软件工程硕士。曾任上海美宁计算机网络有限公司技术部开发组成员、项目经理，环球外汇网副总经</w:t>
      </w:r>
      <w:r>
        <w:rPr>
          <w:spacing w:val="-43"/>
        </w:rPr>
        <w:t> </w:t>
      </w:r>
      <w:r>
        <w:rPr>
          <w:spacing w:val="-43"/>
        </w:rPr>
      </w:r>
      <w:r>
        <w:rPr/>
        <w:t>理兼技术总监，本公司研发中心总监。现任本公司董事、副总经理，任期为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4" w:lineRule="auto" w:before="0"/>
        <w:ind w:right="76" w:firstLine="420"/>
        <w:jc w:val="left"/>
      </w:pPr>
      <w:r>
        <w:rPr/>
        <w:t>廖双辉，男，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月生，中国国籍，无永久境外居留权，大学本科。曾任和讯信息科技有限公司</w:t>
      </w:r>
      <w:r>
        <w:rPr>
          <w:w w:val="100"/>
        </w:rPr>
        <w:t> </w:t>
      </w:r>
      <w:r>
        <w:rPr>
          <w:spacing w:val="-5"/>
        </w:rPr>
        <w:t>市场部经理、深圳分公司总经理，广州和讯信息科技有限公司总经理，上海和讯信息科技有限公司总经理， </w:t>
      </w:r>
      <w:r>
        <w:rPr>
          <w:spacing w:val="-5"/>
        </w:rPr>
      </w:r>
      <w:r>
        <w:rPr/>
        <w:t>和讯网华东区总经理。现任本公司董事、副总经理，任期为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8" w:lineRule="auto" w:before="0"/>
        <w:ind w:right="76" w:firstLine="420"/>
        <w:jc w:val="left"/>
      </w:pPr>
      <w:r>
        <w:rPr/>
        <w:t>张赛美，女，</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1</w:t>
      </w:r>
      <w:r>
        <w:rPr/>
        <w:t>月生，中国国籍，无永久境外居留权，硕士研究生，高级经济师。曾任上海社</w:t>
      </w:r>
      <w:r>
        <w:rPr>
          <w:w w:val="100"/>
        </w:rPr>
        <w:t> </w:t>
      </w:r>
      <w:r>
        <w:rPr>
          <w:spacing w:val="-2"/>
        </w:rPr>
        <w:t>会科学院经济研究所助理研究员，海通证券有限公司投资银行部总经理、并购部总经理、战略规划部总经</w:t>
      </w:r>
      <w:r>
        <w:rPr>
          <w:spacing w:val="-43"/>
        </w:rPr>
        <w:t> </w:t>
      </w:r>
      <w:r>
        <w:rPr>
          <w:spacing w:val="-43"/>
        </w:rPr>
      </w:r>
      <w:r>
        <w:rPr>
          <w:spacing w:val="-2"/>
        </w:rPr>
        <w:t>理、衍生产品部总经理。现任海通开元投资有限公司董事长、海通证券股份有限公司股权投资与合作办公</w:t>
      </w:r>
      <w:r>
        <w:rPr>
          <w:spacing w:val="-43"/>
        </w:rPr>
        <w:t> </w:t>
      </w:r>
      <w:r>
        <w:rPr>
          <w:spacing w:val="-43"/>
        </w:rPr>
      </w:r>
      <w:r>
        <w:rPr/>
        <w:t>室负责人，本公司董事，任期为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6" w:lineRule="auto" w:before="0"/>
        <w:ind w:right="76" w:firstLine="420"/>
        <w:jc w:val="left"/>
      </w:pPr>
      <w:r>
        <w:rPr/>
        <w:t>李智平，男，</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4</w:t>
      </w:r>
      <w:r>
        <w:rPr/>
        <w:t>月生，中国国籍，无永久境外居留权，硕士研究生。曾任上海青年报社长兼总</w:t>
      </w:r>
      <w:r>
        <w:rPr>
          <w:w w:val="100"/>
        </w:rPr>
        <w:t> </w:t>
      </w:r>
      <w:r>
        <w:rPr>
          <w:spacing w:val="-2"/>
        </w:rPr>
        <w:t>编辑，上海东方网股份有限公司总经理，上海信息服务行业协会理事长、上海东方网股份有限公司董事长</w:t>
      </w:r>
      <w:r>
        <w:rPr>
          <w:spacing w:val="-44"/>
        </w:rPr>
        <w:t> </w:t>
      </w:r>
      <w:r>
        <w:rPr>
          <w:spacing w:val="-44"/>
        </w:rPr>
      </w:r>
      <w:r>
        <w:rPr>
          <w:spacing w:val="-2"/>
        </w:rPr>
        <w:t>兼总裁。现任中国数字影像出版拓展中心总经理、东方出版中心总编辑、上海市网络文化协会执行会长、</w:t>
      </w:r>
      <w:r>
        <w:rPr>
          <w:spacing w:val="-21"/>
        </w:rPr>
        <w:t> </w:t>
      </w:r>
      <w:r>
        <w:rPr>
          <w:spacing w:val="-21"/>
        </w:rPr>
      </w:r>
      <w:r>
        <w:rPr/>
        <w:t>本公司独立董事，任期为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6" w:lineRule="auto" w:before="0"/>
        <w:ind w:right="76" w:firstLine="420"/>
        <w:jc w:val="left"/>
      </w:pPr>
      <w:r>
        <w:rPr>
          <w:spacing w:val="-5"/>
        </w:rPr>
        <w:t>吕长江，男，</w:t>
      </w:r>
      <w:r>
        <w:rPr>
          <w:rFonts w:ascii="Times New Roman" w:hAnsi="Times New Roman" w:cs="Times New Roman" w:eastAsia="Times New Roman" w:hint="default"/>
          <w:spacing w:val="-5"/>
        </w:rPr>
        <w:t>1965</w:t>
      </w:r>
      <w:r>
        <w:rPr>
          <w:spacing w:val="-5"/>
        </w:rPr>
        <w:t>年</w:t>
      </w:r>
      <w:r>
        <w:rPr>
          <w:rFonts w:ascii="Times New Roman" w:hAnsi="Times New Roman" w:cs="Times New Roman" w:eastAsia="Times New Roman" w:hint="default"/>
          <w:spacing w:val="-5"/>
        </w:rPr>
        <w:t>12</w:t>
      </w:r>
      <w:r>
        <w:rPr>
          <w:spacing w:val="-5"/>
        </w:rPr>
        <w:t>月生，中国国籍，无永久境外居留权，博士研究生。复旦大学管理学院副院长、</w:t>
      </w:r>
      <w:r>
        <w:rPr>
          <w:w w:val="100"/>
        </w:rPr>
        <w:t> </w:t>
      </w:r>
      <w:r>
        <w:rPr>
          <w:spacing w:val="-7"/>
        </w:rPr>
        <w:t>会计系主任、教授、博士生导师，享受国务院政府特殊津贴，财政部会计准则咨询委员会专家组成员、《中</w:t>
      </w:r>
      <w:r>
        <w:rPr>
          <w:spacing w:val="-23"/>
        </w:rPr>
        <w:t> </w:t>
      </w:r>
      <w:r>
        <w:rPr>
          <w:spacing w:val="-23"/>
        </w:rPr>
      </w:r>
      <w:r>
        <w:rPr>
          <w:spacing w:val="-2"/>
        </w:rPr>
        <w:t>国会计评论》副主编、上海金丰投资股份有限公司独立董事、浙江中国小商品城集团股份有限公司独立董</w:t>
      </w:r>
      <w:r>
        <w:rPr>
          <w:spacing w:val="-43"/>
        </w:rPr>
        <w:t> </w:t>
      </w:r>
      <w:r>
        <w:rPr>
          <w:spacing w:val="-43"/>
        </w:rPr>
      </w:r>
      <w:r>
        <w:rPr/>
        <w:t>事、本公司独立董事，任期为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61" w:lineRule="auto" w:before="0"/>
        <w:ind w:right="76" w:firstLine="420"/>
        <w:jc w:val="left"/>
      </w:pPr>
      <w:r>
        <w:rPr/>
        <w:t>沈国权，男，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3</w:t>
      </w:r>
      <w:r>
        <w:rPr/>
        <w:t>月生，中国国籍，无永久境外居留权，硕士研究生。曾任职于上海市人民检察</w:t>
      </w:r>
      <w:r>
        <w:rPr>
          <w:w w:val="100"/>
        </w:rPr>
        <w:t> </w:t>
      </w:r>
      <w:r>
        <w:rPr>
          <w:spacing w:val="-5"/>
        </w:rPr>
        <w:t>院政策研究室、上海市万国律师事务所、上海天和律师事务所。现任上海市锦天城律师事务所高级合伙人，</w:t>
      </w:r>
      <w:r>
        <w:rPr>
          <w:spacing w:val="-4"/>
        </w:rPr>
        <w:t> </w:t>
      </w:r>
      <w:r>
        <w:rPr>
          <w:spacing w:val="-4"/>
        </w:rPr>
      </w:r>
      <w:r>
        <w:rPr>
          <w:spacing w:val="-2"/>
        </w:rPr>
        <w:t>上海新华传媒股份公司独立董事、浙江水晶光电科技股份公司独立董事、本公司独立董事，任期为</w:t>
      </w:r>
      <w:r>
        <w:rPr>
          <w:rFonts w:ascii="Times New Roman" w:hAnsi="Times New Roman" w:cs="Times New Roman" w:eastAsia="Times New Roman" w:hint="default"/>
          <w:spacing w:val="-2"/>
        </w:rPr>
        <w:t>2011</w:t>
      </w:r>
      <w:r>
        <w:rPr>
          <w:spacing w:val="-2"/>
        </w:rPr>
        <w:t>年</w:t>
      </w:r>
      <w:r>
        <w:rPr>
          <w:spacing w:val="-40"/>
        </w:rPr>
        <w:t> </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56" w:lineRule="auto" w:before="0"/>
        <w:ind w:left="573" w:right="76"/>
        <w:jc w:val="left"/>
      </w:pPr>
      <w:r>
        <w:rPr>
          <w:rFonts w:ascii="Times New Roman" w:hAnsi="Times New Roman" w:cs="Times New Roman" w:eastAsia="Times New Roman" w:hint="default"/>
        </w:rPr>
        <w:t>2</w:t>
      </w:r>
      <w:r>
        <w:rPr/>
        <w:t>、监事会成员</w:t>
      </w:r>
      <w:r>
        <w:rPr>
          <w:w w:val="100"/>
        </w:rPr>
        <w:t> </w:t>
      </w:r>
      <w:r>
        <w:rPr>
          <w:spacing w:val="-2"/>
        </w:rPr>
        <w:t>鲍一青，男，</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月生，中国国籍，无永久境外居留权，大专学历。曾任上海世基投资顾问有限</w:t>
      </w:r>
    </w:p>
    <w:p>
      <w:pPr>
        <w:pStyle w:val="BodyText"/>
        <w:spacing w:line="256" w:lineRule="auto" w:before="5"/>
        <w:ind w:right="76"/>
        <w:jc w:val="left"/>
      </w:pPr>
      <w:r>
        <w:rPr>
          <w:spacing w:val="-7"/>
        </w:rPr>
        <w:t>公司部门经理，上海益邦投资咨询有限公司副总经理。现任本公司内容部副总监、监事会主席，任期为</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56" w:lineRule="auto" w:before="5"/>
        <w:ind w:right="76" w:firstLine="420"/>
        <w:jc w:val="left"/>
      </w:pPr>
      <w:r>
        <w:rPr>
          <w:spacing w:val="-2"/>
        </w:rPr>
        <w:t>毛芸飞，女，</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1</w:t>
      </w:r>
      <w:r>
        <w:rPr>
          <w:spacing w:val="-2"/>
        </w:rPr>
        <w:t>月生，中国国籍，无永久境外居留权，大学本科。</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11</w:t>
      </w:r>
      <w:r>
        <w:rPr>
          <w:spacing w:val="-2"/>
        </w:rPr>
        <w:t>月加入本公司，现</w:t>
      </w:r>
      <w:r>
        <w:rPr>
          <w:w w:val="100"/>
        </w:rPr>
        <w:t> </w:t>
      </w:r>
      <w:r>
        <w:rPr/>
        <w:t>任本公司人力资源部人事经理、监事，任期为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01</w:t>
      </w:r>
      <w:r>
        <w:rPr/>
        <w:t>月。</w:t>
      </w:r>
    </w:p>
    <w:p>
      <w:pPr>
        <w:pStyle w:val="BodyText"/>
        <w:spacing w:line="240" w:lineRule="auto" w:before="5"/>
        <w:ind w:left="573" w:right="76"/>
        <w:jc w:val="left"/>
      </w:pPr>
      <w:r>
        <w:rPr/>
        <w:t>叶露，女，</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12</w:t>
      </w:r>
      <w:r>
        <w:rPr/>
        <w:t>月生，中国国籍，无永久境外居留权，大学本科。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月加入本公司，现任</w:t>
      </w:r>
    </w:p>
    <w:p>
      <w:pPr>
        <w:spacing w:after="0" w:line="240"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18"/>
        <w:ind w:left="673" w:right="3187" w:hanging="421"/>
        <w:jc w:val="left"/>
      </w:pPr>
      <w:r>
        <w:rPr>
          <w:spacing w:val="-2"/>
        </w:rPr>
        <w:t>本公司财务部经理，职工代表监事，任期为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01</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01</w:t>
      </w:r>
      <w:r>
        <w:rPr>
          <w:spacing w:val="-2"/>
        </w:rPr>
        <w:t>月。</w:t>
      </w:r>
      <w:r>
        <w:rPr>
          <w:spacing w:val="-36"/>
        </w:rPr>
        <w:t> </w:t>
      </w:r>
      <w:r>
        <w:rPr>
          <w:rFonts w:ascii="Times New Roman" w:hAnsi="Times New Roman" w:cs="Times New Roman" w:eastAsia="Times New Roman" w:hint="default"/>
        </w:rPr>
        <w:t>3</w:t>
      </w:r>
      <w:r>
        <w:rPr/>
        <w:t>、高级管理人员</w:t>
      </w:r>
      <w:r>
        <w:rPr>
          <w:w w:val="100"/>
        </w:rPr>
        <w:t> </w:t>
      </w:r>
      <w:r>
        <w:rPr>
          <w:spacing w:val="-2"/>
          <w:w w:val="99"/>
        </w:rPr>
        <w:t>陶涛，总经理，简历详见本节之</w:t>
      </w:r>
      <w:r>
        <w:rPr>
          <w:rFonts w:ascii="Times New Roman" w:hAnsi="Times New Roman" w:cs="Times New Roman" w:eastAsia="Times New Roman" w:hint="default"/>
          <w:spacing w:val="-2"/>
          <w:w w:val="99"/>
        </w:rPr>
        <w:t>―1</w:t>
      </w:r>
      <w:r>
        <w:rPr>
          <w:spacing w:val="-2"/>
          <w:w w:val="99"/>
        </w:rPr>
        <w:t>、董事会成员</w:t>
      </w:r>
      <w:r>
        <w:rPr>
          <w:rFonts w:ascii="Times New Roman" w:hAnsi="Times New Roman" w:cs="Times New Roman" w:eastAsia="Times New Roman" w:hint="default"/>
          <w:spacing w:val="-2"/>
          <w:w w:val="99"/>
        </w:rPr>
        <w:t>‖</w:t>
      </w:r>
      <w:r>
        <w:rPr>
          <w:spacing w:val="-2"/>
          <w:w w:val="99"/>
        </w:rPr>
        <w:t>。</w:t>
      </w:r>
    </w:p>
    <w:p>
      <w:pPr>
        <w:pStyle w:val="BodyText"/>
        <w:spacing w:line="256" w:lineRule="auto" w:before="5"/>
        <w:ind w:left="673" w:right="2237"/>
        <w:jc w:val="left"/>
      </w:pPr>
      <w:r>
        <w:rPr>
          <w:w w:val="100"/>
        </w:rPr>
        <w:t>陆威</w:t>
      </w:r>
      <w:r>
        <w:rPr>
          <w:spacing w:val="-3"/>
          <w:w w:val="100"/>
        </w:rPr>
        <w:t>，</w:t>
      </w:r>
      <w:r>
        <w:rPr>
          <w:w w:val="100"/>
        </w:rPr>
        <w:t>副</w:t>
      </w:r>
      <w:r>
        <w:rPr>
          <w:spacing w:val="-3"/>
          <w:w w:val="100"/>
        </w:rPr>
        <w:t>总</w:t>
      </w:r>
      <w:r>
        <w:rPr>
          <w:w w:val="100"/>
        </w:rPr>
        <w:t>经</w:t>
      </w:r>
      <w:r>
        <w:rPr>
          <w:spacing w:val="-3"/>
          <w:w w:val="100"/>
        </w:rPr>
        <w:t>理</w:t>
      </w:r>
      <w:r>
        <w:rPr>
          <w:w w:val="100"/>
        </w:rPr>
        <w:t>、</w:t>
      </w:r>
      <w:r>
        <w:rPr>
          <w:spacing w:val="-3"/>
          <w:w w:val="100"/>
        </w:rPr>
        <w:t>财</w:t>
      </w:r>
      <w:r>
        <w:rPr>
          <w:w w:val="100"/>
        </w:rPr>
        <w:t>务</w:t>
      </w:r>
      <w:r>
        <w:rPr>
          <w:spacing w:val="-3"/>
          <w:w w:val="100"/>
        </w:rPr>
        <w:t>总</w:t>
      </w:r>
      <w:r>
        <w:rPr>
          <w:w w:val="100"/>
        </w:rPr>
        <w:t>监、</w:t>
      </w:r>
      <w:r>
        <w:rPr>
          <w:spacing w:val="-3"/>
          <w:w w:val="100"/>
        </w:rPr>
        <w:t>董</w:t>
      </w:r>
      <w:r>
        <w:rPr>
          <w:w w:val="100"/>
        </w:rPr>
        <w:t>事</w:t>
      </w:r>
      <w:r>
        <w:rPr>
          <w:spacing w:val="-3"/>
          <w:w w:val="100"/>
        </w:rPr>
        <w:t>会</w:t>
      </w:r>
      <w:r>
        <w:rPr>
          <w:w w:val="100"/>
        </w:rPr>
        <w:t>秘</w:t>
      </w:r>
      <w:r>
        <w:rPr>
          <w:spacing w:val="-3"/>
          <w:w w:val="100"/>
        </w:rPr>
        <w:t>书</w:t>
      </w:r>
      <w:r>
        <w:rPr>
          <w:w w:val="100"/>
        </w:rPr>
        <w:t>，</w:t>
      </w:r>
      <w:r>
        <w:rPr>
          <w:spacing w:val="-3"/>
          <w:w w:val="100"/>
        </w:rPr>
        <w:t>简</w:t>
      </w:r>
      <w:r>
        <w:rPr>
          <w:w w:val="100"/>
        </w:rPr>
        <w:t>历</w:t>
      </w:r>
      <w:r>
        <w:rPr>
          <w:spacing w:val="-3"/>
          <w:w w:val="100"/>
        </w:rPr>
        <w:t>详</w:t>
      </w:r>
      <w:r>
        <w:rPr>
          <w:w w:val="100"/>
        </w:rPr>
        <w:t>见本</w:t>
      </w:r>
      <w:r>
        <w:rPr>
          <w:spacing w:val="-3"/>
          <w:w w:val="100"/>
        </w:rPr>
        <w:t>节</w:t>
      </w:r>
      <w:r>
        <w:rPr>
          <w:w w:val="100"/>
        </w:rPr>
        <w:t>之</w:t>
      </w:r>
      <w:r>
        <w:rPr>
          <w:rFonts w:ascii="Times New Roman" w:hAnsi="Times New Roman" w:cs="Times New Roman" w:eastAsia="Times New Roman" w:hint="default"/>
          <w:spacing w:val="-1"/>
          <w:w w:val="63"/>
        </w:rPr>
        <w:t>―</w:t>
      </w:r>
      <w:r>
        <w:rPr>
          <w:rFonts w:ascii="Times New Roman" w:hAnsi="Times New Roman" w:cs="Times New Roman" w:eastAsia="Times New Roman" w:hint="default"/>
          <w:spacing w:val="-3"/>
          <w:w w:val="63"/>
        </w:rPr>
        <w:t>1</w:t>
      </w:r>
      <w:r>
        <w:rPr>
          <w:w w:val="100"/>
        </w:rPr>
        <w:t>、</w:t>
      </w:r>
      <w:r>
        <w:rPr>
          <w:spacing w:val="-3"/>
          <w:w w:val="100"/>
        </w:rPr>
        <w:t>董</w:t>
      </w:r>
      <w:r>
        <w:rPr>
          <w:w w:val="100"/>
        </w:rPr>
        <w:t>事</w:t>
      </w:r>
      <w:r>
        <w:rPr>
          <w:spacing w:val="-3"/>
          <w:w w:val="100"/>
        </w:rPr>
        <w:t>会</w:t>
      </w:r>
      <w:r>
        <w:rPr>
          <w:w w:val="100"/>
        </w:rPr>
        <w:t>成</w:t>
      </w:r>
      <w:r>
        <w:rPr>
          <w:spacing w:val="-1"/>
          <w:w w:val="100"/>
        </w:rPr>
        <w:t>员</w:t>
      </w:r>
      <w:r>
        <w:rPr>
          <w:rFonts w:ascii="Times New Roman" w:hAnsi="Times New Roman" w:cs="Times New Roman" w:eastAsia="Times New Roman" w:hint="default"/>
          <w:spacing w:val="-3"/>
          <w:w w:val="159"/>
        </w:rPr>
        <w:t>‖</w:t>
      </w:r>
      <w:r>
        <w:rPr>
          <w:w w:val="100"/>
        </w:rPr>
        <w:t>。 程磊</w:t>
      </w:r>
      <w:r>
        <w:rPr>
          <w:spacing w:val="-3"/>
          <w:w w:val="100"/>
        </w:rPr>
        <w:t>，</w:t>
      </w:r>
      <w:r>
        <w:rPr>
          <w:w w:val="100"/>
        </w:rPr>
        <w:t>副</w:t>
      </w:r>
      <w:r>
        <w:rPr>
          <w:spacing w:val="-3"/>
          <w:w w:val="100"/>
        </w:rPr>
        <w:t>总</w:t>
      </w:r>
      <w:r>
        <w:rPr>
          <w:w w:val="100"/>
        </w:rPr>
        <w:t>经</w:t>
      </w:r>
      <w:r>
        <w:rPr>
          <w:spacing w:val="-3"/>
          <w:w w:val="100"/>
        </w:rPr>
        <w:t>理</w:t>
      </w:r>
      <w:r>
        <w:rPr>
          <w:w w:val="100"/>
        </w:rPr>
        <w:t>，</w:t>
      </w:r>
      <w:r>
        <w:rPr>
          <w:spacing w:val="-3"/>
          <w:w w:val="100"/>
        </w:rPr>
        <w:t>简</w:t>
      </w:r>
      <w:r>
        <w:rPr>
          <w:w w:val="100"/>
        </w:rPr>
        <w:t>历</w:t>
      </w:r>
      <w:r>
        <w:rPr>
          <w:spacing w:val="-3"/>
          <w:w w:val="100"/>
        </w:rPr>
        <w:t>详</w:t>
      </w:r>
      <w:r>
        <w:rPr>
          <w:w w:val="100"/>
        </w:rPr>
        <w:t>见本</w:t>
      </w:r>
      <w:r>
        <w:rPr>
          <w:spacing w:val="-3"/>
          <w:w w:val="100"/>
        </w:rPr>
        <w:t>节</w:t>
      </w:r>
      <w:r>
        <w:rPr>
          <w:w w:val="100"/>
        </w:rPr>
        <w:t>之</w:t>
      </w:r>
      <w:r>
        <w:rPr>
          <w:rFonts w:ascii="Times New Roman" w:hAnsi="Times New Roman" w:cs="Times New Roman" w:eastAsia="Times New Roman" w:hint="default"/>
          <w:spacing w:val="-1"/>
          <w:w w:val="63"/>
        </w:rPr>
        <w:t>―</w:t>
      </w:r>
      <w:r>
        <w:rPr>
          <w:rFonts w:ascii="Times New Roman" w:hAnsi="Times New Roman" w:cs="Times New Roman" w:eastAsia="Times New Roman" w:hint="default"/>
          <w:spacing w:val="-3"/>
          <w:w w:val="63"/>
        </w:rPr>
        <w:t>1</w:t>
      </w:r>
      <w:r>
        <w:rPr>
          <w:w w:val="100"/>
        </w:rPr>
        <w:t>、</w:t>
      </w:r>
      <w:r>
        <w:rPr>
          <w:spacing w:val="-3"/>
          <w:w w:val="100"/>
        </w:rPr>
        <w:t>董</w:t>
      </w:r>
      <w:r>
        <w:rPr>
          <w:w w:val="100"/>
        </w:rPr>
        <w:t>事</w:t>
      </w:r>
      <w:r>
        <w:rPr>
          <w:spacing w:val="-3"/>
          <w:w w:val="100"/>
        </w:rPr>
        <w:t>会</w:t>
      </w:r>
      <w:r>
        <w:rPr>
          <w:w w:val="100"/>
        </w:rPr>
        <w:t>成</w:t>
      </w:r>
      <w:r>
        <w:rPr>
          <w:spacing w:val="-1"/>
          <w:w w:val="100"/>
        </w:rPr>
        <w:t>员</w:t>
      </w:r>
      <w:r>
        <w:rPr>
          <w:rFonts w:ascii="Times New Roman" w:hAnsi="Times New Roman" w:cs="Times New Roman" w:eastAsia="Times New Roman" w:hint="default"/>
          <w:spacing w:val="-3"/>
          <w:w w:val="159"/>
        </w:rPr>
        <w:t>‖</w:t>
      </w:r>
      <w:r>
        <w:rPr>
          <w:w w:val="100"/>
        </w:rPr>
        <w:t>。 廖双</w:t>
      </w:r>
      <w:r>
        <w:rPr>
          <w:spacing w:val="-3"/>
          <w:w w:val="100"/>
        </w:rPr>
        <w:t>辉</w:t>
      </w:r>
      <w:r>
        <w:rPr>
          <w:w w:val="100"/>
        </w:rPr>
        <w:t>，</w:t>
      </w:r>
      <w:r>
        <w:rPr>
          <w:spacing w:val="-3"/>
          <w:w w:val="100"/>
        </w:rPr>
        <w:t>副</w:t>
      </w:r>
      <w:r>
        <w:rPr>
          <w:w w:val="100"/>
        </w:rPr>
        <w:t>总</w:t>
      </w:r>
      <w:r>
        <w:rPr>
          <w:spacing w:val="-3"/>
          <w:w w:val="100"/>
        </w:rPr>
        <w:t>经</w:t>
      </w:r>
      <w:r>
        <w:rPr>
          <w:w w:val="100"/>
        </w:rPr>
        <w:t>理</w:t>
      </w:r>
      <w:r>
        <w:rPr>
          <w:spacing w:val="-3"/>
          <w:w w:val="100"/>
        </w:rPr>
        <w:t>，</w:t>
      </w:r>
      <w:r>
        <w:rPr>
          <w:w w:val="100"/>
        </w:rPr>
        <w:t>简</w:t>
      </w:r>
      <w:r>
        <w:rPr>
          <w:spacing w:val="-3"/>
          <w:w w:val="100"/>
        </w:rPr>
        <w:t>历</w:t>
      </w:r>
      <w:r>
        <w:rPr>
          <w:w w:val="100"/>
        </w:rPr>
        <w:t>详见</w:t>
      </w:r>
      <w:r>
        <w:rPr>
          <w:spacing w:val="-3"/>
          <w:w w:val="100"/>
        </w:rPr>
        <w:t>本</w:t>
      </w:r>
      <w:r>
        <w:rPr>
          <w:w w:val="100"/>
        </w:rPr>
        <w:t>节</w:t>
      </w:r>
      <w:r>
        <w:rPr>
          <w:spacing w:val="-3"/>
          <w:w w:val="100"/>
        </w:rPr>
        <w:t>之</w:t>
      </w:r>
      <w:r>
        <w:rPr>
          <w:rFonts w:ascii="Times New Roman" w:hAnsi="Times New Roman" w:cs="Times New Roman" w:eastAsia="Times New Roman" w:hint="default"/>
          <w:spacing w:val="-1"/>
          <w:w w:val="63"/>
        </w:rPr>
        <w:t>―</w:t>
      </w:r>
      <w:r>
        <w:rPr>
          <w:rFonts w:ascii="Times New Roman" w:hAnsi="Times New Roman" w:cs="Times New Roman" w:eastAsia="Times New Roman" w:hint="default"/>
          <w:w w:val="63"/>
        </w:rPr>
        <w:t>1</w:t>
      </w:r>
      <w:r>
        <w:rPr>
          <w:spacing w:val="-3"/>
          <w:w w:val="100"/>
        </w:rPr>
        <w:t>、</w:t>
      </w:r>
      <w:r>
        <w:rPr>
          <w:w w:val="100"/>
        </w:rPr>
        <w:t>董</w:t>
      </w:r>
      <w:r>
        <w:rPr>
          <w:spacing w:val="-3"/>
          <w:w w:val="100"/>
        </w:rPr>
        <w:t>事</w:t>
      </w:r>
      <w:r>
        <w:rPr>
          <w:w w:val="100"/>
        </w:rPr>
        <w:t>会</w:t>
      </w:r>
      <w:r>
        <w:rPr>
          <w:spacing w:val="-3"/>
          <w:w w:val="100"/>
        </w:rPr>
        <w:t>成</w:t>
      </w:r>
      <w:r>
        <w:rPr>
          <w:w w:val="100"/>
        </w:rPr>
        <w:t>员</w:t>
      </w:r>
      <w:r>
        <w:rPr>
          <w:rFonts w:ascii="Times New Roman" w:hAnsi="Times New Roman" w:cs="Times New Roman" w:eastAsia="Times New Roman" w:hint="default"/>
          <w:spacing w:val="-1"/>
          <w:w w:val="159"/>
        </w:rPr>
        <w:t>‖</w:t>
      </w:r>
      <w:r>
        <w:rPr>
          <w:w w:val="100"/>
        </w:rPr>
        <w:t>。</w:t>
      </w:r>
    </w:p>
    <w:p>
      <w:pPr>
        <w:spacing w:before="66"/>
        <w:ind w:left="252" w:right="3187"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252" w:right="318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199"/>
        <w:gridCol w:w="3190"/>
        <w:gridCol w:w="1066"/>
        <w:gridCol w:w="1195"/>
        <w:gridCol w:w="1330"/>
        <w:gridCol w:w="1589"/>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张赛美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海通开元投资有限公司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252" w:right="3187"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252" w:right="318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00"/>
        <w:gridCol w:w="3190"/>
        <w:gridCol w:w="1419"/>
        <w:gridCol w:w="1195"/>
        <w:gridCol w:w="1325"/>
        <w:gridCol w:w="1594"/>
      </w:tblGrid>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436" w:right="70"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8"/>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557"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上海东方财富管理专修学院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陶涛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上海东银软件科技有限公司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上海中经商务咨询有限公司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0"/>
                <w:sz w:val="18"/>
                <w:szCs w:val="18"/>
              </w:rPr>
              <w:t>、</w:t>
            </w: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程磊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上海东银软件科技有限公司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left="252" w:right="3187"/>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3595"/>
        <w:gridCol w:w="5975"/>
      </w:tblGrid>
      <w:tr>
        <w:trPr>
          <w:trHeight w:val="716"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根据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年度经营情况，按照有关业绩考核规定，经董事会薪酬与考核委 员会审核，公司董事、监事、高级管理人员从公司获得的报酬。</w:t>
            </w:r>
          </w:p>
        </w:tc>
      </w:tr>
      <w:tr>
        <w:trPr>
          <w:trHeight w:val="102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董事、监事和高级管理人员的报酬按照公司董事会专门委员会《薪酬与考核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委员会议事规则》等规定，结合其经营绩效、工作能力、岗位职级等考核确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定并发放。</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董事、监事和高级管理人员的报酬按照规定进行了发放。</w:t>
            </w:r>
          </w:p>
        </w:tc>
      </w:tr>
    </w:tbl>
    <w:p>
      <w:pPr>
        <w:spacing w:before="49"/>
        <w:ind w:left="252" w:right="318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after="0"/>
        <w:jc w:val="left"/>
        <w:rPr>
          <w:rFonts w:ascii="宋体" w:hAnsi="宋体" w:cs="宋体" w:eastAsia="宋体" w:hint="default"/>
          <w:sz w:val="18"/>
          <w:szCs w:val="18"/>
        </w:rPr>
        <w:sectPr>
          <w:pgSz w:w="11910" w:h="16840"/>
          <w:pgMar w:header="852" w:footer="980" w:top="1340" w:bottom="1160" w:left="880" w:right="8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before="38"/>
        <w:ind w:left="0" w:right="2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445"/>
        <w:gridCol w:w="1196"/>
        <w:gridCol w:w="1198"/>
        <w:gridCol w:w="1196"/>
        <w:gridCol w:w="1195"/>
        <w:gridCol w:w="1198"/>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w:t>
            </w:r>
            <w:r>
              <w:rPr>
                <w:rFonts w:ascii="宋体" w:hAnsi="宋体" w:cs="宋体" w:eastAsia="宋体" w:hint="default"/>
                <w:spacing w:val="1"/>
                <w:sz w:val="18"/>
                <w:szCs w:val="18"/>
              </w:rPr>
              <w:t> </w:t>
            </w:r>
            <w:r>
              <w:rPr>
                <w:rFonts w:ascii="宋体" w:hAnsi="宋体" w:cs="宋体" w:eastAsia="宋体" w:hint="default"/>
                <w:sz w:val="18"/>
                <w:szCs w:val="18"/>
              </w:rPr>
              <w:t>涛</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副董事长、总经理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29.12</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陆</w:t>
            </w:r>
            <w:r>
              <w:rPr>
                <w:rFonts w:ascii="宋体" w:hAnsi="宋体" w:cs="宋体" w:eastAsia="宋体" w:hint="default"/>
                <w:spacing w:val="1"/>
                <w:sz w:val="18"/>
                <w:szCs w:val="18"/>
              </w:rPr>
              <w:t> </w:t>
            </w:r>
            <w:r>
              <w:rPr>
                <w:rFonts w:ascii="宋体" w:hAnsi="宋体" w:cs="宋体" w:eastAsia="宋体" w:hint="default"/>
                <w:sz w:val="18"/>
                <w:szCs w:val="18"/>
              </w:rPr>
              <w:t>威</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7"/>
                <w:sz w:val="18"/>
                <w:szCs w:val="18"/>
              </w:rPr>
              <w:t>副董事长、副总经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w:t>
            </w:r>
            <w:r>
              <w:rPr>
                <w:rFonts w:ascii="宋体" w:hAnsi="宋体" w:cs="宋体" w:eastAsia="宋体" w:hint="default"/>
                <w:spacing w:val="1"/>
                <w:sz w:val="18"/>
                <w:szCs w:val="18"/>
              </w:rPr>
              <w:t> </w:t>
            </w:r>
            <w:r>
              <w:rPr>
                <w:rFonts w:ascii="宋体" w:hAnsi="宋体" w:cs="宋体" w:eastAsia="宋体" w:hint="default"/>
                <w:sz w:val="18"/>
                <w:szCs w:val="18"/>
              </w:rPr>
              <w:t>财务总监、</w:t>
            </w:r>
            <w:r>
              <w:rPr>
                <w:rFonts w:ascii="宋体" w:hAnsi="宋体" w:cs="宋体" w:eastAsia="宋体" w:hint="default"/>
                <w:sz w:val="18"/>
                <w:szCs w:val="18"/>
              </w:rPr>
              <w:t> 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1"/>
                <w:sz w:val="18"/>
                <w:szCs w:val="18"/>
              </w:rPr>
              <w:t> </w:t>
            </w:r>
            <w:r>
              <w:rPr>
                <w:rFonts w:ascii="宋体" w:hAnsi="宋体" w:cs="宋体" w:eastAsia="宋体" w:hint="default"/>
                <w:sz w:val="18"/>
                <w:szCs w:val="18"/>
              </w:rPr>
              <w:t>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廖双辉</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张赛美</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李智平</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吕长江</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沈国权</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26.27</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26.27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毛芸飞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四、公司董事、监事、高级管理人员变动情况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六、公司员工情况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0"/>
        <w:jc w:val="left"/>
        <w:rPr>
          <w:b w:val="0"/>
          <w:bCs w:val="0"/>
        </w:rPr>
      </w:pPr>
      <w:r>
        <w:rPr/>
        <w:t>截至 </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日，公司员工（含全资子公司）的专业结构、受教育程度情况如下：</w:t>
      </w:r>
      <w:r>
        <w:rPr>
          <w:b w:val="0"/>
          <w:bCs w:val="0"/>
        </w:rPr>
      </w:r>
    </w:p>
    <w:p>
      <w:pPr>
        <w:spacing w:line="240" w:lineRule="auto" w:before="0"/>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369"/>
        <w:gridCol w:w="2581"/>
        <w:gridCol w:w="2151"/>
        <w:gridCol w:w="1933"/>
      </w:tblGrid>
      <w:tr>
        <w:trPr>
          <w:trHeight w:val="342" w:hRule="exact"/>
        </w:trPr>
        <w:tc>
          <w:tcPr>
            <w:tcW w:w="2369" w:type="dxa"/>
            <w:tcBorders>
              <w:top w:val="single" w:sz="6" w:space="0" w:color="000000"/>
              <w:left w:val="single" w:sz="6" w:space="0" w:color="000000"/>
              <w:bottom w:val="single" w:sz="12" w:space="0" w:color="000000"/>
              <w:right w:val="single" w:sz="12" w:space="0" w:color="000000"/>
            </w:tcBorders>
            <w:shd w:val="clear" w:color="auto" w:fill="C0C0C0"/>
          </w:tcPr>
          <w:p>
            <w:pPr>
              <w:pStyle w:val="TableParagraph"/>
              <w:spacing w:line="240" w:lineRule="auto" w:before="13"/>
              <w:ind w:left="1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81" w:type="dxa"/>
            <w:tcBorders>
              <w:top w:val="single" w:sz="6"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b/>
                <w:bCs/>
                <w:sz w:val="18"/>
                <w:szCs w:val="18"/>
              </w:rPr>
              <w:t>细分类别</w:t>
            </w:r>
            <w:r>
              <w:rPr>
                <w:rFonts w:ascii="宋体" w:hAnsi="宋体" w:cs="宋体" w:eastAsia="宋体" w:hint="default"/>
                <w:sz w:val="18"/>
                <w:szCs w:val="18"/>
              </w:rPr>
            </w:r>
          </w:p>
        </w:tc>
        <w:tc>
          <w:tcPr>
            <w:tcW w:w="2151" w:type="dxa"/>
            <w:tcBorders>
              <w:top w:val="single" w:sz="6"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
              <w:ind w:right="5"/>
              <w:jc w:val="center"/>
              <w:rPr>
                <w:rFonts w:ascii="宋体" w:hAnsi="宋体" w:cs="宋体" w:eastAsia="宋体" w:hint="default"/>
                <w:sz w:val="18"/>
                <w:szCs w:val="18"/>
              </w:rPr>
            </w:pPr>
            <w:r>
              <w:rPr>
                <w:rFonts w:ascii="宋体" w:hAnsi="宋体" w:cs="宋体" w:eastAsia="宋体" w:hint="default"/>
                <w:b/>
                <w:bCs/>
                <w:sz w:val="18"/>
                <w:szCs w:val="18"/>
              </w:rPr>
              <w:t>员工数量</w:t>
            </w:r>
            <w:r>
              <w:rPr>
                <w:rFonts w:ascii="宋体" w:hAnsi="宋体" w:cs="宋体" w:eastAsia="宋体" w:hint="default"/>
                <w:sz w:val="18"/>
                <w:szCs w:val="18"/>
              </w:rPr>
            </w:r>
          </w:p>
        </w:tc>
        <w:tc>
          <w:tcPr>
            <w:tcW w:w="1933" w:type="dxa"/>
            <w:tcBorders>
              <w:top w:val="single" w:sz="6" w:space="0" w:color="000000"/>
              <w:left w:val="single" w:sz="12" w:space="0" w:color="000000"/>
              <w:bottom w:val="single" w:sz="12" w:space="0" w:color="000000"/>
              <w:right w:val="single" w:sz="12" w:space="0" w:color="000000"/>
            </w:tcBorders>
            <w:shd w:val="clear" w:color="auto" w:fill="C0C0C0"/>
          </w:tcPr>
          <w:p>
            <w:pPr>
              <w:pStyle w:val="TableParagraph"/>
              <w:spacing w:line="240" w:lineRule="auto" w:before="13"/>
              <w:ind w:right="11"/>
              <w:jc w:val="center"/>
              <w:rPr>
                <w:rFonts w:ascii="宋体" w:hAnsi="宋体" w:cs="宋体" w:eastAsia="宋体" w:hint="default"/>
                <w:sz w:val="18"/>
                <w:szCs w:val="18"/>
              </w:rPr>
            </w:pPr>
            <w:r>
              <w:rPr>
                <w:rFonts w:ascii="宋体" w:hAnsi="宋体" w:cs="宋体" w:eastAsia="宋体" w:hint="default"/>
                <w:b/>
                <w:bCs/>
                <w:sz w:val="18"/>
                <w:szCs w:val="18"/>
              </w:rPr>
              <w:t>百分比（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59" w:hRule="exact"/>
        </w:trPr>
        <w:tc>
          <w:tcPr>
            <w:tcW w:w="2369" w:type="dxa"/>
            <w:vMerge w:val="restart"/>
            <w:tcBorders>
              <w:top w:val="single" w:sz="12" w:space="0" w:color="000000"/>
              <w:left w:val="single" w:sz="6" w:space="0" w:color="000000"/>
              <w:right w:val="single" w:sz="12" w:space="0" w:color="000000"/>
            </w:tcBorders>
            <w:shd w:val="clear" w:color="auto" w:fill="C0C0C0"/>
          </w:tcPr>
          <w:p>
            <w:pPr>
              <w:pStyle w:val="TableParagraph"/>
              <w:spacing w:line="240" w:lineRule="auto" w:before="16"/>
              <w:ind w:left="7" w:right="0"/>
              <w:jc w:val="center"/>
              <w:rPr>
                <w:rFonts w:ascii="宋体" w:hAnsi="宋体" w:cs="宋体" w:eastAsia="宋体" w:hint="default"/>
                <w:sz w:val="18"/>
                <w:szCs w:val="18"/>
              </w:rPr>
            </w:pPr>
            <w:r>
              <w:rPr>
                <w:rFonts w:ascii="宋体" w:hAnsi="宋体" w:cs="宋体" w:eastAsia="宋体" w:hint="default"/>
                <w:b/>
                <w:bCs/>
                <w:sz w:val="18"/>
                <w:szCs w:val="18"/>
              </w:rPr>
              <w:t>年龄构成</w:t>
            </w:r>
            <w:r>
              <w:rPr>
                <w:rFonts w:ascii="宋体" w:hAnsi="宋体" w:cs="宋体" w:eastAsia="宋体" w:hint="default"/>
                <w:sz w:val="18"/>
                <w:szCs w:val="18"/>
              </w:rPr>
            </w:r>
          </w:p>
        </w:tc>
        <w:tc>
          <w:tcPr>
            <w:tcW w:w="2581" w:type="dxa"/>
            <w:tcBorders>
              <w:top w:val="single" w:sz="16"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岁及以下</w:t>
            </w:r>
          </w:p>
        </w:tc>
        <w:tc>
          <w:tcPr>
            <w:tcW w:w="2151" w:type="dxa"/>
            <w:tcBorders>
              <w:top w:val="single" w:sz="16"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796</w:t>
            </w:r>
          </w:p>
        </w:tc>
        <w:tc>
          <w:tcPr>
            <w:tcW w:w="1933" w:type="dxa"/>
            <w:tcBorders>
              <w:top w:val="single" w:sz="16"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85.04</w:t>
            </w:r>
          </w:p>
        </w:tc>
      </w:tr>
      <w:tr>
        <w:trPr>
          <w:trHeight w:val="353"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岁至</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103</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11.00</w:t>
            </w:r>
          </w:p>
        </w:tc>
      </w:tr>
      <w:tr>
        <w:trPr>
          <w:trHeight w:val="350"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岁至</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21</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2.24</w:t>
            </w:r>
          </w:p>
        </w:tc>
      </w:tr>
      <w:tr>
        <w:trPr>
          <w:trHeight w:val="353"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岁至</w:t>
            </w:r>
            <w:r>
              <w:rPr>
                <w:rFonts w:ascii="Times New Roman" w:hAnsi="Times New Roman" w:cs="Times New Roman" w:eastAsia="Times New Roman" w:hint="default"/>
                <w:sz w:val="18"/>
                <w:szCs w:val="18"/>
              </w:rPr>
              <w:t>60</w:t>
            </w:r>
            <w:r>
              <w:rPr>
                <w:rFonts w:ascii="宋体" w:hAnsi="宋体" w:cs="宋体" w:eastAsia="宋体" w:hint="default"/>
                <w:sz w:val="18"/>
                <w:szCs w:val="18"/>
              </w:rPr>
              <w:t>岁</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16</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1.71</w:t>
            </w:r>
          </w:p>
        </w:tc>
      </w:tr>
      <w:tr>
        <w:trPr>
          <w:trHeight w:val="353" w:hRule="exact"/>
        </w:trPr>
        <w:tc>
          <w:tcPr>
            <w:tcW w:w="2369" w:type="dxa"/>
            <w:vMerge/>
            <w:tcBorders>
              <w:left w:val="single" w:sz="6" w:space="0" w:color="000000"/>
              <w:bottom w:val="single" w:sz="12"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b/>
                <w:sz w:val="18"/>
              </w:rPr>
              <w:t>936</w:t>
            </w:r>
            <w:r>
              <w:rPr>
                <w:rFonts w:ascii="Times New Roman"/>
                <w:sz w:val="18"/>
              </w:rPr>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7"/>
              <w:ind w:right="5"/>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r>
        <w:trPr>
          <w:trHeight w:val="353" w:hRule="exact"/>
        </w:trPr>
        <w:tc>
          <w:tcPr>
            <w:tcW w:w="2369" w:type="dxa"/>
            <w:tcBorders>
              <w:top w:val="single" w:sz="12" w:space="0" w:color="000000"/>
              <w:left w:val="single" w:sz="6" w:space="0" w:color="000000"/>
              <w:bottom w:val="single" w:sz="12" w:space="0" w:color="000000"/>
              <w:right w:val="single" w:sz="12" w:space="0" w:color="000000"/>
            </w:tcBorders>
            <w:shd w:val="clear" w:color="auto" w:fill="C0C0C0"/>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b/>
                <w:bCs/>
                <w:sz w:val="18"/>
                <w:szCs w:val="18"/>
              </w:rPr>
              <w:t>学历构成</w:t>
            </w:r>
            <w:r>
              <w:rPr>
                <w:rFonts w:ascii="宋体" w:hAnsi="宋体" w:cs="宋体" w:eastAsia="宋体" w:hint="default"/>
                <w:sz w:val="18"/>
                <w:szCs w:val="18"/>
              </w:rPr>
            </w: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481</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51.39</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840"/>
        </w:sectPr>
      </w:pPr>
    </w:p>
    <w:p>
      <w:pPr>
        <w:spacing w:line="240" w:lineRule="auto" w:before="7"/>
        <w:rPr>
          <w:rFonts w:ascii="Times New Roman" w:hAnsi="Times New Roman" w:cs="Times New Roman" w:eastAsia="Times New Roman"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369"/>
        <w:gridCol w:w="2581"/>
        <w:gridCol w:w="2151"/>
        <w:gridCol w:w="1933"/>
      </w:tblGrid>
      <w:tr>
        <w:trPr>
          <w:trHeight w:val="356" w:hRule="exact"/>
        </w:trPr>
        <w:tc>
          <w:tcPr>
            <w:tcW w:w="2369" w:type="dxa"/>
            <w:vMerge w:val="restart"/>
            <w:tcBorders>
              <w:top w:val="single" w:sz="6" w:space="0" w:color="000000"/>
              <w:left w:val="single" w:sz="6" w:space="0" w:color="000000"/>
              <w:right w:val="single" w:sz="12" w:space="0" w:color="000000"/>
            </w:tcBorders>
            <w:shd w:val="clear" w:color="auto" w:fill="C0C0C0"/>
          </w:tcPr>
          <w:p>
            <w:pPr/>
          </w:p>
        </w:tc>
        <w:tc>
          <w:tcPr>
            <w:tcW w:w="258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大专</w:t>
            </w:r>
          </w:p>
        </w:tc>
        <w:tc>
          <w:tcPr>
            <w:tcW w:w="215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304</w:t>
            </w:r>
          </w:p>
        </w:tc>
        <w:tc>
          <w:tcPr>
            <w:tcW w:w="193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32.48</w:t>
            </w:r>
          </w:p>
        </w:tc>
      </w:tr>
      <w:tr>
        <w:trPr>
          <w:trHeight w:val="350"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中专</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54</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5.77</w:t>
            </w:r>
          </w:p>
        </w:tc>
      </w:tr>
      <w:tr>
        <w:trPr>
          <w:trHeight w:val="353"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高中</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77</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8.23</w:t>
            </w:r>
          </w:p>
        </w:tc>
      </w:tr>
      <w:tr>
        <w:trPr>
          <w:trHeight w:val="353"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初中及以下</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20</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2.14</w:t>
            </w:r>
          </w:p>
        </w:tc>
      </w:tr>
      <w:tr>
        <w:trPr>
          <w:trHeight w:val="350" w:hRule="exact"/>
        </w:trPr>
        <w:tc>
          <w:tcPr>
            <w:tcW w:w="2369" w:type="dxa"/>
            <w:vMerge/>
            <w:tcBorders>
              <w:left w:val="single" w:sz="6" w:space="0" w:color="000000"/>
              <w:bottom w:val="single" w:sz="12"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5"/>
              <w:ind w:right="2"/>
              <w:jc w:val="center"/>
              <w:rPr>
                <w:rFonts w:ascii="Times New Roman" w:hAnsi="Times New Roman" w:cs="Times New Roman" w:eastAsia="Times New Roman" w:hint="default"/>
                <w:sz w:val="18"/>
                <w:szCs w:val="18"/>
              </w:rPr>
            </w:pPr>
            <w:r>
              <w:rPr>
                <w:rFonts w:ascii="Times New Roman"/>
                <w:b/>
                <w:sz w:val="18"/>
              </w:rPr>
              <w:t>936</w:t>
            </w:r>
            <w:r>
              <w:rPr>
                <w:rFonts w:ascii="Times New Roman"/>
                <w:sz w:val="18"/>
              </w:rPr>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5"/>
              <w:ind w:right="5"/>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r>
        <w:trPr>
          <w:trHeight w:val="353" w:hRule="exact"/>
        </w:trPr>
        <w:tc>
          <w:tcPr>
            <w:tcW w:w="2369" w:type="dxa"/>
            <w:vMerge w:val="restart"/>
            <w:tcBorders>
              <w:top w:val="single" w:sz="12" w:space="0" w:color="000000"/>
              <w:left w:val="single" w:sz="6" w:space="0" w:color="000000"/>
              <w:right w:val="single" w:sz="12" w:space="0" w:color="000000"/>
            </w:tcBorders>
            <w:shd w:val="clear" w:color="auto" w:fill="C0C0C0"/>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行政管理人员</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57</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6.09</w:t>
            </w:r>
          </w:p>
        </w:tc>
      </w:tr>
      <w:tr>
        <w:trPr>
          <w:trHeight w:val="353"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财务管理人员</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16</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1.71</w:t>
            </w:r>
          </w:p>
        </w:tc>
      </w:tr>
      <w:tr>
        <w:trPr>
          <w:trHeight w:val="350"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研发技术人员</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460</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49.15</w:t>
            </w:r>
          </w:p>
        </w:tc>
      </w:tr>
      <w:tr>
        <w:trPr>
          <w:trHeight w:val="353"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内容管理人员</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113</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12.07</w:t>
            </w:r>
          </w:p>
        </w:tc>
      </w:tr>
      <w:tr>
        <w:trPr>
          <w:trHeight w:val="353"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市场营销人员</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252</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26.92</w:t>
            </w:r>
          </w:p>
        </w:tc>
      </w:tr>
      <w:tr>
        <w:trPr>
          <w:trHeight w:val="350" w:hRule="exact"/>
        </w:trPr>
        <w:tc>
          <w:tcPr>
            <w:tcW w:w="2369" w:type="dxa"/>
            <w:vMerge/>
            <w:tcBorders>
              <w:left w:val="single" w:sz="6"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其他人员</w:t>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38</w:t>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4.06</w:t>
            </w:r>
          </w:p>
        </w:tc>
      </w:tr>
      <w:tr>
        <w:trPr>
          <w:trHeight w:val="353" w:hRule="exact"/>
        </w:trPr>
        <w:tc>
          <w:tcPr>
            <w:tcW w:w="2369" w:type="dxa"/>
            <w:vMerge/>
            <w:tcBorders>
              <w:left w:val="single" w:sz="6" w:space="0" w:color="000000"/>
              <w:bottom w:val="single" w:sz="12" w:space="0" w:color="000000"/>
              <w:right w:val="single" w:sz="12" w:space="0" w:color="000000"/>
            </w:tcBorders>
            <w:shd w:val="clear" w:color="auto" w:fill="C0C0C0"/>
          </w:tcPr>
          <w:p>
            <w:pPr/>
          </w:p>
        </w:tc>
        <w:tc>
          <w:tcPr>
            <w:tcW w:w="25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2"/>
              <w:jc w:val="center"/>
              <w:rPr>
                <w:rFonts w:ascii="Times New Roman" w:hAnsi="Times New Roman" w:cs="Times New Roman" w:eastAsia="Times New Roman" w:hint="default"/>
                <w:sz w:val="18"/>
                <w:szCs w:val="18"/>
              </w:rPr>
            </w:pPr>
            <w:r>
              <w:rPr>
                <w:rFonts w:ascii="Times New Roman"/>
                <w:b/>
                <w:sz w:val="18"/>
              </w:rPr>
              <w:t>936</w:t>
            </w:r>
            <w:r>
              <w:rPr>
                <w:rFonts w:ascii="Times New Roman"/>
                <w:sz w:val="18"/>
              </w:rPr>
            </w:r>
          </w:p>
        </w:tc>
        <w:tc>
          <w:tcPr>
            <w:tcW w:w="193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8"/>
              <w:ind w:right="5"/>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Heading1"/>
        <w:spacing w:line="240" w:lineRule="auto"/>
        <w:ind w:left="3590" w:right="3646"/>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76"/>
        <w:jc w:val="left"/>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206" w:firstLine="480"/>
        <w:jc w:val="both"/>
      </w:pPr>
      <w:r>
        <w:rPr>
          <w:spacing w:val="-4"/>
        </w:rPr>
        <w:t>公司严格按照《公司法》、《证券法》、《上市公司治理准则》、《深圳证券交易所创业板股票上市</w:t>
      </w:r>
      <w:r>
        <w:rPr>
          <w:w w:val="100"/>
        </w:rPr>
        <w:t> </w:t>
      </w:r>
      <w:r>
        <w:rPr>
          <w:spacing w:val="-2"/>
        </w:rPr>
        <w:t>规则》、《深圳证券交易所创业板上市公司规范运作指引》等有关法律、法规、规范性文件的要求，已建</w:t>
      </w:r>
      <w:r>
        <w:rPr>
          <w:spacing w:val="-43"/>
        </w:rPr>
        <w:t> </w:t>
      </w:r>
      <w:r>
        <w:rPr>
          <w:spacing w:val="-43"/>
        </w:rPr>
      </w:r>
      <w:r>
        <w:rPr>
          <w:spacing w:val="-2"/>
        </w:rPr>
        <w:t>立健全股东大会、董事会、监事会、独立董事、董事会秘书制度及包括审计委员会在内的董事会专门委员</w:t>
      </w:r>
      <w:r>
        <w:rPr>
          <w:spacing w:val="-44"/>
        </w:rPr>
        <w:t> </w:t>
      </w:r>
      <w:r>
        <w:rPr>
          <w:spacing w:val="-44"/>
        </w:rPr>
      </w:r>
      <w:r>
        <w:rPr/>
        <w:t>会制度，形成了规范的公司治理结构。</w:t>
      </w:r>
    </w:p>
    <w:p>
      <w:pPr>
        <w:pStyle w:val="BodyText"/>
        <w:spacing w:line="273" w:lineRule="auto"/>
        <w:ind w:right="208" w:firstLine="480"/>
        <w:jc w:val="both"/>
      </w:pPr>
      <w:r>
        <w:rPr>
          <w:spacing w:val="-4"/>
        </w:rPr>
        <w:t>截至报告期末，公司治理的实际状况符合《上市公司治理准则》和《深圳证券交易所创业板上市公司</w:t>
      </w:r>
      <w:r>
        <w:rPr>
          <w:w w:val="100"/>
        </w:rPr>
        <w:t> </w:t>
      </w:r>
      <w:r>
        <w:rPr/>
        <w:t>规范运作指引》的要求，内控制度得到有效落实，各项重大决策均按照制度的规定执行。</w:t>
      </w:r>
    </w:p>
    <w:p>
      <w:pPr>
        <w:pStyle w:val="BodyText"/>
        <w:spacing w:line="273" w:lineRule="auto" w:before="8"/>
        <w:ind w:left="743" w:right="76" w:hanging="591"/>
        <w:jc w:val="left"/>
      </w:pPr>
      <w:r>
        <w:rPr/>
        <w:t>（一）股东与股东大会</w:t>
      </w:r>
      <w:r>
        <w:rPr>
          <w:w w:val="100"/>
        </w:rPr>
        <w:t> </w:t>
      </w:r>
      <w:r>
        <w:rPr>
          <w:spacing w:val="-8"/>
        </w:rPr>
        <w:t>公司严格按照《创业板上市公司规范运作指引》、《上市公司股东大会规范意见》、《公司章程》、</w:t>
      </w:r>
    </w:p>
    <w:p>
      <w:pPr>
        <w:pStyle w:val="BodyText"/>
        <w:spacing w:line="273" w:lineRule="auto"/>
        <w:ind w:left="263" w:right="413"/>
        <w:jc w:val="both"/>
      </w:pPr>
      <w:r>
        <w:rPr/>
        <w:t>《股东大会议事规则》等规定的要求，规范召集召开股东大会，平等对待所有股东，特别是保证中小</w:t>
      </w:r>
      <w:r>
        <w:rPr>
          <w:spacing w:val="-21"/>
        </w:rPr>
        <w:t> </w:t>
      </w:r>
      <w:r>
        <w:rPr>
          <w:spacing w:val="-21"/>
        </w:rPr>
      </w:r>
      <w:r>
        <w:rPr/>
        <w:t>股东享有平等地位，并尽可能为股东参加股东大会提供便利，使其充分行使自己的权利。在《公司章</w:t>
      </w:r>
      <w:r>
        <w:rPr>
          <w:spacing w:val="-20"/>
        </w:rPr>
        <w:t> </w:t>
      </w:r>
      <w:r>
        <w:rPr>
          <w:spacing w:val="-20"/>
        </w:rPr>
      </w:r>
      <w:r>
        <w:rPr/>
        <w:t>程》、《股东大会议事规则》中明确规定了股东大会的召集召开及表决程序、股东的参会资格和对董</w:t>
      </w:r>
      <w:r>
        <w:rPr>
          <w:spacing w:val="-21"/>
        </w:rPr>
        <w:t> </w:t>
      </w:r>
      <w:r>
        <w:rPr>
          <w:spacing w:val="-21"/>
        </w:rPr>
      </w:r>
      <w:r>
        <w:rPr/>
        <w:t>事会的授权原则等，董事会在报告期内做到认真审议并安排股东大会的审议事项等。</w:t>
      </w:r>
    </w:p>
    <w:p>
      <w:pPr>
        <w:pStyle w:val="BodyText"/>
        <w:spacing w:line="271" w:lineRule="auto" w:before="82"/>
        <w:ind w:left="743" w:right="76" w:hanging="591"/>
        <w:jc w:val="left"/>
      </w:pPr>
      <w:r>
        <w:rPr/>
        <w:t>（二）公司与控股股东</w:t>
      </w:r>
      <w:r>
        <w:rPr>
          <w:w w:val="100"/>
        </w:rPr>
        <w:t> </w:t>
      </w:r>
      <w:r>
        <w:rPr>
          <w:spacing w:val="-1"/>
        </w:rPr>
        <w:t>公司控股股东严格按照《上市公司治理准则》、《深圳证券交易所创业板股票上市规则》、《公</w:t>
      </w:r>
    </w:p>
    <w:p>
      <w:pPr>
        <w:pStyle w:val="BodyText"/>
        <w:spacing w:line="273" w:lineRule="auto" w:before="10"/>
        <w:ind w:left="263" w:right="408"/>
        <w:jc w:val="both"/>
      </w:pPr>
      <w:r>
        <w:rPr/>
        <w:t>司章程》等规定的要求，规范自己的行为，通过股东大会依法行使出资人的权利，没有采取任何其它</w:t>
      </w:r>
      <w:r>
        <w:rPr>
          <w:spacing w:val="-21"/>
        </w:rPr>
        <w:t> </w:t>
      </w:r>
      <w:r>
        <w:rPr>
          <w:spacing w:val="-21"/>
        </w:rPr>
      </w:r>
      <w:r>
        <w:rPr/>
        <w:t>方式直接或间接地干预公司的决策及依法开展的生产经营活动，没有损害公司及其它股东的利益；公</w:t>
      </w:r>
      <w:r>
        <w:rPr>
          <w:spacing w:val="-15"/>
        </w:rPr>
        <w:t> </w:t>
      </w:r>
      <w:r>
        <w:rPr>
          <w:spacing w:val="-15"/>
        </w:rPr>
      </w:r>
      <w:r>
        <w:rPr/>
        <w:t>司与控股股东在业务、人员、资产、机构和财务方面做到相互独立；公司的重大决策能按照规范的程</w:t>
      </w:r>
      <w:r>
        <w:rPr>
          <w:spacing w:val="-21"/>
        </w:rPr>
        <w:t> </w:t>
      </w:r>
      <w:r>
        <w:rPr>
          <w:spacing w:val="-21"/>
        </w:rPr>
      </w:r>
      <w:r>
        <w:rPr/>
        <w:t>序由股东大会和董事会作出；公司没有为控股股东及其下属企业提供担保。</w:t>
      </w:r>
    </w:p>
    <w:p>
      <w:pPr>
        <w:pStyle w:val="BodyText"/>
        <w:spacing w:line="273" w:lineRule="auto" w:before="82"/>
        <w:ind w:left="633" w:right="76" w:hanging="481"/>
        <w:jc w:val="left"/>
      </w:pPr>
      <w:r>
        <w:rPr/>
        <w:t>（三）董事与董事会</w:t>
      </w:r>
      <w:r>
        <w:rPr>
          <w:w w:val="100"/>
        </w:rPr>
        <w:t> </w:t>
      </w:r>
      <w:r>
        <w:rPr>
          <w:spacing w:val="-4"/>
        </w:rPr>
        <w:t>公司在《公司章程》、《董事会议事规则》中规定规范、透明的董事选聘程序，并严格执行。公司董</w:t>
      </w:r>
    </w:p>
    <w:p>
      <w:pPr>
        <w:pStyle w:val="BodyText"/>
        <w:spacing w:line="268" w:lineRule="auto"/>
        <w:ind w:right="76"/>
        <w:jc w:val="left"/>
      </w:pPr>
      <w:r>
        <w:rPr/>
        <w:t>事会设董事 </w:t>
      </w:r>
      <w:r>
        <w:rPr>
          <w:rFonts w:ascii="Times New Roman" w:hAnsi="Times New Roman" w:cs="Times New Roman" w:eastAsia="Times New Roman" w:hint="default"/>
        </w:rPr>
        <w:t>9 </w:t>
      </w:r>
      <w:r>
        <w:rPr/>
        <w:t>名，其中独立董事</w:t>
      </w:r>
      <w:r>
        <w:rPr>
          <w:spacing w:val="-69"/>
        </w:rPr>
        <w:t> </w:t>
      </w:r>
      <w:r>
        <w:rPr>
          <w:rFonts w:ascii="Times New Roman" w:hAnsi="Times New Roman" w:cs="Times New Roman" w:eastAsia="Times New Roman" w:hint="default"/>
        </w:rPr>
        <w:t>3</w:t>
      </w:r>
      <w:r>
        <w:rPr/>
        <w:t>名，董事会的人数及人员构成符合法律、法规和《公司章程》的要求。</w:t>
      </w:r>
      <w:r>
        <w:rPr>
          <w:w w:val="100"/>
        </w:rPr>
        <w:t> </w:t>
      </w:r>
      <w:r>
        <w:rPr/>
        <w:t>各位董事能够依据《公司法》、《创业板上市公司规范运作指引》、《公司章程》、《董事会议事规则》</w:t>
      </w:r>
      <w:r>
        <w:rPr>
          <w:w w:val="100"/>
        </w:rPr>
        <w:t> </w:t>
      </w:r>
      <w:r>
        <w:rPr>
          <w:spacing w:val="-5"/>
        </w:rPr>
        <w:t>等相关法律、法规及制度开展工作，按时参加会议，勤勉尽责地履行职责和义务，同时积极参加相关培训，</w:t>
      </w:r>
      <w:r>
        <w:rPr>
          <w:spacing w:val="-12"/>
        </w:rPr>
        <w:t> </w:t>
      </w:r>
      <w:r>
        <w:rPr>
          <w:spacing w:val="-12"/>
        </w:rPr>
      </w:r>
      <w:r>
        <w:rPr>
          <w:spacing w:val="-2"/>
        </w:rPr>
        <w:t>熟悉相关法律法规。独立董事能够不受公司主要股东、实际控制人以及其它与公司存在利害关系的单位或</w:t>
      </w:r>
      <w:r>
        <w:rPr>
          <w:spacing w:val="-43"/>
        </w:rPr>
        <w:t> </w:t>
      </w:r>
      <w:r>
        <w:rPr>
          <w:spacing w:val="-43"/>
        </w:rPr>
      </w:r>
      <w:r>
        <w:rPr/>
        <w:t>个人的影响，独立履行职责，对公司的重大事项均能发表独立意见。</w:t>
      </w:r>
    </w:p>
    <w:p>
      <w:pPr>
        <w:pStyle w:val="BodyText"/>
        <w:spacing w:line="273" w:lineRule="auto" w:before="12"/>
        <w:ind w:left="645" w:right="76" w:hanging="493"/>
        <w:jc w:val="left"/>
      </w:pPr>
      <w:r>
        <w:rPr/>
        <w:t>（四）监事与监事会</w:t>
      </w:r>
      <w:r>
        <w:rPr>
          <w:w w:val="100"/>
        </w:rPr>
        <w:t> </w:t>
      </w:r>
      <w:r>
        <w:rPr>
          <w:spacing w:val="-4"/>
        </w:rPr>
        <w:t>公司监事会严格按照《公司法》、《公司章程》和《监事会议事规则》的有关规定，认真履行职责，</w:t>
      </w:r>
    </w:p>
    <w:p>
      <w:pPr>
        <w:pStyle w:val="BodyText"/>
        <w:spacing w:line="268" w:lineRule="auto"/>
        <w:ind w:right="288"/>
        <w:jc w:val="both"/>
      </w:pPr>
      <w:r>
        <w:rPr>
          <w:spacing w:val="-4"/>
        </w:rPr>
        <w:t>对公司财务状况、重大事项以及公司董事、经理和其它高级管理人员履行职责的合法合规性进行监督，维</w:t>
      </w:r>
      <w:r>
        <w:rPr>
          <w:spacing w:val="-32"/>
        </w:rPr>
        <w:t> </w:t>
      </w:r>
      <w:r>
        <w:rPr>
          <w:spacing w:val="-32"/>
        </w:rPr>
      </w:r>
      <w:r>
        <w:rPr/>
        <w:t>护公司及股东的合法权益。公司监事会设监事 </w:t>
      </w:r>
      <w:r>
        <w:rPr>
          <w:rFonts w:ascii="Times New Roman" w:hAnsi="Times New Roman" w:cs="Times New Roman" w:eastAsia="Times New Roman" w:hint="default"/>
        </w:rPr>
        <w:t>3</w:t>
      </w:r>
      <w:r>
        <w:rPr/>
        <w:t>名， 其中职工监事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名，公司监事会的人数、成员构成</w:t>
      </w:r>
      <w:r>
        <w:rPr>
          <w:w w:val="100"/>
        </w:rPr>
        <w:t> </w:t>
      </w:r>
      <w:r>
        <w:rPr>
          <w:spacing w:val="-4"/>
        </w:rPr>
        <w:t>及监事的任职资格符合相关法律、法规的要求。监事会能够严格按照《监事会议事规则》的要求召集、召</w:t>
      </w:r>
      <w:r>
        <w:rPr>
          <w:spacing w:val="-36"/>
        </w:rPr>
        <w:t> </w:t>
      </w:r>
      <w:r>
        <w:rPr>
          <w:spacing w:val="-36"/>
        </w:rPr>
      </w:r>
      <w:r>
        <w:rPr/>
        <w:t>开监事会，表决程序符合法律、法规的要求。</w:t>
      </w:r>
    </w:p>
    <w:p>
      <w:pPr>
        <w:pStyle w:val="BodyText"/>
        <w:spacing w:line="271" w:lineRule="auto" w:before="86"/>
        <w:ind w:left="755" w:right="76" w:hanging="603"/>
        <w:jc w:val="left"/>
      </w:pPr>
      <w:r>
        <w:rPr/>
        <w:t>（五）绩效评价与激励约束机制</w:t>
      </w:r>
      <w:r>
        <w:rPr>
          <w:w w:val="100"/>
        </w:rPr>
        <w:t> </w:t>
      </w:r>
      <w:r>
        <w:rPr>
          <w:spacing w:val="-1"/>
        </w:rPr>
        <w:t>公司已建立工作绩效评价体系，使员工的收入与工作绩效挂钩；高级管理人员的聘任能够做到公</w:t>
      </w:r>
    </w:p>
    <w:p>
      <w:pPr>
        <w:pStyle w:val="BodyText"/>
        <w:spacing w:line="240" w:lineRule="auto" w:before="10"/>
        <w:ind w:left="263" w:right="0"/>
        <w:jc w:val="both"/>
      </w:pPr>
      <w:r>
        <w:rPr/>
        <w:t>开、透明，符合法律、法规和制度的规定。</w:t>
      </w:r>
    </w:p>
    <w:p>
      <w:pPr>
        <w:pStyle w:val="BodyText"/>
        <w:spacing w:line="271" w:lineRule="auto" w:before="111"/>
        <w:ind w:left="633" w:right="76" w:hanging="481"/>
        <w:jc w:val="left"/>
      </w:pPr>
      <w:r>
        <w:rPr/>
        <w:t>（六）关于信息披露与透明度</w:t>
      </w:r>
      <w:r>
        <w:rPr>
          <w:w w:val="100"/>
        </w:rPr>
        <w:t> </w:t>
      </w:r>
      <w:r>
        <w:rPr>
          <w:spacing w:val="-4"/>
        </w:rPr>
        <w:t>公司严格按照有关法律法规以及《信息披露制度》、《投资者关系管理制度》《内幕信息知情人登记</w:t>
      </w:r>
    </w:p>
    <w:p>
      <w:pPr>
        <w:pStyle w:val="BodyText"/>
        <w:spacing w:line="240" w:lineRule="auto" w:before="10"/>
        <w:ind w:right="76"/>
        <w:jc w:val="left"/>
      </w:pPr>
      <w:r>
        <w:rPr/>
        <w:t>管理制度》等的要求，真实、准确、完整、及时、公平地披露有关信息；并指定公司董事会秘书负责信息</w:t>
      </w:r>
    </w:p>
    <w:p>
      <w:pPr>
        <w:spacing w:after="0" w:line="240"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18"/>
        <w:ind w:right="110"/>
        <w:jc w:val="both"/>
      </w:pPr>
      <w:r>
        <w:rPr/>
        <w:t>披露工作，协调公司与投资者的关系</w:t>
      </w:r>
      <w:r>
        <w:rPr>
          <w:rFonts w:ascii="Times New Roman" w:hAnsi="Times New Roman" w:cs="Times New Roman" w:eastAsia="Times New Roman" w:hint="default"/>
        </w:rPr>
        <w:t>,</w:t>
      </w:r>
      <w:r>
        <w:rPr/>
        <w:t>接待股东来访</w:t>
      </w:r>
      <w:r>
        <w:rPr>
          <w:rFonts w:ascii="Times New Roman" w:hAnsi="Times New Roman" w:cs="Times New Roman" w:eastAsia="Times New Roman" w:hint="default"/>
        </w:rPr>
        <w:t>,</w:t>
      </w:r>
      <w:r>
        <w:rPr/>
        <w:t>回答投资者咨询；并指定《证券时报》、《上海证券</w:t>
      </w:r>
      <w:r>
        <w:rPr>
          <w:spacing w:val="-23"/>
        </w:rPr>
        <w:t> </w:t>
      </w:r>
      <w:r>
        <w:rPr>
          <w:spacing w:val="-23"/>
        </w:rPr>
      </w:r>
      <w:r>
        <w:rPr>
          <w:spacing w:val="-3"/>
        </w:rPr>
        <w:t>报》、《中国证券报》、巨潮网（</w:t>
      </w:r>
      <w:hyperlink r:id="rId14">
        <w:r>
          <w:rPr>
            <w:rFonts w:ascii="Times New Roman" w:hAnsi="Times New Roman" w:cs="Times New Roman" w:eastAsia="Times New Roman" w:hint="default"/>
            <w:spacing w:val="-3"/>
          </w:rPr>
          <w:t>www.cninfo.com.cn</w:t>
        </w:r>
      </w:hyperlink>
      <w:r>
        <w:rPr>
          <w:spacing w:val="-3"/>
        </w:rPr>
        <w:t>）等为公司信息披露的指定报纸和网站，确保公司所 </w:t>
      </w:r>
      <w:r>
        <w:rPr/>
        <w:t>有股东能够以平等的机会获得信息。</w:t>
      </w:r>
    </w:p>
    <w:p>
      <w:pPr>
        <w:pStyle w:val="BodyText"/>
        <w:spacing w:line="271" w:lineRule="auto" w:before="97"/>
        <w:ind w:left="645" w:right="0" w:hanging="493"/>
        <w:jc w:val="left"/>
      </w:pPr>
      <w:r>
        <w:rPr/>
        <w:t>（七）相关利益者</w:t>
      </w:r>
      <w:r>
        <w:rPr>
          <w:w w:val="100"/>
        </w:rPr>
        <w:t> </w:t>
      </w:r>
      <w:r>
        <w:rPr>
          <w:spacing w:val="-4"/>
        </w:rPr>
        <w:t>公司能够充分尊重和维护债权人、员工和客户等利益相关者的合法权利，与利益相关者积极合作，坚</w:t>
      </w:r>
    </w:p>
    <w:p>
      <w:pPr>
        <w:pStyle w:val="BodyText"/>
        <w:spacing w:line="240" w:lineRule="auto" w:before="10"/>
        <w:ind w:right="0"/>
        <w:jc w:val="both"/>
      </w:pPr>
      <w:r>
        <w:rPr/>
        <w:t>持与利益相关者互利共赢的原则，共同推动公司持续健康发展。</w:t>
      </w:r>
    </w:p>
    <w:p>
      <w:pPr>
        <w:pStyle w:val="BodyText"/>
        <w:spacing w:line="273" w:lineRule="auto" w:before="111"/>
        <w:ind w:left="645" w:right="0" w:hanging="493"/>
        <w:jc w:val="left"/>
      </w:pPr>
      <w:r>
        <w:rPr/>
        <w:t>（八）公司内部控制建立健全情况</w:t>
      </w:r>
      <w:r>
        <w:rPr>
          <w:w w:val="100"/>
        </w:rPr>
        <w:t> </w:t>
      </w:r>
      <w:r>
        <w:rPr>
          <w:spacing w:val="-4"/>
        </w:rPr>
        <w:t>公司严格按照《公司法》、《证券法》、《深圳证券交易所创业板股票上市规则》以及相关监管部门</w:t>
      </w:r>
    </w:p>
    <w:p>
      <w:pPr>
        <w:pStyle w:val="BodyText"/>
        <w:spacing w:line="273" w:lineRule="auto"/>
        <w:ind w:left="645" w:right="0" w:hanging="493"/>
        <w:jc w:val="left"/>
      </w:pPr>
      <w:r>
        <w:rPr/>
        <w:t>的有关法律法规及规范性文件的要求，规范运作，不断完善公司法人治理结构。</w:t>
      </w:r>
      <w:r>
        <w:rPr>
          <w:w w:val="100"/>
        </w:rPr>
        <w:t> </w:t>
      </w:r>
      <w:r>
        <w:rPr>
          <w:spacing w:val="-4"/>
        </w:rPr>
        <w:t>报告期内，公司按照监管机构的部署和要求，制定并公布了公司内部控制规范实施工作方案，积极推</w:t>
      </w:r>
    </w:p>
    <w:p>
      <w:pPr>
        <w:pStyle w:val="BodyText"/>
        <w:spacing w:line="273" w:lineRule="auto"/>
        <w:ind w:right="106"/>
        <w:jc w:val="both"/>
      </w:pPr>
      <w:r>
        <w:rPr>
          <w:spacing w:val="-2"/>
        </w:rPr>
        <w:t>进内部控制规范体系建设。公司针对自身特点，结合公司业务发展情况和公司运营管理的需要，完善了企</w:t>
      </w:r>
      <w:r>
        <w:rPr>
          <w:spacing w:val="-43"/>
        </w:rPr>
        <w:t> </w:t>
      </w:r>
      <w:r>
        <w:rPr>
          <w:spacing w:val="-43"/>
        </w:rPr>
      </w:r>
      <w:r>
        <w:rPr>
          <w:spacing w:val="-2"/>
        </w:rPr>
        <w:t>业内部控制制度，使公司的各项业务有章可循，并得到了有效执行。公司内部控制制度完整、合理，整体</w:t>
      </w:r>
      <w:r>
        <w:rPr>
          <w:spacing w:val="-43"/>
        </w:rPr>
        <w:t> </w:t>
      </w:r>
      <w:r>
        <w:rPr>
          <w:spacing w:val="-43"/>
        </w:rPr>
      </w:r>
      <w:r>
        <w:rPr/>
        <w:t>运行有效，不存在重大缺陷。</w:t>
      </w:r>
    </w:p>
    <w:p>
      <w:pPr>
        <w:spacing w:before="69"/>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5"/>
        <w:ind w:left="152"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二〇一一年年度股东大会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w:t>
            </w:r>
            <w:r>
              <w:rPr>
                <w:rFonts w:ascii="宋体" w:hAnsi="宋体" w:cs="宋体" w:eastAsia="宋体" w:hint="default"/>
                <w:spacing w:val="-65"/>
                <w:sz w:val="18"/>
                <w:szCs w:val="18"/>
              </w:rPr>
              <w:t> </w:t>
            </w:r>
            <w:hyperlink r:id="rId14">
              <w:r>
                <w:rPr>
                  <w:rFonts w:ascii="Times New Roman" w:hAnsi="Times New Roman" w:cs="Times New Roman" w:eastAsia="Times New Roman" w:hint="default"/>
                  <w:sz w:val="18"/>
                  <w:szCs w:val="18"/>
                </w:rPr>
                <w:t>www.cninfo.com.cn</w:t>
              </w:r>
            </w:hyperlink>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2012-013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51"/>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公告编号：</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2012-005</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51"/>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公告编号：</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2012-014</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67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51"/>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公告编号：</w:t>
            </w:r>
          </w:p>
        </w:tc>
        <w:tc>
          <w:tcPr>
            <w:tcW w:w="2393" w:type="dxa"/>
            <w:tcBorders>
              <w:top w:val="single" w:sz="4" w:space="0" w:color="000000"/>
              <w:left w:val="single" w:sz="13" w:space="0" w:color="FFFFFF"/>
              <w:bottom w:val="single" w:sz="59" w:space="0" w:color="FFFFFF"/>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10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2012-018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51"/>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公告编号：</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2012-022</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51"/>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公告编号：</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2012-031</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51"/>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公告编号：</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2012-034</w:t>
            </w:r>
          </w:p>
        </w:tc>
        <w:tc>
          <w:tcPr>
            <w:tcW w:w="239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四、年度报告重大差错责任追究制度的建立与执行情况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06" w:firstLine="492"/>
        <w:jc w:val="both"/>
      </w:pPr>
      <w:r>
        <w:rPr>
          <w:spacing w:val="-4"/>
        </w:rPr>
        <w:t>为了提高公司的规范运作水平，增强信息披露的真实性、准确性、完整性和及时性，提高年报信息披</w:t>
      </w:r>
      <w:r>
        <w:rPr>
          <w:w w:val="100"/>
        </w:rPr>
        <w:t> </w:t>
      </w:r>
      <w:r>
        <w:rPr>
          <w:spacing w:val="-2"/>
        </w:rPr>
        <w:t>露的质量和透明度，根据有关法律、法规规定，结合公司实际情况，公司制定了《东方财富信息股份有限</w:t>
      </w:r>
      <w:r>
        <w:rPr>
          <w:spacing w:val="-43"/>
        </w:rPr>
        <w:t> </w:t>
      </w:r>
      <w:r>
        <w:rPr>
          <w:spacing w:val="-43"/>
        </w:rPr>
      </w:r>
      <w:r>
        <w:rPr>
          <w:spacing w:val="-2"/>
        </w:rPr>
        <w:t>公司年报信息披露重大差错责任追究制度》，并经公司第一届董事会第十三次会议审议通过。报告期内公</w:t>
      </w:r>
      <w:r>
        <w:rPr>
          <w:spacing w:val="-44"/>
        </w:rPr>
        <w:t> </w:t>
      </w:r>
      <w:r>
        <w:rPr>
          <w:spacing w:val="-44"/>
        </w:rPr>
      </w:r>
      <w:r>
        <w:rPr/>
        <w:t>司未发生重大会计差错更正、重大遗漏信息补充以及业绩预告、快报修正等情况。</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60" w:lineRule="auto" w:before="115"/>
        <w:ind w:left="152" w:right="631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公司监事会对报告期内的监督事项无异议。</w:t>
      </w:r>
    </w:p>
    <w:p>
      <w:pPr>
        <w:spacing w:after="0" w:line="360" w:lineRule="auto"/>
        <w:jc w:val="left"/>
        <w:rPr>
          <w:rFonts w:ascii="宋体" w:hAnsi="宋体" w:cs="宋体" w:eastAsia="宋体" w:hint="default"/>
          <w:sz w:val="18"/>
          <w:szCs w:val="18"/>
        </w:rPr>
        <w:sectPr>
          <w:pgSz w:w="11910" w:h="16840"/>
          <w:pgMar w:header="852" w:footer="980" w:top="1340" w:bottom="1160" w:left="980" w:right="10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240" w:lineRule="auto"/>
        <w:ind w:right="2742"/>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112073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1020"/>
        </w:sectPr>
      </w:pPr>
    </w:p>
    <w:p>
      <w:pPr>
        <w:spacing w:line="240" w:lineRule="auto" w:before="2"/>
        <w:rPr>
          <w:rFonts w:ascii="宋体" w:hAnsi="宋体" w:cs="宋体" w:eastAsia="宋体" w:hint="default"/>
          <w:b/>
          <w:bCs/>
          <w:sz w:val="29"/>
          <w:szCs w:val="29"/>
        </w:rPr>
      </w:pPr>
    </w:p>
    <w:p>
      <w:pPr>
        <w:pStyle w:val="Heading5"/>
        <w:spacing w:line="240" w:lineRule="auto"/>
        <w:ind w:right="-1"/>
        <w:jc w:val="left"/>
        <w:rPr>
          <w:b w:val="0"/>
          <w:bCs w:val="0"/>
        </w:rPr>
      </w:pPr>
      <w:r>
        <w:rPr>
          <w:spacing w:val="-1"/>
        </w:rPr>
        <w:t>东方财富信息股份有限公司全体股东：</w:t>
      </w:r>
      <w:r>
        <w:rPr>
          <w:b w:val="0"/>
          <w:bCs w:val="0"/>
          <w:spacing w:val="-1"/>
        </w:rPr>
      </w:r>
    </w:p>
    <w:p>
      <w:pPr>
        <w:spacing w:before="49"/>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340" w:bottom="1160" w:left="980" w:right="1020"/>
          <w:cols w:num="2" w:equalWidth="0">
            <w:col w:w="3739" w:space="541"/>
            <w:col w:w="5630"/>
          </w:cols>
        </w:sectPr>
      </w:pPr>
    </w:p>
    <w:p>
      <w:pPr>
        <w:spacing w:line="240" w:lineRule="auto" w:before="10"/>
        <w:rPr>
          <w:rFonts w:ascii="宋体" w:hAnsi="宋体" w:cs="宋体" w:eastAsia="宋体" w:hint="default"/>
          <w:sz w:val="29"/>
          <w:szCs w:val="29"/>
        </w:rPr>
      </w:pPr>
    </w:p>
    <w:p>
      <w:pPr>
        <w:pStyle w:val="BodyText"/>
        <w:spacing w:line="386" w:lineRule="auto" w:before="36"/>
        <w:ind w:right="106" w:firstLine="562"/>
        <w:jc w:val="both"/>
      </w:pPr>
      <w:r>
        <w:rPr/>
        <w:t>我们审计了后附的东方财富信息股份有限公司（以下简称贵公司）财务报表，包括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w w:val="100"/>
        </w:rPr>
        <w:t> </w:t>
      </w:r>
      <w:r>
        <w:rPr>
          <w:spacing w:val="-2"/>
        </w:rPr>
        <w:t>的资产负债表和合并资产负债表、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w:t>
      </w:r>
      <w:r>
        <w:rPr>
          <w:spacing w:val="-35"/>
        </w:rPr>
        <w:t> </w:t>
      </w:r>
      <w:r>
        <w:rPr>
          <w:spacing w:val="-35"/>
        </w:rPr>
      </w:r>
      <w:r>
        <w:rPr/>
        <w:t>量表、</w:t>
      </w:r>
      <w:r>
        <w:rPr>
          <w:rFonts w:ascii="Times New Roman" w:hAnsi="Times New Roman" w:cs="Times New Roman" w:eastAsia="Times New Roman" w:hint="default"/>
        </w:rPr>
        <w:t>2012</w:t>
      </w:r>
      <w:r>
        <w:rPr/>
        <w:t>年度的所有者权益变动表和合并所有者权益变动表以及财务报表附注。</w:t>
      </w:r>
    </w:p>
    <w:p>
      <w:pPr>
        <w:spacing w:line="240" w:lineRule="auto" w:before="9"/>
        <w:rPr>
          <w:rFonts w:ascii="宋体" w:hAnsi="宋体" w:cs="宋体" w:eastAsia="宋体" w:hint="default"/>
          <w:sz w:val="20"/>
          <w:szCs w:val="20"/>
        </w:rPr>
      </w:pPr>
    </w:p>
    <w:p>
      <w:pPr>
        <w:pStyle w:val="Heading5"/>
        <w:spacing w:line="240" w:lineRule="auto"/>
        <w:ind w:left="575"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64"/>
        <w:ind w:right="106" w:firstLine="562"/>
        <w:jc w:val="both"/>
      </w:pPr>
      <w:r>
        <w:rPr>
          <w:spacing w:val="-3"/>
        </w:rPr>
        <w:t>编制和公允列报财务报表是贵公司管理层的责任。这种责任包括：（</w:t>
      </w:r>
      <w:r>
        <w:rPr>
          <w:rFonts w:ascii="宋体" w:hAnsi="宋体" w:cs="宋体" w:eastAsia="宋体" w:hint="default"/>
          <w:spacing w:val="-3"/>
        </w:rPr>
        <w:t>1</w:t>
      </w:r>
      <w:r>
        <w:rPr>
          <w:spacing w:val="-3"/>
        </w:rPr>
        <w:t>）按照企业会计准则的规定编</w:t>
      </w:r>
      <w:r>
        <w:rPr>
          <w:w w:val="100"/>
        </w:rPr>
        <w:t> </w:t>
      </w:r>
      <w:r>
        <w:rPr/>
        <w:t>制财务报表，并使其实现公允反映；（</w:t>
      </w:r>
      <w:r>
        <w:rPr>
          <w:rFonts w:ascii="宋体" w:hAnsi="宋体" w:cs="宋体" w:eastAsia="宋体" w:hint="default"/>
        </w:rPr>
        <w:t>2</w:t>
      </w:r>
      <w:r>
        <w:rPr/>
        <w:t>）设计、执行和维护必要的内部控制，以使财务报表不存在由于</w:t>
      </w:r>
      <w:r>
        <w:rPr>
          <w:spacing w:val="-23"/>
        </w:rPr>
        <w:t> </w:t>
      </w:r>
      <w:r>
        <w:rPr>
          <w:spacing w:val="-23"/>
        </w:rPr>
      </w:r>
      <w:r>
        <w:rPr/>
        <w:t>舞弊或错误导致的重大错报。</w:t>
      </w:r>
    </w:p>
    <w:p>
      <w:pPr>
        <w:spacing w:line="240" w:lineRule="auto" w:before="7"/>
        <w:rPr>
          <w:rFonts w:ascii="宋体" w:hAnsi="宋体" w:cs="宋体" w:eastAsia="宋体" w:hint="default"/>
          <w:sz w:val="21"/>
          <w:szCs w:val="21"/>
        </w:rPr>
      </w:pPr>
    </w:p>
    <w:p>
      <w:pPr>
        <w:pStyle w:val="Heading5"/>
        <w:spacing w:line="240" w:lineRule="auto"/>
        <w:ind w:left="575"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64"/>
        <w:ind w:right="106" w:firstLine="562"/>
        <w:jc w:val="both"/>
      </w:pPr>
      <w:r>
        <w:rPr/>
        <w:t>我们的责任是在执行审计工作的基础上对财务报表发表审计意见。我们按照中国注册会计师审计准</w:t>
      </w:r>
      <w:r>
        <w:rPr>
          <w:w w:val="100"/>
        </w:rPr>
        <w:t> </w:t>
      </w:r>
      <w:r>
        <w:rPr>
          <w:spacing w:val="-2"/>
        </w:rPr>
        <w:t>则的规定执行了审计工作。中国注册会计师审计准则要求我们遵守中国注册会计师职业道德守则，计划和</w:t>
      </w:r>
      <w:r>
        <w:rPr>
          <w:spacing w:val="-44"/>
        </w:rPr>
        <w:t> </w:t>
      </w:r>
      <w:r>
        <w:rPr>
          <w:spacing w:val="-44"/>
        </w:rPr>
      </w:r>
      <w:r>
        <w:rPr/>
        <w:t>执行审计工作以对财务报表是否不存在重大错报获取合理保证。</w:t>
      </w:r>
    </w:p>
    <w:p>
      <w:pPr>
        <w:pStyle w:val="BodyText"/>
        <w:spacing w:line="408" w:lineRule="auto" w:before="46"/>
        <w:ind w:right="106" w:firstLine="562"/>
        <w:jc w:val="both"/>
      </w:pPr>
      <w:r>
        <w:rPr/>
        <w:t>审计工作涉及实施审计程序，以获取有关财务报表金额和披露的审计证据。选择的审计程序取决于</w:t>
      </w:r>
      <w:r>
        <w:rPr>
          <w:w w:val="100"/>
        </w:rPr>
        <w:t> </w:t>
      </w:r>
      <w:r>
        <w:rPr>
          <w:spacing w:val="-2"/>
        </w:rPr>
        <w:t>注册会计师的判断，包括对由于舞弊或错误导致的财务报表重大错报风险的评估。在进行风险评估时，注</w:t>
      </w:r>
      <w:r>
        <w:rPr>
          <w:spacing w:val="-43"/>
        </w:rPr>
        <w:t> </w:t>
      </w:r>
      <w:r>
        <w:rPr>
          <w:spacing w:val="-43"/>
        </w:rPr>
      </w:r>
      <w:r>
        <w:rPr>
          <w:spacing w:val="-2"/>
        </w:rPr>
        <w:t>册会计师考虑与财务报表编制和公允列报相关的内部控制，以设计恰当的审计程序，但目的并非对内部控</w:t>
      </w:r>
      <w:r>
        <w:rPr>
          <w:spacing w:val="-44"/>
        </w:rPr>
        <w:t> </w:t>
      </w:r>
      <w:r>
        <w:rPr>
          <w:spacing w:val="-44"/>
        </w:rPr>
      </w:r>
      <w:r>
        <w:rPr>
          <w:spacing w:val="-2"/>
        </w:rPr>
        <w:t>制的有效性发表意见。审计工作还包括评价管理层选用会计政策的恰当性和作出会计估计的合理性，以及</w:t>
      </w:r>
      <w:r>
        <w:rPr>
          <w:spacing w:val="-43"/>
        </w:rPr>
        <w:t> </w:t>
      </w:r>
      <w:r>
        <w:rPr>
          <w:spacing w:val="-43"/>
        </w:rPr>
      </w:r>
      <w:r>
        <w:rPr/>
        <w:t>评价财务报表的总体列报。</w:t>
      </w:r>
    </w:p>
    <w:p>
      <w:pPr>
        <w:pStyle w:val="BodyText"/>
        <w:spacing w:line="240" w:lineRule="auto" w:before="46"/>
        <w:ind w:left="714" w:right="0"/>
        <w:jc w:val="left"/>
      </w:pPr>
      <w:r>
        <w:rPr/>
        <w:t>我们相信，我们获取的审计证据是充分、适当的，为发表审计意见提供了基础。</w:t>
      </w:r>
    </w:p>
    <w:p>
      <w:pPr>
        <w:spacing w:after="0" w:line="240" w:lineRule="auto"/>
        <w:jc w:val="left"/>
        <w:sectPr>
          <w:type w:val="continuous"/>
          <w:pgSz w:w="11910" w:h="16840"/>
          <w:pgMar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left="575" w:right="0"/>
        <w:jc w:val="left"/>
        <w:rPr>
          <w:b w:val="0"/>
          <w:bCs w:val="0"/>
        </w:rPr>
      </w:pPr>
      <w:r>
        <w:rPr/>
        <w:t>三、审计意见</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64"/>
        <w:ind w:right="0" w:firstLine="562"/>
        <w:jc w:val="left"/>
      </w:pPr>
      <w:r>
        <w:rPr/>
        <w:t>我们认为，贵公司财务报表在所有重大方面按照企业会计准则的规定编制，公允反映了贵公司</w:t>
      </w:r>
      <w:r>
        <w:rPr>
          <w:rFonts w:ascii="宋体" w:hAnsi="宋体" w:cs="宋体" w:eastAsia="宋体" w:hint="default"/>
        </w:rPr>
        <w:t>2012</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2012</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right="0"/>
        <w:jc w:val="left"/>
        <w:rPr>
          <w:b w:val="0"/>
          <w:bCs w:val="0"/>
        </w:rPr>
      </w:pPr>
      <w:r>
        <w:rPr/>
        <w:t>立信会计师事务所（特殊普通合伙）</w:t>
      </w:r>
      <w:r>
        <w:rPr>
          <w:spacing w:val="-20"/>
        </w:rPr>
        <w:t> </w:t>
      </w:r>
      <w:r>
        <w:rPr/>
        <w:t>中国注册会计师：姚辉</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4819" w:right="0"/>
        <w:jc w:val="left"/>
        <w:rPr>
          <w:b w:val="0"/>
          <w:bCs w:val="0"/>
        </w:rPr>
      </w:pPr>
      <w:r>
        <w:rPr/>
        <w:t>中国注册会计师：邵振宇</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6607" w:val="left" w:leader="none"/>
        </w:tabs>
        <w:spacing w:line="240" w:lineRule="auto"/>
        <w:ind w:left="4814" w:right="0"/>
        <w:jc w:val="left"/>
        <w:rPr>
          <w:b w:val="0"/>
          <w:bCs w:val="0"/>
        </w:rPr>
      </w:pPr>
      <w:r>
        <w:rPr>
          <w:spacing w:val="-29"/>
        </w:rPr>
        <w:t>中国</w:t>
      </w:r>
      <w:r>
        <w:rPr>
          <w:rFonts w:ascii="Times New Roman" w:hAnsi="Times New Roman" w:cs="Times New Roman" w:eastAsia="Times New Roman" w:hint="default"/>
          <w:spacing w:val="-29"/>
        </w:rPr>
        <w:t>·</w:t>
      </w:r>
      <w:r>
        <w:rPr>
          <w:spacing w:val="-29"/>
        </w:rPr>
        <w:t>上海</w:t>
        <w:tab/>
      </w:r>
      <w:r>
        <w:rPr/>
        <w:t>二</w:t>
      </w:r>
      <w:r>
        <w:rPr>
          <w:rFonts w:ascii="Times New Roman" w:hAnsi="Times New Roman" w:cs="Times New Roman" w:eastAsia="Times New Roman" w:hint="default"/>
        </w:rPr>
        <w:t>O</w:t>
      </w:r>
      <w:r>
        <w:rPr/>
        <w:t>一三年四月十七日</w:t>
      </w:r>
      <w:r>
        <w:rPr>
          <w:b w:val="0"/>
          <w:bCs w:val="0"/>
        </w:rPr>
      </w:r>
    </w:p>
    <w:p>
      <w:pPr>
        <w:spacing w:after="0" w:line="240" w:lineRule="auto"/>
        <w:jc w:val="left"/>
        <w:sectPr>
          <w:pgSz w:w="11910" w:h="16840"/>
          <w:pgMar w:header="852" w:footer="980" w:top="1340" w:bottom="1160" w:left="980" w:right="10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1,526,871,263.72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1,481,400,991.53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37,581,406.96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32,826,369.27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11,499,508.74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11,286,952.27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23,090,855.74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31,529,216.22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2,604,463.44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2,627,988.56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1,601,647,498.60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1,619,671,517.85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50,022,555.22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54,183,301.07</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137,482,410.16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139,427,540.64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4,731,868.08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6,724,625.00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5,232,372.82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762,063.84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464,542.53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199,723,522.30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204,039,625.14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1,801,371,020.90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1,823,711,142.99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17,136,191.80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9,142,545.40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60,618,740.76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109,372,252.58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434,179.73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2,866,924.53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1,827,194.41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1,978,112.03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rPr>
          <w:sz w:val="2"/>
          <w:szCs w:val="2"/>
        </w:rPr>
      </w:pPr>
      <w:r>
        <w:rPr/>
        <w:pict>
          <v:group style="position:absolute;margin-left:55.200001pt;margin-top:69.839981pt;width:436.9pt;height:.1pt;mso-position-horizontal-relative:page;mso-position-vertical-relative:page;z-index:2224" coordorigin="1104,1397" coordsize="8738,2">
            <v:shape style="position:absolute;left:1104;top:1397;width:8738;height:2" coordorigin="1104,1397" coordsize="8738,0" path="m1104,1397l9842,1397e" filled="false" stroked="true" strokeweight=".72pt" strokecolor="#000000">
              <v:path arrowok="t"/>
            </v:shape>
            <w10:wrap type="none"/>
          </v:group>
        </w:pict>
      </w:r>
    </w:p>
    <w:p>
      <w:pPr>
        <w:spacing w:after="0"/>
        <w:rPr>
          <w:sz w:val="2"/>
          <w:szCs w:val="2"/>
        </w:rPr>
        <w:sectPr>
          <w:pgSz w:w="11910" w:h="16840"/>
          <w:pgMar w:header="852" w:footer="980" w:top="14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80,016,306.70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123,359,834.54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81,816,306.70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123,359,834.54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1,129,760,796.76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1,253,160,162.76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38,712,755.29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34,103,025.45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215,011,562.69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203,039,431.55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1,719,485,114.74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1,700,302,619.76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69,599.46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48,688.69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1,719,554,714.20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1,700,351,308.45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1,801,371,020.90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1,823,711,142.99</w:t>
            </w:r>
          </w:p>
        </w:tc>
      </w:tr>
    </w:tbl>
    <w:p>
      <w:pPr>
        <w:spacing w:line="240" w:lineRule="auto" w:before="6"/>
        <w:rPr>
          <w:rFonts w:ascii="宋体" w:hAnsi="宋体" w:cs="宋体" w:eastAsia="宋体" w:hint="default"/>
          <w:sz w:val="19"/>
          <w:szCs w:val="19"/>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04" w:right="0"/>
              <w:jc w:val="left"/>
              <w:rPr>
                <w:rFonts w:ascii="Times New Roman" w:hAnsi="Times New Roman" w:cs="Times New Roman" w:eastAsia="Times New Roman" w:hint="default"/>
                <w:sz w:val="18"/>
                <w:szCs w:val="18"/>
              </w:rPr>
            </w:pPr>
            <w:r>
              <w:rPr>
                <w:rFonts w:ascii="Times New Roman"/>
                <w:sz w:val="18"/>
              </w:rPr>
              <w:t>1,358,061,016.94</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1,317,199,470.98</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4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36,644,784.71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32,930,869.26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10,263,082.40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10,369,466.02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21,781,061.79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30,101,475.54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5,353,354.89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4,197,902.31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1,432,103,300.73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1,454,799,184.11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315,502,000.00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315,502,000.00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48,320,097.39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52,963,486.10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1,556,397.33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1,287,406.09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6,583,706.90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5,232,372.82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786,932.45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482,857.79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372,749,134.07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375,468,122.80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1,804,852,434.80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1,830,267,306.91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4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15,104,337.73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9,165,142.90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60,041,740.76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109,372,252.58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-196,826.03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2,464,461.63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1,634,105.22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10,494,305.04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76,583,357.68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131,496,162.15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78,383,357.68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131,496,162.15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336,000,000.00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1,130,802,400.55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1,254,201,766.55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38,712,755.29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34,103,025.45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220,953,921.28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200,466,352.76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1,726,469,077.12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1,698,771,144.76</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1,804,852,434.80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1,830,267,306.91</w:t>
            </w:r>
          </w:p>
        </w:tc>
      </w:tr>
    </w:tbl>
    <w:p>
      <w:pPr>
        <w:spacing w:line="240" w:lineRule="auto" w:before="5"/>
        <w:rPr>
          <w:rFonts w:ascii="宋体" w:hAnsi="宋体" w:cs="宋体" w:eastAsia="宋体" w:hint="default"/>
          <w:sz w:val="19"/>
          <w:szCs w:val="19"/>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after="0"/>
        <w:jc w:val="left"/>
        <w:rPr>
          <w:rFonts w:ascii="宋体" w:hAnsi="宋体" w:cs="宋体" w:eastAsia="宋体" w:hint="default"/>
          <w:sz w:val="18"/>
          <w:szCs w:val="18"/>
        </w:rPr>
        <w:sectPr>
          <w:pgSz w:w="11910" w:h="16840"/>
          <w:pgMar w:header="852" w:footer="980" w:top="14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222,701,535.89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280,308,218.79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222,701,535.89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280,308,218.79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187,376,262.39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170,605,529.44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64,732,333.89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60,150,212.35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7,849,706.22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10,815,354.95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96,748,393.17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109,836,587.04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65,386,886.85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30,787,217.00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-48,779,024.89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-42,278,797.59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1,437,967.15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1,294,955.69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35,325,273.50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109,702,689.35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9,639,500.00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14,908,000.98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3,196,963.45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43,364,773.50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121,413,726.88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5,762,001.75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14,876,925.31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37,602,771.75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106,536,801.57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37,581,860.98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106,528,210.93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8,590.64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37,602,771.75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106,536,801.57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37,581,860.98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106,528,210.93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8,590.64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667" w:val="left" w:leader="none"/>
          <w:tab w:pos="7899" w:val="left" w:leader="none"/>
        </w:tabs>
        <w:spacing w:before="141"/>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218,210,924.62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280,314,718.79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82,119,189.93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79,520,922.35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6,969,015.11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9,673,883.99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73,779,983.97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96,493,042.90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53,699,533.73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19,309,189.58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-43,678,559.42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-40,210,121.99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1,383,354.00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1,173,044.12</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43,938,407.30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114,354,757.84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9,464,700.00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14,908,000.98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560,050.00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51,903,107.30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128,702,708.82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5,805,808.94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14,608,307.04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46,097,298.36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114,094,401.78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46,097,298.36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114,094,401.78</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171,212,994.43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315,011,015.87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70,222,497.37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pacing w:val="-1"/>
                <w:sz w:val="18"/>
              </w:rPr>
              <w:t>48,178,511.99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241,435,491.80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363,189,527.86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51,768,058.21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49,062,061.96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102,348,985.14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90,103,083.94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17,890,176.01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23,561,524.86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49,264,518.05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44,413,076.99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221,271,737.41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207,139,747.75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20,163,754.39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156,049,780.11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60,583,397.26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41,100,000.00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60,583,397.26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41,100,000.00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14,093,823.74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175,206,598.43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14,093,823.74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235,206,598.43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46,489,573.52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-194,106,598.43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4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183,055.72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21,183,055.72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-21,183,055.72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45,470,272.19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-59,056,818.32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1,481,400,991.53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1,540,457,809.85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1,526,871,263.72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1,481,400,991.53</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164,475,212.33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314,421,015.87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65,367,526.42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186,648,578.34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229,842,738.75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501,069,594.21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68,897,085.97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68,575,288.21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81,982,527.35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75,094,014.69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16,262,422.88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21,830,716.34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49,790,916.28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176,060,903.36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216,932,952.48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341,560,922.60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12,909,786.27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159,508,671.61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60,583,397.26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41,100,000.00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60,583,397.26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41,100,000.00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11,448,581.85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33,576,714.43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299,000,000.00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11,448,581.85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392,576,714.43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49,134,815.41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-351,476,714.43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183,055.72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21,183,055.72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-21,183,055.72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40,861,545.96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-212,968,042.82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1,317,199,470.98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1,530,167,513.80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1,358,061,016.94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1,317,199,470.98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440" w:bottom="1160" w:left="980" w:right="1020"/>
        </w:sectPr>
      </w:pPr>
    </w:p>
    <w:p>
      <w:pPr>
        <w:tabs>
          <w:tab w:pos="3667" w:val="left" w:leader="none"/>
          <w:tab w:pos="7899" w:val="left" w:leader="none"/>
        </w:tabs>
        <w:spacing w:before="95"/>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340" w:bottom="1160" w:left="980" w:right="102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40" w:bottom="1160" w:left="980" w:right="1020"/>
          <w:cols w:num="2" w:equalWidth="0">
            <w:col w:w="3213" w:space="5707"/>
            <w:col w:w="99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1,253,16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0,162.76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34,103,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025.45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203,039,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431.55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48,688.69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1,700,351,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308.45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1,253,16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0,162.76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34,103,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025.45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203,039,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431.55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48,688.69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1,700,351,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308.45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-123,39</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9,366.00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4,609,7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29.84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11,972,1</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31.14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20,910.77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19,203,405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37,581,8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60.98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20,910.77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37,602,771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37,581,8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60.98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20,910.77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37,602,771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2,600,63</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4.00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2,600,634.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2,600,63</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2,600,634.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4,609,7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29.84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-25,609,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729.84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4,609,7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29.84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-4,609,7</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29.84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-21,000,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-21,000,00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3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3" w:right="0"/>
              <w:jc w:val="left"/>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126,000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-126,00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336,000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1,129,76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0,796.76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38,712,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755.29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215,011,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562.69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69,599.46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1,719,554,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714.20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2"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5"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2"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5"/>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1,321,41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5,562.76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22,693,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585.27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128,920,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660.80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40,098.05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1,613,069,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906.88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1,321,41</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5,562.76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22,693,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585.27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128,920,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660.80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40,098.05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1,613,069,</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906.88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-68,255,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11,409,4</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40.18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74,118,7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70.75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8,590.64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87,281,401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106,528,</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210.93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8,590.64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106,536,80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1.57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106,528,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210.93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center"/>
              <w:rPr>
                <w:rFonts w:ascii="Times New Roman" w:hAnsi="Times New Roman" w:cs="Times New Roman" w:eastAsia="Times New Roman" w:hint="default"/>
                <w:sz w:val="18"/>
                <w:szCs w:val="18"/>
              </w:rPr>
            </w:pPr>
            <w:r>
              <w:rPr>
                <w:rFonts w:ascii="Times New Roman"/>
                <w:sz w:val="18"/>
              </w:rPr>
              <w:t>8,590.64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106,536,80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1.57</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1,744,60</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1,744,600.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1,744,60</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1,744,600.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11,409,4</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40.18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-32,409,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440.18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11,409,4</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40.18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-11,409,</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440.18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1,253,16</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0,162.76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34,103,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025.45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203,039,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431.55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48,688.69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1,700,351,</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308.45</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80" w:top="1440" w:bottom="1160" w:left="980" w:right="102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40" w:bottom="1160" w:left="980" w:right="1020"/>
          <w:cols w:num="2" w:equalWidth="0">
            <w:col w:w="3213" w:space="5707"/>
            <w:col w:w="990"/>
          </w:cols>
        </w:sect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402"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2"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0"/>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0"/>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0"/>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0"/>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3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81"/>
              <w:ind w:left="45"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1"/>
              <w:ind w:left="88" w:right="0"/>
              <w:jc w:val="left"/>
              <w:rPr>
                <w:rFonts w:ascii="Times New Roman" w:hAnsi="Times New Roman" w:cs="Times New Roman" w:eastAsia="Times New Roman" w:hint="default"/>
                <w:sz w:val="18"/>
                <w:szCs w:val="18"/>
              </w:rPr>
            </w:pPr>
            <w:r>
              <w:rPr>
                <w:rFonts w:ascii="Times New Roman"/>
                <w:sz w:val="18"/>
              </w:rPr>
              <w:t>1,254,201,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766.55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34,103,025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81"/>
              <w:ind w:left="45" w:right="0"/>
              <w:jc w:val="left"/>
              <w:rPr>
                <w:rFonts w:ascii="Times New Roman" w:hAnsi="Times New Roman" w:cs="Times New Roman" w:eastAsia="Times New Roman" w:hint="default"/>
                <w:sz w:val="18"/>
                <w:szCs w:val="18"/>
              </w:rPr>
            </w:pPr>
            <w:r>
              <w:rPr>
                <w:rFonts w:ascii="Times New Roman"/>
                <w:sz w:val="18"/>
              </w:rPr>
              <w:t>200,466,35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2.76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1"/>
              <w:ind w:left="93" w:right="0"/>
              <w:jc w:val="left"/>
              <w:rPr>
                <w:rFonts w:ascii="Times New Roman" w:hAnsi="Times New Roman" w:cs="Times New Roman" w:eastAsia="Times New Roman" w:hint="default"/>
                <w:sz w:val="18"/>
                <w:szCs w:val="18"/>
              </w:rPr>
            </w:pPr>
            <w:r>
              <w:rPr>
                <w:rFonts w:ascii="Times New Roman"/>
                <w:sz w:val="18"/>
              </w:rPr>
              <w:t>1,698,771,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144.76</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81"/>
              <w:ind w:left="45"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1"/>
              <w:ind w:left="88" w:right="0"/>
              <w:jc w:val="left"/>
              <w:rPr>
                <w:rFonts w:ascii="Times New Roman" w:hAnsi="Times New Roman" w:cs="Times New Roman" w:eastAsia="Times New Roman" w:hint="default"/>
                <w:sz w:val="18"/>
                <w:szCs w:val="18"/>
              </w:rPr>
            </w:pPr>
            <w:r>
              <w:rPr>
                <w:rFonts w:ascii="Times New Roman"/>
                <w:sz w:val="18"/>
              </w:rPr>
              <w:t>1,254,201,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766.55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34,103,025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81"/>
              <w:ind w:left="45" w:right="0"/>
              <w:jc w:val="left"/>
              <w:rPr>
                <w:rFonts w:ascii="Times New Roman" w:hAnsi="Times New Roman" w:cs="Times New Roman" w:eastAsia="Times New Roman" w:hint="default"/>
                <w:sz w:val="18"/>
                <w:szCs w:val="18"/>
              </w:rPr>
            </w:pPr>
            <w:r>
              <w:rPr>
                <w:rFonts w:ascii="Times New Roman"/>
                <w:sz w:val="18"/>
              </w:rPr>
              <w:t>200,466,35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2.76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1"/>
              <w:ind w:left="93" w:right="0"/>
              <w:jc w:val="left"/>
              <w:rPr>
                <w:rFonts w:ascii="Times New Roman" w:hAnsi="Times New Roman" w:cs="Times New Roman" w:eastAsia="Times New Roman" w:hint="default"/>
                <w:sz w:val="18"/>
                <w:szCs w:val="18"/>
              </w:rPr>
            </w:pPr>
            <w:r>
              <w:rPr>
                <w:rFonts w:ascii="Times New Roman"/>
                <w:sz w:val="18"/>
              </w:rPr>
              <w:t>1,698,771,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144.76</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6"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2"/>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left="40" w:right="0"/>
              <w:jc w:val="left"/>
              <w:rPr>
                <w:rFonts w:ascii="Times New Roman" w:hAnsi="Times New Roman" w:cs="Times New Roman" w:eastAsia="Times New Roman" w:hint="default"/>
                <w:sz w:val="18"/>
                <w:szCs w:val="18"/>
              </w:rPr>
            </w:pPr>
            <w:r>
              <w:rPr>
                <w:rFonts w:ascii="Times New Roman"/>
                <w:sz w:val="18"/>
              </w:rPr>
              <w:t>126,000,00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4" w:right="0"/>
              <w:jc w:val="left"/>
              <w:rPr>
                <w:rFonts w:ascii="Times New Roman" w:hAnsi="Times New Roman" w:cs="Times New Roman" w:eastAsia="Times New Roman" w:hint="default"/>
                <w:sz w:val="18"/>
                <w:szCs w:val="18"/>
              </w:rPr>
            </w:pPr>
            <w:r>
              <w:rPr>
                <w:rFonts w:ascii="Times New Roman"/>
                <w:sz w:val="18"/>
              </w:rPr>
              <w:t>-123,399,3</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66.00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4,609,729.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20,487,568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27,697,932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46,097,298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46,097,298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46,097,298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46,097,298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2,600,634.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2,600,634.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2"/>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2,600,634.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2,600,634.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4,609,729.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84"/>
              <w:ind w:left="76" w:right="0"/>
              <w:jc w:val="left"/>
              <w:rPr>
                <w:rFonts w:ascii="Times New Roman" w:hAnsi="Times New Roman" w:cs="Times New Roman" w:eastAsia="Times New Roman" w:hint="default"/>
                <w:sz w:val="18"/>
                <w:szCs w:val="18"/>
              </w:rPr>
            </w:pPr>
            <w:r>
              <w:rPr>
                <w:rFonts w:ascii="Times New Roman"/>
                <w:sz w:val="18"/>
              </w:rPr>
              <w:t>-25,609,72</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9.84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4"/>
              <w:ind w:left="79"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4,609,729.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-4,609,729.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81"/>
              <w:ind w:left="76"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81"/>
              <w:ind w:left="79"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81"/>
              <w:ind w:left="45" w:right="0"/>
              <w:jc w:val="left"/>
              <w:rPr>
                <w:rFonts w:ascii="Times New Roman" w:hAnsi="Times New Roman" w:cs="Times New Roman" w:eastAsia="Times New Roman" w:hint="default"/>
                <w:sz w:val="18"/>
                <w:szCs w:val="18"/>
              </w:rPr>
            </w:pPr>
            <w:r>
              <w:rPr>
                <w:rFonts w:ascii="Times New Roman"/>
                <w:sz w:val="18"/>
              </w:rPr>
              <w:t>126,000,00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1"/>
              <w:ind w:left="74" w:right="0"/>
              <w:jc w:val="lef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4"/>
              <w:ind w:left="74" w:right="0"/>
              <w:jc w:val="lef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nil" w:sz="6" w:space="0" w:color="auto"/>
              <w:left w:val="single" w:sz="13" w:space="0" w:color="D2D2D2"/>
              <w:bottom w:val="nil" w:sz="6" w:space="0" w:color="auto"/>
              <w:right w:val="single" w:sz="4" w:space="0" w:color="000000"/>
            </w:tcBorders>
          </w:tcPr>
          <w:p>
            <w:pPr>
              <w:pStyle w:val="TableParagraph"/>
              <w:spacing w:line="133" w:lineRule="exact"/>
              <w:ind w:left="40" w:right="0"/>
              <w:jc w:val="left"/>
              <w:rPr>
                <w:rFonts w:ascii="Times New Roman" w:hAnsi="Times New Roman" w:cs="Times New Roman" w:eastAsia="Times New Roman" w:hint="default"/>
                <w:sz w:val="18"/>
                <w:szCs w:val="18"/>
              </w:rPr>
            </w:pPr>
            <w:r>
              <w:rPr>
                <w:rFonts w:ascii="Times New Roman"/>
                <w:sz w:val="18"/>
              </w:rPr>
              <w:t>126,000,00</w:t>
            </w:r>
          </w:p>
          <w:p>
            <w:pPr>
              <w:pStyle w:val="TableParagraph"/>
              <w:spacing w:line="186" w:lineRule="exact"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138.600006pt;margin-top:694.965637pt;width:84.8pt;height:22.15pt;mso-position-horizontal-relative:page;mso-position-vertical-relative:page;z-index:-66054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717.579956pt;width:84.8pt;height:19.6pt;mso-position-horizontal-relative:page;mso-position-vertical-relative:page;z-index:-6605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681.940002pt;width:42.65pt;height:55.8pt;mso-position-horizontal-relative:page;mso-position-vertical-relative:page;z-index:-660496" coordorigin="3615,13639" coordsize="853,1116">
            <v:group style="position:absolute;left:3639;top:13639;width:829;height:351" coordorigin="3639,13639" coordsize="829,351">
              <v:shape style="position:absolute;left:3639;top:13639;width:829;height:351" coordorigin="3639,13639" coordsize="829,351" path="m3639,13989l4467,13989,4467,13639,3639,13639,3639,13989xe" filled="true" fillcolor="#ffffff" stroked="false">
                <v:path arrowok="t"/>
                <v:fill type="solid"/>
              </v:shape>
            </v:group>
            <v:group style="position:absolute;left:3639;top:13989;width:829;height:353" coordorigin="3639,13989" coordsize="829,353">
              <v:shape style="position:absolute;left:3639;top:13989;width:829;height:353" coordorigin="3639,13989" coordsize="829,353" path="m3639,14342l4467,14342,4467,13989,3639,13989,3639,14342xe" filled="true" fillcolor="#ffffff" stroked="false">
                <v:path arrowok="t"/>
                <v:fill type="solid"/>
              </v:shape>
            </v:group>
            <v:group style="position:absolute;left:3627;top:14352;width:2;height:392" coordorigin="3627,14352" coordsize="2,392">
              <v:shape style="position:absolute;left:3627;top:14352;width:2;height:392" coordorigin="3627,14352" coordsize="0,392" path="m3627,14352l3627,14743e" filled="false" stroked="true" strokeweight="1.2pt" strokecolor="#ffffff">
                <v:path arrowok="t"/>
              </v:shape>
            </v:group>
            <v:group style="position:absolute;left:3639;top:14352;width:829;height:392" coordorigin="3639,14352" coordsize="829,392">
              <v:shape style="position:absolute;left:3639;top:14352;width:829;height:392" coordorigin="3639,14352" coordsize="829,392" path="m3639,14743l4467,14743,4467,14352,3639,14352,3639,14743xe" filled="true" fillcolor="#ffffff" stroked="false">
                <v:path arrowok="t"/>
                <v:fill type="solid"/>
              </v:shape>
            </v:group>
            <w10:wrap type="none"/>
          </v:group>
        </w:pict>
      </w:r>
    </w:p>
    <w:p>
      <w:pPr>
        <w:spacing w:after="0"/>
        <w:rPr>
          <w:sz w:val="2"/>
          <w:szCs w:val="2"/>
        </w:rPr>
        <w:sectPr>
          <w:pgSz w:w="11910" w:h="16840"/>
          <w:pgMar w:header="852" w:footer="980" w:top="14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336,000,00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1,130,802,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400.55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38,712,755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220,953,92</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1.28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1,726,469,</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077.12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1,322,457,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166.55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22,693,585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118,781,39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1,603,932,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142.98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1,322,457,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166.55</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22,693,585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118,781,39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1,603,932,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142.98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-68,255,40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11,409,440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81,684,961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94,839,001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.78</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114,094,40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1.78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114,094,40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1.78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114,094,40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1.78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114,094,40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1.78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1,744,600.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11,409,440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-32,409,44</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0.18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11,409,440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-11,409,44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0.18</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1020"/>
        </w:sectPr>
      </w:pPr>
    </w:p>
    <w:p>
      <w:pPr>
        <w:spacing w:line="240" w:lineRule="auto" w:before="9"/>
        <w:rPr>
          <w:rFonts w:ascii="宋体" w:hAnsi="宋体" w:cs="宋体" w:eastAsia="宋体" w:hint="default"/>
          <w:sz w:val="6"/>
          <w:szCs w:val="6"/>
        </w:rPr>
      </w:pPr>
      <w:r>
        <w:rPr/>
        <w:pict>
          <v:shape style="position:absolute;margin-left:139.554001pt;margin-top:177.085602pt;width:84.8pt;height:22.15pt;mso-position-horizontal-relative:page;mso-position-vertical-relative:page;z-index:-66047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199.699982pt;width:84.8pt;height:19.6pt;mso-position-horizontal-relative:page;mso-position-vertical-relative:page;z-index:-6604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164.059982pt;width:41.45pt;height:55.2pt;mso-position-horizontal-relative:page;mso-position-vertical-relative:page;z-index:-660424" coordorigin="3658,3281" coordsize="829,1104">
            <v:group style="position:absolute;left:3658;top:3281;width:829;height:351" coordorigin="3658,3281" coordsize="829,351">
              <v:shape style="position:absolute;left:3658;top:3281;width:829;height:351" coordorigin="3658,3281" coordsize="829,351" path="m3658,3632l4486,3632,4486,3281,3658,3281,3658,3632xe" filled="true" fillcolor="#ffffff" stroked="false">
                <v:path arrowok="t"/>
                <v:fill type="solid"/>
              </v:shape>
            </v:group>
            <v:group style="position:absolute;left:3658;top:3632;width:829;height:353" coordorigin="3658,3632" coordsize="829,353">
              <v:shape style="position:absolute;left:3658;top:3632;width:829;height:353" coordorigin="3658,3632" coordsize="829,353" path="m3658,3984l4486,3984,4486,3632,3658,3632,3658,3984xe" filled="true" fillcolor="#ffffff" stroked="false">
                <v:path arrowok="t"/>
                <v:fill type="solid"/>
              </v:shape>
            </v:group>
            <v:group style="position:absolute;left:3658;top:3994;width:829;height:392" coordorigin="3658,3994" coordsize="829,392">
              <v:shape style="position:absolute;left:3658;top:3994;width:829;height:392" coordorigin="3658,3994" coordsize="829,392" path="m3658,4385l4486,4385,4486,3994,3658,3994,3658,438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210,000,00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1,254,201,</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766.55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34,103,025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200,466,35</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2.76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1,698,771,</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144.76</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76"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3"/>
        <w:rPr>
          <w:rFonts w:ascii="宋体" w:hAnsi="宋体" w:cs="宋体" w:eastAsia="宋体" w:hint="default"/>
          <w:sz w:val="25"/>
          <w:szCs w:val="25"/>
        </w:rPr>
      </w:pPr>
    </w:p>
    <w:p>
      <w:pPr>
        <w:pStyle w:val="Heading3"/>
        <w:spacing w:line="240" w:lineRule="auto"/>
        <w:ind w:right="76"/>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before="0"/>
        <w:ind w:right="206" w:firstLine="420"/>
        <w:jc w:val="both"/>
      </w:pPr>
      <w:r>
        <w:rPr>
          <w:w w:val="100"/>
        </w:rPr>
        <w:t>东方财富</w:t>
      </w:r>
      <w:r>
        <w:rPr>
          <w:spacing w:val="-3"/>
          <w:w w:val="100"/>
        </w:rPr>
        <w:t>信</w:t>
      </w:r>
      <w:r>
        <w:rPr>
          <w:w w:val="100"/>
        </w:rPr>
        <w:t>息股份</w:t>
      </w:r>
      <w:r>
        <w:rPr>
          <w:spacing w:val="-3"/>
          <w:w w:val="100"/>
        </w:rPr>
        <w:t>有</w:t>
      </w:r>
      <w:r>
        <w:rPr>
          <w:w w:val="100"/>
        </w:rPr>
        <w:t>限</w:t>
      </w:r>
      <w:r>
        <w:rPr>
          <w:spacing w:val="-3"/>
          <w:w w:val="100"/>
        </w:rPr>
        <w:t>公</w:t>
      </w:r>
      <w:r>
        <w:rPr>
          <w:w w:val="100"/>
        </w:rPr>
        <w:t>司（以下</w:t>
      </w:r>
      <w:r>
        <w:rPr>
          <w:spacing w:val="-3"/>
          <w:w w:val="100"/>
        </w:rPr>
        <w:t>简</w:t>
      </w:r>
      <w:r>
        <w:rPr>
          <w:w w:val="100"/>
        </w:rPr>
        <w:t>称</w:t>
      </w:r>
      <w:r>
        <w:rPr>
          <w:rFonts w:ascii="Times New Roman" w:hAnsi="Times New Roman" w:cs="Times New Roman" w:eastAsia="Times New Roman" w:hint="default"/>
          <w:spacing w:val="-1"/>
          <w:w w:val="44"/>
        </w:rPr>
        <w:t>―</w:t>
      </w:r>
      <w:r>
        <w:rPr>
          <w:w w:val="100"/>
        </w:rPr>
        <w:t>公司</w:t>
      </w:r>
      <w:r>
        <w:rPr>
          <w:rFonts w:ascii="Times New Roman" w:hAnsi="Times New Roman" w:cs="Times New Roman" w:eastAsia="Times New Roman" w:hint="default"/>
          <w:spacing w:val="-1"/>
          <w:w w:val="159"/>
        </w:rPr>
        <w:t>‖</w:t>
      </w:r>
      <w:r>
        <w:rPr>
          <w:w w:val="100"/>
        </w:rPr>
        <w:t>或</w:t>
      </w:r>
      <w:r>
        <w:rPr>
          <w:rFonts w:ascii="Times New Roman" w:hAnsi="Times New Roman" w:cs="Times New Roman" w:eastAsia="Times New Roman" w:hint="default"/>
          <w:spacing w:val="-1"/>
          <w:w w:val="44"/>
        </w:rPr>
        <w:t>―</w:t>
      </w:r>
      <w:r>
        <w:rPr>
          <w:spacing w:val="-3"/>
          <w:w w:val="100"/>
        </w:rPr>
        <w:t>本</w:t>
      </w:r>
      <w:r>
        <w:rPr>
          <w:w w:val="100"/>
        </w:rPr>
        <w:t>公司</w:t>
      </w:r>
      <w:r>
        <w:rPr>
          <w:rFonts w:ascii="Times New Roman" w:hAnsi="Times New Roman" w:cs="Times New Roman" w:eastAsia="Times New Roman" w:hint="default"/>
          <w:spacing w:val="-1"/>
          <w:w w:val="159"/>
        </w:rPr>
        <w:t>‖</w:t>
      </w:r>
      <w:r>
        <w:rPr>
          <w:w w:val="100"/>
        </w:rPr>
        <w:t>）前身</w:t>
      </w:r>
      <w:r>
        <w:rPr>
          <w:spacing w:val="-3"/>
          <w:w w:val="100"/>
        </w:rPr>
        <w:t>系</w:t>
      </w:r>
      <w:r>
        <w:rPr>
          <w:w w:val="100"/>
        </w:rPr>
        <w:t>上海东</w:t>
      </w:r>
      <w:r>
        <w:rPr>
          <w:spacing w:val="-3"/>
          <w:w w:val="100"/>
        </w:rPr>
        <w:t>财信</w:t>
      </w:r>
      <w:r>
        <w:rPr>
          <w:w w:val="100"/>
        </w:rPr>
        <w:t>息技术有</w:t>
      </w:r>
      <w:r>
        <w:rPr>
          <w:spacing w:val="-3"/>
          <w:w w:val="100"/>
        </w:rPr>
        <w:t>限</w:t>
      </w:r>
      <w:r>
        <w:rPr>
          <w:w w:val="100"/>
        </w:rPr>
        <w:t>公司，</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007</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日改制为股份有限公司，</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日由上海东财信息技术股份有限公司更名为东方财富信息股</w:t>
      </w:r>
      <w:r>
        <w:rPr>
          <w:spacing w:val="-33"/>
        </w:rPr>
        <w:t> </w:t>
      </w:r>
      <w:r>
        <w:rPr>
          <w:spacing w:val="-33"/>
        </w:rPr>
      </w:r>
      <w:r>
        <w:rPr/>
        <w:t>份有限公司。</w:t>
      </w:r>
    </w:p>
    <w:p>
      <w:pPr>
        <w:pStyle w:val="BodyText"/>
        <w:spacing w:line="256" w:lineRule="auto" w:before="22"/>
        <w:ind w:right="76" w:firstLine="420"/>
        <w:jc w:val="left"/>
      </w:pPr>
      <w:r>
        <w:rPr>
          <w:spacing w:val="-2"/>
        </w:rPr>
        <w:t>公司原由其实、鲍一青、史佳、陶涛和左宏明</w:t>
      </w:r>
      <w:r>
        <w:rPr>
          <w:rFonts w:ascii="Times New Roman" w:hAnsi="Times New Roman" w:cs="Times New Roman" w:eastAsia="Times New Roman" w:hint="default"/>
          <w:spacing w:val="-2"/>
        </w:rPr>
        <w:t>5</w:t>
      </w:r>
      <w:r>
        <w:rPr>
          <w:spacing w:val="-2"/>
        </w:rPr>
        <w:t>个自然人共同出资组建，于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日批准成立，</w:t>
      </w:r>
      <w:r>
        <w:rPr>
          <w:w w:val="100"/>
        </w:rPr>
        <w:t> </w:t>
      </w:r>
      <w:r>
        <w:rPr/>
        <w:t>公司原注册资本为人民币</w:t>
      </w:r>
      <w:r>
        <w:rPr>
          <w:rFonts w:ascii="Times New Roman" w:hAnsi="Times New Roman" w:cs="Times New Roman" w:eastAsia="Times New Roman" w:hint="default"/>
        </w:rPr>
        <w:t>3,000,000.00</w:t>
      </w:r>
      <w:r>
        <w:rPr/>
        <w:t>元。</w:t>
      </w:r>
    </w:p>
    <w:p>
      <w:pPr>
        <w:pStyle w:val="BodyText"/>
        <w:spacing w:line="256" w:lineRule="auto" w:before="5"/>
        <w:ind w:right="76" w:firstLine="420"/>
        <w:jc w:val="left"/>
      </w:pPr>
      <w:r>
        <w:rPr>
          <w:spacing w:val="-4"/>
        </w:rPr>
        <w:t>根据公司</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23</w:t>
      </w:r>
      <w:r>
        <w:rPr>
          <w:spacing w:val="-4"/>
        </w:rPr>
        <w:t>日的股东会决议、股权转让协议和修改后的章程规定，新增股东熊向东、徐豪、</w:t>
      </w:r>
      <w:r>
        <w:rPr>
          <w:w w:val="100"/>
        </w:rPr>
        <w:t> </w:t>
      </w:r>
      <w:r>
        <w:rPr/>
        <w:t>陆丽丽、詹颖珏、张森、程磊、廖双辉、陆威、吴善昊、范敏、吴治明和杨凯瑜等</w:t>
      </w:r>
      <w:r>
        <w:rPr>
          <w:rFonts w:ascii="Times New Roman" w:hAnsi="Times New Roman" w:cs="Times New Roman" w:eastAsia="Times New Roman" w:hint="default"/>
        </w:rPr>
        <w:t>12</w:t>
      </w:r>
      <w:r>
        <w:rPr/>
        <w:t>个自然人。</w:t>
      </w:r>
    </w:p>
    <w:p>
      <w:pPr>
        <w:pStyle w:val="BodyText"/>
        <w:spacing w:line="256" w:lineRule="auto" w:before="5"/>
        <w:ind w:right="76" w:firstLine="420"/>
        <w:jc w:val="left"/>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日股东会决议和修改后的章程规定，公司申请增加注册资本人民币</w:t>
      </w:r>
      <w:r>
        <w:rPr>
          <w:rFonts w:ascii="Times New Roman" w:hAnsi="Times New Roman" w:cs="Times New Roman" w:eastAsia="Times New Roman" w:hint="default"/>
        </w:rPr>
        <w:t>157,895.00</w:t>
      </w:r>
      <w:r>
        <w:rPr>
          <w:rFonts w:ascii="Times New Roman" w:hAnsi="Times New Roman" w:cs="Times New Roman" w:eastAsia="Times New Roman" w:hint="default"/>
          <w:w w:val="100"/>
        </w:rPr>
        <w:t> </w:t>
      </w:r>
      <w:r>
        <w:rPr/>
        <w:t>元，溢价</w:t>
      </w:r>
      <w:r>
        <w:rPr>
          <w:rFonts w:ascii="Times New Roman" w:hAnsi="Times New Roman" w:cs="Times New Roman" w:eastAsia="Times New Roman" w:hint="default"/>
        </w:rPr>
        <w:t>99,842,105.00</w:t>
      </w:r>
      <w:r>
        <w:rPr/>
        <w:t>元，新增注册资本由新增股东深圳市秉合投资有限公司全额认缴。公司变更后的注</w:t>
      </w:r>
      <w:r>
        <w:rPr>
          <w:spacing w:val="-78"/>
        </w:rPr>
        <w:t> </w:t>
      </w:r>
      <w:r>
        <w:rPr>
          <w:spacing w:val="-78"/>
        </w:rPr>
      </w:r>
      <w:r>
        <w:rPr>
          <w:spacing w:val="-2"/>
        </w:rPr>
        <w:t>册资本为人民币</w:t>
      </w:r>
      <w:r>
        <w:rPr>
          <w:rFonts w:ascii="Times New Roman" w:hAnsi="Times New Roman" w:cs="Times New Roman" w:eastAsia="Times New Roman" w:hint="default"/>
          <w:spacing w:val="-2"/>
        </w:rPr>
        <w:t>3,157,895.00</w:t>
      </w:r>
      <w:r>
        <w:rPr>
          <w:spacing w:val="-2"/>
        </w:rPr>
        <w:t>元，变更后的股东为其实、熊向东、徐豪、陆丽丽、詹颖珏、鲍一青、史佳、</w:t>
      </w:r>
      <w:r>
        <w:rPr>
          <w:spacing w:val="-8"/>
        </w:rPr>
        <w:t> </w:t>
      </w:r>
      <w:r>
        <w:rPr>
          <w:spacing w:val="-8"/>
        </w:rPr>
      </w:r>
      <w:r>
        <w:rPr>
          <w:spacing w:val="-2"/>
        </w:rPr>
        <w:t>陶涛、左宏明、张森、程磊、廖双辉、陆威、吴善昊、范敏、吴治明、杨凯瑜等</w:t>
      </w:r>
      <w:r>
        <w:rPr>
          <w:rFonts w:ascii="Times New Roman" w:hAnsi="Times New Roman" w:cs="Times New Roman" w:eastAsia="Times New Roman" w:hint="default"/>
          <w:spacing w:val="-2"/>
        </w:rPr>
        <w:t>17</w:t>
      </w:r>
      <w:r>
        <w:rPr>
          <w:spacing w:val="-2"/>
        </w:rPr>
        <w:t>个自然人和深圳市秉合</w:t>
      </w:r>
      <w:r>
        <w:rPr>
          <w:spacing w:val="-42"/>
        </w:rPr>
        <w:t> </w:t>
      </w:r>
      <w:r>
        <w:rPr>
          <w:spacing w:val="-42"/>
        </w:rPr>
      </w:r>
      <w:r>
        <w:rPr/>
        <w:t>投资有限公司。</w:t>
      </w:r>
    </w:p>
    <w:p>
      <w:pPr>
        <w:pStyle w:val="BodyText"/>
        <w:spacing w:line="261" w:lineRule="auto" w:before="22"/>
        <w:ind w:right="76" w:firstLine="420"/>
        <w:jc w:val="left"/>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日股东会决议和修改后的章程规定，公司申请股权转让，新增</w:t>
      </w:r>
      <w:r>
        <w:rPr>
          <w:rFonts w:ascii="Times New Roman" w:hAnsi="Times New Roman" w:cs="Times New Roman" w:eastAsia="Times New Roman" w:hint="default"/>
        </w:rPr>
        <w:t>6</w:t>
      </w:r>
      <w:r>
        <w:rPr/>
        <w:t>名股东，变更</w:t>
      </w:r>
      <w:r>
        <w:rPr>
          <w:w w:val="100"/>
        </w:rPr>
        <w:t> </w:t>
      </w:r>
      <w:r>
        <w:rPr>
          <w:spacing w:val="-5"/>
        </w:rPr>
        <w:t>后的股东为其实、熊向东、徐豪、陆丽丽、詹颖珏、鲍一青、史佳、陶涛、左宏明、王敏文、张森、程磊、</w:t>
      </w:r>
      <w:r>
        <w:rPr>
          <w:spacing w:val="-12"/>
        </w:rPr>
        <w:t> </w:t>
      </w:r>
      <w:r>
        <w:rPr>
          <w:spacing w:val="-12"/>
        </w:rPr>
      </w:r>
      <w:r>
        <w:rPr>
          <w:spacing w:val="-2"/>
        </w:rPr>
        <w:t>陆利斌、王正东、廖双辉、罗会云、陆威、吴善昊、范敏、吴治明、杨凯瑜等</w:t>
      </w:r>
      <w:r>
        <w:rPr>
          <w:rFonts w:ascii="Times New Roman" w:hAnsi="Times New Roman" w:cs="Times New Roman" w:eastAsia="Times New Roman" w:hint="default"/>
          <w:spacing w:val="-2"/>
        </w:rPr>
        <w:t>21</w:t>
      </w:r>
      <w:r>
        <w:rPr>
          <w:spacing w:val="-2"/>
        </w:rPr>
        <w:t>个自然人和深圳市秉合投</w:t>
      </w:r>
      <w:r>
        <w:rPr>
          <w:spacing w:val="-44"/>
        </w:rPr>
        <w:t> </w:t>
      </w:r>
      <w:r>
        <w:rPr>
          <w:spacing w:val="-44"/>
        </w:rPr>
      </w:r>
      <w:r>
        <w:rPr/>
        <w:t>资有限公司、上海融客投资管理有限公司、上海宝樽国际贸易有限公司</w:t>
      </w:r>
      <w:r>
        <w:rPr>
          <w:rFonts w:ascii="Times New Roman" w:hAnsi="Times New Roman" w:cs="Times New Roman" w:eastAsia="Times New Roman" w:hint="default"/>
        </w:rPr>
        <w:t>3</w:t>
      </w:r>
      <w:r>
        <w:rPr/>
        <w:t>家法人投资者。</w:t>
      </w:r>
    </w:p>
    <w:p>
      <w:pPr>
        <w:pStyle w:val="BodyText"/>
        <w:spacing w:line="256" w:lineRule="auto" w:before="0"/>
        <w:ind w:right="206" w:firstLine="420"/>
        <w:jc w:val="both"/>
      </w:pPr>
      <w:r>
        <w:rPr>
          <w:spacing w:val="-2"/>
        </w:rPr>
        <w:t>根据公司</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日股东会决议、协议和章程的规定，公司申请整体变更为股份有限公司，以上</w:t>
      </w:r>
      <w:r>
        <w:rPr>
          <w:w w:val="100"/>
        </w:rPr>
        <w:t> </w:t>
      </w:r>
      <w:r>
        <w:rPr>
          <w:spacing w:val="-2"/>
        </w:rPr>
        <w:t>海东财信息技术有限公司截至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日的净资产折股。截至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日，上海东财信息技术有</w:t>
      </w:r>
      <w:r>
        <w:rPr>
          <w:spacing w:val="-27"/>
        </w:rPr>
        <w:t> </w:t>
      </w:r>
      <w:r>
        <w:rPr>
          <w:spacing w:val="-27"/>
        </w:rPr>
      </w:r>
      <w:r>
        <w:rPr/>
        <w:t>限公司经审计的净资产为</w:t>
      </w:r>
      <w:r>
        <w:rPr>
          <w:rFonts w:ascii="Times New Roman" w:hAnsi="Times New Roman" w:cs="Times New Roman" w:eastAsia="Times New Roman" w:hint="default"/>
        </w:rPr>
        <w:t>103,852,074.72</w:t>
      </w:r>
      <w:r>
        <w:rPr/>
        <w:t>元，评估值为</w:t>
      </w:r>
      <w:r>
        <w:rPr>
          <w:rFonts w:ascii="Times New Roman" w:hAnsi="Times New Roman" w:cs="Times New Roman" w:eastAsia="Times New Roman" w:hint="default"/>
        </w:rPr>
        <w:t>207,824,357.93</w:t>
      </w:r>
      <w:r>
        <w:rPr/>
        <w:t>元。以经审计的上海东财信息技术有</w:t>
      </w:r>
      <w:r>
        <w:rPr>
          <w:spacing w:val="-29"/>
        </w:rPr>
        <w:t> </w:t>
      </w:r>
      <w:r>
        <w:rPr>
          <w:spacing w:val="-29"/>
        </w:rPr>
      </w:r>
      <w:r>
        <w:rPr>
          <w:spacing w:val="-1"/>
        </w:rPr>
        <w:t>限公司的净资产</w:t>
      </w:r>
      <w:r>
        <w:rPr>
          <w:rFonts w:ascii="Times New Roman" w:hAnsi="Times New Roman" w:cs="Times New Roman" w:eastAsia="Times New Roman" w:hint="default"/>
          <w:spacing w:val="-1"/>
        </w:rPr>
        <w:t>103,852,074.72</w:t>
      </w:r>
      <w:r>
        <w:rPr>
          <w:spacing w:val="-1"/>
        </w:rPr>
        <w:t>元，按</w:t>
      </w:r>
      <w:r>
        <w:rPr>
          <w:rFonts w:ascii="Times New Roman" w:hAnsi="Times New Roman" w:cs="Times New Roman" w:eastAsia="Times New Roman" w:hint="default"/>
          <w:spacing w:val="-1"/>
        </w:rPr>
        <w:t>1:0.9629</w:t>
      </w:r>
      <w:r>
        <w:rPr>
          <w:spacing w:val="-1"/>
        </w:rPr>
        <w:t>的比例折算成上海东财信息技术股份有限公司的股本，共折</w:t>
      </w:r>
    </w:p>
    <w:p>
      <w:pPr>
        <w:spacing w:after="0" w:line="256" w:lineRule="auto"/>
        <w:jc w:val="both"/>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18"/>
        <w:ind w:right="76"/>
        <w:jc w:val="left"/>
      </w:pPr>
      <w:r>
        <w:rPr/>
        <w:t>合为</w:t>
      </w:r>
      <w:r>
        <w:rPr>
          <w:rFonts w:ascii="Times New Roman" w:hAnsi="Times New Roman" w:cs="Times New Roman" w:eastAsia="Times New Roman" w:hint="default"/>
        </w:rPr>
        <w:t>10,000</w:t>
      </w:r>
      <w:r>
        <w:rPr/>
        <w:t>万股，每股面值为人民币</w:t>
      </w:r>
      <w:r>
        <w:rPr>
          <w:rFonts w:ascii="Times New Roman" w:hAnsi="Times New Roman" w:cs="Times New Roman" w:eastAsia="Times New Roman" w:hint="default"/>
        </w:rPr>
        <w:t>1.00</w:t>
      </w:r>
      <w:r>
        <w:rPr/>
        <w:t>元，由此上海东财信息技术有限公司整体变更为股份有限公司。</w:t>
      </w:r>
      <w:r>
        <w:rPr>
          <w:spacing w:val="-22"/>
        </w:rPr>
        <w:t> </w:t>
      </w:r>
      <w:r>
        <w:rPr>
          <w:spacing w:val="-22"/>
        </w:rPr>
      </w:r>
      <w:r>
        <w:rPr/>
        <w:t>公司已取得注册号为</w:t>
      </w:r>
      <w:r>
        <w:rPr>
          <w:rFonts w:ascii="Times New Roman" w:hAnsi="Times New Roman" w:cs="Times New Roman" w:eastAsia="Times New Roman" w:hint="default"/>
        </w:rPr>
        <w:t>310114001233032</w:t>
      </w:r>
      <w:r>
        <w:rPr/>
        <w:t>的企业法人营业执照。公司注册资本为人民币一亿元。</w:t>
      </w:r>
    </w:p>
    <w:p>
      <w:pPr>
        <w:pStyle w:val="BodyText"/>
        <w:spacing w:line="256" w:lineRule="auto" w:before="5"/>
        <w:ind w:right="208"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日，公司实施股权转让，减少范敏、杨凯瑜</w:t>
      </w:r>
      <w:r>
        <w:rPr>
          <w:rFonts w:ascii="Times New Roman" w:hAnsi="Times New Roman" w:cs="Times New Roman" w:eastAsia="Times New Roman" w:hint="default"/>
        </w:rPr>
        <w:t>2</w:t>
      </w:r>
      <w:r>
        <w:rPr/>
        <w:t>名自然人股东，新增股</w:t>
      </w:r>
      <w:r>
        <w:rPr>
          <w:w w:val="100"/>
        </w:rPr>
        <w:t> </w:t>
      </w:r>
      <w:r>
        <w:rPr/>
        <w:t>东沈友根</w:t>
      </w:r>
      <w:r>
        <w:rPr>
          <w:rFonts w:ascii="Times New Roman" w:hAnsi="Times New Roman" w:cs="Times New Roman" w:eastAsia="Times New Roman" w:hint="default"/>
        </w:rPr>
        <w:t>1</w:t>
      </w:r>
      <w:r>
        <w:rPr/>
        <w:t>名自然人股东，经股权转让，股东由</w:t>
      </w:r>
      <w:r>
        <w:rPr>
          <w:rFonts w:ascii="Times New Roman" w:hAnsi="Times New Roman" w:cs="Times New Roman" w:eastAsia="Times New Roman" w:hint="default"/>
        </w:rPr>
        <w:t>21</w:t>
      </w:r>
      <w:r>
        <w:rPr/>
        <w:t>名自然人股东和</w:t>
      </w:r>
      <w:r>
        <w:rPr>
          <w:rFonts w:ascii="Times New Roman" w:hAnsi="Times New Roman" w:cs="Times New Roman" w:eastAsia="Times New Roman" w:hint="default"/>
        </w:rPr>
        <w:t>3</w:t>
      </w:r>
      <w:r>
        <w:rPr/>
        <w:t>家法人股东变更为</w:t>
      </w:r>
      <w:r>
        <w:rPr>
          <w:rFonts w:ascii="Times New Roman" w:hAnsi="Times New Roman" w:cs="Times New Roman" w:eastAsia="Times New Roman" w:hint="default"/>
        </w:rPr>
        <w:t>20</w:t>
      </w:r>
      <w:r>
        <w:rPr/>
        <w:t>名自然人股东和</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家法人股东。</w:t>
      </w:r>
    </w:p>
    <w:p>
      <w:pPr>
        <w:pStyle w:val="BodyText"/>
        <w:spacing w:line="261" w:lineRule="auto" w:before="22"/>
        <w:ind w:right="76" w:firstLine="420"/>
        <w:jc w:val="left"/>
      </w:pPr>
      <w:r>
        <w:rPr>
          <w:spacing w:val="-2"/>
        </w:rPr>
        <w:t>根据公司</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日股东会决议和修改后的章程规定，公司申请增加注册资本人民币</w:t>
      </w:r>
      <w:r>
        <w:rPr>
          <w:rFonts w:ascii="Times New Roman" w:hAnsi="Times New Roman" w:cs="Times New Roman" w:eastAsia="Times New Roman" w:hint="default"/>
          <w:spacing w:val="-2"/>
        </w:rPr>
        <w:t>500</w:t>
      </w:r>
      <w:r>
        <w:rPr>
          <w:spacing w:val="-2"/>
        </w:rPr>
        <w:t>万元，股</w:t>
      </w:r>
      <w:r>
        <w:rPr>
          <w:w w:val="100"/>
        </w:rPr>
        <w:t> </w:t>
      </w:r>
      <w:r>
        <w:rPr/>
        <w:t>本人民币</w:t>
      </w:r>
      <w:r>
        <w:rPr>
          <w:rFonts w:ascii="Times New Roman" w:hAnsi="Times New Roman" w:cs="Times New Roman" w:eastAsia="Times New Roman" w:hint="default"/>
        </w:rPr>
        <w:t>500</w:t>
      </w:r>
      <w:r>
        <w:rPr/>
        <w:t>万元。新增注册资本由新增股东海通开元投资有限公司（以下简称海通开元）认缴，变更后</w:t>
      </w:r>
      <w:r>
        <w:rPr>
          <w:spacing w:val="-23"/>
        </w:rPr>
        <w:t> </w:t>
      </w:r>
      <w:r>
        <w:rPr>
          <w:spacing w:val="-23"/>
        </w:rPr>
      </w:r>
      <w:r>
        <w:rPr>
          <w:spacing w:val="-5"/>
        </w:rPr>
        <w:t>的股东是其实、熊向东、徐豪、沈友根、陆丽丽、詹颖钰、鲍一青、史佳、陶涛、左宏明、王敏文、张森、</w:t>
      </w:r>
      <w:r>
        <w:rPr>
          <w:spacing w:val="-8"/>
        </w:rPr>
        <w:t> </w:t>
      </w:r>
      <w:r>
        <w:rPr>
          <w:spacing w:val="-8"/>
        </w:rPr>
      </w:r>
      <w:r>
        <w:rPr>
          <w:spacing w:val="-2"/>
        </w:rPr>
        <w:t>陆利斌、王正东、程磊、廖双辉、罗会云、陆威、吴善昊、吴治明等</w:t>
      </w:r>
      <w:r>
        <w:rPr>
          <w:rFonts w:ascii="Times New Roman" w:hAnsi="Times New Roman" w:cs="Times New Roman" w:eastAsia="Times New Roman" w:hint="default"/>
          <w:spacing w:val="-2"/>
        </w:rPr>
        <w:t>20</w:t>
      </w:r>
      <w:r>
        <w:rPr>
          <w:spacing w:val="-2"/>
        </w:rPr>
        <w:t>名自然人股东以及深圳市秉合投资</w:t>
      </w:r>
      <w:r>
        <w:rPr>
          <w:spacing w:val="-40"/>
        </w:rPr>
        <w:t> </w:t>
      </w:r>
      <w:r>
        <w:rPr>
          <w:spacing w:val="-40"/>
        </w:rPr>
      </w:r>
      <w:r>
        <w:rPr/>
        <w:t>有限公司、上海融客投资管理有限公司、上海宝樽国际贸易有限公司、海通开元投资有限公司等</w:t>
      </w:r>
      <w:r>
        <w:rPr>
          <w:rFonts w:ascii="Times New Roman" w:hAnsi="Times New Roman" w:cs="Times New Roman" w:eastAsia="Times New Roman" w:hint="default"/>
        </w:rPr>
        <w:t>4</w:t>
      </w:r>
      <w:r>
        <w:rPr/>
        <w:t>家法人</w:t>
      </w:r>
      <w:r>
        <w:rPr>
          <w:spacing w:val="-20"/>
        </w:rPr>
        <w:t> </w:t>
      </w:r>
      <w:r>
        <w:rPr>
          <w:spacing w:val="-20"/>
        </w:rPr>
      </w:r>
      <w:r>
        <w:rPr/>
        <w:t>股东。该注册资本已由信会师报字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23947</w:t>
      </w:r>
      <w:r>
        <w:rPr>
          <w:rFonts w:ascii="Times New Roman" w:hAnsi="Times New Roman" w:cs="Times New Roman" w:eastAsia="Times New Roman" w:hint="default"/>
          <w:spacing w:val="28"/>
        </w:rPr>
        <w:t> </w:t>
      </w:r>
      <w:r>
        <w:rPr/>
        <w:t>号验资报告验证。</w:t>
      </w:r>
    </w:p>
    <w:p>
      <w:pPr>
        <w:pStyle w:val="BodyText"/>
        <w:spacing w:line="261" w:lineRule="auto" w:before="0"/>
        <w:ind w:right="76" w:firstLine="420"/>
        <w:jc w:val="left"/>
      </w:pPr>
      <w:r>
        <w:rPr>
          <w:spacing w:val="-3"/>
        </w:rPr>
        <w:t>根据公司</w:t>
      </w:r>
      <w:r>
        <w:rPr>
          <w:rFonts w:ascii="Times New Roman" w:hAnsi="Times New Roman" w:cs="Times New Roman" w:eastAsia="Times New Roman" w:hint="default"/>
          <w:spacing w:val="-3"/>
        </w:rPr>
        <w:t>2009</w:t>
      </w:r>
      <w:r>
        <w:rPr>
          <w:spacing w:val="-3"/>
        </w:rPr>
        <w:t>年第二次临时股东大会决议，并经中国证券监督管理委员会以证监许可</w:t>
      </w:r>
      <w:r>
        <w:rPr>
          <w:rFonts w:ascii="Times New Roman" w:hAnsi="Times New Roman" w:cs="Times New Roman" w:eastAsia="Times New Roman" w:hint="default"/>
          <w:spacing w:val="-3"/>
        </w:rPr>
        <w:t>[2010]249</w:t>
      </w:r>
      <w:r>
        <w:rPr>
          <w:spacing w:val="-3"/>
        </w:rPr>
        <w:t>号《关</w:t>
      </w:r>
      <w:r>
        <w:rPr>
          <w:w w:val="100"/>
        </w:rPr>
        <w:t> </w:t>
      </w:r>
      <w:r>
        <w:rPr>
          <w:spacing w:val="-2"/>
        </w:rPr>
        <w:t>于核准东方财富信息股份有限公司首次公开发行股票并在创业板上市的批复》核准，公司向社会公开发行</w:t>
      </w:r>
      <w:r>
        <w:rPr>
          <w:spacing w:val="-43"/>
        </w:rPr>
        <w:t> </w:t>
      </w:r>
      <w:r>
        <w:rPr>
          <w:spacing w:val="-43"/>
        </w:rPr>
      </w:r>
      <w:r>
        <w:rPr>
          <w:spacing w:val="-2"/>
        </w:rPr>
        <w:t>人民币普通股</w:t>
      </w:r>
      <w:r>
        <w:rPr>
          <w:rFonts w:ascii="Times New Roman" w:hAnsi="Times New Roman" w:cs="Times New Roman" w:eastAsia="Times New Roman" w:hint="default"/>
          <w:spacing w:val="-2"/>
        </w:rPr>
        <w:t>35,000,000</w:t>
      </w:r>
      <w:r>
        <w:rPr>
          <w:spacing w:val="-2"/>
        </w:rPr>
        <w:t>股，增加注册资本</w:t>
      </w:r>
      <w:r>
        <w:rPr>
          <w:rFonts w:ascii="Times New Roman" w:hAnsi="Times New Roman" w:cs="Times New Roman" w:eastAsia="Times New Roman" w:hint="default"/>
          <w:spacing w:val="-2"/>
        </w:rPr>
        <w:t>35,000,000.00</w:t>
      </w:r>
      <w:r>
        <w:rPr>
          <w:spacing w:val="-2"/>
        </w:rPr>
        <w:t>元，变更后的注册资本为人民币</w:t>
      </w:r>
      <w:r>
        <w:rPr>
          <w:rFonts w:ascii="Times New Roman" w:hAnsi="Times New Roman" w:cs="Times New Roman" w:eastAsia="Times New Roman" w:hint="default"/>
          <w:spacing w:val="-2"/>
        </w:rPr>
        <w:t>140,000,000.00</w:t>
      </w:r>
      <w:r>
        <w:rPr>
          <w:spacing w:val="-2"/>
        </w:rPr>
        <w:t>元。</w:t>
      </w:r>
      <w:r>
        <w:rPr>
          <w:spacing w:val="-10"/>
        </w:rPr>
        <w:t> </w:t>
      </w: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spacing w:val="-16"/>
        </w:rPr>
        <w:t> </w:t>
      </w:r>
      <w:r>
        <w:rPr>
          <w:rFonts w:ascii="Times New Roman" w:hAnsi="Times New Roman" w:cs="Times New Roman" w:eastAsia="Times New Roman" w:hint="default"/>
        </w:rPr>
        <w:t>19</w:t>
      </w:r>
      <w:r>
        <w:rPr/>
        <w:t>日在深圳证券交易所挂牌交易，并于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36"/>
        </w:rPr>
        <w:t> </w:t>
      </w:r>
      <w:r>
        <w:rPr/>
        <w:t>日在上海市工商行政管理局取得相</w:t>
      </w:r>
      <w:r>
        <w:rPr>
          <w:spacing w:val="-99"/>
        </w:rPr>
        <w:t> </w:t>
      </w:r>
      <w:r>
        <w:rPr>
          <w:spacing w:val="-99"/>
        </w:rPr>
      </w:r>
      <w:r>
        <w:rPr/>
        <w:t>同注册号的《企业法人营业执照》。</w:t>
      </w:r>
    </w:p>
    <w:p>
      <w:pPr>
        <w:pStyle w:val="BodyText"/>
        <w:spacing w:line="256" w:lineRule="auto" w:before="18"/>
        <w:ind w:right="76" w:firstLine="420"/>
        <w:jc w:val="left"/>
      </w:pPr>
      <w:r>
        <w:rPr/>
        <w:t>根据公司</w:t>
      </w:r>
      <w:r>
        <w:rPr>
          <w:rFonts w:ascii="Times New Roman" w:hAnsi="Times New Roman" w:cs="Times New Roman" w:eastAsia="Times New Roman" w:hint="default"/>
        </w:rPr>
        <w:t>2010</w:t>
      </w:r>
      <w:r>
        <w:rPr/>
        <w:t>年度股东大会决议和修改后的章程规定</w:t>
      </w:r>
      <w:r>
        <w:rPr>
          <w:rFonts w:ascii="Times New Roman" w:hAnsi="Times New Roman" w:cs="Times New Roman" w:eastAsia="Times New Roman" w:hint="default"/>
        </w:rPr>
        <w:t>,</w:t>
      </w:r>
      <w:r>
        <w:rPr/>
        <w:t>公司以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140,000,000</w:t>
      </w:r>
      <w:r>
        <w:rPr/>
        <w:t>股为基</w:t>
      </w:r>
      <w:r>
        <w:rPr>
          <w:w w:val="100"/>
        </w:rPr>
        <w:t> </w:t>
      </w:r>
      <w:r>
        <w:rPr/>
        <w:t>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股由资本公积转增</w:t>
      </w:r>
      <w:r>
        <w:rPr>
          <w:rFonts w:ascii="Times New Roman" w:hAnsi="Times New Roman" w:cs="Times New Roman" w:eastAsia="Times New Roman" w:hint="default"/>
        </w:rPr>
        <w:t>70,000,000</w:t>
      </w:r>
      <w:r>
        <w:rPr/>
        <w:t>股</w:t>
      </w:r>
      <w:r>
        <w:rPr>
          <w:rFonts w:ascii="Times New Roman" w:hAnsi="Times New Roman" w:cs="Times New Roman" w:eastAsia="Times New Roman" w:hint="default"/>
        </w:rPr>
        <w:t>,</w:t>
      </w:r>
      <w:r>
        <w:rPr/>
        <w:t>转增后，注册资本增至人民币</w:t>
      </w:r>
      <w:r>
        <w:rPr>
          <w:rFonts w:ascii="Times New Roman" w:hAnsi="Times New Roman" w:cs="Times New Roman" w:eastAsia="Times New Roman" w:hint="default"/>
        </w:rPr>
        <w:t>210,000,000.00</w:t>
      </w:r>
      <w:r>
        <w:rPr/>
        <w:t>元。</w:t>
      </w:r>
    </w:p>
    <w:p>
      <w:pPr>
        <w:pStyle w:val="BodyText"/>
        <w:spacing w:line="256" w:lineRule="auto" w:before="5"/>
        <w:ind w:right="76" w:firstLine="420"/>
        <w:jc w:val="left"/>
      </w:pPr>
      <w:r>
        <w:rPr/>
        <w:t>根据公司</w:t>
      </w:r>
      <w:r>
        <w:rPr>
          <w:rFonts w:ascii="Times New Roman" w:hAnsi="Times New Roman" w:cs="Times New Roman" w:eastAsia="Times New Roman" w:hint="default"/>
        </w:rPr>
        <w:t>2011</w:t>
      </w:r>
      <w:r>
        <w:rPr/>
        <w:t>年度股东大会决议和修改后的章程规定</w:t>
      </w:r>
      <w:r>
        <w:rPr>
          <w:rFonts w:ascii="Times New Roman" w:hAnsi="Times New Roman" w:cs="Times New Roman" w:eastAsia="Times New Roman" w:hint="default"/>
        </w:rPr>
        <w:t>,</w:t>
      </w:r>
      <w:r>
        <w:rPr/>
        <w:t>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w:t>
      </w:r>
      <w:r>
        <w:rPr>
          <w:rFonts w:ascii="Times New Roman" w:hAnsi="Times New Roman" w:cs="Times New Roman" w:eastAsia="Times New Roman" w:hint="default"/>
        </w:rPr>
        <w:t>210,000,000</w:t>
      </w:r>
      <w:r>
        <w:rPr/>
        <w:t>股本为</w:t>
      </w:r>
      <w:r>
        <w:rPr>
          <w:w w:val="100"/>
        </w:rPr>
        <w:t> </w:t>
      </w:r>
      <w:r>
        <w:rPr/>
        <w:t>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股由资本公积转增</w:t>
      </w:r>
      <w:r>
        <w:rPr>
          <w:rFonts w:ascii="Times New Roman" w:hAnsi="Times New Roman" w:cs="Times New Roman" w:eastAsia="Times New Roman" w:hint="default"/>
        </w:rPr>
        <w:t>126,000,000</w:t>
      </w:r>
      <w:r>
        <w:rPr/>
        <w:t>股，转增后总股本增至</w:t>
      </w:r>
      <w:r>
        <w:rPr>
          <w:rFonts w:ascii="Times New Roman" w:hAnsi="Times New Roman" w:cs="Times New Roman" w:eastAsia="Times New Roman" w:hint="default"/>
        </w:rPr>
        <w:t>336,000,000</w:t>
      </w:r>
      <w:r>
        <w:rPr/>
        <w:t>股。</w:t>
      </w:r>
    </w:p>
    <w:p>
      <w:pPr>
        <w:pStyle w:val="BodyText"/>
        <w:spacing w:line="256" w:lineRule="auto" w:before="5"/>
        <w:ind w:left="573" w:right="76"/>
        <w:jc w:val="left"/>
      </w:pPr>
      <w:r>
        <w:rPr/>
        <w:t>公司注册地：上海市嘉定区宝安公路</w:t>
      </w:r>
      <w:r>
        <w:rPr>
          <w:rFonts w:ascii="Times New Roman" w:hAnsi="Times New Roman" w:cs="Times New Roman" w:eastAsia="Times New Roman" w:hint="default"/>
        </w:rPr>
        <w:t>2999</w:t>
      </w:r>
      <w:r>
        <w:rPr/>
        <w:t>号</w:t>
      </w:r>
      <w:r>
        <w:rPr>
          <w:rFonts w:ascii="Times New Roman" w:hAnsi="Times New Roman" w:cs="Times New Roman" w:eastAsia="Times New Roman" w:hint="default"/>
        </w:rPr>
        <w:t>1</w:t>
      </w:r>
      <w:r>
        <w:rPr/>
        <w:t>幢。</w:t>
      </w:r>
      <w:r>
        <w:rPr>
          <w:w w:val="100"/>
        </w:rPr>
        <w:t> </w:t>
      </w:r>
      <w:r>
        <w:rPr>
          <w:spacing w:val="-2"/>
        </w:rPr>
        <w:t>公司目前为经营期，主要经营范围：企业投资咨询、策划，商务咨询，会务会展咨询服务，计算机软</w:t>
      </w:r>
    </w:p>
    <w:p>
      <w:pPr>
        <w:pStyle w:val="BodyText"/>
        <w:spacing w:line="240" w:lineRule="auto" w:before="22"/>
        <w:ind w:right="76"/>
        <w:jc w:val="left"/>
      </w:pPr>
      <w:r>
        <w:rPr>
          <w:spacing w:val="-5"/>
        </w:rPr>
        <w:t>硬件及网络系统的技术开发、技术服务、技术咨询、技术转让，设计、制作、发布、代理国内外各类广告。</w:t>
      </w:r>
    </w:p>
    <w:p>
      <w:pPr>
        <w:pStyle w:val="BodyText"/>
        <w:spacing w:line="240" w:lineRule="auto" w:before="37"/>
        <w:ind w:right="76"/>
        <w:jc w:val="left"/>
      </w:pPr>
      <w:r>
        <w:rPr/>
        <w:t>（涉及行政许可的，凭许可证经营）。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ind w:right="76"/>
        <w:jc w:val="left"/>
        <w:rPr>
          <w:b w:val="0"/>
          <w:bCs w:val="0"/>
        </w:rPr>
      </w:pPr>
      <w:r>
        <w:rPr/>
        <w:t>四、公司主要会计政策、会计估计和前期差错</w:t>
      </w:r>
      <w:r>
        <w:rPr>
          <w:b w:val="0"/>
          <w:bCs w:val="0"/>
        </w:rPr>
      </w:r>
    </w:p>
    <w:p>
      <w:pPr>
        <w:spacing w:line="590" w:lineRule="atLeast" w:before="26"/>
        <w:ind w:left="573" w:right="7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z w:val="21"/>
          <w:szCs w:val="21"/>
        </w:rPr>
        <w:t>公司以持续经营为基础，根据实际发生的交易和事项，按照财政部于</w:t>
      </w:r>
      <w:r>
        <w:rPr>
          <w:rFonts w:ascii="宋体" w:hAnsi="宋体" w:cs="宋体" w:eastAsia="宋体" w:hint="default"/>
          <w:sz w:val="21"/>
          <w:szCs w:val="21"/>
        </w:rPr>
        <w:t>2006</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日颁布的《企业会</w:t>
      </w:r>
    </w:p>
    <w:p>
      <w:pPr>
        <w:pStyle w:val="BodyText"/>
        <w:spacing w:line="273" w:lineRule="auto" w:before="37"/>
        <w:ind w:right="208"/>
        <w:jc w:val="both"/>
      </w:pPr>
      <w:r>
        <w:rPr>
          <w:spacing w:val="-2"/>
        </w:rPr>
        <w:t>计准则——基本准则》和</w:t>
      </w:r>
      <w:r>
        <w:rPr>
          <w:rFonts w:ascii="宋体" w:hAnsi="宋体" w:cs="宋体" w:eastAsia="宋体" w:hint="default"/>
          <w:spacing w:val="-2"/>
        </w:rPr>
        <w:t>38</w:t>
      </w:r>
      <w:r>
        <w:rPr>
          <w:spacing w:val="-2"/>
        </w:rPr>
        <w:t>项具体会计准则、其后颁布的企业会计准则应用指南、企业会计准则解释及其</w:t>
      </w:r>
      <w:r>
        <w:rPr>
          <w:spacing w:val="-43"/>
        </w:rPr>
        <w:t> </w:t>
      </w:r>
      <w:r>
        <w:rPr>
          <w:spacing w:val="-43"/>
        </w:rPr>
      </w:r>
      <w:r>
        <w:rPr>
          <w:spacing w:val="-2"/>
        </w:rPr>
        <w:t>他相关规定</w:t>
      </w:r>
      <w:r>
        <w:rPr>
          <w:rFonts w:ascii="宋体" w:hAnsi="宋体" w:cs="宋体" w:eastAsia="宋体" w:hint="default"/>
          <w:spacing w:val="-2"/>
        </w:rPr>
        <w:t>(</w:t>
      </w:r>
      <w:r>
        <w:rPr>
          <w:spacing w:val="-2"/>
        </w:rPr>
        <w:t>以下合称“企业会计准则”</w:t>
      </w:r>
      <w:r>
        <w:rPr>
          <w:rFonts w:ascii="宋体" w:hAnsi="宋体" w:cs="宋体" w:eastAsia="宋体" w:hint="default"/>
          <w:spacing w:val="-2"/>
        </w:rPr>
        <w:t>)</w:t>
      </w:r>
      <w:r>
        <w:rPr>
          <w:spacing w:val="-2"/>
        </w:rPr>
        <w:t>、以及中国证券监督管理委员会《公开发行证券的公司信息披露</w:t>
      </w:r>
      <w:r>
        <w:rPr>
          <w:spacing w:val="-45"/>
        </w:rPr>
        <w:t> </w:t>
      </w:r>
      <w:r>
        <w:rPr>
          <w:spacing w:val="-45"/>
        </w:rPr>
      </w:r>
      <w:r>
        <w:rPr/>
        <w:t>编报规则第</w:t>
      </w:r>
      <w:r>
        <w:rPr>
          <w:rFonts w:ascii="宋体" w:hAnsi="宋体" w:cs="宋体" w:eastAsia="宋体" w:hint="default"/>
        </w:rPr>
        <w:t>15</w:t>
      </w:r>
      <w:r>
        <w:rPr>
          <w:rFonts w:ascii="宋体" w:hAnsi="宋体" w:cs="宋体" w:eastAsia="宋体" w:hint="default"/>
          <w:spacing w:val="-9"/>
        </w:rPr>
        <w:t> </w:t>
      </w:r>
      <w:r>
        <w:rPr/>
        <w:t>号——财务报告的一般规定》</w:t>
      </w:r>
      <w:r>
        <w:rPr>
          <w:rFonts w:ascii="宋体" w:hAnsi="宋体" w:cs="宋体" w:eastAsia="宋体" w:hint="default"/>
        </w:rPr>
        <w:t>(2010</w:t>
      </w:r>
      <w:r>
        <w:rPr/>
        <w:t>年修订</w:t>
      </w:r>
      <w:r>
        <w:rPr>
          <w:rFonts w:ascii="宋体" w:hAnsi="宋体" w:cs="宋体" w:eastAsia="宋体" w:hint="default"/>
        </w:rPr>
        <w:t>)</w:t>
      </w:r>
      <w:r>
        <w:rPr/>
        <w:t>的披露规定编制财务报表。</w:t>
      </w:r>
    </w:p>
    <w:p>
      <w:pPr>
        <w:spacing w:line="600" w:lineRule="atLeast" w:before="0"/>
        <w:ind w:left="573" w:right="7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pStyle w:val="BodyText"/>
        <w:spacing w:line="240" w:lineRule="auto" w:before="37"/>
        <w:ind w:right="76"/>
        <w:jc w:val="left"/>
      </w:pPr>
      <w:r>
        <w:rPr/>
        <w:t>成果、现金流量等有关信息。</w:t>
      </w:r>
    </w:p>
    <w:p>
      <w:pPr>
        <w:spacing w:line="240" w:lineRule="auto" w:before="10"/>
        <w:rPr>
          <w:rFonts w:ascii="宋体" w:hAnsi="宋体" w:cs="宋体" w:eastAsia="宋体" w:hint="default"/>
          <w:sz w:val="25"/>
          <w:szCs w:val="25"/>
        </w:rPr>
      </w:pPr>
    </w:p>
    <w:p>
      <w:pPr>
        <w:pStyle w:val="Heading5"/>
        <w:spacing w:line="240" w:lineRule="auto"/>
        <w:ind w:right="76"/>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76"/>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after="0" w:line="240"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7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76"/>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7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00" w:lineRule="atLeast" w:before="12"/>
        <w:ind w:left="573" w:right="7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本公司在企业合并中取得的资产和负债，按照合并日在被合并方的账面价值计量。被合并各方采用的</w:t>
      </w:r>
    </w:p>
    <w:p>
      <w:pPr>
        <w:pStyle w:val="BodyText"/>
        <w:spacing w:line="273" w:lineRule="auto" w:before="37"/>
        <w:ind w:right="76"/>
        <w:jc w:val="left"/>
      </w:pPr>
      <w:r>
        <w:rPr>
          <w:spacing w:val="-2"/>
        </w:rPr>
        <w:t>会计政策与本公司不一致的，本公司在合并日按照本公司会计政策进行调整，在此基础上按照调整后的账</w:t>
      </w:r>
      <w:r>
        <w:rPr>
          <w:spacing w:val="-44"/>
        </w:rPr>
        <w:t> </w:t>
      </w:r>
      <w:r>
        <w:rPr>
          <w:spacing w:val="-44"/>
        </w:rPr>
      </w:r>
      <w:r>
        <w:rPr/>
        <w:t>面价值确认。</w:t>
      </w:r>
    </w:p>
    <w:p>
      <w:pPr>
        <w:pStyle w:val="BodyText"/>
        <w:spacing w:line="273" w:lineRule="auto" w:before="8"/>
        <w:ind w:right="206" w:firstLine="420"/>
        <w:jc w:val="both"/>
      </w:pPr>
      <w:r>
        <w:rPr>
          <w:spacing w:val="-2"/>
        </w:rPr>
        <w:t>在合并中取得的净资产账面价值与支付的合并对价账面价值（或发行股份面值总额）的差额，调整资</w:t>
      </w:r>
      <w:r>
        <w:rPr>
          <w:w w:val="100"/>
        </w:rPr>
        <w:t> </w:t>
      </w:r>
      <w:r>
        <w:rPr/>
        <w:t>本公积中的股本溢价，资本公积中的股本溢价不足冲减的，调整留存收益。</w:t>
      </w:r>
    </w:p>
    <w:p>
      <w:pPr>
        <w:pStyle w:val="BodyText"/>
        <w:spacing w:line="273" w:lineRule="auto"/>
        <w:ind w:right="206" w:firstLine="420"/>
        <w:jc w:val="both"/>
      </w:pPr>
      <w:r>
        <w:rPr>
          <w:spacing w:val="-2"/>
        </w:rPr>
        <w:t>本公司为进行企业合并而发生的各项直接相关费用，包括为进行企业合并而支付的审计费用、评估费</w:t>
      </w:r>
      <w:r>
        <w:rPr>
          <w:w w:val="100"/>
        </w:rPr>
        <w:t> </w:t>
      </w:r>
      <w:r>
        <w:rPr/>
        <w:t>用、法律服务费等，于发生时计入当期损益。</w:t>
      </w:r>
    </w:p>
    <w:p>
      <w:pPr>
        <w:pStyle w:val="BodyText"/>
        <w:spacing w:line="273" w:lineRule="auto"/>
        <w:ind w:right="76" w:firstLine="420"/>
        <w:jc w:val="left"/>
      </w:pPr>
      <w:r>
        <w:rPr>
          <w:spacing w:val="-5"/>
        </w:rPr>
        <w:t>企业合并中发行权益性证券发生的手续费、佣金等，抵减权益性证券溢价收入，溢价收入不足冲减的，</w:t>
      </w:r>
      <w:r>
        <w:rPr>
          <w:w w:val="100"/>
        </w:rPr>
        <w:t> </w:t>
      </w:r>
      <w:r>
        <w:rPr/>
        <w:t>冲减留存收益。</w:t>
      </w:r>
    </w:p>
    <w:p>
      <w:pPr>
        <w:spacing w:line="590" w:lineRule="atLeast" w:before="8"/>
        <w:ind w:left="573" w:right="7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本公司在购买日对作为企业合并对价付出的资产、发生或承担的负债按照公允价值计量。公允价值与</w:t>
      </w:r>
    </w:p>
    <w:p>
      <w:pPr>
        <w:pStyle w:val="BodyText"/>
        <w:spacing w:line="273" w:lineRule="auto" w:before="37"/>
        <w:ind w:left="573" w:right="76" w:hanging="421"/>
        <w:jc w:val="left"/>
      </w:pPr>
      <w:r>
        <w:rPr/>
        <w:t>其账面价值的差额，计入当期损益。</w:t>
      </w:r>
      <w:r>
        <w:rPr>
          <w:w w:val="100"/>
        </w:rPr>
        <w:t> </w:t>
      </w:r>
      <w:r>
        <w:rPr>
          <w:spacing w:val="-2"/>
        </w:rPr>
        <w:t>本公司在购买日对合并成本进行分配，确认所取得的被购买方各项可辨认资产、负债及或有负债的公</w:t>
      </w:r>
    </w:p>
    <w:p>
      <w:pPr>
        <w:pStyle w:val="BodyText"/>
        <w:spacing w:line="240" w:lineRule="auto" w:before="8"/>
        <w:ind w:right="76"/>
        <w:jc w:val="left"/>
      </w:pPr>
      <w:r>
        <w:rPr/>
        <w:t>允价值。</w:t>
      </w:r>
    </w:p>
    <w:p>
      <w:pPr>
        <w:pStyle w:val="BodyText"/>
        <w:spacing w:line="273" w:lineRule="auto" w:before="37"/>
        <w:ind w:right="206" w:firstLine="420"/>
        <w:jc w:val="both"/>
      </w:pPr>
      <w:r>
        <w:rPr>
          <w:spacing w:val="-2"/>
        </w:rPr>
        <w:t>本公司对合并成本大于合并中取得的被购买方可辨认净资产公允价值份额的差额，确认为商誉；合并</w:t>
      </w:r>
      <w:r>
        <w:rPr>
          <w:w w:val="100"/>
        </w:rPr>
        <w:t> </w:t>
      </w:r>
      <w:r>
        <w:rPr/>
        <w:t>成本小于合并中取得的被购买方可辨认净资产公允价值份额的差额，经复核后，计入当期损益。</w:t>
      </w:r>
    </w:p>
    <w:p>
      <w:pPr>
        <w:pStyle w:val="BodyText"/>
        <w:spacing w:line="273" w:lineRule="auto"/>
        <w:ind w:right="206" w:firstLine="420"/>
        <w:jc w:val="both"/>
      </w:pPr>
      <w:r>
        <w:rPr>
          <w:spacing w:val="-2"/>
        </w:rPr>
        <w:t>企业合并中取得的被购买方除无形资产外的其他各项资产（不仅限于被购买方原已确认的资产），其</w:t>
      </w:r>
      <w:r>
        <w:rPr>
          <w:w w:val="100"/>
        </w:rPr>
        <w:t> </w:t>
      </w:r>
      <w:r>
        <w:rPr>
          <w:spacing w:val="-2"/>
        </w:rPr>
        <w:t>所带来的经济利益很可能流入本公司且公允价值能够可靠计量的，单独确认并按公允价值计量；公允价值</w:t>
      </w:r>
      <w:r>
        <w:rPr>
          <w:spacing w:val="-42"/>
        </w:rPr>
        <w:t> </w:t>
      </w:r>
      <w:r>
        <w:rPr>
          <w:spacing w:val="-42"/>
        </w:rPr>
      </w:r>
      <w:r>
        <w:rPr>
          <w:spacing w:val="-2"/>
        </w:rPr>
        <w:t>能够可靠计量的无形资产，单独确认为无形资产并按公允价值计量；取得的被购买方除或有负债以外的其</w:t>
      </w:r>
      <w:r>
        <w:rPr>
          <w:spacing w:val="-44"/>
        </w:rPr>
        <w:t> </w:t>
      </w:r>
      <w:r>
        <w:rPr>
          <w:spacing w:val="-44"/>
        </w:rPr>
      </w:r>
      <w:r>
        <w:rPr>
          <w:spacing w:val="-2"/>
        </w:rPr>
        <w:t>他各项负债，履行有关义务很可能导致经济利益流出本公司且公允价值能够可靠计量的，单独确认并按照</w:t>
      </w:r>
      <w:r>
        <w:rPr>
          <w:spacing w:val="-44"/>
        </w:rPr>
        <w:t> </w:t>
      </w:r>
      <w:r>
        <w:rPr>
          <w:spacing w:val="-44"/>
        </w:rPr>
      </w:r>
      <w:r>
        <w:rPr>
          <w:spacing w:val="-2"/>
        </w:rPr>
        <w:t>公允价值计量；取得的被购买方或有负债，其公允价值能可靠计量的，单独确认为负债并按照公允价值计</w:t>
      </w:r>
      <w:r>
        <w:rPr>
          <w:spacing w:val="-44"/>
        </w:rPr>
        <w:t> </w:t>
      </w:r>
      <w:r>
        <w:rPr>
          <w:spacing w:val="-44"/>
        </w:rPr>
      </w:r>
      <w:r>
        <w:rPr/>
        <w:t>量。</w:t>
      </w:r>
    </w:p>
    <w:p>
      <w:pPr>
        <w:pStyle w:val="BodyText"/>
        <w:spacing w:line="268" w:lineRule="auto"/>
        <w:ind w:right="206" w:firstLine="420"/>
        <w:jc w:val="both"/>
      </w:pPr>
      <w:r>
        <w:rPr>
          <w:spacing w:val="-2"/>
        </w:rPr>
        <w:t>本公司在企业合并中取得的被购买方的可抵扣暂时性差异，在购买日不符合递延所得税资产确认条件</w:t>
      </w:r>
      <w:r>
        <w:rPr>
          <w:w w:val="100"/>
        </w:rPr>
        <w:t> </w:t>
      </w:r>
      <w:r>
        <w:rPr>
          <w:spacing w:val="-2"/>
        </w:rPr>
        <w:t>的，不予以确认。购买日后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w:t>
      </w:r>
      <w:r>
        <w:rPr>
          <w:spacing w:val="-45"/>
        </w:rPr>
        <w:t> </w:t>
      </w:r>
      <w:r>
        <w:rPr>
          <w:spacing w:val="-45"/>
        </w:rPr>
      </w: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273" w:lineRule="auto" w:before="12"/>
        <w:ind w:right="206" w:firstLine="420"/>
        <w:jc w:val="both"/>
      </w:pPr>
      <w:r>
        <w:rPr>
          <w:spacing w:val="-2"/>
        </w:rPr>
        <w:t>非同一控制下企业合并，购买方为企业合并发生的审计、法律服务、评估咨询等中介费用以及其他相</w:t>
      </w:r>
      <w:r>
        <w:rPr>
          <w:w w:val="100"/>
        </w:rPr>
        <w:t> </w:t>
      </w:r>
      <w:r>
        <w:rPr>
          <w:spacing w:val="-2"/>
        </w:rPr>
        <w:t>关管理费用，应当于发生时计入当期损益；购买方作为合并对价发行的权益性证券或债务性证券的交易费</w:t>
      </w:r>
      <w:r>
        <w:rPr>
          <w:spacing w:val="-44"/>
        </w:rPr>
        <w:t> </w:t>
      </w:r>
      <w:r>
        <w:rPr>
          <w:spacing w:val="-44"/>
        </w:rPr>
      </w:r>
      <w:r>
        <w:rPr/>
        <w:t>用，应当计入权益性证券或债务性证券的初始确认金额。</w:t>
      </w:r>
    </w:p>
    <w:p>
      <w:pPr>
        <w:spacing w:after="0" w:line="273" w:lineRule="auto"/>
        <w:jc w:val="both"/>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left="352"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0"/>
        <w:jc w:val="left"/>
      </w:pPr>
      <w:r>
        <w:rPr/>
        <w:t>本公司合并财务报表的合并范围以控制为基础确定，所有子公司均纳入合并财务报表。</w:t>
      </w:r>
      <w:r>
        <w:rPr>
          <w:w w:val="100"/>
        </w:rPr>
        <w:t> </w:t>
      </w:r>
      <w:r>
        <w:rPr>
          <w:spacing w:val="-2"/>
        </w:rPr>
        <w:t>所有纳入合并财务报表合并范围的子公司所采用的会计政策、会计期间与本公司一致，如子公司采用</w:t>
      </w:r>
    </w:p>
    <w:p>
      <w:pPr>
        <w:pStyle w:val="BodyText"/>
        <w:spacing w:line="273" w:lineRule="auto"/>
        <w:ind w:right="126"/>
        <w:jc w:val="both"/>
      </w:pP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报表进行调整。合并财务报表以本公司及子公司的财务报表为基础，根据其他有关资料，按照权益法调整</w:t>
      </w:r>
      <w:r>
        <w:rPr>
          <w:spacing w:val="-44"/>
        </w:rPr>
        <w:t> </w:t>
      </w:r>
      <w:r>
        <w:rPr>
          <w:spacing w:val="-44"/>
        </w:rPr>
      </w:r>
      <w:r>
        <w:rPr/>
        <w:t>对子公司的长期股权投资后，由本公司编制。</w:t>
      </w:r>
    </w:p>
    <w:p>
      <w:pPr>
        <w:pStyle w:val="BodyText"/>
        <w:spacing w:line="273" w:lineRule="auto"/>
        <w:ind w:right="126" w:firstLine="420"/>
        <w:jc w:val="both"/>
      </w:pPr>
      <w:r>
        <w:rPr>
          <w:spacing w:val="-2"/>
        </w:rPr>
        <w:t>合并财务报表时抵销本公司与各子公司、各子公司相互之间发生的内部交易对合并资产负债表、合并</w:t>
      </w:r>
      <w:r>
        <w:rPr>
          <w:w w:val="100"/>
        </w:rPr>
        <w:t> </w:t>
      </w:r>
      <w:r>
        <w:rPr/>
        <w:t>利润表、合并现金流量表、合并所有者权益变动表的影响。</w:t>
      </w:r>
    </w:p>
    <w:p>
      <w:pPr>
        <w:pStyle w:val="BodyText"/>
        <w:spacing w:line="273" w:lineRule="auto" w:before="8"/>
        <w:ind w:right="126" w:firstLine="420"/>
        <w:jc w:val="both"/>
      </w:pPr>
      <w:r>
        <w:rPr>
          <w:spacing w:val="2"/>
        </w:rPr>
        <w:t>子公司少数股东应占的权益和损益分别在合并资产负债表中所有者权益项目下和合并利润表中净利</w:t>
      </w:r>
      <w:r>
        <w:rPr>
          <w:w w:val="100"/>
        </w:rPr>
        <w:t> </w:t>
      </w:r>
      <w:r>
        <w:rPr>
          <w:spacing w:val="-2"/>
        </w:rPr>
        <w:t>润项目下单独列示。子公司少数股东分担的当期亏损超过了少数股东在该子公司期初所有者权益中所享有</w:t>
      </w:r>
      <w:r>
        <w:rPr>
          <w:spacing w:val="-43"/>
        </w:rPr>
        <w:t> </w:t>
      </w:r>
      <w:r>
        <w:rPr>
          <w:spacing w:val="-43"/>
        </w:rPr>
      </w:r>
      <w:r>
        <w:rPr/>
        <w:t>份额而形成的余额，冲减少数股东权益。</w:t>
      </w:r>
    </w:p>
    <w:p>
      <w:pPr>
        <w:pStyle w:val="BodyText"/>
        <w:spacing w:line="273" w:lineRule="auto"/>
        <w:ind w:right="126" w:firstLine="420"/>
        <w:jc w:val="both"/>
      </w:pPr>
      <w:r>
        <w:rPr>
          <w:spacing w:val="-2"/>
        </w:rPr>
        <w:t>在报告期内，若因同一控制下企业合并增加子公司的，则调整合并资产负债表的期初数；将子公司合</w:t>
      </w:r>
      <w:r>
        <w:rPr>
          <w:w w:val="100"/>
        </w:rPr>
        <w:t> </w:t>
      </w:r>
      <w:r>
        <w:rPr>
          <w:spacing w:val="-2"/>
        </w:rPr>
        <w:t>并当期期初至报告期末的收入、费用、利润纳入合并利润表；将子公司合并当期期初至报告期末的现金流</w:t>
      </w:r>
      <w:r>
        <w:rPr>
          <w:spacing w:val="-44"/>
        </w:rPr>
        <w:t> </w:t>
      </w:r>
      <w:r>
        <w:rPr>
          <w:spacing w:val="-44"/>
        </w:rPr>
      </w:r>
      <w:r>
        <w:rPr>
          <w:spacing w:val="-2"/>
        </w:rPr>
        <w:t>量纳入合并现金流量表，同时对比较报表的相关项目进行调整，视同合并后的报告主体在以前期间一直存</w:t>
      </w:r>
      <w:r>
        <w:rPr>
          <w:spacing w:val="-43"/>
        </w:rPr>
        <w:t> </w:t>
      </w:r>
      <w:r>
        <w:rPr>
          <w:spacing w:val="-43"/>
        </w:rPr>
      </w:r>
      <w:r>
        <w:rPr/>
        <w:t>在。</w:t>
      </w:r>
    </w:p>
    <w:p>
      <w:pPr>
        <w:pStyle w:val="BodyText"/>
        <w:spacing w:line="273" w:lineRule="auto"/>
        <w:ind w:right="126" w:firstLine="420"/>
        <w:jc w:val="both"/>
      </w:pPr>
      <w:r>
        <w:rPr>
          <w:spacing w:val="-2"/>
        </w:rPr>
        <w:t>在报告期内，若因非同一控制下企业合并增加子公司的，则不调整合并资产负债表期初数；将子公司</w:t>
      </w:r>
      <w:r>
        <w:rPr>
          <w:w w:val="100"/>
        </w:rPr>
        <w:t> </w:t>
      </w:r>
      <w:r>
        <w:rPr>
          <w:spacing w:val="-2"/>
        </w:rPr>
        <w:t>自购买日至报告期末的收入、费用、利润纳入合并利润表；该子公司自购买日至报告期末的现金流量纳入</w:t>
      </w:r>
      <w:r>
        <w:rPr>
          <w:spacing w:val="-43"/>
        </w:rPr>
        <w:t> </w:t>
      </w:r>
      <w:r>
        <w:rPr>
          <w:spacing w:val="-43"/>
        </w:rPr>
      </w:r>
      <w:r>
        <w:rPr>
          <w:spacing w:val="-2"/>
        </w:rPr>
        <w:t>合并现金流量表。通过多次交易分步实现非同一控制下企业合并时，对于购买日之前持有的被购买方的股</w:t>
      </w:r>
      <w:r>
        <w:rPr>
          <w:spacing w:val="-44"/>
        </w:rPr>
        <w:t> </w:t>
      </w:r>
      <w:r>
        <w:rPr>
          <w:spacing w:val="-44"/>
        </w:rPr>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益。购买日之前持有的被购买方的股权涉及其他综合收益的，与其相关的其他综合收益转为购买日所属当</w:t>
      </w:r>
      <w:r>
        <w:rPr>
          <w:spacing w:val="-43"/>
        </w:rPr>
        <w:t> </w:t>
      </w:r>
      <w:r>
        <w:rPr>
          <w:spacing w:val="-43"/>
        </w:rPr>
      </w:r>
      <w:r>
        <w:rPr/>
        <w:t>期投资收益。</w:t>
      </w:r>
    </w:p>
    <w:p>
      <w:pPr>
        <w:pStyle w:val="BodyText"/>
        <w:spacing w:line="273" w:lineRule="auto"/>
        <w:ind w:right="126" w:firstLine="420"/>
        <w:jc w:val="both"/>
      </w:pPr>
      <w:r>
        <w:rPr>
          <w:spacing w:val="-2"/>
        </w:rPr>
        <w:t>在报告期内，本公司处置子公司，则该子公司期初至处置日的收入、费用、利润纳入合并利润表；该</w:t>
      </w:r>
      <w:r>
        <w:rPr>
          <w:spacing w:val="-5"/>
          <w:w w:val="100"/>
        </w:rPr>
        <w:t> </w:t>
      </w:r>
      <w:r>
        <w:rPr>
          <w:spacing w:val="-2"/>
        </w:rPr>
        <w:t>子公司期初至处置日的现金流量纳入合并现金流量表。因处置部分股权投资或其他原因丧失了对原有子公</w:t>
      </w:r>
      <w:r>
        <w:rPr>
          <w:spacing w:val="-43"/>
        </w:rPr>
        <w:t> </w:t>
      </w:r>
      <w:r>
        <w:rPr>
          <w:spacing w:val="-43"/>
        </w:rPr>
      </w:r>
      <w:r>
        <w:rPr>
          <w:spacing w:val="-2"/>
        </w:rPr>
        <w:t>司控制权时，对于处置后的剩余股权投资，本公司按照其在丧失控制权日的公允价值进行重新计量。处置</w:t>
      </w:r>
      <w:r>
        <w:rPr>
          <w:spacing w:val="-43"/>
        </w:rPr>
        <w:t> </w:t>
      </w:r>
      <w:r>
        <w:rPr>
          <w:spacing w:val="-43"/>
        </w:rPr>
      </w:r>
      <w:r>
        <w:rPr>
          <w:spacing w:val="-2"/>
        </w:rPr>
        <w:t>股权取得的对价与剩余股权公允价值之和，减去按原持股比例计算应享有原有子公司自购买日开始持续计</w:t>
      </w:r>
      <w:r>
        <w:rPr>
          <w:spacing w:val="-43"/>
        </w:rPr>
        <w:t> </w:t>
      </w:r>
      <w:r>
        <w:rPr>
          <w:spacing w:val="-43"/>
        </w:rPr>
      </w:r>
      <w:r>
        <w:rPr>
          <w:spacing w:val="-2"/>
        </w:rPr>
        <w:t>算的净资产的份额之间的差额，计入丧失控制权当期的投资收益。与原有子公司股权投资相关的其他综合</w:t>
      </w:r>
      <w:r>
        <w:rPr>
          <w:spacing w:val="-42"/>
        </w:rPr>
        <w:t> </w:t>
      </w:r>
      <w:r>
        <w:rPr>
          <w:spacing w:val="-42"/>
        </w:rPr>
      </w:r>
      <w:r>
        <w:rPr/>
        <w:t>收益，在丧失控制权时转为当期投资收益。</w:t>
      </w:r>
    </w:p>
    <w:p>
      <w:pPr>
        <w:pStyle w:val="BodyText"/>
        <w:spacing w:line="273" w:lineRule="auto"/>
        <w:ind w:right="126" w:firstLine="420"/>
        <w:jc w:val="both"/>
      </w:pPr>
      <w:r>
        <w:rPr>
          <w:spacing w:val="2"/>
        </w:rPr>
        <w:t>本公司因购买少数股权新取得的长期股权投资与按照新增持股比例计算应享有子公司的可辨认净资</w:t>
      </w:r>
      <w:r>
        <w:rPr>
          <w:w w:val="100"/>
        </w:rPr>
        <w:t> </w:t>
      </w:r>
      <w:r>
        <w:rPr>
          <w:spacing w:val="-2"/>
        </w:rPr>
        <w:t>产份额之间的差额，以及在不丧失控制权的情况下因部分处置对子公司的股权投资而取得的处置价款与处</w:t>
      </w:r>
      <w:r>
        <w:rPr>
          <w:spacing w:val="-43"/>
        </w:rPr>
        <w:t> </w:t>
      </w:r>
      <w:r>
        <w:rPr>
          <w:spacing w:val="-43"/>
        </w:rPr>
      </w:r>
      <w:r>
        <w:rPr>
          <w:spacing w:val="2"/>
        </w:rPr>
        <w:t>置长期股权投资相对应享有子公司净资产份额的差额，均调整合并资产负债表中的资本公积中的股本溢</w:t>
      </w:r>
      <w:r>
        <w:rPr>
          <w:spacing w:val="-30"/>
        </w:rPr>
        <w:t> </w:t>
      </w:r>
      <w:r>
        <w:rPr>
          <w:spacing w:val="-30"/>
        </w:rPr>
      </w:r>
      <w:r>
        <w:rPr/>
        <w:t>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600" w:lineRule="atLeast" w:before="14"/>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273" w:lineRule="auto" w:before="37"/>
        <w:ind w:right="104"/>
        <w:jc w:val="both"/>
      </w:pP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after="0" w:line="273" w:lineRule="auto"/>
        <w:jc w:val="both"/>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76"/>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76"/>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76"/>
        <w:jc w:val="left"/>
      </w:pPr>
      <w:r>
        <w:rPr/>
        <w:t>外币业务采用交易发生日的即期汇率作为折算汇率将外币金额折合成人民币记账。</w:t>
      </w:r>
      <w:r>
        <w:rPr>
          <w:w w:val="100"/>
        </w:rPr>
        <w:t> </w:t>
      </w:r>
      <w:r>
        <w:rPr>
          <w:spacing w:val="-2"/>
        </w:rPr>
        <w:t>外币货币性项目余额按资产负债表日即期汇率折算，由此产生的汇兑差额，除属于与购建符合资本化</w:t>
      </w:r>
    </w:p>
    <w:p>
      <w:pPr>
        <w:pStyle w:val="BodyText"/>
        <w:spacing w:line="273" w:lineRule="auto"/>
        <w:ind w:right="206"/>
        <w:jc w:val="both"/>
      </w:pPr>
      <w:r>
        <w:rPr>
          <w:spacing w:val="-2"/>
        </w:rPr>
        <w:t>条件的资产相关的外币专门借款产生的汇兑差额按照借款费用资本化的原则处理外，均计入当期损益。以</w:t>
      </w:r>
      <w:r>
        <w:rPr>
          <w:spacing w:val="-44"/>
        </w:rPr>
        <w:t> </w:t>
      </w:r>
      <w:r>
        <w:rPr>
          <w:spacing w:val="-44"/>
        </w:rPr>
      </w:r>
      <w:r>
        <w:rPr>
          <w:spacing w:val="-2"/>
        </w:rPr>
        <w:t>历史成本计量的外币非货币性项目，仍采用交易发生日的即期汇率折算，不改变其记账本位币金额。以公</w:t>
      </w:r>
      <w:r>
        <w:rPr>
          <w:spacing w:val="-44"/>
        </w:rPr>
        <w:t> </w:t>
      </w:r>
      <w:r>
        <w:rPr>
          <w:spacing w:val="-44"/>
        </w:rPr>
      </w:r>
      <w:r>
        <w:rPr>
          <w:spacing w:val="-2"/>
        </w:rPr>
        <w:t>允价值计量的外币非货币性项目，采用公允价值确定日的即期汇率折算，由此产生的汇兑差额计入当期损</w:t>
      </w:r>
      <w:r>
        <w:rPr>
          <w:spacing w:val="-43"/>
        </w:rPr>
        <w:t> </w:t>
      </w:r>
      <w:r>
        <w:rPr>
          <w:spacing w:val="-43"/>
        </w:rPr>
      </w:r>
      <w:r>
        <w:rPr/>
        <w:t>益或资本公积。</w:t>
      </w:r>
    </w:p>
    <w:p>
      <w:pPr>
        <w:spacing w:line="240" w:lineRule="auto" w:before="10"/>
        <w:rPr>
          <w:rFonts w:ascii="宋体" w:hAnsi="宋体" w:cs="宋体" w:eastAsia="宋体" w:hint="default"/>
          <w:sz w:val="23"/>
          <w:szCs w:val="23"/>
        </w:rPr>
      </w:pPr>
    </w:p>
    <w:p>
      <w:pPr>
        <w:spacing w:line="600" w:lineRule="atLeast" w:before="0"/>
        <w:ind w:left="573" w:right="7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资产负债表中的资产和负债项目，采用资产负债表日的即期汇率折算；所有者权益项目除“未分配利</w:t>
      </w:r>
    </w:p>
    <w:p>
      <w:pPr>
        <w:pStyle w:val="BodyText"/>
        <w:spacing w:line="273" w:lineRule="auto" w:before="37"/>
        <w:ind w:right="76"/>
        <w:jc w:val="left"/>
      </w:pPr>
      <w:r>
        <w:rPr>
          <w:spacing w:val="-2"/>
        </w:rPr>
        <w:t>润”项目外，其他项目采用发生时的即期汇率折算。利润表中的收入和费用项目，采用交易发生日的即期</w:t>
      </w:r>
      <w:r>
        <w:rPr>
          <w:spacing w:val="-47"/>
        </w:rPr>
        <w:t> </w:t>
      </w:r>
      <w:r>
        <w:rPr>
          <w:spacing w:val="-47"/>
        </w:rPr>
      </w:r>
      <w:r>
        <w:rPr/>
        <w:t>汇率折算。按照上述折算产生的外币财务报表折算差额，在资产负债表所有者权益项目下单独列示。</w:t>
      </w:r>
    </w:p>
    <w:p>
      <w:pPr>
        <w:pStyle w:val="BodyText"/>
        <w:spacing w:line="273" w:lineRule="auto"/>
        <w:ind w:right="206" w:firstLine="420"/>
        <w:jc w:val="both"/>
      </w:pPr>
      <w:r>
        <w:rPr>
          <w:spacing w:val="-2"/>
        </w:rPr>
        <w:t>处置境外经营时，将资产负债表中所有者权益项目下列示的、与该境外经营相关的外币财务报表折算</w:t>
      </w:r>
      <w:r>
        <w:rPr>
          <w:w w:val="100"/>
        </w:rPr>
        <w:t> </w:t>
      </w:r>
      <w:r>
        <w:rPr>
          <w:spacing w:val="-2"/>
        </w:rPr>
        <w:t>差额，自所有者权益项目转入处置当期损益；部分处置境外经营的，按处置的比例计算处置部分的外币财</w:t>
      </w:r>
      <w:r>
        <w:rPr>
          <w:spacing w:val="-44"/>
        </w:rPr>
        <w:t> </w:t>
      </w:r>
      <w:r>
        <w:rPr>
          <w:spacing w:val="-44"/>
        </w:rPr>
      </w:r>
      <w:r>
        <w:rPr/>
        <w:t>务报表折算差额，转入处置当期损益。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76"/>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76"/>
        <w:jc w:val="left"/>
      </w:pPr>
      <w:r>
        <w:rPr/>
        <w:t>金融工具包括金融资产、金融负债和权益工具。</w:t>
      </w:r>
    </w:p>
    <w:p>
      <w:pPr>
        <w:pStyle w:val="BodyText"/>
        <w:spacing w:line="600" w:lineRule="atLeast" w:before="28"/>
        <w:ind w:left="573" w:right="76"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管理层按照取得持有金融资产和承担金融负债的目的，将其划分为：以公允价值计量且其变动计入当</w:t>
      </w:r>
    </w:p>
    <w:p>
      <w:pPr>
        <w:pStyle w:val="BodyText"/>
        <w:spacing w:line="273" w:lineRule="auto" w:before="37"/>
        <w:ind w:right="76"/>
        <w:jc w:val="left"/>
      </w:pPr>
      <w:r>
        <w:rPr>
          <w:spacing w:val="-2"/>
        </w:rPr>
        <w:t>期损益的金融资产或金融负债，包括交易性金融资产或金融负债；持有至到期投资；应收款项；可供出售</w:t>
      </w:r>
      <w:r>
        <w:rPr>
          <w:spacing w:val="-47"/>
        </w:rPr>
        <w:t> </w:t>
      </w:r>
      <w:r>
        <w:rPr>
          <w:spacing w:val="-47"/>
        </w:rPr>
      </w:r>
      <w:r>
        <w:rPr/>
        <w:t>金融资产；其他金融负债等。</w:t>
      </w:r>
    </w:p>
    <w:p>
      <w:pPr>
        <w:spacing w:line="240" w:lineRule="auto" w:before="7"/>
        <w:rPr>
          <w:rFonts w:ascii="宋体" w:hAnsi="宋体" w:cs="宋体" w:eastAsia="宋体" w:hint="default"/>
          <w:sz w:val="23"/>
          <w:szCs w:val="23"/>
        </w:rPr>
      </w:pPr>
    </w:p>
    <w:p>
      <w:pPr>
        <w:pStyle w:val="Heading5"/>
        <w:spacing w:line="240" w:lineRule="auto"/>
        <w:ind w:right="76"/>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76"/>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273" w:lineRule="auto"/>
        <w:ind w:left="573" w:right="76" w:hanging="421"/>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73" w:lineRule="auto"/>
        <w:ind w:left="573" w:right="76"/>
        <w:jc w:val="left"/>
      </w:pPr>
      <w:r>
        <w:rPr/>
        <w:t>（</w:t>
      </w:r>
      <w:r>
        <w:rPr>
          <w:rFonts w:ascii="宋体" w:hAnsi="宋体" w:cs="宋体" w:eastAsia="宋体" w:hint="default"/>
        </w:rPr>
        <w:t>2</w:t>
      </w:r>
      <w:r>
        <w:rPr/>
        <w:t>）持有至到期投资</w:t>
      </w:r>
      <w:r>
        <w:rPr>
          <w:w w:val="100"/>
        </w:rPr>
        <w:t> </w:t>
      </w: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BodyText"/>
        <w:spacing w:line="273" w:lineRule="auto"/>
        <w:ind w:left="573" w:right="76" w:hanging="421"/>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240" w:lineRule="auto"/>
        <w:ind w:left="573" w:right="76"/>
        <w:jc w:val="left"/>
      </w:pPr>
      <w:r>
        <w:rPr/>
        <w:t>（</w:t>
      </w:r>
      <w:r>
        <w:rPr>
          <w:rFonts w:ascii="宋体" w:hAnsi="宋体" w:cs="宋体" w:eastAsia="宋体" w:hint="default"/>
        </w:rPr>
        <w:t>3</w:t>
      </w:r>
      <w:r>
        <w:rPr/>
        <w:t>）应收款项</w:t>
      </w:r>
    </w:p>
    <w:p>
      <w:pPr>
        <w:spacing w:after="0" w:line="240"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right="106" w:firstLine="420"/>
        <w:jc w:val="both"/>
      </w:pPr>
      <w:r>
        <w:rPr>
          <w:spacing w:val="-2"/>
        </w:rPr>
        <w:t>公司对外销售商品或提供劳务形成的应收债权，以及公司持有的其他企业的不包括在活跃市场上有报</w:t>
      </w:r>
      <w:r>
        <w:rPr>
          <w:w w:val="100"/>
        </w:rPr>
        <w:t> </w:t>
      </w: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ind w:left="573" w:right="0"/>
        <w:jc w:val="left"/>
      </w:pPr>
      <w:r>
        <w:rPr/>
        <w:t>收回或处置时，将取得的价款与该应收款项账面价值之间的差额计入当期损益。</w:t>
      </w:r>
    </w:p>
    <w:p>
      <w:pPr>
        <w:pStyle w:val="BodyText"/>
        <w:spacing w:line="273" w:lineRule="auto" w:before="37"/>
        <w:ind w:left="573" w:right="0"/>
        <w:jc w:val="left"/>
      </w:pPr>
      <w:r>
        <w:rPr/>
        <w:t>（</w:t>
      </w:r>
      <w:r>
        <w:rPr>
          <w:rFonts w:ascii="宋体" w:hAnsi="宋体" w:cs="宋体" w:eastAsia="宋体" w:hint="default"/>
        </w:rPr>
        <w:t>4</w:t>
      </w:r>
      <w:r>
        <w:rPr/>
        <w:t>）可供出售金融资产</w:t>
      </w:r>
      <w:r>
        <w:rPr>
          <w:w w:val="100"/>
        </w:rPr>
        <w:t> </w:t>
      </w:r>
      <w:r>
        <w:rPr>
          <w:spacing w:val="-2"/>
        </w:rPr>
        <w:t>取得时按公允价值（扣除已宣告但尚未发放的现金股利或已到付息期但尚未领取的债券利息）和相关</w:t>
      </w:r>
    </w:p>
    <w:p>
      <w:pPr>
        <w:pStyle w:val="BodyText"/>
        <w:spacing w:line="273" w:lineRule="auto"/>
        <w:ind w:left="573" w:right="0" w:hanging="421"/>
        <w:jc w:val="left"/>
      </w:pPr>
      <w:r>
        <w:rPr/>
        <w:t>交易费用之和作为初始确认金额。</w:t>
      </w:r>
      <w:r>
        <w:rPr>
          <w:w w:val="100"/>
        </w:rPr>
        <w:t> </w:t>
      </w:r>
      <w:r>
        <w:rPr>
          <w:spacing w:val="-2"/>
        </w:rPr>
        <w:t>持有期间将取得的利息或现金股利确认为投资收益。期末以公允价值计量且将公允价值变动计入资本</w:t>
      </w:r>
    </w:p>
    <w:p>
      <w:pPr>
        <w:pStyle w:val="BodyText"/>
        <w:spacing w:line="273" w:lineRule="auto"/>
        <w:ind w:left="573" w:right="0" w:hanging="421"/>
        <w:jc w:val="left"/>
      </w:pPr>
      <w:r>
        <w:rPr/>
        <w:t>公积（其他资本公积）。</w:t>
      </w:r>
      <w:r>
        <w:rPr>
          <w:w w:val="100"/>
        </w:rPr>
        <w:t> </w:t>
      </w:r>
      <w:r>
        <w:rPr>
          <w:spacing w:val="-2"/>
        </w:rPr>
        <w:t>处置时，将取得的价款与该金融资产账面价值之间的差额，计入投资损益；同时，将原直接计入所有</w:t>
      </w:r>
    </w:p>
    <w:p>
      <w:pPr>
        <w:pStyle w:val="BodyText"/>
        <w:spacing w:line="240" w:lineRule="auto"/>
        <w:ind w:right="0"/>
        <w:jc w:val="left"/>
      </w:pPr>
      <w:r>
        <w:rPr/>
        <w:t>者权益的公允价值变动累计额对应处置部分的金额转出，计入投资损益。</w:t>
      </w:r>
    </w:p>
    <w:p>
      <w:pPr>
        <w:pStyle w:val="BodyText"/>
        <w:spacing w:line="273" w:lineRule="auto" w:before="37"/>
        <w:ind w:left="573" w:right="0"/>
        <w:jc w:val="left"/>
      </w:pPr>
      <w:r>
        <w:rPr/>
        <w:t>（</w:t>
      </w:r>
      <w:r>
        <w:rPr>
          <w:rFonts w:ascii="宋体" w:hAnsi="宋体" w:cs="宋体" w:eastAsia="宋体" w:hint="default"/>
        </w:rPr>
        <w:t>5</w:t>
      </w:r>
      <w:r>
        <w:rPr/>
        <w:t>）其他金融负债、</w:t>
      </w:r>
      <w:r>
        <w:rPr>
          <w:w w:val="100"/>
        </w:rPr>
        <w:t> </w:t>
      </w:r>
      <w:r>
        <w:rPr>
          <w:spacing w:val="-2"/>
        </w:rPr>
        <w:t>按其公允价值和相关交易费用之和作为初始确认金额。采用摊余成本进行后续计量。</w:t>
      </w: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pStyle w:val="BodyText"/>
        <w:spacing w:line="273" w:lineRule="auto" w:before="37"/>
        <w:ind w:left="573" w:right="0" w:hanging="421"/>
        <w:jc w:val="left"/>
      </w:pPr>
      <w:r>
        <w:rPr/>
        <w:t>认该金融资产；如保留了金融资产所有权上几乎所有的风险和报酬的，则不终止确认该金融资产。</w:t>
      </w:r>
      <w:r>
        <w:rPr>
          <w:spacing w:val="-3"/>
          <w:w w:val="100"/>
        </w:rPr>
        <w:t> </w:t>
      </w:r>
      <w:r>
        <w:rPr>
          <w:spacing w:val="-2"/>
        </w:rPr>
        <w:t>在判断金融资产转移是否满足上述金融资产终止确认条件时，采用实质重于形式的原则。公司将金融</w:t>
      </w:r>
    </w:p>
    <w:p>
      <w:pPr>
        <w:pStyle w:val="BodyText"/>
        <w:spacing w:line="273" w:lineRule="auto"/>
        <w:ind w:right="0"/>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573" w:right="0"/>
        <w:jc w:val="left"/>
      </w:pPr>
      <w:r>
        <w:rPr/>
        <w:t>（</w:t>
      </w:r>
      <w:r>
        <w:rPr>
          <w:rFonts w:ascii="宋体" w:hAnsi="宋体" w:cs="宋体" w:eastAsia="宋体" w:hint="default"/>
        </w:rPr>
        <w:t>1</w:t>
      </w:r>
      <w:r>
        <w:rPr/>
        <w:t>）所转金融资产的账面价值；</w:t>
      </w:r>
    </w:p>
    <w:p>
      <w:pPr>
        <w:pStyle w:val="BodyText"/>
        <w:spacing w:line="273" w:lineRule="auto" w:before="37"/>
        <w:ind w:right="116" w:firstLine="420"/>
        <w:jc w:val="both"/>
      </w:pPr>
      <w:r>
        <w:rPr/>
        <w:t>（</w:t>
      </w:r>
      <w:r>
        <w:rPr>
          <w:rFonts w:ascii="宋体" w:hAnsi="宋体" w:cs="宋体" w:eastAsia="宋体" w:hint="default"/>
        </w:rPr>
        <w:t>2</w:t>
      </w:r>
      <w:r>
        <w:rPr/>
        <w:t>）因转移而收到的对价，与原直接计入所有者权益的公允价值变动累计额（涉及转移的金融资产</w:t>
      </w:r>
      <w:r>
        <w:rPr>
          <w:w w:val="100"/>
        </w:rPr>
        <w:t> </w:t>
      </w:r>
      <w:r>
        <w:rPr/>
        <w:t>为可供出售金融资产的情形）之和。</w:t>
      </w:r>
    </w:p>
    <w:p>
      <w:pPr>
        <w:pStyle w:val="BodyText"/>
        <w:spacing w:line="273" w:lineRule="auto" w:before="8"/>
        <w:ind w:right="106" w:firstLine="420"/>
        <w:jc w:val="both"/>
      </w:pPr>
      <w:r>
        <w:rPr>
          <w:spacing w:val="-2"/>
        </w:rPr>
        <w:t>融金融资产部分转移满足终止确认条件的，将所转移金融资产整体的账面价值，在终止确认部分和未</w:t>
      </w:r>
      <w:r>
        <w:rPr>
          <w:w w:val="100"/>
        </w:rPr>
        <w:t> </w:t>
      </w:r>
      <w:r>
        <w:rPr/>
        <w:t>终止确认部分之间，按照各自的相对公允价值进行分摊，并将下列两项金额的差额计入当期损益：</w:t>
      </w:r>
    </w:p>
    <w:p>
      <w:pPr>
        <w:pStyle w:val="BodyText"/>
        <w:spacing w:line="240" w:lineRule="auto"/>
        <w:ind w:left="573" w:right="0"/>
        <w:jc w:val="left"/>
      </w:pPr>
      <w:r>
        <w:rPr/>
        <w:t>（</w:t>
      </w:r>
      <w:r>
        <w:rPr>
          <w:rFonts w:ascii="宋体" w:hAnsi="宋体" w:cs="宋体" w:eastAsia="宋体" w:hint="default"/>
        </w:rPr>
        <w:t>1</w:t>
      </w:r>
      <w:r>
        <w:rPr/>
        <w:t>）终止确认部分的账面价值；</w:t>
      </w:r>
    </w:p>
    <w:p>
      <w:pPr>
        <w:pStyle w:val="BodyText"/>
        <w:spacing w:line="273" w:lineRule="auto" w:before="37"/>
        <w:ind w:right="116" w:firstLine="420"/>
        <w:jc w:val="both"/>
      </w:pPr>
      <w:r>
        <w:rPr/>
        <w:t>（</w:t>
      </w:r>
      <w:r>
        <w:rPr>
          <w:rFonts w:ascii="宋体" w:hAnsi="宋体" w:cs="宋体" w:eastAsia="宋体" w:hint="default"/>
        </w:rPr>
        <w:t>2</w:t>
      </w:r>
      <w:r>
        <w:rPr/>
        <w:t>）终止确认部分的对价，与原直接计入所有者权益的公允价值变动累计额中对应终止确认部分的</w:t>
      </w:r>
      <w:r>
        <w:rPr>
          <w:w w:val="100"/>
        </w:rPr>
        <w:t> </w:t>
      </w:r>
      <w:r>
        <w:rPr/>
        <w:t>金额（涉及转移的金融资产为可供出售金融资产的情形）之和。</w:t>
      </w:r>
    </w:p>
    <w:p>
      <w:pPr>
        <w:pStyle w:val="BodyText"/>
        <w:spacing w:line="240" w:lineRule="auto"/>
        <w:ind w:left="573" w:right="0"/>
        <w:jc w:val="left"/>
      </w:pPr>
      <w:r>
        <w:rPr/>
        <w:t>金融资产转移不满足终止确认条件的，继续确认该金融资产，所收到的对价确认为一项金融负债。</w:t>
      </w:r>
    </w:p>
    <w:p>
      <w:pPr>
        <w:spacing w:line="590" w:lineRule="atLeast" w:before="3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273" w:lineRule="auto" w:before="37"/>
        <w:ind w:right="0"/>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273" w:lineRule="auto"/>
        <w:ind w:right="10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273" w:lineRule="auto"/>
        <w:ind w:right="10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273" w:lineRule="auto"/>
        <w:ind w:right="10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after="0" w:line="273" w:lineRule="auto"/>
        <w:jc w:val="both"/>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506" w:lineRule="auto" w:before="1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本公司采用公允价值计量的金融资产和金融负债全部直接参考活跃市场中的报价。</w:t>
      </w:r>
    </w:p>
    <w:p>
      <w:pPr>
        <w:pStyle w:val="Heading5"/>
        <w:spacing w:line="240" w:lineRule="auto" w:before="104"/>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0"/>
        <w:jc w:val="left"/>
      </w:pPr>
      <w:r>
        <w:rPr>
          <w:spacing w:val="-2"/>
        </w:rPr>
        <w:t>除以公允价值计量且其变动计入当期损益的金融资产外，本公司于资产负债表日对金融资产的账面价</w:t>
      </w:r>
      <w:r>
        <w:rPr>
          <w:w w:val="100"/>
        </w:rPr>
        <w:t> </w:t>
      </w:r>
      <w:r>
        <w:rPr/>
        <w:t>值进行检查，如果有客观证据表明某项金融资产发生减值的，计提减值准备。</w:t>
      </w:r>
    </w:p>
    <w:p>
      <w:pPr>
        <w:pStyle w:val="BodyText"/>
        <w:spacing w:line="273" w:lineRule="auto"/>
        <w:ind w:left="573" w:right="0"/>
        <w:jc w:val="left"/>
      </w:pPr>
      <w:r>
        <w:rPr/>
        <w:t>（</w:t>
      </w:r>
      <w:r>
        <w:rPr>
          <w:rFonts w:ascii="宋体" w:hAnsi="宋体" w:cs="宋体" w:eastAsia="宋体" w:hint="default"/>
        </w:rPr>
        <w:t>1</w:t>
      </w:r>
      <w:r>
        <w:rPr/>
        <w:t>）可供出售金融资产的减值准备：</w:t>
      </w:r>
      <w:r>
        <w:rPr>
          <w:w w:val="100"/>
        </w:rPr>
        <w:t> </w:t>
      </w:r>
      <w:r>
        <w:rPr>
          <w:spacing w:val="-2"/>
        </w:rPr>
        <w:t>期末如果可供出售金融资产的公允价值发生严重下降，或在综合考虑各种相关因素后，预期这种下降</w:t>
      </w:r>
    </w:p>
    <w:p>
      <w:pPr>
        <w:pStyle w:val="BodyText"/>
        <w:spacing w:line="273" w:lineRule="auto"/>
        <w:ind w:right="0"/>
        <w:jc w:val="left"/>
      </w:pP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p>
    <w:p>
      <w:pPr>
        <w:pStyle w:val="BodyText"/>
        <w:spacing w:line="273" w:lineRule="auto" w:before="8"/>
        <w:ind w:right="0" w:firstLine="420"/>
        <w:jc w:val="left"/>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BodyText"/>
        <w:spacing w:line="240" w:lineRule="auto"/>
        <w:ind w:left="573" w:right="0"/>
        <w:jc w:val="left"/>
      </w:pPr>
      <w:r>
        <w:rPr/>
        <w:t>可供出售权益工具投资发生的减值损失，不得通过损益转回。</w:t>
      </w:r>
    </w:p>
    <w:p>
      <w:pPr>
        <w:pStyle w:val="BodyText"/>
        <w:spacing w:line="273" w:lineRule="auto" w:before="37"/>
        <w:ind w:left="573" w:right="0"/>
        <w:jc w:val="left"/>
      </w:pPr>
      <w:r>
        <w:rPr/>
        <w:t>（</w:t>
      </w:r>
      <w:r>
        <w:rPr>
          <w:rFonts w:ascii="宋体" w:hAnsi="宋体" w:cs="宋体" w:eastAsia="宋体"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 之和。</w:t>
            </w:r>
          </w:p>
        </w:tc>
      </w:tr>
      <w:tr>
        <w:trPr>
          <w:trHeight w:val="1339"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单独进行减值测试，如有客观证据表明其已发生减值，按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预计未来现金流量现值低于其账面价值的差额计提坏账 准备，计入当期损益。单独测试未发生减值的应收款项， 将其归入相应组合计提坏账准备。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33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已单独计提减值准备的应收账款、其他应收款外，公司根据 以前年度与之相同或相类似的、按账龄段划分的具有类似信 用风险特征的应收款项组合的实际损失率为基础，结合现时 情况分析法确定坏账准备计提的比例。</w:t>
            </w:r>
          </w:p>
        </w:tc>
      </w:tr>
      <w:tr>
        <w:trPr>
          <w:trHeight w:val="1298"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年末对不适用按类似信用风险特征组合的应收票据、预付账 款和长期应收款均进行单项减值测试。如有客观证据表明其 发生了减值的，根据其未来现金流量现值低于其账面价值的 差额，确认减值损失，计提坏账准备。如经减值测试未发现</w:t>
            </w:r>
          </w:p>
        </w:tc>
      </w:tr>
    </w:tbl>
    <w:p>
      <w:pPr>
        <w:spacing w:after="0" w:line="316" w:lineRule="auto"/>
        <w:jc w:val="both"/>
        <w:rPr>
          <w:rFonts w:ascii="宋体" w:hAnsi="宋体" w:cs="宋体" w:eastAsia="宋体" w:hint="default"/>
          <w:sz w:val="18"/>
          <w:szCs w:val="18"/>
        </w:rPr>
        <w:sectPr>
          <w:pgSz w:w="11910" w:h="16840"/>
          <w:pgMar w:header="852" w:footer="980" w:top="1340" w:bottom="1160" w:left="980" w:right="102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363" w:hRule="exact"/>
        </w:trPr>
        <w:tc>
          <w:tcPr>
            <w:tcW w:w="260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减值的，则不计提坏账准备。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单项金额不重大但经单项测试后存在减值的应收款项。</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如有客观证据表明其已发生减值，按预计未来现金流量现值低于其账面价值的 差额计提坏账准备，计入当期损益。</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95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04" w:firstLine="420"/>
        <w:jc w:val="both"/>
      </w:pPr>
      <w:r>
        <w:rPr/>
        <w:t>（</w:t>
      </w:r>
      <w:r>
        <w:rPr>
          <w:rFonts w:ascii="宋体" w:hAnsi="宋体" w:cs="宋体" w:eastAsia="宋体" w:hint="default"/>
        </w:rPr>
        <w:t>1</w:t>
      </w:r>
      <w:r>
        <w:rPr/>
        <w:t>）企业合并形成的长期股权投资同一控制下的企业合并：公司以支付现金、转让非现金资产或承</w:t>
      </w:r>
      <w:r>
        <w:rPr>
          <w:w w:val="100"/>
        </w:rPr>
        <w:t> </w:t>
      </w:r>
      <w:r>
        <w:rPr>
          <w:spacing w:val="-2"/>
        </w:rPr>
        <w:t>担债务方式以及以发行权益性证券作为合并对价的，在合并日按照取得被合并方所有者权益账面价值的份</w:t>
      </w:r>
      <w:r>
        <w:rPr>
          <w:spacing w:val="-43"/>
        </w:rPr>
        <w:t> </w:t>
      </w:r>
      <w:r>
        <w:rPr>
          <w:spacing w:val="-43"/>
        </w:rPr>
      </w:r>
      <w:r>
        <w:rPr>
          <w:spacing w:val="-2"/>
        </w:rPr>
        <w:t>额作为长期股权投资的初始投资成本。长期股权投资初始投资成本与支付合并对价之间的差额，调整资本</w:t>
      </w:r>
      <w:r>
        <w:rPr>
          <w:spacing w:val="-43"/>
        </w:rPr>
        <w:t> </w:t>
      </w:r>
      <w:r>
        <w:rPr>
          <w:spacing w:val="-43"/>
        </w:rPr>
      </w:r>
      <w:r>
        <w:rPr>
          <w:spacing w:val="-2"/>
        </w:rPr>
        <w:t>公积中的股本溢价；资本公积中的股本溢价不足冲减的，调整留存收益。合并发生的各项直接相关费用，</w:t>
      </w:r>
      <w:r>
        <w:rPr>
          <w:spacing w:val="-21"/>
        </w:rPr>
        <w:t> </w:t>
      </w:r>
      <w:r>
        <w:rPr>
          <w:spacing w:val="-21"/>
        </w:rPr>
      </w:r>
      <w:r>
        <w:rPr>
          <w:spacing w:val="-2"/>
        </w:rPr>
        <w:t>包括为进行合并而支付的审计费用、评估费用、法律服务费用等，于发生时计入当期损益。非同一控制下</w:t>
      </w:r>
      <w:r>
        <w:rPr>
          <w:spacing w:val="-47"/>
        </w:rPr>
        <w:t> </w:t>
      </w:r>
      <w:r>
        <w:rPr>
          <w:spacing w:val="-47"/>
        </w:rPr>
      </w:r>
      <w:r>
        <w:rPr>
          <w:spacing w:val="-2"/>
        </w:rPr>
        <w:t>的企业合并：公司按照购买日确定的合并成本作为长期股权投资的初始投资成本。合并成本为购买日购买</w:t>
      </w:r>
      <w:r>
        <w:rPr>
          <w:spacing w:val="-43"/>
        </w:rPr>
        <w:t> </w:t>
      </w:r>
      <w:r>
        <w:rPr>
          <w:spacing w:val="-43"/>
        </w:rPr>
      </w:r>
      <w:r>
        <w:rPr>
          <w:spacing w:val="-2"/>
        </w:rPr>
        <w:t>方为取得对被购买方的控制权而付出的资产、发生或承担的负债以及发行的权益性证券的公允价值。购买</w:t>
      </w:r>
      <w:r>
        <w:rPr>
          <w:spacing w:val="-42"/>
        </w:rPr>
        <w:t> </w:t>
      </w:r>
      <w:r>
        <w:rPr>
          <w:spacing w:val="-42"/>
        </w:rPr>
      </w:r>
      <w:r>
        <w:rPr>
          <w:spacing w:val="-2"/>
        </w:rPr>
        <w:t>方为企业合并而发生的审计、法律服务、评估咨询等中介费用以及其他相关管理费用于发生时计入当期损</w:t>
      </w:r>
      <w:r>
        <w:rPr>
          <w:spacing w:val="-44"/>
        </w:rPr>
        <w:t> </w:t>
      </w:r>
      <w:r>
        <w:rPr>
          <w:spacing w:val="-44"/>
        </w:rPr>
      </w:r>
      <w:r>
        <w:rPr>
          <w:spacing w:val="-2"/>
        </w:rPr>
        <w:t>益；购买方作为合并对价发行的权益性证券或债务性证券的交易费用，计入权益性证券或债务性证券的初</w:t>
      </w:r>
      <w:r>
        <w:rPr>
          <w:spacing w:val="-43"/>
        </w:rPr>
        <w:t> </w:t>
      </w:r>
      <w:r>
        <w:rPr>
          <w:spacing w:val="-43"/>
        </w:rPr>
      </w:r>
      <w:r>
        <w:rPr>
          <w:spacing w:val="-2"/>
        </w:rPr>
        <w:t>始确认金额。通过多次交易分步实现的非同一控制下企业合并，以购买日之前所持被购买方的股权投资的</w:t>
      </w:r>
      <w:r>
        <w:rPr>
          <w:spacing w:val="-44"/>
        </w:rPr>
        <w:t> </w:t>
      </w:r>
      <w:r>
        <w:rPr>
          <w:spacing w:val="-44"/>
        </w:rPr>
      </w:r>
      <w:r>
        <w:rPr>
          <w:spacing w:val="-2"/>
        </w:rPr>
        <w:t>账面价值与购买日新增投资成本之和，作为该项投资的初始投资成本。本公司将合并协议约定的或有对价</w:t>
      </w:r>
    </w:p>
    <w:p>
      <w:pPr>
        <w:spacing w:after="0" w:line="273" w:lineRule="auto"/>
        <w:jc w:val="both"/>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8"/>
        <w:ind w:right="0"/>
        <w:jc w:val="both"/>
      </w:pPr>
      <w:r>
        <w:rPr/>
        <w:t>作为企业合并转移对价的一部分，按照其在购买日的公允价值计入企业合并成本。</w:t>
      </w:r>
    </w:p>
    <w:p>
      <w:pPr>
        <w:pStyle w:val="BodyText"/>
        <w:spacing w:line="273" w:lineRule="auto" w:before="37"/>
        <w:ind w:right="126" w:firstLine="420"/>
        <w:jc w:val="both"/>
      </w:pPr>
      <w:r>
        <w:rPr/>
        <w:t>（</w:t>
      </w:r>
      <w:r>
        <w:rPr>
          <w:rFonts w:ascii="宋体" w:hAnsi="宋体" w:cs="宋体" w:eastAsia="宋体" w:hint="default"/>
        </w:rPr>
        <w:t>2</w:t>
      </w:r>
      <w:r>
        <w:rPr/>
        <w:t>）其他方式取得的长期股权投资以支付现金方式取得的长期股权投资，按照实际支付的购买价款</w:t>
      </w:r>
      <w:r>
        <w:rPr>
          <w:w w:val="100"/>
        </w:rPr>
        <w:t> </w:t>
      </w:r>
      <w:r>
        <w:rPr>
          <w:spacing w:val="-2"/>
        </w:rPr>
        <w:t>作为初始投资成本。以发行权益性证券取得的长期股权投资，按照发行权益性证券的公允价值作为初始投</w:t>
      </w:r>
      <w:r>
        <w:rPr>
          <w:spacing w:val="-42"/>
        </w:rPr>
        <w:t> </w:t>
      </w:r>
      <w:r>
        <w:rPr>
          <w:spacing w:val="-42"/>
        </w:rPr>
      </w:r>
      <w:r>
        <w:rPr>
          <w:spacing w:val="-2"/>
        </w:rPr>
        <w:t>资成本。投资者投入的长期股权投资，按照投资合同或协议约定的价值（扣除已宣告但尚未发放的现金股</w:t>
      </w:r>
      <w:r>
        <w:rPr>
          <w:spacing w:val="-42"/>
        </w:rPr>
        <w:t> </w:t>
      </w:r>
      <w:r>
        <w:rPr>
          <w:spacing w:val="-42"/>
        </w:rPr>
      </w:r>
      <w:r>
        <w:rPr/>
        <w:t>利或利润）作为初始投资成本，但合同或协议约定价值不公允的除外。</w:t>
      </w:r>
      <w:r>
        <w:rPr>
          <w:spacing w:val="75"/>
        </w:rPr>
        <w:t> </w:t>
      </w:r>
      <w:r>
        <w:rPr/>
        <w:t>在非货币性资产交换具备商业实</w:t>
      </w:r>
      <w:r>
        <w:rPr>
          <w:spacing w:val="-97"/>
        </w:rPr>
        <w:t> </w:t>
      </w:r>
      <w:r>
        <w:rPr>
          <w:spacing w:val="-97"/>
        </w:rPr>
      </w:r>
      <w:r>
        <w:rPr>
          <w:spacing w:val="-2"/>
        </w:rPr>
        <w:t>质和换入资产或换出资产的公允价值能够可靠计量的前提下，非货币性资产交换换入的长期股权投资以换</w:t>
      </w:r>
      <w:r>
        <w:rPr>
          <w:spacing w:val="-43"/>
        </w:rPr>
        <w:t> </w:t>
      </w:r>
      <w:r>
        <w:rPr>
          <w:spacing w:val="-43"/>
        </w:rPr>
      </w:r>
      <w:r>
        <w:rPr>
          <w:spacing w:val="-2"/>
        </w:rPr>
        <w:t>出资产的公允价值为基础确定其初始投资成本，除非有确凿证据表明换入资产的公允价值更加可靠；不满</w:t>
      </w:r>
      <w:r>
        <w:rPr>
          <w:spacing w:val="-43"/>
        </w:rPr>
        <w:t> </w:t>
      </w:r>
      <w:r>
        <w:rPr>
          <w:spacing w:val="-43"/>
        </w:rPr>
      </w:r>
      <w:r>
        <w:rPr>
          <w:spacing w:val="-2"/>
        </w:rPr>
        <w:t>足上述前提的非货币性资产交换，以换出资产的账面价值和应支付的相关税费作为换入长期股权投资的初</w:t>
      </w:r>
      <w:r>
        <w:rPr>
          <w:spacing w:val="-43"/>
        </w:rPr>
        <w:t> </w:t>
      </w:r>
      <w:r>
        <w:rPr>
          <w:spacing w:val="-43"/>
        </w:rPr>
      </w:r>
      <w:r>
        <w:rPr/>
        <w:t>始投资成本。通过债务重组取得的长期股权投资，其初始投资成本按照公允价值为基础确定。</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26" w:firstLine="420"/>
        <w:jc w:val="both"/>
      </w:pPr>
      <w:r>
        <w:rPr/>
        <w:t>（</w:t>
      </w:r>
      <w:r>
        <w:rPr>
          <w:rFonts w:ascii="宋体" w:hAnsi="宋体" w:cs="宋体" w:eastAsia="宋体" w:hint="default"/>
        </w:rPr>
        <w:t>1</w:t>
      </w:r>
      <w:r>
        <w:rPr/>
        <w:t>）后续计量公司对子公司的长期股权投资，采用成本法核算，编制合并财务报表时按照权益法进</w:t>
      </w:r>
      <w:r>
        <w:rPr>
          <w:w w:val="100"/>
        </w:rPr>
        <w:t> </w:t>
      </w:r>
      <w:r>
        <w:rPr>
          <w:spacing w:val="-2"/>
        </w:rPr>
        <w:t>行调整。对被投资单位不具有共同控制或重大影响，并且在活跃市场中没有报价、公允价值不能可靠计量</w:t>
      </w:r>
      <w:r>
        <w:rPr>
          <w:spacing w:val="-44"/>
        </w:rPr>
        <w:t> </w:t>
      </w:r>
      <w:r>
        <w:rPr>
          <w:spacing w:val="-44"/>
        </w:rPr>
      </w:r>
      <w:r>
        <w:rPr>
          <w:spacing w:val="-2"/>
        </w:rPr>
        <w:t>的长期股权投资，采用成本法核算。对被投资单位具有共同控制或重大影响的长期股权投资，采用权益法</w:t>
      </w:r>
      <w:r>
        <w:rPr>
          <w:spacing w:val="-45"/>
        </w:rPr>
        <w:t> </w:t>
      </w:r>
      <w:r>
        <w:rPr>
          <w:spacing w:val="-45"/>
        </w:rPr>
      </w:r>
      <w:r>
        <w:rPr>
          <w:spacing w:val="-2"/>
        </w:rPr>
        <w:t>核算。初始投资成本大于投资时应享有被投资单位可辨认净资产公允价值份额的差额，不调整长期股权投</w:t>
      </w:r>
      <w:r>
        <w:rPr>
          <w:spacing w:val="-42"/>
        </w:rPr>
        <w:t> </w:t>
      </w:r>
      <w:r>
        <w:rPr>
          <w:spacing w:val="-42"/>
        </w:rPr>
      </w:r>
      <w:r>
        <w:rPr>
          <w:spacing w:val="-2"/>
        </w:rPr>
        <w:t>资的初始投资成本；初始投资成本小于投资时应享有被投资单位可辨认净资产公允价值份额的差额，计入</w:t>
      </w:r>
      <w:r>
        <w:rPr>
          <w:spacing w:val="-42"/>
        </w:rPr>
        <w:t> </w:t>
      </w:r>
      <w:r>
        <w:rPr>
          <w:spacing w:val="-42"/>
        </w:rPr>
      </w:r>
      <w:r>
        <w:rPr>
          <w:spacing w:val="-2"/>
        </w:rPr>
        <w:t>当期损益。被投资单位除净损益以外所有者权益其他变动的处理：对于被投资单位除净损益以外所有者权</w:t>
      </w:r>
      <w:r>
        <w:rPr>
          <w:spacing w:val="-42"/>
        </w:rPr>
        <w:t> </w:t>
      </w:r>
      <w:r>
        <w:rPr>
          <w:spacing w:val="-42"/>
        </w:rPr>
      </w:r>
      <w:r>
        <w:rPr>
          <w:spacing w:val="-2"/>
        </w:rPr>
        <w:t>益的其他变动，在持股比例不变的情况下，公司按照持股比例计算应享有或承担的部分，调整长期股权投</w:t>
      </w:r>
      <w:r>
        <w:rPr>
          <w:spacing w:val="-44"/>
        </w:rPr>
        <w:t> </w:t>
      </w:r>
      <w:r>
        <w:rPr>
          <w:spacing w:val="-44"/>
        </w:rPr>
      </w:r>
      <w:r>
        <w:rPr/>
        <w:t>资的账面价值，同时增加或减少资本公积（其他资本公积）。</w:t>
      </w:r>
    </w:p>
    <w:p>
      <w:pPr>
        <w:pStyle w:val="BodyText"/>
        <w:spacing w:line="273" w:lineRule="auto"/>
        <w:ind w:right="105" w:firstLine="420"/>
        <w:jc w:val="both"/>
      </w:pPr>
      <w:r>
        <w:rPr/>
        <w:t>（</w:t>
      </w:r>
      <w:r>
        <w:rPr>
          <w:rFonts w:ascii="宋体" w:hAnsi="宋体" w:cs="宋体" w:eastAsia="宋体" w:hint="default"/>
        </w:rPr>
        <w:t>2</w:t>
      </w:r>
      <w:r>
        <w:rPr/>
        <w:t>）损益确认成本法下，除取得投资时实际支付的价款或对价中包含的已宣告但尚未发放的现金股</w:t>
      </w:r>
      <w:r>
        <w:rPr>
          <w:w w:val="100"/>
        </w:rPr>
        <w:t> </w:t>
      </w:r>
      <w:r>
        <w:rPr>
          <w:spacing w:val="-2"/>
        </w:rPr>
        <w:t>利或利润外，公司按照享有被投资单位宣告发放的现金股利或利润确认投资收益。权益法下，在被投资单</w:t>
      </w:r>
      <w:r>
        <w:rPr>
          <w:spacing w:val="-43"/>
        </w:rPr>
        <w:t> </w:t>
      </w:r>
      <w:r>
        <w:rPr>
          <w:spacing w:val="-43"/>
        </w:rPr>
      </w:r>
      <w:r>
        <w:rPr>
          <w:spacing w:val="-2"/>
        </w:rPr>
        <w:t>位账面净利润的基础上考虑：被投资单位与本公司采用的会计政策及会计期间不一致，按本公司的会计政</w:t>
      </w:r>
      <w:r>
        <w:rPr>
          <w:spacing w:val="-43"/>
        </w:rPr>
        <w:t> </w:t>
      </w:r>
      <w:r>
        <w:rPr>
          <w:spacing w:val="-43"/>
        </w:rPr>
      </w:r>
      <w:r>
        <w:rPr>
          <w:spacing w:val="-2"/>
        </w:rPr>
        <w:t>策及会计期间对被投资单位财务报表进行调整；以取得投资时被投资单位固定资产、无形资产的公允价值</w:t>
      </w:r>
      <w:r>
        <w:rPr>
          <w:spacing w:val="-44"/>
        </w:rPr>
        <w:t> </w:t>
      </w:r>
      <w:r>
        <w:rPr>
          <w:spacing w:val="-44"/>
        </w:rPr>
      </w:r>
      <w:r>
        <w:rPr>
          <w:spacing w:val="-2"/>
        </w:rPr>
        <w:t>为基础计提的折旧额或摊销额以及有关资产减值准备金额等对被投资单位净利润的影响；对本公司与联营</w:t>
      </w:r>
      <w:r>
        <w:rPr>
          <w:spacing w:val="-43"/>
        </w:rPr>
        <w:t> </w:t>
      </w:r>
      <w:r>
        <w:rPr>
          <w:spacing w:val="-43"/>
        </w:rPr>
      </w:r>
      <w:r>
        <w:rPr>
          <w:spacing w:val="-2"/>
        </w:rPr>
        <w:t>企业及合营企业之间发生的未实现内部交易予以抵销等事项的适当调整后，确认应享有或应负担被投资单</w:t>
      </w:r>
      <w:r>
        <w:rPr>
          <w:spacing w:val="-43"/>
        </w:rPr>
        <w:t> </w:t>
      </w:r>
      <w:r>
        <w:rPr>
          <w:spacing w:val="-43"/>
        </w:rPr>
      </w:r>
      <w:r>
        <w:rPr>
          <w:spacing w:val="-2"/>
        </w:rPr>
        <w:t>位的净利润或净亏损。在公司确认应分担被投资单位发生的亏损时，按照以下顺序进行处理：首先，冲减</w:t>
      </w:r>
      <w:r>
        <w:rPr>
          <w:spacing w:val="-47"/>
        </w:rPr>
        <w:t> </w:t>
      </w:r>
      <w:r>
        <w:rPr>
          <w:spacing w:val="-47"/>
        </w:rPr>
      </w:r>
      <w:r>
        <w:rPr>
          <w:spacing w:val="-2"/>
        </w:rPr>
        <w:t>长期股权投资的账面价值。其次，长期股权投资的账面价值不足以冲减的，以其他实质上构成对被投资单</w:t>
      </w:r>
      <w:r>
        <w:rPr>
          <w:spacing w:val="-43"/>
        </w:rPr>
        <w:t> </w:t>
      </w:r>
      <w:r>
        <w:rPr>
          <w:spacing w:val="-43"/>
        </w:rPr>
      </w:r>
      <w:r>
        <w:rPr>
          <w:spacing w:val="-2"/>
        </w:rPr>
        <w:t>位净投资的长期权益账面价值为限继续确认投资损失，冲减长期应收项目等的账面价值。最后，经过上述</w:t>
      </w:r>
      <w:r>
        <w:rPr>
          <w:spacing w:val="-43"/>
        </w:rPr>
        <w:t> </w:t>
      </w:r>
      <w:r>
        <w:rPr>
          <w:spacing w:val="-43"/>
        </w:rPr>
      </w:r>
      <w:r>
        <w:rPr>
          <w:spacing w:val="-2"/>
        </w:rPr>
        <w:t>处理，按照投资合同或协议约定企业仍承担额外义务的，按预计承担的义务确认预计负债，计入当期投资</w:t>
      </w:r>
      <w:r>
        <w:rPr>
          <w:spacing w:val="-45"/>
        </w:rPr>
        <w:t> </w:t>
      </w:r>
      <w:r>
        <w:rPr>
          <w:spacing w:val="-45"/>
        </w:rPr>
      </w:r>
      <w:r>
        <w:rPr>
          <w:spacing w:val="-2"/>
        </w:rPr>
        <w:t>损失。被投资单位以后期间实现盈利的，公司在扣除未确认的亏损分担额后，按与上述相反的顺序处理，</w:t>
      </w:r>
      <w:r>
        <w:rPr>
          <w:spacing w:val="-21"/>
        </w:rPr>
        <w:t> </w:t>
      </w:r>
      <w:r>
        <w:rPr>
          <w:spacing w:val="-21"/>
        </w:rPr>
      </w:r>
      <w:r>
        <w:rPr>
          <w:spacing w:val="-2"/>
        </w:rPr>
        <w:t>减记已确认预计负债的账面余额、恢复其他实质上构成对被投资单位净投资的长期权益及长期股权投资的</w:t>
      </w:r>
      <w:r>
        <w:rPr>
          <w:spacing w:val="-43"/>
        </w:rPr>
        <w:t> </w:t>
      </w:r>
      <w:r>
        <w:rPr>
          <w:spacing w:val="-43"/>
        </w:rPr>
      </w:r>
      <w:r>
        <w:rPr>
          <w:spacing w:val="-2"/>
        </w:rPr>
        <w:t>账面价值，同时确认投资收益。在持有投资期间，被投资单位能够提供合并财务报表的，应当以合并财务</w:t>
      </w:r>
      <w:r>
        <w:rPr>
          <w:spacing w:val="-47"/>
        </w:rPr>
        <w:t> </w:t>
      </w:r>
      <w:r>
        <w:rPr>
          <w:spacing w:val="-47"/>
        </w:rPr>
      </w:r>
      <w:r>
        <w:rPr/>
        <w:t>报表中的净利润和其他权益变动为基础进行核算。</w:t>
      </w:r>
    </w:p>
    <w:p>
      <w:pPr>
        <w:spacing w:line="590" w:lineRule="atLeast" w:before="9"/>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pStyle w:val="BodyText"/>
        <w:spacing w:line="273" w:lineRule="auto" w:before="37"/>
        <w:ind w:right="126"/>
        <w:jc w:val="both"/>
      </w:pPr>
      <w:r>
        <w:rPr>
          <w:spacing w:val="-2"/>
        </w:rPr>
        <w:t>经营决策需要分享控制权的投资方一致同意时存在。投资企业与其他方对被投资单位实施共同控制的，被</w:t>
      </w:r>
      <w:r>
        <w:rPr>
          <w:spacing w:val="-43"/>
        </w:rPr>
        <w:t> </w:t>
      </w:r>
      <w:r>
        <w:rPr>
          <w:spacing w:val="-43"/>
        </w:rPr>
      </w:r>
      <w:r>
        <w:rPr>
          <w:spacing w:val="-2"/>
        </w:rPr>
        <w:t>投资单位为其合营企业。重大影响，是指对一个企业的财务和经营决策有参与决策的权力，但并不能够控</w:t>
      </w:r>
      <w:r>
        <w:rPr>
          <w:spacing w:val="-44"/>
        </w:rPr>
        <w:t> </w:t>
      </w:r>
      <w:r>
        <w:rPr>
          <w:spacing w:val="-44"/>
        </w:rPr>
      </w:r>
      <w:r>
        <w:rPr>
          <w:spacing w:val="-2"/>
        </w:rPr>
        <w:t>制或者与其他方一起共同控制这些政策的制定。投资企业能够对被投资单位施加重大影响的，被投资单位</w:t>
      </w:r>
      <w:r>
        <w:rPr>
          <w:spacing w:val="-44"/>
        </w:rPr>
        <w:t> </w:t>
      </w:r>
      <w:r>
        <w:rPr>
          <w:spacing w:val="-44"/>
        </w:rPr>
      </w:r>
      <w:r>
        <w:rPr/>
        <w:t>为其联营企业。</w:t>
      </w:r>
    </w:p>
    <w:p>
      <w:pPr>
        <w:spacing w:after="0" w:line="273" w:lineRule="auto"/>
        <w:jc w:val="both"/>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26" w:firstLine="420"/>
        <w:jc w:val="both"/>
      </w:pPr>
      <w:r>
        <w:rPr>
          <w:spacing w:val="-2"/>
        </w:rPr>
        <w:t>重大影响以下的、在活跃市场中没有报价、公允价值不能可靠计量的长期股权投资，其减值损失是根</w:t>
      </w:r>
      <w:r>
        <w:rPr>
          <w:w w:val="100"/>
        </w:rPr>
        <w:t> </w:t>
      </w:r>
      <w:r>
        <w:rPr/>
        <w:t>据其账面价值与按类似金融资产当时市场收益率对未来现金流量折现确定的现值之间的差额进行确定。</w:t>
      </w:r>
    </w:p>
    <w:p>
      <w:pPr>
        <w:pStyle w:val="BodyText"/>
        <w:spacing w:line="273" w:lineRule="auto"/>
        <w:ind w:right="135" w:firstLine="420"/>
        <w:jc w:val="both"/>
      </w:pPr>
      <w:r>
        <w:rPr>
          <w:spacing w:val="2"/>
        </w:rPr>
        <w:t>除因企业合并形成的商誉以外的存在减值迹象的其他长期股权投资，如果可收回金额的计量结果表</w:t>
      </w:r>
      <w:r>
        <w:rPr>
          <w:w w:val="100"/>
        </w:rPr>
        <w:t> </w:t>
      </w:r>
      <w:r>
        <w:rPr/>
        <w:t>明，该长期股权投资的可收回金额低于其账面价值的，将差额确认为减值损失。</w:t>
      </w:r>
    </w:p>
    <w:p>
      <w:pPr>
        <w:pStyle w:val="BodyText"/>
        <w:spacing w:line="240" w:lineRule="auto"/>
        <w:ind w:left="573" w:right="0"/>
        <w:jc w:val="left"/>
      </w:pPr>
      <w:r>
        <w:rPr/>
        <w:t>长期股权投资减值损失一经确认，不再转回。</w:t>
      </w:r>
    </w:p>
    <w:p>
      <w:pPr>
        <w:pStyle w:val="BodyText"/>
        <w:spacing w:line="590" w:lineRule="atLeast" w:before="38"/>
        <w:ind w:left="573" w:right="0" w:hanging="421"/>
        <w:jc w:val="left"/>
      </w:pPr>
      <w:r>
        <w:rPr>
          <w:rFonts w:ascii="Times New Roman" w:hAnsi="Times New Roman" w:cs="Times New Roman" w:eastAsia="Times New Roman" w:hint="default"/>
          <w:b/>
          <w:bCs/>
        </w:rPr>
        <w:t>13</w:t>
      </w:r>
      <w:r>
        <w:rPr>
          <w:rFonts w:ascii="宋体" w:hAnsi="宋体" w:cs="宋体" w:eastAsia="宋体" w:hint="default"/>
          <w:b/>
          <w:bCs/>
        </w:rPr>
        <w:t>、投资性房地产</w:t>
      </w:r>
      <w:r>
        <w:rPr>
          <w:rFonts w:ascii="宋体" w:hAnsi="宋体" w:cs="宋体" w:eastAsia="宋体" w:hint="default"/>
          <w:b/>
          <w:bCs/>
          <w:w w:val="100"/>
        </w:rPr>
        <w:t> </w:t>
      </w:r>
      <w:r>
        <w:rPr>
          <w:spacing w:val="-2"/>
        </w:rPr>
        <w:t>投资性房地产是指为赚取租金或资本增值，或两者兼有而持有的房地产，包括已出租的土地使用权、</w:t>
      </w:r>
    </w:p>
    <w:p>
      <w:pPr>
        <w:pStyle w:val="BodyText"/>
        <w:spacing w:line="273" w:lineRule="auto" w:before="37"/>
        <w:ind w:right="0"/>
        <w:jc w:val="left"/>
      </w:pP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BodyText"/>
        <w:spacing w:line="273" w:lineRule="auto"/>
        <w:ind w:right="126" w:firstLine="420"/>
        <w:jc w:val="both"/>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pStyle w:val="BodyText"/>
        <w:spacing w:line="273" w:lineRule="auto"/>
        <w:ind w:left="573" w:right="0"/>
        <w:jc w:val="left"/>
      </w:pPr>
      <w:r>
        <w:rPr>
          <w:spacing w:val="-2"/>
        </w:rPr>
        <w:t>公司对存在减值迹象的，估计其可收回金额，可收回金额低于其账面价值的，确认相应的减值损失。</w:t>
      </w:r>
      <w:r>
        <w:rPr>
          <w:spacing w:val="-27"/>
        </w:rPr>
        <w:t> </w:t>
      </w:r>
      <w:r>
        <w:rPr>
          <w:spacing w:val="-27"/>
        </w:rPr>
      </w:r>
      <w:r>
        <w:rPr/>
        <w:t>投资性房地产减值损失一经确认，不再转回。</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590" w:lineRule="atLeast" w:before="2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固定资产指为生产商品、提供劳务、出租或经营管理而持有，并且使用寿命超过一个会计年度的有形</w:t>
      </w:r>
    </w:p>
    <w:p>
      <w:pPr>
        <w:pStyle w:val="BodyText"/>
        <w:spacing w:line="240" w:lineRule="auto" w:before="37"/>
        <w:ind w:right="0"/>
        <w:jc w:val="left"/>
      </w:pPr>
      <w:r>
        <w:rPr/>
        <w:t>资产。固定资产在同时满足下列条件时予以确认：</w:t>
      </w:r>
    </w:p>
    <w:p>
      <w:pPr>
        <w:pStyle w:val="BodyText"/>
        <w:spacing w:line="240" w:lineRule="auto" w:before="37"/>
        <w:ind w:left="573" w:right="0"/>
        <w:jc w:val="left"/>
      </w:pPr>
      <w:r>
        <w:rPr/>
        <w:t>（</w:t>
      </w:r>
      <w:r>
        <w:rPr>
          <w:rFonts w:ascii="宋体" w:hAnsi="宋体" w:cs="宋体" w:eastAsia="宋体" w:hint="default"/>
        </w:rPr>
        <w:t>1</w:t>
      </w:r>
      <w:r>
        <w:rPr/>
        <w:t>）与该固定资产有关的经济利益很可能流入企业；</w:t>
      </w:r>
    </w:p>
    <w:p>
      <w:pPr>
        <w:pStyle w:val="BodyText"/>
        <w:spacing w:line="240" w:lineRule="auto" w:before="37"/>
        <w:ind w:left="573" w:right="0"/>
        <w:jc w:val="left"/>
      </w:pPr>
      <w:r>
        <w:rPr/>
        <w:t>（</w:t>
      </w:r>
      <w:r>
        <w:rPr>
          <w:rFonts w:ascii="宋体" w:hAnsi="宋体" w:cs="宋体" w:eastAsia="宋体" w:hint="default"/>
        </w:rPr>
        <w:t>2</w:t>
      </w:r>
      <w:r>
        <w:rPr/>
        <w:t>）该固定资产的成本能够可靠地计量。</w:t>
      </w:r>
    </w:p>
    <w:p>
      <w:pPr>
        <w:spacing w:line="600" w:lineRule="atLeast" w:before="2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公司与租赁方所签订的租赁协议条款中规定了下列条件之一的，确认为融资租入资产：</w:t>
      </w:r>
    </w:p>
    <w:p>
      <w:pPr>
        <w:pStyle w:val="BodyText"/>
        <w:spacing w:line="240" w:lineRule="auto" w:before="37"/>
        <w:ind w:left="573" w:right="0"/>
        <w:jc w:val="left"/>
      </w:pPr>
      <w:r>
        <w:rPr/>
        <w:t>（</w:t>
      </w:r>
      <w:r>
        <w:rPr>
          <w:rFonts w:ascii="宋体" w:hAnsi="宋体" w:cs="宋体" w:eastAsia="宋体" w:hint="default"/>
        </w:rPr>
        <w:t>1</w:t>
      </w:r>
      <w:r>
        <w:rPr/>
        <w:t>）租赁期满后租赁资产的所有权归属于本公司；</w:t>
      </w:r>
    </w:p>
    <w:p>
      <w:pPr>
        <w:pStyle w:val="BodyText"/>
        <w:spacing w:line="240" w:lineRule="auto" w:before="37"/>
        <w:ind w:left="573" w:right="0"/>
        <w:jc w:val="left"/>
      </w:pPr>
      <w:r>
        <w:rPr/>
        <w:t>（</w:t>
      </w:r>
      <w:r>
        <w:rPr>
          <w:rFonts w:ascii="宋体" w:hAnsi="宋体" w:cs="宋体" w:eastAsia="宋体" w:hint="default"/>
        </w:rPr>
        <w:t>2</w:t>
      </w:r>
      <w:r>
        <w:rPr/>
        <w:t>）公司具有购买资产的选择权，购买价款远低于行使选择权时该资产的公允价值；</w:t>
      </w:r>
    </w:p>
    <w:p>
      <w:pPr>
        <w:pStyle w:val="BodyText"/>
        <w:spacing w:line="240" w:lineRule="auto" w:before="37"/>
        <w:ind w:left="573" w:right="0"/>
        <w:jc w:val="left"/>
      </w:pPr>
      <w:r>
        <w:rPr/>
        <w:t>（</w:t>
      </w:r>
      <w:r>
        <w:rPr>
          <w:rFonts w:ascii="宋体" w:hAnsi="宋体" w:cs="宋体" w:eastAsia="宋体" w:hint="default"/>
        </w:rPr>
        <w:t>3</w:t>
      </w:r>
      <w:r>
        <w:rPr/>
        <w:t>）租赁期占所租赁资产使用寿命的大部分；</w:t>
      </w:r>
    </w:p>
    <w:p>
      <w:pPr>
        <w:pStyle w:val="BodyText"/>
        <w:spacing w:line="273" w:lineRule="auto" w:before="37"/>
        <w:ind w:right="126" w:firstLine="420"/>
        <w:jc w:val="both"/>
      </w:pPr>
      <w:r>
        <w:rPr/>
        <w:t>（</w:t>
      </w:r>
      <w:r>
        <w:rPr>
          <w:rFonts w:ascii="宋体" w:hAnsi="宋体" w:cs="宋体" w:eastAsia="宋体" w:hint="default"/>
        </w:rPr>
        <w:t>4</w:t>
      </w:r>
      <w:r>
        <w:rPr/>
        <w:t>）租赁开始日的最低租赁付款额现值，与该资产的公允价值不存在较大的差异。公司在承租开始</w:t>
      </w:r>
      <w:r>
        <w:rPr>
          <w:w w:val="100"/>
        </w:rPr>
        <w:t> </w:t>
      </w:r>
      <w:r>
        <w:rPr>
          <w:spacing w:val="-2"/>
        </w:rPr>
        <w:t>日，将租赁资产公允价值与最低租赁付款额现值两者中较低者作为租入资产的入账价值，将最低租赁付款</w:t>
      </w:r>
      <w:r>
        <w:rPr>
          <w:spacing w:val="-44"/>
        </w:rPr>
        <w:t> </w:t>
      </w:r>
      <w:r>
        <w:rPr>
          <w:spacing w:val="-44"/>
        </w:rPr>
      </w:r>
      <w:r>
        <w:rPr/>
        <w:t>额作为长期应付款的入账价值，其差额作为未确认的融资费。</w:t>
      </w:r>
    </w:p>
    <w:p>
      <w:pPr>
        <w:spacing w:line="590" w:lineRule="atLeast" w:before="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固定资产折旧采用年限平均法分类计提，根据固定资产类别、预计使用寿命和预计净残值率确定折旧</w:t>
      </w:r>
    </w:p>
    <w:p>
      <w:pPr>
        <w:pStyle w:val="BodyText"/>
        <w:spacing w:line="273" w:lineRule="auto" w:before="37"/>
        <w:ind w:right="0"/>
        <w:jc w:val="left"/>
      </w:pPr>
      <w:r>
        <w:rPr>
          <w:spacing w:val="-2"/>
        </w:rPr>
        <w:t>率。如固定资产各组成部分的使用寿命不同或者以不同方式为企业提供经济利益，则选择不同折旧率或折</w:t>
      </w:r>
      <w:r>
        <w:rPr>
          <w:spacing w:val="-43"/>
        </w:rPr>
        <w:t> </w:t>
      </w:r>
      <w:r>
        <w:rPr>
          <w:spacing w:val="-43"/>
        </w:rPr>
      </w:r>
      <w:r>
        <w:rPr/>
        <w:t>旧方法，分别计提折旧。</w:t>
      </w:r>
    </w:p>
    <w:p>
      <w:pPr>
        <w:pStyle w:val="BodyText"/>
        <w:spacing w:line="273" w:lineRule="auto"/>
        <w:ind w:right="12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spacing w:after="0" w:line="273" w:lineRule="auto"/>
        <w:jc w:val="both"/>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公司在每期末判断固定资产是否存在可能发生减值的迹象。</w:t>
      </w:r>
      <w:r>
        <w:rPr>
          <w:w w:val="100"/>
        </w:rPr>
        <w:t> </w:t>
      </w:r>
      <w:r>
        <w:rPr>
          <w:spacing w:val="-2"/>
        </w:rPr>
        <w:t>固定资产存在减值迹象的，估计其可收回金额。可收回金额根据固定资产的公允价值减去处置费用后</w:t>
      </w:r>
    </w:p>
    <w:p>
      <w:pPr>
        <w:pStyle w:val="BodyText"/>
        <w:spacing w:line="273" w:lineRule="auto"/>
        <w:ind w:left="573" w:right="0" w:hanging="421"/>
        <w:jc w:val="left"/>
      </w:pPr>
      <w:r>
        <w:rPr/>
        <w:t>的净额与固定资产预计未来现金流量的现值两者之间较高者确定。</w:t>
      </w:r>
      <w:r>
        <w:rPr>
          <w:w w:val="100"/>
        </w:rPr>
        <w:t> </w:t>
      </w:r>
      <w:r>
        <w:rPr>
          <w:spacing w:val="-2"/>
        </w:rPr>
        <w:t>当固定资产的可收回金额低于其账面价值的，将固定资产的账面价值减记至可收回金额，减记的金额</w:t>
      </w:r>
    </w:p>
    <w:p>
      <w:pPr>
        <w:pStyle w:val="BodyText"/>
        <w:spacing w:line="273" w:lineRule="auto"/>
        <w:ind w:left="573" w:right="0" w:hanging="421"/>
        <w:jc w:val="left"/>
      </w:pPr>
      <w:r>
        <w:rPr/>
        <w:t>确认为固定资产减值损失，计入当期损益，同时计提相应的固定资产减值准备。</w:t>
      </w:r>
      <w:r>
        <w:rPr>
          <w:w w:val="100"/>
        </w:rPr>
        <w:t> </w:t>
      </w:r>
      <w:r>
        <w:rPr>
          <w:spacing w:val="-2"/>
        </w:rPr>
        <w:t>固定资产减值损失确认后，减值固定资产的折旧在未来期间作相应调整，以使该固定资产在剩余使用</w:t>
      </w:r>
    </w:p>
    <w:p>
      <w:pPr>
        <w:pStyle w:val="BodyText"/>
        <w:spacing w:line="273" w:lineRule="auto"/>
        <w:ind w:left="573" w:right="0" w:hanging="421"/>
        <w:jc w:val="left"/>
      </w:pPr>
      <w:r>
        <w:rPr/>
        <w:t>寿命内，系统地分摊调整后的固定资产账面价值（扣除预计净残值）。</w:t>
      </w:r>
      <w:r>
        <w:rPr>
          <w:w w:val="100"/>
        </w:rPr>
        <w:t> </w:t>
      </w:r>
      <w:r>
        <w:rPr/>
        <w:t>固定资产的减值损失一经确认，在以后会计期间不再转回。</w:t>
      </w:r>
      <w:r>
        <w:rPr>
          <w:w w:val="100"/>
        </w:rPr>
        <w:t> </w:t>
      </w:r>
      <w:r>
        <w:rPr>
          <w:spacing w:val="-2"/>
        </w:rPr>
        <w:t>有迹象表明一项固定资产可能发生减值的，企业以单项固定资产为基础估计其可收回金额。企业难以</w:t>
      </w:r>
    </w:p>
    <w:p>
      <w:pPr>
        <w:pStyle w:val="BodyText"/>
        <w:spacing w:line="240" w:lineRule="auto"/>
        <w:ind w:right="0"/>
        <w:jc w:val="left"/>
      </w:pPr>
      <w:r>
        <w:rPr/>
        <w:t>对单项固定资产的可收回金额进行估计的，以该固定资产所属的资产组为基础确定资产组的可收回金额。</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在建工程以立项项目分类核算。</w:t>
      </w:r>
    </w:p>
    <w:p>
      <w:pPr>
        <w:spacing w:line="600" w:lineRule="atLeast" w:before="4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273" w:lineRule="auto" w:before="37"/>
        <w:ind w:right="126"/>
        <w:jc w:val="both"/>
      </w:pPr>
      <w:r>
        <w:rPr>
          <w:spacing w:val="-2"/>
        </w:rPr>
        <w:t>所建造的固定资产在建工程已达到预定可使用状态，但尚未办理竣工决算的，自达到预定可使用状态之日</w:t>
      </w:r>
      <w:r>
        <w:rPr>
          <w:spacing w:val="-44"/>
        </w:rPr>
        <w:t> </w:t>
      </w:r>
      <w:r>
        <w:rPr>
          <w:spacing w:val="-44"/>
        </w:rPr>
      </w:r>
      <w:r>
        <w:rPr>
          <w:spacing w:val="-2"/>
        </w:rPr>
        <w:t>起，根据工程预算、造价或者工程实际成本等，按估计的价值转入固定资产，并按本公司固定资产折旧政</w:t>
      </w:r>
      <w:r>
        <w:rPr>
          <w:spacing w:val="-47"/>
        </w:rPr>
        <w:t> </w:t>
      </w:r>
      <w:r>
        <w:rPr>
          <w:spacing w:val="-47"/>
        </w:rPr>
      </w:r>
      <w:r>
        <w:rPr>
          <w:spacing w:val="-2"/>
        </w:rPr>
        <w:t>策计提固定资产的折旧，待办理竣工决算后，再按实际成本调整原来的暂估价值，但不调整原已计提的折</w:t>
      </w:r>
      <w:r>
        <w:rPr>
          <w:spacing w:val="-43"/>
        </w:rPr>
        <w:t> </w:t>
      </w:r>
      <w:r>
        <w:rPr>
          <w:spacing w:val="-43"/>
        </w:rPr>
      </w:r>
      <w:r>
        <w:rPr/>
        <w:t>旧额。</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0"/>
        <w:jc w:val="left"/>
      </w:pPr>
      <w:r>
        <w:rPr/>
        <w:t>公司在每期末判断在建工程是否存在可能发生减值的迹象。</w:t>
      </w:r>
      <w:r>
        <w:rPr>
          <w:w w:val="100"/>
        </w:rPr>
        <w:t> </w:t>
      </w:r>
      <w:r>
        <w:rPr>
          <w:spacing w:val="-2"/>
        </w:rPr>
        <w:t>在建工程存在减值迹象的，估计其可收回金额。有迹象表明一项在建工程可能发生减值的，企业以单</w:t>
      </w:r>
    </w:p>
    <w:p>
      <w:pPr>
        <w:pStyle w:val="BodyText"/>
        <w:spacing w:line="273" w:lineRule="auto"/>
        <w:ind w:right="0"/>
        <w:jc w:val="left"/>
      </w:pPr>
      <w:r>
        <w:rPr>
          <w:spacing w:val="-2"/>
        </w:rPr>
        <w:t>项在建工程为基础估计其可收回金额。企业难以对单项在建工程的可收回金额进行估计的，以该在建工程</w:t>
      </w:r>
      <w:r>
        <w:rPr>
          <w:spacing w:val="-43"/>
        </w:rPr>
        <w:t> </w:t>
      </w:r>
      <w:r>
        <w:rPr>
          <w:spacing w:val="-43"/>
        </w:rPr>
      </w:r>
      <w:r>
        <w:rPr/>
        <w:t>所属的资产组为基础确定资产组的可收回金额。</w:t>
      </w:r>
    </w:p>
    <w:p>
      <w:pPr>
        <w:pStyle w:val="BodyText"/>
        <w:spacing w:line="273" w:lineRule="auto"/>
        <w:ind w:right="0" w:firstLine="420"/>
        <w:jc w:val="left"/>
      </w:pPr>
      <w:r>
        <w:rPr>
          <w:spacing w:val="2"/>
        </w:rPr>
        <w:t>可收回金额根据在建工程的公允价值减去处置费用后的净额与在建工程预计未来现金流量的现值两</w:t>
      </w:r>
      <w:r>
        <w:rPr>
          <w:w w:val="100"/>
        </w:rPr>
        <w:t> </w:t>
      </w:r>
      <w:r>
        <w:rPr/>
        <w:t>者之间较高者确定。</w:t>
      </w:r>
    </w:p>
    <w:p>
      <w:pPr>
        <w:spacing w:after="0" w:line="273" w:lineRule="auto"/>
        <w:jc w:val="left"/>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right="0" w:firstLine="420"/>
        <w:jc w:val="left"/>
      </w:pPr>
      <w:r>
        <w:rPr>
          <w:spacing w:val="-2"/>
        </w:rPr>
        <w:t>当在建工程的可收回金额低于其账面价值的，将在建工程的账面价值减记至可收回金额，减记的金额</w:t>
      </w:r>
      <w:r>
        <w:rPr>
          <w:w w:val="100"/>
        </w:rPr>
        <w:t> </w:t>
      </w:r>
      <w:r>
        <w:rPr/>
        <w:t>确认为在建工程减值损失，计入当期损益，同时计提相应的在建工程减值准备。</w:t>
      </w:r>
    </w:p>
    <w:p>
      <w:pPr>
        <w:pStyle w:val="BodyText"/>
        <w:spacing w:line="240" w:lineRule="auto"/>
        <w:ind w:left="573" w:right="0"/>
        <w:jc w:val="left"/>
      </w:pPr>
      <w:r>
        <w:rPr/>
        <w:t>在建工程的减值损失一经确认，在以后会计期间不再转回。</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w:t>
      </w:r>
      <w:r>
        <w:rPr>
          <w:rFonts w:ascii="宋体" w:hAnsi="宋体" w:cs="宋体" w:eastAsia="宋体"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273" w:lineRule="auto"/>
        <w:ind w:left="0" w:right="107"/>
        <w:jc w:val="right"/>
      </w:pPr>
      <w:r>
        <w:rPr>
          <w:spacing w:val="-2"/>
        </w:rPr>
        <w:t>他支出。购买无形资产的价款超过正常信用条件延期支付，实质上具有融资性质的，无形资产的成本以购</w:t>
      </w:r>
      <w:r>
        <w:rPr>
          <w:spacing w:val="-82"/>
        </w:rPr>
        <w:t> </w:t>
      </w:r>
      <w:r>
        <w:rPr>
          <w:spacing w:val="-82"/>
        </w:rPr>
      </w:r>
      <w:r>
        <w:rPr>
          <w:spacing w:val="-2"/>
        </w:rPr>
        <w:t>买价款的现值为基础确定。债务重组取得债务人用以抵债的无形资产，以该无形资产的公允价值为基础确</w:t>
      </w:r>
      <w:r>
        <w:rPr>
          <w:spacing w:val="-84"/>
        </w:rPr>
        <w:t> </w:t>
      </w:r>
      <w:r>
        <w:rPr>
          <w:spacing w:val="-84"/>
        </w:rPr>
      </w:r>
      <w:r>
        <w:rPr>
          <w:spacing w:val="-2"/>
        </w:rPr>
        <w:t>定其入账价值，并将重组债务的账面价值与该用以抵债的无形资产公允价值之间的差额，计入当期损益；</w:t>
      </w:r>
      <w:r>
        <w:rPr>
          <w:spacing w:val="-46"/>
        </w:rPr>
        <w:t> </w:t>
      </w:r>
      <w:r>
        <w:rPr>
          <w:spacing w:val="-46"/>
        </w:rPr>
      </w: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84"/>
        </w:rPr>
        <w:t> </w:t>
      </w:r>
      <w:r>
        <w:rPr>
          <w:spacing w:val="-84"/>
        </w:rPr>
      </w:r>
      <w:r>
        <w:rPr>
          <w:spacing w:val="-2"/>
        </w:rPr>
        <w:t>的公允价值更加可靠；不满足上述前提的非货币性资产交换，以换出资产的账面价值和应支付的相关税费</w:t>
      </w:r>
    </w:p>
    <w:p>
      <w:pPr>
        <w:pStyle w:val="BodyText"/>
        <w:spacing w:line="273" w:lineRule="auto"/>
        <w:ind w:left="573" w:right="0" w:hanging="421"/>
        <w:jc w:val="left"/>
      </w:pPr>
      <w:r>
        <w:rPr/>
        <w:t>作为换入无形资产的成本，不确认损益。</w:t>
      </w:r>
      <w:r>
        <w:rPr>
          <w:w w:val="100"/>
        </w:rPr>
        <w:t> </w:t>
      </w:r>
      <w:r>
        <w:rPr>
          <w:spacing w:val="-2"/>
        </w:rPr>
        <w:t>以同一控制下的企业吸收合并方式取得的无形资产按被合并方的账面价值确定其入账价值；以非同一</w:t>
      </w:r>
    </w:p>
    <w:p>
      <w:pPr>
        <w:pStyle w:val="BodyText"/>
        <w:spacing w:line="273" w:lineRule="auto"/>
        <w:ind w:left="573" w:right="0" w:hanging="421"/>
        <w:jc w:val="left"/>
      </w:pPr>
      <w:r>
        <w:rPr/>
        <w:t>控制下的企业吸收合并方式取得的无形资产按公允价值确定其入账价值。</w:t>
      </w:r>
      <w:r>
        <w:rPr>
          <w:w w:val="100"/>
        </w:rPr>
        <w:t> </w:t>
      </w:r>
      <w:r>
        <w:rPr>
          <w:spacing w:val="-2"/>
        </w:rPr>
        <w:t>内部自行开发的无形资产，其成本包括：开发该无形资产时耗用的材料、劳务成本、注册费、在开发</w:t>
      </w:r>
    </w:p>
    <w:p>
      <w:pPr>
        <w:pStyle w:val="BodyText"/>
        <w:spacing w:line="273" w:lineRule="auto"/>
        <w:ind w:right="0"/>
        <w:jc w:val="left"/>
      </w:pP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273" w:lineRule="auto"/>
        <w:ind w:left="573" w:right="4264"/>
        <w:jc w:val="left"/>
      </w:pPr>
      <w:r>
        <w:rPr/>
        <w:t>（</w:t>
      </w:r>
      <w:r>
        <w:rPr>
          <w:rFonts w:ascii="宋体" w:hAnsi="宋体" w:cs="宋体" w:eastAsia="宋体" w:hint="default"/>
        </w:rPr>
        <w:t>2</w:t>
      </w:r>
      <w:r>
        <w:rPr/>
        <w:t>）后续计量</w:t>
      </w:r>
      <w:r>
        <w:rPr>
          <w:w w:val="100"/>
        </w:rPr>
        <w:t> </w:t>
      </w:r>
      <w:r>
        <w:rPr>
          <w:spacing w:val="-2"/>
        </w:rPr>
        <w:t>在取得无形资产时分析判断其使用寿命。</w:t>
      </w:r>
    </w:p>
    <w:p>
      <w:pPr>
        <w:pStyle w:val="BodyText"/>
        <w:spacing w:line="273" w:lineRule="auto" w:before="8"/>
        <w:ind w:right="0" w:firstLine="420"/>
        <w:jc w:val="left"/>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line="240" w:lineRule="auto" w:before="7"/>
        <w:rPr>
          <w:rFonts w:ascii="宋体" w:hAnsi="宋体" w:cs="宋体" w:eastAsia="宋体" w:hint="default"/>
          <w:sz w:val="23"/>
          <w:szCs w:val="23"/>
        </w:rPr>
      </w:pPr>
    </w:p>
    <w:p>
      <w:pPr>
        <w:spacing w:line="506" w:lineRule="auto" w:before="0"/>
        <w:ind w:left="152" w:right="0" w:firstLine="0"/>
        <w:jc w:val="left"/>
        <w:rPr>
          <w:rFonts w:ascii="宋体" w:hAnsi="宋体" w:cs="宋体" w:eastAsia="宋体" w:hint="default"/>
          <w:sz w:val="21"/>
          <w:szCs w:val="21"/>
        </w:rPr>
      </w:pPr>
      <w:r>
        <w:rPr/>
        <w:pict>
          <v:shape style="position:absolute;margin-left:56.400002pt;margin-top:46.94368pt;width:479.3pt;height:60.7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土地使用权期限</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每期末，对使用寿命有限的无形资产的使用寿命及摊销方法进行复核。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）无形资产减值准备的计提</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0"/>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对无形资产进行减值测试，估计其可收回金额。有迹象表明一项无形资产可能发生减值的，公司以单</w:t>
      </w:r>
    </w:p>
    <w:p>
      <w:pPr>
        <w:pStyle w:val="BodyText"/>
        <w:spacing w:line="273" w:lineRule="auto"/>
        <w:ind w:right="0"/>
        <w:jc w:val="left"/>
      </w:pPr>
      <w:r>
        <w:rPr>
          <w:spacing w:val="-2"/>
        </w:rPr>
        <w:t>项无形资产为基础估计其可收回金额。公司难以对单项资产的可收回金额进行估计的，以该无形资产所属</w:t>
      </w:r>
      <w:r>
        <w:rPr>
          <w:spacing w:val="-43"/>
        </w:rPr>
        <w:t> </w:t>
      </w:r>
      <w:r>
        <w:rPr>
          <w:spacing w:val="-43"/>
        </w:rPr>
      </w:r>
      <w:r>
        <w:rPr/>
        <w:t>的资产组为基础确定无形资产组的可收回金额。</w:t>
      </w:r>
    </w:p>
    <w:p>
      <w:pPr>
        <w:pStyle w:val="BodyText"/>
        <w:spacing w:line="273" w:lineRule="auto"/>
        <w:ind w:right="0" w:firstLine="420"/>
        <w:jc w:val="left"/>
      </w:pPr>
      <w:r>
        <w:rPr>
          <w:spacing w:val="2"/>
        </w:rPr>
        <w:t>可收回金额根据无形资产的公允价值减去处置费用后的净额与无形资产预计未来现金流量的现值两</w:t>
      </w:r>
      <w:r>
        <w:rPr>
          <w:w w:val="100"/>
        </w:rPr>
        <w:t> </w:t>
      </w:r>
      <w:r>
        <w:rPr/>
        <w:t>者之间较高者确定。</w:t>
      </w:r>
    </w:p>
    <w:p>
      <w:pPr>
        <w:pStyle w:val="BodyText"/>
        <w:spacing w:line="240" w:lineRule="auto"/>
        <w:ind w:left="573" w:right="0"/>
        <w:jc w:val="left"/>
      </w:pPr>
      <w:r>
        <w:rPr/>
        <w:t>当无形资产的可收回金额低于其账面价值的，将无形资产的账面价值减记至可收回金额，减记的金额</w:t>
      </w:r>
    </w:p>
    <w:p>
      <w:pPr>
        <w:spacing w:after="0" w:line="240" w:lineRule="auto"/>
        <w:jc w:val="left"/>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left="573" w:right="76" w:hanging="421"/>
        <w:jc w:val="left"/>
      </w:pPr>
      <w:r>
        <w:rPr/>
        <w:t>确认为无形资产减值损失，计入当期损益，同时计提相应的无形资产减值准备。</w:t>
      </w:r>
      <w:r>
        <w:rPr>
          <w:w w:val="100"/>
        </w:rPr>
        <w:t> </w:t>
      </w:r>
      <w:r>
        <w:rPr>
          <w:spacing w:val="-2"/>
        </w:rPr>
        <w:t>无形资产减值损失确认后，减值无形资产的折耗或者摊销费用在未来期间作相应调整，以使该无形资</w:t>
      </w:r>
    </w:p>
    <w:p>
      <w:pPr>
        <w:pStyle w:val="BodyText"/>
        <w:spacing w:line="273" w:lineRule="auto"/>
        <w:ind w:left="573" w:right="76" w:hanging="421"/>
        <w:jc w:val="left"/>
      </w:pPr>
      <w:r>
        <w:rPr>
          <w:spacing w:val="-2"/>
        </w:rPr>
        <w:t>产在剩余使用寿命内，系统地分摊调整后的无形资产账面价值（扣除预计净残值）。</w:t>
      </w:r>
      <w:r>
        <w:rPr>
          <w:spacing w:val="-35"/>
        </w:rPr>
        <w:t> </w:t>
      </w:r>
      <w:r>
        <w:rPr>
          <w:spacing w:val="-35"/>
        </w:rPr>
      </w:r>
      <w:r>
        <w:rPr/>
        <w:t>无形资产的减值损失一经确认，在以后会计期间不再转回。</w:t>
      </w:r>
    </w:p>
    <w:p>
      <w:pPr>
        <w:spacing w:line="600" w:lineRule="atLeast" w:before="0"/>
        <w:ind w:left="573" w:right="76"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pStyle w:val="Heading5"/>
        <w:spacing w:line="240" w:lineRule="auto" w:before="37"/>
        <w:ind w:right="76"/>
        <w:jc w:val="left"/>
        <w:rPr>
          <w:b w:val="0"/>
          <w:bCs w:val="0"/>
        </w:rPr>
      </w:pPr>
      <w:r>
        <w:rPr/>
        <w:t>（</w:t>
      </w:r>
      <w:r>
        <w:rPr>
          <w:rFonts w:ascii="Times New Roman" w:hAnsi="Times New Roman" w:cs="Times New Roman" w:eastAsia="Times New Roman" w:hint="default"/>
        </w:rPr>
        <w:t>1</w:t>
      </w:r>
      <w:r>
        <w:rPr/>
        <w:t>）摊销方法</w:t>
      </w:r>
      <w:r>
        <w:rPr>
          <w:b w:val="0"/>
          <w:bCs w:val="0"/>
        </w:rPr>
      </w:r>
    </w:p>
    <w:p>
      <w:pPr>
        <w:pStyle w:val="BodyText"/>
        <w:spacing w:line="240" w:lineRule="auto" w:before="21"/>
        <w:ind w:left="573" w:right="76"/>
        <w:jc w:val="left"/>
      </w:pPr>
      <w:r>
        <w:rPr/>
        <w:t>长期待摊费用在受益期内平均摊销</w:t>
      </w:r>
    </w:p>
    <w:p>
      <w:pPr>
        <w:pStyle w:val="Heading5"/>
        <w:spacing w:line="240" w:lineRule="auto" w:before="37"/>
        <w:ind w:right="76"/>
        <w:jc w:val="left"/>
        <w:rPr>
          <w:b w:val="0"/>
          <w:bCs w:val="0"/>
        </w:rPr>
      </w:pPr>
      <w:r>
        <w:rPr/>
        <w:t>（</w:t>
      </w:r>
      <w:r>
        <w:rPr>
          <w:rFonts w:ascii="宋体" w:hAnsi="宋体" w:cs="宋体" w:eastAsia="宋体" w:hint="default"/>
        </w:rPr>
        <w:t>2</w:t>
      </w:r>
      <w:r>
        <w:rPr/>
        <w:t>）摊销年限</w:t>
      </w:r>
      <w:r>
        <w:rPr>
          <w:b w:val="0"/>
          <w:bCs w:val="0"/>
        </w:rPr>
      </w:r>
    </w:p>
    <w:p>
      <w:pPr>
        <w:spacing w:line="240" w:lineRule="auto" w:before="10"/>
        <w:rPr>
          <w:rFonts w:ascii="宋体" w:hAnsi="宋体" w:cs="宋体" w:eastAsia="宋体" w:hint="default"/>
          <w:b/>
          <w:bCs/>
          <w:sz w:val="3"/>
          <w:szCs w:val="3"/>
        </w:rPr>
      </w:pPr>
    </w:p>
    <w:tbl>
      <w:tblPr>
        <w:tblW w:w="0" w:type="auto"/>
        <w:jc w:val="left"/>
        <w:tblInd w:w="676" w:type="dxa"/>
        <w:tblLayout w:type="fixed"/>
        <w:tblCellMar>
          <w:top w:w="0" w:type="dxa"/>
          <w:left w:w="0" w:type="dxa"/>
          <w:bottom w:w="0" w:type="dxa"/>
          <w:right w:w="0" w:type="dxa"/>
        </w:tblCellMar>
        <w:tblLook w:val="01E0"/>
      </w:tblPr>
      <w:tblGrid>
        <w:gridCol w:w="4414"/>
        <w:gridCol w:w="2672"/>
      </w:tblGrid>
      <w:tr>
        <w:trPr>
          <w:trHeight w:val="353" w:hRule="exact"/>
        </w:trPr>
        <w:tc>
          <w:tcPr>
            <w:tcW w:w="4414" w:type="dxa"/>
            <w:tcBorders>
              <w:top w:val="single" w:sz="6" w:space="0" w:color="000000"/>
              <w:left w:val="single" w:sz="6" w:space="0" w:color="000000"/>
              <w:bottom w:val="single" w:sz="12" w:space="0" w:color="000000"/>
              <w:right w:val="single" w:sz="6" w:space="0" w:color="000000"/>
            </w:tcBorders>
          </w:tcPr>
          <w:p>
            <w:pPr>
              <w:pStyle w:val="TableParagraph"/>
              <w:tabs>
                <w:tab w:pos="2304" w:val="left" w:leader="none"/>
              </w:tabs>
              <w:spacing w:line="272" w:lineRule="exact"/>
              <w:ind w:left="1881"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672"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摊销年限</w:t>
            </w:r>
            <w:r>
              <w:rPr>
                <w:rFonts w:ascii="宋体" w:hAnsi="宋体" w:cs="宋体" w:eastAsia="宋体" w:hint="default"/>
                <w:sz w:val="21"/>
                <w:szCs w:val="21"/>
              </w:rPr>
            </w:r>
          </w:p>
        </w:tc>
      </w:tr>
      <w:tr>
        <w:trPr>
          <w:trHeight w:val="353" w:hRule="exact"/>
        </w:trPr>
        <w:tc>
          <w:tcPr>
            <w:tcW w:w="441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88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67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按房屋租赁期限</w:t>
            </w:r>
          </w:p>
        </w:tc>
      </w:tr>
    </w:tbl>
    <w:p>
      <w:pPr>
        <w:spacing w:line="240" w:lineRule="auto" w:before="3"/>
        <w:rPr>
          <w:rFonts w:ascii="宋体" w:hAnsi="宋体" w:cs="宋体" w:eastAsia="宋体" w:hint="default"/>
          <w:b/>
          <w:bCs/>
          <w:sz w:val="19"/>
          <w:szCs w:val="19"/>
        </w:rPr>
      </w:pPr>
    </w:p>
    <w:p>
      <w:pPr>
        <w:pStyle w:val="Heading5"/>
        <w:spacing w:line="240" w:lineRule="auto" w:before="36"/>
        <w:ind w:right="76"/>
        <w:jc w:val="left"/>
        <w:rPr>
          <w:b w:val="0"/>
          <w:bCs w:val="0"/>
        </w:rPr>
      </w:pPr>
      <w:r>
        <w:rPr>
          <w:rFonts w:ascii="Times New Roman" w:hAnsi="Times New Roman" w:cs="Times New Roman" w:eastAsia="Times New Roman" w:hint="default"/>
        </w:rPr>
        <w:t>18</w:t>
      </w:r>
      <w:r>
        <w:rPr/>
        <w:t>、股份支付及权益工具</w:t>
      </w:r>
      <w:r>
        <w:rPr>
          <w:b w:val="0"/>
          <w:bCs w:val="0"/>
        </w:rPr>
      </w:r>
    </w:p>
    <w:p>
      <w:pPr>
        <w:pStyle w:val="BodyText"/>
        <w:spacing w:line="590" w:lineRule="atLeast" w:before="24"/>
        <w:ind w:left="573" w:right="76"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）股份支付的种类</w:t>
      </w:r>
      <w:r>
        <w:rPr>
          <w:rFonts w:ascii="宋体" w:hAnsi="宋体" w:cs="宋体" w:eastAsia="宋体" w:hint="default"/>
          <w:b/>
          <w:bCs/>
          <w:w w:val="100"/>
        </w:rPr>
        <w:t> </w:t>
      </w:r>
      <w:r>
        <w:rPr>
          <w:spacing w:val="-2"/>
        </w:rPr>
        <w:t>本公司的股份支付是为了获取职工提供服务而授予权益工具的交易。本期公司的股份支付是以权益结</w:t>
      </w:r>
    </w:p>
    <w:p>
      <w:pPr>
        <w:pStyle w:val="BodyText"/>
        <w:spacing w:line="240" w:lineRule="auto" w:before="37"/>
        <w:ind w:right="76"/>
        <w:jc w:val="left"/>
      </w:pPr>
      <w:r>
        <w:rPr/>
        <w:t>算的股份支付。</w:t>
      </w:r>
    </w:p>
    <w:p>
      <w:pPr>
        <w:spacing w:line="240" w:lineRule="auto" w:before="10"/>
        <w:rPr>
          <w:rFonts w:ascii="宋体" w:hAnsi="宋体" w:cs="宋体" w:eastAsia="宋体" w:hint="default"/>
          <w:sz w:val="25"/>
          <w:szCs w:val="25"/>
        </w:rPr>
      </w:pPr>
    </w:p>
    <w:p>
      <w:pPr>
        <w:spacing w:line="506" w:lineRule="auto" w:before="0"/>
        <w:ind w:left="573" w:right="47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权益工具的公允价值采用</w:t>
      </w:r>
      <w:r>
        <w:rPr>
          <w:rFonts w:ascii="宋体" w:hAnsi="宋体" w:cs="宋体" w:eastAsia="宋体" w:hint="default"/>
          <w:spacing w:val="-2"/>
          <w:sz w:val="21"/>
          <w:szCs w:val="21"/>
        </w:rPr>
        <w:t>black-scholes</w:t>
      </w:r>
      <w:r>
        <w:rPr>
          <w:rFonts w:ascii="宋体" w:hAnsi="宋体" w:cs="宋体" w:eastAsia="宋体" w:hint="default"/>
          <w:spacing w:val="-2"/>
          <w:sz w:val="21"/>
          <w:szCs w:val="21"/>
        </w:rPr>
        <w:t>模型确定。</w:t>
      </w:r>
    </w:p>
    <w:p>
      <w:pPr>
        <w:pStyle w:val="Heading5"/>
        <w:spacing w:line="240" w:lineRule="auto" w:before="104"/>
        <w:ind w:right="76"/>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76" w:firstLine="420"/>
        <w:jc w:val="left"/>
      </w:pPr>
      <w:r>
        <w:rPr>
          <w:spacing w:val="-2"/>
        </w:rPr>
        <w:t>完成等待期内的服务或达到规定业绩条件才可行权的，在等待期内每个资产负债表日，本公司根据最</w:t>
      </w:r>
      <w:r>
        <w:rPr>
          <w:w w:val="100"/>
        </w:rPr>
        <w:t> </w:t>
      </w:r>
      <w:r>
        <w:rPr>
          <w:spacing w:val="-2"/>
        </w:rPr>
        <w:t>新取得的可行权职工人数变动、是否达到规定业绩条件等后续信息对可行权权益工具数量作出最佳估计。</w:t>
      </w:r>
      <w:r>
        <w:rPr/>
      </w:r>
    </w:p>
    <w:p>
      <w:pPr>
        <w:spacing w:line="600" w:lineRule="atLeast" w:before="0"/>
        <w:ind w:left="573" w:right="7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在满足业绩条件和服务期限条件的期间，应确认以权益结算的股份支付的成本或费用，并相应增加资</w:t>
      </w:r>
    </w:p>
    <w:p>
      <w:pPr>
        <w:pStyle w:val="BodyText"/>
        <w:spacing w:line="273" w:lineRule="auto" w:before="37"/>
        <w:ind w:right="76"/>
        <w:jc w:val="left"/>
      </w:pPr>
      <w:r>
        <w:rPr>
          <w:spacing w:val="-2"/>
        </w:rPr>
        <w:t>本公积。可行权日之前，于每个资产负债表日为以权益结算的股份支付确认的累计金额反映了等待期已届</w:t>
      </w:r>
      <w:r>
        <w:rPr>
          <w:spacing w:val="-43"/>
        </w:rPr>
        <w:t> </w:t>
      </w:r>
      <w:r>
        <w:rPr>
          <w:spacing w:val="-43"/>
        </w:rPr>
      </w:r>
      <w:r>
        <w:rPr/>
        <w:t>满的部分以及本公司对最终可行权的权益工具数量的最佳估计。</w:t>
      </w:r>
    </w:p>
    <w:p>
      <w:pPr>
        <w:pStyle w:val="BodyText"/>
        <w:spacing w:line="273" w:lineRule="auto" w:before="8"/>
        <w:ind w:right="76" w:firstLine="420"/>
        <w:jc w:val="left"/>
      </w:pPr>
      <w:r>
        <w:rPr>
          <w:spacing w:val="-2"/>
        </w:rPr>
        <w:t>对于最终未能行权的股份支付，不确认成本或费用，除非行权条件是市场条件或非可行权条件，此时</w:t>
      </w:r>
      <w:r>
        <w:rPr>
          <w:w w:val="100"/>
        </w:rPr>
        <w:t> </w:t>
      </w:r>
      <w:r>
        <w:rPr/>
        <w:t>无论是否满足市场条件或非可行权条件，只要满足所有可行权条件中的非市场条件，即视为可行权。</w:t>
      </w:r>
    </w:p>
    <w:p>
      <w:pPr>
        <w:pStyle w:val="BodyText"/>
        <w:spacing w:line="273" w:lineRule="auto"/>
        <w:ind w:right="76" w:firstLine="420"/>
        <w:jc w:val="left"/>
      </w:pPr>
      <w:r>
        <w:rPr>
          <w:spacing w:val="-2"/>
        </w:rPr>
        <w:t>如果修改了以权益结算的股份支付的条款，至少按照未修改条款的情况确认取得的服务。此外，任何</w:t>
      </w:r>
      <w:r>
        <w:rPr>
          <w:w w:val="100"/>
        </w:rPr>
        <w:t> </w:t>
      </w:r>
      <w:r>
        <w:rPr/>
        <w:t>增加所授予权益工具公允价值的修改，或在修改日对职工有利的变更，均确认取得服务的增加。</w:t>
      </w:r>
    </w:p>
    <w:p>
      <w:pPr>
        <w:pStyle w:val="BodyText"/>
        <w:spacing w:line="273" w:lineRule="auto"/>
        <w:ind w:right="76" w:firstLine="420"/>
        <w:jc w:val="left"/>
      </w:pPr>
      <w:r>
        <w:rPr/>
        <w:t>如果取消了以权益结算的股份支付，则于取消日作为加速行权处理，立即确认尚未确认的金额。职工</w:t>
      </w:r>
      <w:r>
        <w:rPr>
          <w:w w:val="100"/>
        </w:rPr>
        <w:t> </w:t>
      </w:r>
      <w:r>
        <w:rPr>
          <w:spacing w:val="-5"/>
        </w:rPr>
        <w:t>或其他方能够选择满足非可行权条件但在等待期内未满足的，作为取消以权益结算的股份支付处理。但是， </w:t>
      </w:r>
      <w:r>
        <w:rPr>
          <w:spacing w:val="-5"/>
        </w:rPr>
      </w:r>
      <w:r>
        <w:rPr>
          <w:spacing w:val="2"/>
        </w:rPr>
        <w:t>如果授予新的权益工具，并在新权益工具授予日认定所授予的新权益工具是用于替代被取消的权益工具</w:t>
      </w:r>
      <w:r>
        <w:rPr>
          <w:spacing w:val="-30"/>
        </w:rPr>
        <w:t> </w:t>
      </w:r>
      <w:r>
        <w:rPr>
          <w:spacing w:val="-30"/>
        </w:rPr>
      </w:r>
      <w:r>
        <w:rPr/>
        <w:t>的，则以与处理原权益工具条款和条件修改相同的方式，对所授予的替代权益工具进行处理。</w:t>
      </w:r>
    </w:p>
    <w:p>
      <w:pPr>
        <w:spacing w:after="0" w:line="273"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76"/>
        <w:jc w:val="left"/>
        <w:rPr>
          <w:b w:val="0"/>
          <w:bCs w:val="0"/>
        </w:rPr>
      </w:pPr>
      <w:r>
        <w:rPr>
          <w:rFonts w:ascii="Times New Roman" w:hAnsi="Times New Roman" w:cs="Times New Roman" w:eastAsia="Times New Roman" w:hint="default"/>
        </w:rPr>
        <w:t>19</w:t>
      </w:r>
      <w:r>
        <w:rPr/>
        <w:t>、收入</w:t>
      </w:r>
      <w:r>
        <w:rPr>
          <w:b w:val="0"/>
          <w:bCs w:val="0"/>
        </w:rPr>
      </w:r>
    </w:p>
    <w:p>
      <w:pPr>
        <w:spacing w:line="590" w:lineRule="atLeast" w:before="25"/>
        <w:ind w:left="573" w:right="7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273" w:lineRule="auto" w:before="37"/>
        <w:ind w:right="76"/>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spacing w:line="600" w:lineRule="atLeast" w:before="0"/>
        <w:ind w:left="573" w:right="7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40" w:lineRule="auto" w:before="37"/>
        <w:ind w:right="76"/>
        <w:jc w:val="left"/>
      </w:pPr>
      <w:r>
        <w:rPr/>
        <w:t>使用权收入金额：</w:t>
      </w:r>
    </w:p>
    <w:p>
      <w:pPr>
        <w:pStyle w:val="BodyText"/>
        <w:spacing w:line="240" w:lineRule="auto" w:before="37"/>
        <w:ind w:left="573" w:right="76"/>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40" w:lineRule="auto" w:before="37"/>
        <w:ind w:left="573" w:right="76"/>
        <w:jc w:val="left"/>
      </w:pPr>
      <w:r>
        <w:rPr/>
        <w:t>（</w:t>
      </w:r>
      <w:r>
        <w:rPr>
          <w:rFonts w:ascii="宋体" w:hAnsi="宋体" w:cs="宋体" w:eastAsia="宋体" w:hint="default"/>
        </w:rPr>
        <w:t>2</w:t>
      </w:r>
      <w:r>
        <w:rPr/>
        <w:t>）使用费收入金额，按照有关合同或协议约定的收费时间和方法计算确定。</w:t>
      </w:r>
    </w:p>
    <w:p>
      <w:pPr>
        <w:spacing w:line="240" w:lineRule="auto" w:before="10"/>
        <w:rPr>
          <w:rFonts w:ascii="宋体" w:hAnsi="宋体" w:cs="宋体" w:eastAsia="宋体" w:hint="default"/>
          <w:sz w:val="25"/>
          <w:szCs w:val="25"/>
        </w:rPr>
      </w:pPr>
    </w:p>
    <w:p>
      <w:pPr>
        <w:pStyle w:val="Heading5"/>
        <w:spacing w:line="240" w:lineRule="auto"/>
        <w:ind w:right="76"/>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76"/>
        <w:jc w:val="left"/>
      </w:pPr>
      <w:r>
        <w:rPr>
          <w:spacing w:val="-2"/>
        </w:rPr>
        <w:t>在资产负债表日提供劳务交易的结果能够可靠估计的，采用完工百分比法确认提供劳务收入。</w:t>
      </w:r>
      <w:r>
        <w:rPr>
          <w:spacing w:val="-28"/>
        </w:rPr>
        <w:t> </w:t>
      </w:r>
      <w:r>
        <w:rPr>
          <w:spacing w:val="-28"/>
        </w:rPr>
      </w:r>
      <w:r>
        <w:rPr/>
        <w:t>在资产负债表日提供劳务交易结果不能够可靠估计的，分别下列情况处理：</w:t>
      </w:r>
    </w:p>
    <w:p>
      <w:pPr>
        <w:pStyle w:val="BodyText"/>
        <w:spacing w:line="273" w:lineRule="auto"/>
        <w:ind w:right="76" w:firstLine="420"/>
        <w:jc w:val="left"/>
      </w:pPr>
      <w:r>
        <w:rPr/>
        <w:t>（</w:t>
      </w:r>
      <w:r>
        <w:rPr>
          <w:rFonts w:ascii="宋体" w:hAnsi="宋体" w:cs="宋体" w:eastAsia="宋体" w:hint="default"/>
        </w:rPr>
        <w:t>1</w:t>
      </w:r>
      <w:r>
        <w:rPr/>
        <w:t>）已经发生的劳务成本预计能够得到补偿的，按照已经发生的劳务成本金额确认提供劳务收入，</w:t>
      </w:r>
      <w:r>
        <w:rPr>
          <w:w w:val="100"/>
        </w:rPr>
        <w:t> </w:t>
      </w:r>
      <w:r>
        <w:rPr/>
        <w:t>并按相同金额结转劳务成本。</w:t>
      </w:r>
    </w:p>
    <w:p>
      <w:pPr>
        <w:pStyle w:val="BodyText"/>
        <w:spacing w:line="273" w:lineRule="auto"/>
        <w:ind w:right="76" w:firstLine="420"/>
        <w:jc w:val="left"/>
      </w:pPr>
      <w:r>
        <w:rPr/>
        <w:t>（</w:t>
      </w:r>
      <w:r>
        <w:rPr>
          <w:rFonts w:ascii="宋体" w:hAnsi="宋体" w:cs="宋体" w:eastAsia="宋体" w:hint="default"/>
        </w:rPr>
        <w:t>2</w:t>
      </w:r>
      <w:r>
        <w:rPr/>
        <w:t>）已经发生的劳务成本预计不能够得到补偿的，将已经发生的劳务成本计入当期损益，不确认提</w:t>
      </w:r>
      <w:r>
        <w:rPr>
          <w:w w:val="100"/>
        </w:rPr>
        <w:t> </w:t>
      </w:r>
      <w:r>
        <w:rPr/>
        <w:t>供劳务收入。</w:t>
      </w:r>
    </w:p>
    <w:p>
      <w:pPr>
        <w:spacing w:line="240" w:lineRule="auto" w:before="7"/>
        <w:rPr>
          <w:rFonts w:ascii="宋体" w:hAnsi="宋体" w:cs="宋体" w:eastAsia="宋体" w:hint="default"/>
          <w:sz w:val="23"/>
          <w:szCs w:val="23"/>
        </w:rPr>
      </w:pPr>
    </w:p>
    <w:p>
      <w:pPr>
        <w:pStyle w:val="Heading5"/>
        <w:spacing w:line="240" w:lineRule="auto"/>
        <w:ind w:right="76"/>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76"/>
        <w:jc w:val="left"/>
      </w:pPr>
      <w:r>
        <w:rPr/>
        <w:t>①广告收入：</w:t>
      </w:r>
      <w:r>
        <w:rPr>
          <w:w w:val="100"/>
        </w:rPr>
        <w:t> </w:t>
      </w:r>
      <w:r>
        <w:rPr>
          <w:spacing w:val="-2"/>
        </w:rPr>
        <w:t>在资产负债表日广告已经发布，与交易相关的经济利益很可能流入企业，收入的金额能够可靠地计量</w:t>
      </w:r>
    </w:p>
    <w:p>
      <w:pPr>
        <w:pStyle w:val="BodyText"/>
        <w:spacing w:line="240" w:lineRule="auto"/>
        <w:ind w:right="76"/>
        <w:jc w:val="left"/>
      </w:pPr>
      <w:r>
        <w:rPr/>
        <w:t>时，予以确认收入。</w:t>
      </w:r>
    </w:p>
    <w:p>
      <w:pPr>
        <w:pStyle w:val="BodyText"/>
        <w:spacing w:line="273" w:lineRule="auto" w:before="37"/>
        <w:ind w:left="573" w:right="76"/>
        <w:jc w:val="left"/>
      </w:pPr>
      <w:r>
        <w:rPr/>
        <w:t>②金融数据服务收入：</w:t>
      </w:r>
      <w:r>
        <w:rPr>
          <w:w w:val="100"/>
        </w:rPr>
        <w:t> </w:t>
      </w:r>
      <w:r>
        <w:rPr>
          <w:spacing w:val="-2"/>
        </w:rPr>
        <w:t>在资产负债表日提供劳务交易的结果能够可靠估计的，与交易相关的经济利益很可能流入企业，收入</w:t>
      </w:r>
    </w:p>
    <w:p>
      <w:pPr>
        <w:pStyle w:val="BodyText"/>
        <w:spacing w:line="240" w:lineRule="auto"/>
        <w:ind w:right="76"/>
        <w:jc w:val="left"/>
      </w:pPr>
      <w:r>
        <w:rPr/>
        <w:t>的金额能够可靠地计量时，在约定的使用期间按直线法确认收入。</w:t>
      </w:r>
    </w:p>
    <w:p>
      <w:pPr>
        <w:spacing w:line="240" w:lineRule="auto" w:before="10"/>
        <w:rPr>
          <w:rFonts w:ascii="宋体" w:hAnsi="宋体" w:cs="宋体" w:eastAsia="宋体" w:hint="default"/>
          <w:sz w:val="25"/>
          <w:szCs w:val="25"/>
        </w:rPr>
      </w:pPr>
    </w:p>
    <w:p>
      <w:pPr>
        <w:pStyle w:val="Heading5"/>
        <w:spacing w:line="240" w:lineRule="auto"/>
        <w:ind w:right="76"/>
        <w:jc w:val="left"/>
        <w:rPr>
          <w:b w:val="0"/>
          <w:bCs w:val="0"/>
        </w:rPr>
      </w:pPr>
      <w:r>
        <w:rPr>
          <w:rFonts w:ascii="Times New Roman" w:hAnsi="Times New Roman" w:cs="Times New Roman" w:eastAsia="Times New Roman" w:hint="default"/>
        </w:rPr>
        <w:t>20</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76"/>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76" w:firstLine="420"/>
        <w:jc w:val="left"/>
      </w:pPr>
      <w:r>
        <w:rPr>
          <w:spacing w:val="-2"/>
        </w:rPr>
        <w:t>政府补助，是本公司从政府无偿取得的货币性资产与非货币性资产。分为与资产相关的政府补助和与</w:t>
      </w:r>
      <w:r>
        <w:rPr>
          <w:w w:val="100"/>
        </w:rPr>
        <w:t> </w:t>
      </w:r>
      <w:r>
        <w:rPr/>
        <w:t>收益相关的政府补助。</w:t>
      </w:r>
    </w:p>
    <w:p>
      <w:pPr>
        <w:pStyle w:val="BodyText"/>
        <w:spacing w:line="590" w:lineRule="atLeast" w:before="8"/>
        <w:ind w:left="573" w:right="76"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04"/>
        </w:rPr>
        <w:t> </w:t>
      </w:r>
      <w:r>
        <w:rPr>
          <w:spacing w:val="-2"/>
        </w:rPr>
        <w:t>与购建固定资产、无形资产等长期资产相关的政府补助，确认为递延收益，按照所建造或购买的资产</w:t>
      </w:r>
    </w:p>
    <w:p>
      <w:pPr>
        <w:pStyle w:val="BodyText"/>
        <w:spacing w:line="273" w:lineRule="auto" w:before="37"/>
        <w:ind w:left="573" w:right="76" w:hanging="421"/>
        <w:jc w:val="left"/>
      </w:pPr>
      <w:r>
        <w:rPr/>
        <w:t>使用年限分期计入营业外收入；</w:t>
      </w:r>
      <w:r>
        <w:rPr>
          <w:w w:val="100"/>
        </w:rPr>
        <w:t> </w:t>
      </w:r>
      <w:r>
        <w:rPr>
          <w:spacing w:val="-2"/>
        </w:rPr>
        <w:t>与收益相关的政府补助，用于补偿企业以后期间的相关费用或损失的，取得时确认为递延收益，在确</w:t>
      </w:r>
    </w:p>
    <w:p>
      <w:pPr>
        <w:spacing w:after="0" w:line="273"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18"/>
        <w:ind w:right="76"/>
        <w:jc w:val="left"/>
      </w:pPr>
      <w:r>
        <w:rPr>
          <w:spacing w:val="-2"/>
        </w:rPr>
        <w:t>认相关费用的期间计入当期营业外收入；用于补偿企业已发生的相关费用或损失的，取得时直接计入当期</w:t>
      </w:r>
      <w:r>
        <w:rPr>
          <w:spacing w:val="-43"/>
        </w:rPr>
        <w:t> </w:t>
      </w:r>
      <w:r>
        <w:rPr>
          <w:spacing w:val="-43"/>
        </w:rPr>
      </w:r>
      <w:r>
        <w:rPr/>
        <w:t>营业外收入。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76"/>
        <w:jc w:val="left"/>
        <w:rPr>
          <w:b w:val="0"/>
          <w:bCs w:val="0"/>
        </w:rPr>
      </w:pPr>
      <w:r>
        <w:rPr>
          <w:rFonts w:ascii="Times New Roman" w:hAnsi="Times New Roman" w:cs="Times New Roman" w:eastAsia="Times New Roman" w:hint="default"/>
        </w:rPr>
        <w:t>21</w:t>
      </w:r>
      <w:r>
        <w:rPr/>
        <w:t>、递延所得税资产和递延所得税负债</w:t>
      </w:r>
      <w:r>
        <w:rPr>
          <w:b w:val="0"/>
          <w:bCs w:val="0"/>
        </w:rPr>
      </w:r>
    </w:p>
    <w:p>
      <w:pPr>
        <w:spacing w:line="590" w:lineRule="atLeast" w:before="24"/>
        <w:ind w:left="573" w:right="7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BodyText"/>
        <w:spacing w:line="240" w:lineRule="auto" w:before="37"/>
        <w:ind w:right="76"/>
        <w:jc w:val="left"/>
      </w:pPr>
      <w:r>
        <w:rPr/>
        <w:t>应纳税所得额为限。</w:t>
      </w:r>
    </w:p>
    <w:p>
      <w:pPr>
        <w:spacing w:line="240" w:lineRule="auto" w:before="10"/>
        <w:rPr>
          <w:rFonts w:ascii="宋体" w:hAnsi="宋体" w:cs="宋体" w:eastAsia="宋体" w:hint="default"/>
          <w:sz w:val="25"/>
          <w:szCs w:val="25"/>
        </w:rPr>
      </w:pPr>
    </w:p>
    <w:p>
      <w:pPr>
        <w:spacing w:line="508" w:lineRule="auto" w:before="0"/>
        <w:ind w:left="573" w:right="186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对于应纳税暂时性差异，除特殊情况外，确认递延所得税负债。</w:t>
      </w:r>
    </w:p>
    <w:p>
      <w:pPr>
        <w:pStyle w:val="Heading5"/>
        <w:spacing w:line="240" w:lineRule="auto" w:before="102"/>
        <w:ind w:right="76"/>
        <w:jc w:val="left"/>
        <w:rPr>
          <w:b w:val="0"/>
          <w:bCs w:val="0"/>
        </w:rPr>
      </w:pPr>
      <w:r>
        <w:rPr>
          <w:rFonts w:ascii="Times New Roman" w:hAnsi="Times New Roman" w:cs="Times New Roman" w:eastAsia="Times New Roman" w:hint="default"/>
        </w:rPr>
        <w:t>22</w:t>
      </w:r>
      <w:r>
        <w:rPr/>
        <w:t>、经营租赁、融资租赁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76"/>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216" w:firstLine="420"/>
        <w:jc w:val="both"/>
      </w:pPr>
      <w:r>
        <w:rPr/>
        <w:t>（</w:t>
      </w:r>
      <w:r>
        <w:rPr>
          <w:rFonts w:ascii="宋体" w:hAnsi="宋体" w:cs="宋体" w:eastAsia="宋体" w:hint="default"/>
        </w:rPr>
        <w:t>1</w:t>
      </w:r>
      <w:r>
        <w:rPr/>
        <w:t>）公司租入资产所支付的租赁费，在不扣除免租期的整个租赁期内，按直线法进行分摊，计入当</w:t>
      </w:r>
      <w:r>
        <w:rPr>
          <w:w w:val="100"/>
        </w:rPr>
        <w:t> </w:t>
      </w:r>
      <w:r>
        <w:rPr/>
        <w:t>期费用。公司支付的与租赁交易相关的初始直接费用，计入当期费用。</w:t>
      </w:r>
    </w:p>
    <w:p>
      <w:pPr>
        <w:pStyle w:val="BodyText"/>
        <w:spacing w:line="273" w:lineRule="auto"/>
        <w:ind w:right="206" w:firstLine="420"/>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273" w:lineRule="auto"/>
        <w:ind w:right="184" w:firstLine="420"/>
        <w:jc w:val="both"/>
      </w:pPr>
      <w:r>
        <w:rPr/>
        <w:t>（</w:t>
      </w:r>
      <w:r>
        <w:rPr>
          <w:rFonts w:ascii="宋体" w:hAnsi="宋体" w:cs="宋体" w:eastAsia="宋体" w:hint="default"/>
        </w:rPr>
        <w:t>2</w:t>
      </w:r>
      <w:r>
        <w:rPr/>
        <w:t>）公司出租资产所收取的租赁费，在不扣除免租期的整个租赁期内，按直线法进行分摊，确认为</w:t>
      </w:r>
      <w:r>
        <w:rPr>
          <w:w w:val="100"/>
        </w:rPr>
        <w:t> </w:t>
      </w:r>
      <w:r>
        <w:rPr>
          <w:spacing w:val="-2"/>
        </w:rPr>
        <w:t>租赁收入。公司支付的与租赁交易相关的初始直接费用，计入当期费用；如金额较大的，则予以资本化，</w:t>
      </w:r>
      <w:r>
        <w:rPr>
          <w:spacing w:val="-21"/>
        </w:rPr>
        <w:t> </w:t>
      </w:r>
      <w:r>
        <w:rPr>
          <w:spacing w:val="-21"/>
        </w:rPr>
      </w:r>
      <w:r>
        <w:rPr/>
        <w:t>在整个租赁期间内按照与租赁收入确认相同的基础分期计入当期收益。</w:t>
      </w:r>
    </w:p>
    <w:p>
      <w:pPr>
        <w:pStyle w:val="BodyText"/>
        <w:spacing w:line="273" w:lineRule="auto"/>
        <w:ind w:right="206" w:firstLine="420"/>
        <w:jc w:val="both"/>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7"/>
        <w:rPr>
          <w:rFonts w:ascii="宋体" w:hAnsi="宋体" w:cs="宋体" w:eastAsia="宋体" w:hint="default"/>
          <w:sz w:val="23"/>
          <w:szCs w:val="23"/>
        </w:rPr>
      </w:pPr>
    </w:p>
    <w:p>
      <w:pPr>
        <w:pStyle w:val="Heading5"/>
        <w:spacing w:line="240" w:lineRule="auto"/>
        <w:ind w:right="76"/>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76" w:firstLine="420"/>
        <w:jc w:val="left"/>
      </w:pPr>
      <w:r>
        <w:rPr/>
        <w:t>（</w:t>
      </w:r>
      <w:r>
        <w:rPr>
          <w:rFonts w:ascii="宋体" w:hAnsi="宋体" w:cs="宋体" w:eastAsia="宋体" w:hint="default"/>
        </w:rPr>
        <w:t>1</w:t>
      </w:r>
      <w:r>
        <w:rPr/>
        <w:t>）融资租入资产：公司在承租开始日，将租赁资产公允价值与最低租赁付款额现值两者中较低者</w:t>
      </w:r>
      <w:r>
        <w:rPr>
          <w:w w:val="100"/>
        </w:rPr>
        <w:t> </w:t>
      </w:r>
      <w:r>
        <w:rPr>
          <w:spacing w:val="-5"/>
        </w:rPr>
        <w:t>作为租入资产的入账价值，将最低租赁付款额作为长期应付款的入账价值，其差额作为未确认的融资费用。 </w:t>
      </w:r>
      <w:r>
        <w:rPr>
          <w:spacing w:val="-5"/>
        </w:rPr>
      </w:r>
      <w:r>
        <w:rPr>
          <w:spacing w:val="-2"/>
        </w:rPr>
        <w:t>公司采用实际利率法对未确认的融资费用，在资产租赁期间内摊销，计入财务费用。公司发生的初始直接</w:t>
      </w:r>
      <w:r>
        <w:rPr>
          <w:spacing w:val="-43"/>
        </w:rPr>
        <w:t> </w:t>
      </w:r>
      <w:r>
        <w:rPr>
          <w:spacing w:val="-43"/>
        </w:rPr>
      </w:r>
      <w:r>
        <w:rPr/>
        <w:t>费用，计入租入资产价值。</w:t>
      </w:r>
    </w:p>
    <w:p>
      <w:pPr>
        <w:pStyle w:val="BodyText"/>
        <w:spacing w:line="273" w:lineRule="auto" w:before="8"/>
        <w:ind w:right="206" w:firstLine="420"/>
        <w:jc w:val="both"/>
      </w:pPr>
      <w:r>
        <w:rPr/>
        <w:t>（</w:t>
      </w:r>
      <w:r>
        <w:rPr>
          <w:rFonts w:ascii="宋体" w:hAnsi="宋体" w:cs="宋体" w:eastAsia="宋体" w:hint="default"/>
        </w:rPr>
        <w:t>2</w:t>
      </w:r>
      <w:r>
        <w:rPr/>
        <w:t>）融资租出资产：公司在租赁开始日，将应收融资租赁款，未担保余值之和与其现值的差额确认</w:t>
      </w:r>
      <w:r>
        <w:rPr>
          <w:w w:val="100"/>
        </w:rPr>
        <w:t> </w:t>
      </w:r>
      <w:r>
        <w:rPr>
          <w:spacing w:val="-2"/>
        </w:rPr>
        <w:t>为未实现融资收益，在将来收到租金的各期间内确认为租赁收入。公司发生的与出租交易相关的初始直接</w:t>
      </w:r>
      <w:r>
        <w:rPr>
          <w:spacing w:val="-42"/>
        </w:rPr>
        <w:t> </w:t>
      </w:r>
      <w:r>
        <w:rPr>
          <w:spacing w:val="-42"/>
        </w:rPr>
      </w:r>
      <w:r>
        <w:rPr/>
        <w:t>费用，计入应收融资租赁款的初始计量中，并减少租赁期内确认的收益金额。</w:t>
      </w:r>
    </w:p>
    <w:p>
      <w:pPr>
        <w:spacing w:line="240" w:lineRule="auto" w:before="7"/>
        <w:rPr>
          <w:rFonts w:ascii="宋体" w:hAnsi="宋体" w:cs="宋体" w:eastAsia="宋体" w:hint="default"/>
          <w:sz w:val="23"/>
          <w:szCs w:val="23"/>
        </w:rPr>
      </w:pPr>
    </w:p>
    <w:p>
      <w:pPr>
        <w:pStyle w:val="Heading5"/>
        <w:spacing w:line="240" w:lineRule="auto"/>
        <w:ind w:right="76"/>
        <w:jc w:val="left"/>
        <w:rPr>
          <w:b w:val="0"/>
          <w:bCs w:val="0"/>
        </w:rPr>
      </w:pPr>
      <w:r>
        <w:rPr>
          <w:rFonts w:ascii="Times New Roman" w:hAnsi="Times New Roman" w:cs="Times New Roman" w:eastAsia="Times New Roman" w:hint="default"/>
        </w:rPr>
        <w:t>23</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spacing w:before="0"/>
        <w:ind w:left="152" w:right="76"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5"/>
        <w:ind w:left="152" w:right="7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24</w:t>
      </w:r>
      <w:r>
        <w:rPr/>
        <w:t>、前期会计差错更正</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57" w:lineRule="auto" w:before="117"/>
        <w:ind w:left="152" w:right="8741"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不适用</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9"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473"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Heading5"/>
        <w:spacing w:line="240" w:lineRule="auto" w:before="94"/>
        <w:ind w:left="575" w:right="0"/>
        <w:jc w:val="left"/>
        <w:rPr>
          <w:b w:val="0"/>
          <w:bCs w:val="0"/>
        </w:rPr>
      </w:pPr>
      <w:r>
        <w:rPr/>
        <w:t>增值税：</w:t>
      </w:r>
      <w:r>
        <w:rPr>
          <w:b w:val="0"/>
          <w:bCs w:val="0"/>
        </w:rPr>
      </w:r>
    </w:p>
    <w:p>
      <w:pPr>
        <w:pStyle w:val="BodyText"/>
        <w:spacing w:line="273" w:lineRule="auto" w:before="37"/>
        <w:ind w:right="106" w:firstLine="420"/>
        <w:jc w:val="both"/>
      </w:pPr>
      <w:r>
        <w:rPr>
          <w:spacing w:val="-5"/>
        </w:rPr>
        <w:t>根据《财政部</w:t>
      </w:r>
      <w:r>
        <w:rPr>
          <w:spacing w:val="-2"/>
        </w:rPr>
        <w:t> </w:t>
      </w:r>
      <w:r>
        <w:rPr/>
        <w:t>国家税务总局关于在北京等</w:t>
      </w:r>
      <w:r>
        <w:rPr>
          <w:rFonts w:ascii="宋体" w:hAnsi="宋体" w:cs="宋体" w:eastAsia="宋体" w:hint="default"/>
        </w:rPr>
        <w:t>8</w:t>
      </w:r>
      <w:r>
        <w:rPr/>
        <w:t>省市开展交通运输业和部分现代服务业营业税改征增值税</w:t>
      </w:r>
      <w:r>
        <w:rPr>
          <w:w w:val="100"/>
        </w:rPr>
        <w:t> </w:t>
      </w:r>
      <w:r>
        <w:rPr/>
        <w:t>试点的通知》（财税</w:t>
      </w:r>
      <w:r>
        <w:rPr>
          <w:rFonts w:ascii="宋体" w:hAnsi="宋体" w:cs="宋体" w:eastAsia="宋体" w:hint="default"/>
        </w:rPr>
        <w:t>[2012]71</w:t>
      </w:r>
      <w:r>
        <w:rPr/>
        <w:t>号）并经认定，公司下属子公司北京京东财信息科技有限公司从</w:t>
      </w:r>
      <w:r>
        <w:rPr>
          <w:rFonts w:ascii="宋体" w:hAnsi="宋体" w:cs="宋体" w:eastAsia="宋体" w:hint="default"/>
        </w:rPr>
        <w:t>2012</w:t>
      </w:r>
      <w:r>
        <w:rPr/>
        <w:t>年</w:t>
      </w:r>
      <w:r>
        <w:rPr>
          <w:rFonts w:ascii="宋体" w:hAnsi="宋体" w:cs="宋体" w:eastAsia="宋体" w:hint="default"/>
        </w:rPr>
        <w:t>9</w:t>
      </w:r>
      <w:r>
        <w:rPr/>
        <w:t>月</w:t>
      </w:r>
      <w:r>
        <w:rPr>
          <w:spacing w:val="-21"/>
        </w:rPr>
        <w:t> </w:t>
      </w:r>
      <w:r>
        <w:rPr>
          <w:spacing w:val="2"/>
        </w:rPr>
        <w:t>起适用</w:t>
      </w:r>
      <w:r>
        <w:rPr>
          <w:rFonts w:ascii="宋体" w:hAnsi="宋体" w:cs="宋体" w:eastAsia="宋体" w:hint="default"/>
          <w:spacing w:val="2"/>
        </w:rPr>
        <w:t>6%</w:t>
      </w:r>
      <w:r>
        <w:rPr>
          <w:spacing w:val="2"/>
        </w:rPr>
        <w:t>的增值税税率；公司下属子公司广州东财信息科技有限公司从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月起适用</w:t>
      </w:r>
      <w:r>
        <w:rPr>
          <w:rFonts w:ascii="宋体" w:hAnsi="宋体" w:cs="宋体" w:eastAsia="宋体" w:hint="default"/>
          <w:spacing w:val="2"/>
        </w:rPr>
        <w:t>6%</w:t>
      </w:r>
      <w:r>
        <w:rPr>
          <w:spacing w:val="2"/>
        </w:rPr>
        <w:t>的增值税税</w:t>
      </w:r>
      <w:r>
        <w:rPr>
          <w:spacing w:val="-28"/>
        </w:rPr>
        <w:t> </w:t>
      </w:r>
      <w:r>
        <w:rPr/>
        <w:t>率；公司下属子公司上海东方财富证券研究所有限公司从</w:t>
      </w:r>
      <w:r>
        <w:rPr>
          <w:rFonts w:ascii="宋体" w:hAnsi="宋体" w:cs="宋体" w:eastAsia="宋体" w:hint="default"/>
        </w:rPr>
        <w:t>2012</w:t>
      </w:r>
      <w:r>
        <w:rPr/>
        <w:t>年</w:t>
      </w:r>
      <w:r>
        <w:rPr>
          <w:rFonts w:ascii="宋体" w:hAnsi="宋体" w:cs="宋体" w:eastAsia="宋体" w:hint="default"/>
        </w:rPr>
        <w:t>1</w:t>
      </w:r>
      <w:r>
        <w:rPr/>
        <w:t>月起适用</w:t>
      </w:r>
      <w:r>
        <w:rPr>
          <w:rFonts w:ascii="宋体" w:hAnsi="宋体" w:cs="宋体" w:eastAsia="宋体" w:hint="default"/>
        </w:rPr>
        <w:t>6%</w:t>
      </w:r>
      <w:r>
        <w:rPr/>
        <w:t>的增值税税率。</w:t>
      </w:r>
    </w:p>
    <w:p>
      <w:pPr>
        <w:spacing w:after="0" w:line="273" w:lineRule="auto"/>
        <w:jc w:val="both"/>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47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73" w:lineRule="auto" w:before="36"/>
        <w:ind w:left="933" w:right="0" w:firstLine="2"/>
        <w:jc w:val="left"/>
      </w:pPr>
      <w:r>
        <w:rPr>
          <w:rFonts w:ascii="宋体" w:hAnsi="宋体" w:cs="宋体" w:eastAsia="宋体" w:hint="default"/>
          <w:b/>
          <w:bCs/>
        </w:rPr>
        <w:t>营业税：</w:t>
      </w:r>
      <w:r>
        <w:rPr>
          <w:rFonts w:ascii="宋体" w:hAnsi="宋体" w:cs="宋体" w:eastAsia="宋体" w:hint="default"/>
          <w:b/>
          <w:bCs/>
          <w:w w:val="100"/>
        </w:rPr>
        <w:t> </w:t>
      </w:r>
      <w:r>
        <w:rPr>
          <w:spacing w:val="-2"/>
        </w:rPr>
        <w:t>公司于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日取得了上海市通信管理局颁发的《中华人民共和国增值电信业务经营许可证》，</w:t>
      </w:r>
    </w:p>
    <w:p>
      <w:pPr>
        <w:pStyle w:val="BodyText"/>
        <w:spacing w:line="273" w:lineRule="auto"/>
        <w:ind w:left="512" w:right="506"/>
        <w:jc w:val="both"/>
      </w:pPr>
      <w:r>
        <w:rPr/>
        <w:t>经营许可证编号：沪</w:t>
      </w:r>
      <w:r>
        <w:rPr>
          <w:rFonts w:ascii="宋体" w:hAnsi="宋体" w:cs="宋体" w:eastAsia="宋体" w:hint="default"/>
        </w:rPr>
        <w:t>B2-20070217</w:t>
      </w:r>
      <w:r>
        <w:rPr/>
        <w:t>，业务种类为：第二类增值电信业务中的信息服务业务（含互联网信息</w:t>
      </w:r>
      <w:r>
        <w:rPr>
          <w:spacing w:val="-29"/>
        </w:rPr>
        <w:t> </w:t>
      </w:r>
      <w:r>
        <w:rPr>
          <w:spacing w:val="-29"/>
        </w:rPr>
      </w:r>
      <w:r>
        <w:rPr>
          <w:spacing w:val="-2"/>
        </w:rPr>
        <w:t>服务，移动信息服务，不含固定网电话信息服务）。根据财税</w:t>
      </w:r>
      <w:r>
        <w:rPr>
          <w:rFonts w:ascii="宋体" w:hAnsi="宋体" w:cs="宋体" w:eastAsia="宋体" w:hint="default"/>
          <w:spacing w:val="-2"/>
        </w:rPr>
        <w:t>[2003]16</w:t>
      </w:r>
      <w:r>
        <w:rPr>
          <w:spacing w:val="-2"/>
        </w:rPr>
        <w:t>号文《财政部，国家税务总局营业</w:t>
      </w:r>
      <w:r>
        <w:rPr>
          <w:spacing w:val="-35"/>
        </w:rPr>
        <w:t> </w:t>
      </w:r>
      <w:r>
        <w:rPr>
          <w:spacing w:val="-35"/>
        </w:rPr>
      </w:r>
      <w:r>
        <w:rPr/>
        <w:t>税若干政策问题的通知》和沪地税货内</w:t>
      </w:r>
      <w:r>
        <w:rPr>
          <w:rFonts w:ascii="宋体" w:hAnsi="宋体" w:cs="宋体" w:eastAsia="宋体" w:hint="default"/>
        </w:rPr>
        <w:t>[2010]3</w:t>
      </w:r>
      <w:r>
        <w:rPr/>
        <w:t>号《上海地方税务局关于对本市增值电信业务营业税问题</w:t>
      </w:r>
      <w:r>
        <w:rPr>
          <w:spacing w:val="-25"/>
        </w:rPr>
        <w:t> </w:t>
      </w:r>
      <w:r>
        <w:rPr>
          <w:spacing w:val="-25"/>
        </w:rPr>
      </w:r>
      <w:r>
        <w:rPr/>
        <w:t>的通知》的规定，公司经营的增值电信业务按“邮电通信业”税目缴纳营业税，自</w:t>
      </w:r>
      <w:r>
        <w:rPr>
          <w:rFonts w:ascii="宋体" w:hAnsi="宋体" w:cs="宋体" w:eastAsia="宋体" w:hint="default"/>
        </w:rPr>
        <w:t>2011</w:t>
      </w:r>
      <w:r>
        <w:rPr/>
        <w:t>年</w:t>
      </w:r>
      <w:r>
        <w:rPr>
          <w:rFonts w:ascii="宋体" w:hAnsi="宋体" w:cs="宋体" w:eastAsia="宋体" w:hint="default"/>
        </w:rPr>
        <w:t>3</w:t>
      </w:r>
      <w:r>
        <w:rPr/>
        <w:t>月申报起按</w:t>
      </w:r>
      <w:r>
        <w:rPr>
          <w:rFonts w:ascii="宋体" w:hAnsi="宋体" w:cs="宋体" w:eastAsia="宋体" w:hint="default"/>
        </w:rPr>
        <w:t>3%</w:t>
      </w:r>
      <w:r>
        <w:rPr>
          <w:rFonts w:ascii="宋体" w:hAnsi="宋体" w:cs="宋体" w:eastAsia="宋体" w:hint="default"/>
          <w:spacing w:val="-25"/>
        </w:rPr>
        <w:t> </w:t>
      </w:r>
      <w:r>
        <w:rPr/>
        <w:t>缴纳营业税。</w:t>
      </w:r>
    </w:p>
    <w:p>
      <w:pPr>
        <w:pStyle w:val="BodyText"/>
        <w:spacing w:line="240" w:lineRule="auto"/>
        <w:ind w:left="933" w:right="0"/>
        <w:jc w:val="left"/>
      </w:pPr>
      <w:r>
        <w:rPr/>
        <w:t>除东方财富信息股份有限公司外，其他子公司营业税税率为</w:t>
      </w:r>
      <w:r>
        <w:rPr>
          <w:rFonts w:ascii="宋体" w:hAnsi="宋体" w:cs="宋体" w:eastAsia="宋体" w:hint="default"/>
        </w:rPr>
        <w:t>5%</w:t>
      </w:r>
      <w:r>
        <w:rPr/>
        <w:t>。</w:t>
      </w:r>
    </w:p>
    <w:p>
      <w:pPr>
        <w:pStyle w:val="BodyText"/>
        <w:spacing w:line="600" w:lineRule="atLeast" w:before="28"/>
        <w:ind w:left="933" w:right="0" w:hanging="421"/>
        <w:jc w:val="left"/>
      </w:pPr>
      <w:r>
        <w:rPr>
          <w:rFonts w:ascii="Times New Roman" w:hAnsi="Times New Roman" w:cs="Times New Roman" w:eastAsia="Times New Roman" w:hint="default"/>
          <w:b/>
          <w:bCs/>
        </w:rPr>
        <w:t>2</w:t>
      </w:r>
      <w:r>
        <w:rPr>
          <w:rFonts w:ascii="宋体" w:hAnsi="宋体" w:cs="宋体" w:eastAsia="宋体" w:hint="default"/>
          <w:b/>
          <w:bCs/>
        </w:rPr>
        <w:t>、税收优惠及批文</w:t>
      </w:r>
      <w:r>
        <w:rPr>
          <w:rFonts w:ascii="宋体" w:hAnsi="宋体" w:cs="宋体" w:eastAsia="宋体" w:hint="default"/>
          <w:b/>
          <w:bCs/>
          <w:spacing w:val="-103"/>
        </w:rPr>
        <w:t> </w:t>
      </w:r>
      <w:r>
        <w:rPr/>
        <w:t>公司于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9</w:t>
      </w:r>
      <w:r>
        <w:rPr/>
        <w:t>日取得由上海市科学技术委员会、上海市财政局、上海市国家税务局以及上海市</w:t>
      </w:r>
    </w:p>
    <w:p>
      <w:pPr>
        <w:pStyle w:val="BodyText"/>
        <w:spacing w:line="273" w:lineRule="auto" w:before="37"/>
        <w:ind w:left="512" w:right="508"/>
        <w:jc w:val="both"/>
      </w:pPr>
      <w:r>
        <w:rPr>
          <w:spacing w:val="-6"/>
        </w:rPr>
        <w:t>地方税务局联合颁发的高新技术企业证书（证书编号是</w:t>
      </w:r>
      <w:r>
        <w:rPr>
          <w:rFonts w:ascii="宋体" w:hAnsi="宋体" w:cs="宋体" w:eastAsia="宋体" w:hint="default"/>
          <w:spacing w:val="-6"/>
        </w:rPr>
        <w:t>GR201031000497</w:t>
      </w:r>
      <w:r>
        <w:rPr>
          <w:spacing w:val="-6"/>
        </w:rPr>
        <w:t>），有效期三年。公司可享受自</w:t>
      </w:r>
      <w:r>
        <w:rPr>
          <w:rFonts w:ascii="宋体" w:hAnsi="宋体" w:cs="宋体" w:eastAsia="宋体" w:hint="default"/>
          <w:spacing w:val="-6"/>
        </w:rPr>
        <w:t>2010</w:t>
      </w:r>
      <w:r>
        <w:rPr>
          <w:rFonts w:ascii="宋体" w:hAnsi="宋体" w:cs="宋体" w:eastAsia="宋体" w:hint="default"/>
          <w:spacing w:val="-12"/>
        </w:rPr>
        <w:t> </w:t>
      </w:r>
      <w:r>
        <w:rPr>
          <w:rFonts w:ascii="宋体" w:hAnsi="宋体" w:cs="宋体" w:eastAsia="宋体" w:hint="default"/>
          <w:spacing w:val="-12"/>
        </w:rPr>
      </w:r>
      <w:r>
        <w:rPr/>
        <w:t>年度至</w:t>
      </w:r>
      <w:r>
        <w:rPr>
          <w:rFonts w:ascii="宋体" w:hAnsi="宋体" w:cs="宋体" w:eastAsia="宋体" w:hint="default"/>
        </w:rPr>
        <w:t>2012</w:t>
      </w:r>
      <w:r>
        <w:rPr/>
        <w:t>年度三年</w:t>
      </w:r>
      <w:r>
        <w:rPr>
          <w:rFonts w:ascii="宋体" w:hAnsi="宋体" w:cs="宋体" w:eastAsia="宋体" w:hint="default"/>
        </w:rPr>
        <w:t>15%</w:t>
      </w:r>
      <w:r>
        <w:rPr/>
        <w:t>的企业所得税税收优惠。本年适用所得税税率为</w:t>
      </w:r>
      <w:r>
        <w:rPr>
          <w:rFonts w:ascii="宋体" w:hAnsi="宋体" w:cs="宋体" w:eastAsia="宋体" w:hint="default"/>
        </w:rPr>
        <w:t>15%</w:t>
      </w:r>
      <w:r>
        <w:rPr/>
        <w:t>。</w:t>
      </w:r>
    </w:p>
    <w:p>
      <w:pPr>
        <w:spacing w:line="240" w:lineRule="auto" w:before="8"/>
        <w:rPr>
          <w:rFonts w:ascii="宋体" w:hAnsi="宋体" w:cs="宋体" w:eastAsia="宋体" w:hint="default"/>
          <w:sz w:val="21"/>
          <w:szCs w:val="21"/>
        </w:rPr>
      </w:pPr>
    </w:p>
    <w:p>
      <w:pPr>
        <w:pStyle w:val="Heading3"/>
        <w:spacing w:line="240" w:lineRule="auto"/>
        <w:ind w:left="512" w:right="0"/>
        <w:jc w:val="both"/>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512" w:right="0"/>
        <w:jc w:val="both"/>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12" w:right="0"/>
        <w:jc w:val="both"/>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spacing w:before="0"/>
        <w:ind w:left="0" w:right="5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684"/>
        <w:gridCol w:w="684"/>
        <w:gridCol w:w="775"/>
        <w:gridCol w:w="684"/>
        <w:gridCol w:w="910"/>
        <w:gridCol w:w="1519"/>
        <w:gridCol w:w="684"/>
        <w:gridCol w:w="682"/>
        <w:gridCol w:w="514"/>
        <w:gridCol w:w="540"/>
        <w:gridCol w:w="416"/>
        <w:gridCol w:w="900"/>
        <w:gridCol w:w="720"/>
        <w:gridCol w:w="720"/>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71"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40" w:right="3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上海优 优商务 咨询有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sz w:val="18"/>
              </w:rPr>
              <w:t>200000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企业投资咨询与市 场营销策划，商务 咨询，会务会展服</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1" w:right="0"/>
              <w:jc w:val="left"/>
              <w:rPr>
                <w:rFonts w:ascii="Times New Roman" w:hAnsi="Times New Roman" w:cs="Times New Roman" w:eastAsia="Times New Roman" w:hint="default"/>
                <w:sz w:val="18"/>
                <w:szCs w:val="18"/>
              </w:rPr>
            </w:pPr>
            <w:r>
              <w:rPr>
                <w:rFonts w:ascii="Times New Roman"/>
                <w:sz w:val="18"/>
              </w:rPr>
              <w:t>85%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80" w:right="0"/>
              <w:jc w:val="left"/>
              <w:rPr>
                <w:rFonts w:ascii="Times New Roman" w:hAnsi="Times New Roman" w:cs="Times New Roman" w:eastAsia="Times New Roman" w:hint="default"/>
                <w:sz w:val="18"/>
                <w:szCs w:val="18"/>
              </w:rPr>
            </w:pPr>
            <w:r>
              <w:rPr>
                <w:rFonts w:ascii="Times New Roman"/>
                <w:sz w:val="18"/>
              </w:rPr>
              <w:t>85%</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48" w:right="0"/>
              <w:jc w:val="left"/>
              <w:rPr>
                <w:rFonts w:ascii="Times New Roman" w:hAnsi="Times New Roman" w:cs="Times New Roman" w:eastAsia="Times New Roman" w:hint="default"/>
                <w:sz w:val="18"/>
                <w:szCs w:val="18"/>
              </w:rPr>
            </w:pPr>
            <w:r>
              <w:rPr>
                <w:rFonts w:ascii="Times New Roman"/>
                <w:sz w:val="18"/>
              </w:rPr>
              <w:t>10,439.69</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620" w:right="620"/>
        </w:sectPr>
      </w:pPr>
    </w:p>
    <w:tbl>
      <w:tblPr>
        <w:tblW w:w="0" w:type="auto"/>
        <w:jc w:val="left"/>
        <w:tblInd w:w="111" w:type="dxa"/>
        <w:tblLayout w:type="fixed"/>
        <w:tblCellMar>
          <w:top w:w="0" w:type="dxa"/>
          <w:left w:w="0" w:type="dxa"/>
          <w:bottom w:w="0" w:type="dxa"/>
          <w:right w:w="0" w:type="dxa"/>
        </w:tblCellMar>
        <w:tblLook w:val="01E0"/>
      </w:tblPr>
      <w:tblGrid>
        <w:gridCol w:w="684"/>
        <w:gridCol w:w="684"/>
        <w:gridCol w:w="775"/>
        <w:gridCol w:w="684"/>
        <w:gridCol w:w="910"/>
        <w:gridCol w:w="1519"/>
        <w:gridCol w:w="66"/>
        <w:gridCol w:w="618"/>
        <w:gridCol w:w="682"/>
        <w:gridCol w:w="514"/>
        <w:gridCol w:w="540"/>
        <w:gridCol w:w="416"/>
        <w:gridCol w:w="900"/>
        <w:gridCol w:w="720"/>
        <w:gridCol w:w="720"/>
      </w:tblGrid>
      <w:tr>
        <w:trPr>
          <w:trHeight w:val="315" w:hRule="exact"/>
        </w:trPr>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4" w:type="dxa"/>
            <w:vMerge w:val="restart"/>
            <w:tcBorders>
              <w:top w:val="single" w:sz="4" w:space="0" w:color="000000"/>
              <w:left w:val="single" w:sz="4" w:space="0" w:color="000000"/>
              <w:right w:val="single" w:sz="4" w:space="0" w:color="000000"/>
            </w:tcBorders>
          </w:tcPr>
          <w:p>
            <w:pPr/>
          </w:p>
        </w:tc>
        <w:tc>
          <w:tcPr>
            <w:tcW w:w="77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80"/>
                <w:sz w:val="18"/>
                <w:szCs w:val="18"/>
              </w:rPr>
              <w:t>务</w:t>
            </w:r>
            <w:r>
              <w:rPr>
                <w:rFonts w:ascii="宋体" w:hAnsi="宋体" w:cs="宋体" w:eastAsia="宋体" w:hint="default"/>
                <w:sz w:val="18"/>
                <w:szCs w:val="18"/>
              </w:rPr>
              <w:t>（除经纪</w:t>
            </w:r>
            <w:r>
              <w:rPr>
                <w:rFonts w:ascii="宋体" w:hAnsi="宋体" w:cs="宋体" w:eastAsia="宋体" w:hint="default"/>
                <w:spacing w:val="-92"/>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设计</w:t>
            </w:r>
          </w:p>
        </w:tc>
        <w:tc>
          <w:tcPr>
            <w:tcW w:w="684" w:type="dxa"/>
            <w:gridSpan w:val="2"/>
            <w:vMerge w:val="restart"/>
            <w:tcBorders>
              <w:top w:val="single" w:sz="4" w:space="0" w:color="000000"/>
              <w:left w:val="single" w:sz="4" w:space="0" w:color="000000"/>
              <w:right w:val="single" w:sz="4" w:space="0" w:color="000000"/>
            </w:tcBorders>
          </w:tcPr>
          <w:p>
            <w:pPr>
              <w:pStyle w:val="TableParagraph"/>
              <w:spacing w:line="2849" w:lineRule="exact"/>
              <w:ind w:left="2" w:right="-51"/>
              <w:jc w:val="left"/>
              <w:rPr>
                <w:rFonts w:ascii="宋体" w:hAnsi="宋体" w:cs="宋体" w:eastAsia="宋体" w:hint="default"/>
                <w:sz w:val="20"/>
                <w:szCs w:val="20"/>
              </w:rPr>
            </w:pPr>
            <w:r>
              <w:rPr>
                <w:rFonts w:ascii="宋体" w:hAnsi="宋体" w:cs="宋体" w:eastAsia="宋体" w:hint="default"/>
                <w:position w:val="-56"/>
                <w:sz w:val="20"/>
                <w:szCs w:val="20"/>
              </w:rPr>
              <w:pict>
                <v:group style="width:33.65pt;height:142.5pt;mso-position-horizontal-relative:char;mso-position-vertical-relative:line" coordorigin="0,0" coordsize="673,2850">
                  <v:group style="position:absolute;left:0;top:0;width:673;height:2850" coordorigin="0,0" coordsize="673,2850">
                    <v:shape style="position:absolute;left:0;top:0;width:673;height:2850" coordorigin="0,0" coordsize="673,2850" path="m0,2849l672,2849,672,0,0,0,0,2849xe" filled="true" fillcolor="#ffffff" stroked="false">
                      <v:path arrowok="t"/>
                      <v:fill type="solid"/>
                    </v:shape>
                  </v:group>
                </v:group>
              </w:pict>
            </w:r>
            <w:r>
              <w:rPr>
                <w:rFonts w:ascii="宋体" w:hAnsi="宋体" w:cs="宋体" w:eastAsia="宋体" w:hint="default"/>
                <w:position w:val="-56"/>
                <w:sz w:val="20"/>
                <w:szCs w:val="20"/>
              </w:rPr>
            </w:r>
          </w:p>
        </w:tc>
        <w:tc>
          <w:tcPr>
            <w:tcW w:w="682" w:type="dxa"/>
            <w:vMerge w:val="restart"/>
            <w:tcBorders>
              <w:top w:val="single" w:sz="4" w:space="0" w:color="000000"/>
              <w:left w:val="single" w:sz="4" w:space="0" w:color="000000"/>
              <w:right w:val="single" w:sz="4" w:space="0" w:color="000000"/>
            </w:tcBorders>
          </w:tcPr>
          <w:p>
            <w:pPr/>
          </w:p>
        </w:tc>
        <w:tc>
          <w:tcPr>
            <w:tcW w:w="514"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416"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制作各类广告，计</w:t>
            </w:r>
          </w:p>
        </w:tc>
        <w:tc>
          <w:tcPr>
            <w:tcW w:w="684" w:type="dxa"/>
            <w:gridSpan w:val="2"/>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算机软件硬件以及</w:t>
            </w:r>
          </w:p>
        </w:tc>
        <w:tc>
          <w:tcPr>
            <w:tcW w:w="684" w:type="dxa"/>
            <w:gridSpan w:val="2"/>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网络系统领域内的</w:t>
            </w:r>
          </w:p>
        </w:tc>
        <w:tc>
          <w:tcPr>
            <w:tcW w:w="684" w:type="dxa"/>
            <w:gridSpan w:val="2"/>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技术开发、技术服</w:t>
            </w:r>
          </w:p>
        </w:tc>
        <w:tc>
          <w:tcPr>
            <w:tcW w:w="684" w:type="dxa"/>
            <w:gridSpan w:val="2"/>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务、技术咨询、技</w:t>
            </w:r>
          </w:p>
        </w:tc>
        <w:tc>
          <w:tcPr>
            <w:tcW w:w="684" w:type="dxa"/>
            <w:gridSpan w:val="2"/>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术转让</w:t>
            </w:r>
            <w:r>
              <w:rPr>
                <w:rFonts w:ascii="宋体" w:hAnsi="宋体" w:cs="宋体" w:eastAsia="宋体" w:hint="default"/>
                <w:spacing w:val="-159"/>
                <w:sz w:val="18"/>
                <w:szCs w:val="18"/>
              </w:rPr>
              <w:t>。</w:t>
            </w:r>
            <w:r>
              <w:rPr>
                <w:rFonts w:ascii="宋体" w:hAnsi="宋体" w:cs="宋体" w:eastAsia="宋体" w:hint="default"/>
                <w:sz w:val="18"/>
                <w:szCs w:val="18"/>
              </w:rPr>
              <w:t>（涉及行政</w:t>
            </w:r>
          </w:p>
        </w:tc>
        <w:tc>
          <w:tcPr>
            <w:tcW w:w="684" w:type="dxa"/>
            <w:gridSpan w:val="2"/>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许可的，凭许可证</w:t>
            </w:r>
          </w:p>
        </w:tc>
        <w:tc>
          <w:tcPr>
            <w:tcW w:w="684" w:type="dxa"/>
            <w:gridSpan w:val="2"/>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514"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416"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60"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684" w:type="dxa"/>
            <w:gridSpan w:val="2"/>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416"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355" w:hRule="exact"/>
        </w:trPr>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w:t>
            </w:r>
          </w:p>
        </w:tc>
        <w:tc>
          <w:tcPr>
            <w:tcW w:w="68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684" w:type="dxa"/>
            <w:gridSpan w:val="2"/>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514"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629"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方财富 管理专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非企业 单位</w:t>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3"/>
              <w:jc w:val="left"/>
              <w:rPr>
                <w:rFonts w:ascii="宋体" w:hAnsi="宋体" w:cs="宋体" w:eastAsia="宋体" w:hint="default"/>
                <w:sz w:val="18"/>
                <w:szCs w:val="18"/>
              </w:rPr>
            </w:pPr>
            <w:r>
              <w:rPr>
                <w:rFonts w:ascii="宋体" w:hAnsi="宋体" w:cs="宋体" w:eastAsia="宋体" w:hint="default"/>
                <w:sz w:val="18"/>
                <w:szCs w:val="18"/>
              </w:rPr>
              <w:t>高等及以下非学历 业余教育</w:t>
            </w:r>
          </w:p>
        </w:tc>
        <w:tc>
          <w:tcPr>
            <w:tcW w:w="684"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4"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.00</w:t>
            </w: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59,159.77</w:t>
            </w: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53" w:hRule="exact"/>
        </w:trPr>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修学院</w:t>
            </w:r>
          </w:p>
        </w:tc>
        <w:tc>
          <w:tcPr>
            <w:tcW w:w="68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684" w:type="dxa"/>
            <w:gridSpan w:val="2"/>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514"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355"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企业投资咨询、策</w:t>
            </w:r>
          </w:p>
        </w:tc>
        <w:tc>
          <w:tcPr>
            <w:tcW w:w="66" w:type="dxa"/>
            <w:vMerge w:val="restart"/>
            <w:tcBorders>
              <w:top w:val="single" w:sz="4" w:space="0" w:color="000000"/>
              <w:left w:val="single" w:sz="9" w:space="0" w:color="FFFFFF"/>
              <w:right w:val="nil" w:sz="6" w:space="0" w:color="auto"/>
            </w:tcBorders>
          </w:tcPr>
          <w:p>
            <w:pPr/>
          </w:p>
        </w:tc>
        <w:tc>
          <w:tcPr>
            <w:tcW w:w="618" w:type="dxa"/>
            <w:tcBorders>
              <w:top w:val="single" w:sz="4" w:space="0" w:color="000000"/>
              <w:left w:val="nil" w:sz="6" w:space="0" w:color="auto"/>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514"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划，商务咨询（除</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经纪）</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开发及销售，计算</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机软硬件及网络专</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上海东</w:t>
            </w: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业领域内的技术开</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629"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银软件 科技有</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w:t>
            </w:r>
          </w:p>
        </w:tc>
        <w:tc>
          <w:tcPr>
            <w:tcW w:w="1519"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发、技术咨询、技 术服务、</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2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07"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技术培训、技术承</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包、技术入股、技</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术中介。设计制作</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各类广告</w:t>
            </w:r>
            <w:r>
              <w:rPr>
                <w:rFonts w:ascii="宋体" w:hAnsi="宋体" w:cs="宋体" w:eastAsia="宋体" w:hint="default"/>
                <w:spacing w:val="-159"/>
                <w:sz w:val="18"/>
                <w:szCs w:val="18"/>
              </w:rPr>
              <w:t>。</w:t>
            </w:r>
            <w:r>
              <w:rPr>
                <w:rFonts w:ascii="宋体" w:hAnsi="宋体" w:cs="宋体" w:eastAsia="宋体" w:hint="default"/>
                <w:sz w:val="18"/>
                <w:szCs w:val="18"/>
              </w:rPr>
              <w:t>（涉及行</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政许可的，凭许可</w:t>
            </w:r>
          </w:p>
        </w:tc>
        <w:tc>
          <w:tcPr>
            <w:tcW w:w="66" w:type="dxa"/>
            <w:vMerge/>
            <w:tcBorders>
              <w:left w:val="single" w:sz="9" w:space="0" w:color="FFFFFF"/>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60"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证经营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6" w:type="dxa"/>
            <w:vMerge/>
            <w:tcBorders>
              <w:left w:val="single" w:sz="9" w:space="0" w:color="FFFFFF"/>
              <w:bottom w:val="single" w:sz="4" w:space="0" w:color="000000"/>
              <w:right w:val="nil" w:sz="6" w:space="0" w:color="auto"/>
            </w:tcBorders>
          </w:tcPr>
          <w:p>
            <w:pPr/>
          </w:p>
        </w:tc>
        <w:tc>
          <w:tcPr>
            <w:tcW w:w="618" w:type="dxa"/>
            <w:tcBorders>
              <w:top w:val="nil" w:sz="6" w:space="0" w:color="auto"/>
              <w:left w:val="nil" w:sz="6" w:space="0" w:color="auto"/>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514"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355"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企业投资咨询、策</w:t>
            </w:r>
          </w:p>
        </w:tc>
        <w:tc>
          <w:tcPr>
            <w:tcW w:w="66" w:type="dxa"/>
            <w:vMerge w:val="restart"/>
            <w:tcBorders>
              <w:top w:val="single" w:sz="4" w:space="0" w:color="000000"/>
              <w:left w:val="single" w:sz="4" w:space="0" w:color="000000"/>
              <w:right w:val="nil" w:sz="6" w:space="0" w:color="auto"/>
            </w:tcBorders>
          </w:tcPr>
          <w:p>
            <w:pPr/>
          </w:p>
        </w:tc>
        <w:tc>
          <w:tcPr>
            <w:tcW w:w="618" w:type="dxa"/>
            <w:tcBorders>
              <w:top w:val="single" w:sz="4" w:space="0" w:color="000000"/>
              <w:left w:val="nil" w:sz="6" w:space="0" w:color="auto"/>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514"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16"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划，商务咨询、投</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资理财咨询、会务</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会展服务咨询（除</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经纪</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承接各类广</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上海中</w:t>
            </w: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告、制作，代理国</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630"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经商务 咨询有</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108"/>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43"/>
              <w:jc w:val="left"/>
              <w:rPr>
                <w:rFonts w:ascii="宋体" w:hAnsi="宋体" w:cs="宋体" w:eastAsia="宋体" w:hint="default"/>
                <w:sz w:val="18"/>
                <w:szCs w:val="18"/>
              </w:rPr>
            </w:pPr>
            <w:r>
              <w:rPr>
                <w:rFonts w:ascii="宋体" w:hAnsi="宋体" w:cs="宋体" w:eastAsia="宋体" w:hint="default"/>
                <w:sz w:val="18"/>
                <w:szCs w:val="18"/>
              </w:rPr>
              <w:t>内广告业务，计算 机软硬件及网络专</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Style w:val="TableParagraph"/>
              <w:spacing w:line="240" w:lineRule="auto" w:before="52"/>
              <w:ind w:left="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.00</w:t>
            </w: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07"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业领域内的技术开</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发、技术服务、技</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术咨询、</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（涉及行政许可</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910" w:type="dxa"/>
            <w:tcBorders>
              <w:top w:val="nil" w:sz="6" w:space="0" w:color="auto"/>
              <w:left w:val="single" w:sz="4" w:space="0" w:color="000000"/>
              <w:bottom w:val="nil" w:sz="6" w:space="0" w:color="auto"/>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的，凭许可证经</w:t>
            </w:r>
          </w:p>
        </w:tc>
        <w:tc>
          <w:tcPr>
            <w:tcW w:w="66" w:type="dxa"/>
            <w:vMerge/>
            <w:tcBorders>
              <w:left w:val="single" w:sz="4" w:space="0" w:color="000000"/>
              <w:right w:val="nil" w:sz="6" w:space="0" w:color="auto"/>
            </w:tcBorders>
          </w:tcPr>
          <w:p>
            <w:pPr/>
          </w:p>
        </w:tc>
        <w:tc>
          <w:tcPr>
            <w:tcW w:w="618" w:type="dxa"/>
            <w:tcBorders>
              <w:top w:val="nil" w:sz="6" w:space="0" w:color="auto"/>
              <w:left w:val="nil" w:sz="6" w:space="0" w:color="auto"/>
              <w:bottom w:val="nil" w:sz="6" w:space="0" w:color="auto"/>
              <w:right w:val="single" w:sz="4" w:space="0" w:color="000000"/>
            </w:tcBorders>
          </w:tcPr>
          <w:p>
            <w:pPr/>
          </w:p>
        </w:tc>
        <w:tc>
          <w:tcPr>
            <w:tcW w:w="682" w:type="dxa"/>
            <w:vMerge/>
            <w:tcBorders>
              <w:left w:val="single" w:sz="4" w:space="0" w:color="000000"/>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416"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357"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6" w:type="dxa"/>
            <w:vMerge/>
            <w:tcBorders>
              <w:left w:val="single" w:sz="4" w:space="0" w:color="000000"/>
              <w:bottom w:val="single" w:sz="4" w:space="0" w:color="000000"/>
              <w:right w:val="nil" w:sz="6" w:space="0" w:color="auto"/>
            </w:tcBorders>
          </w:tcPr>
          <w:p>
            <w:pPr/>
          </w:p>
        </w:tc>
        <w:tc>
          <w:tcPr>
            <w:tcW w:w="618" w:type="dxa"/>
            <w:tcBorders>
              <w:top w:val="nil" w:sz="6" w:space="0" w:color="auto"/>
              <w:left w:val="nil" w:sz="6" w:space="0" w:color="auto"/>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514"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16"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08"/>
              <w:jc w:val="left"/>
              <w:rPr>
                <w:rFonts w:ascii="宋体" w:hAnsi="宋体" w:cs="宋体" w:eastAsia="宋体" w:hint="default"/>
                <w:sz w:val="18"/>
                <w:szCs w:val="18"/>
              </w:rPr>
            </w:pPr>
            <w:r>
              <w:rPr>
                <w:rFonts w:ascii="宋体" w:hAnsi="宋体" w:cs="宋体" w:eastAsia="宋体" w:hint="default"/>
                <w:sz w:val="18"/>
                <w:szCs w:val="18"/>
              </w:rPr>
              <w:t>北京京 东财信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tc>
        <w:tc>
          <w:tcPr>
            <w:tcW w:w="1519"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70"/>
              <w:ind w:left="23" w:right="31"/>
              <w:jc w:val="left"/>
              <w:rPr>
                <w:rFonts w:ascii="宋体" w:hAnsi="宋体" w:cs="宋体" w:eastAsia="宋体" w:hint="default"/>
                <w:sz w:val="18"/>
                <w:szCs w:val="18"/>
              </w:rPr>
            </w:pPr>
            <w:r>
              <w:rPr>
                <w:rFonts w:ascii="宋体" w:hAnsi="宋体" w:cs="宋体" w:eastAsia="宋体" w:hint="default"/>
                <w:sz w:val="18"/>
                <w:szCs w:val="18"/>
              </w:rPr>
              <w:t>技术推广服务，软 件开发，</w:t>
            </w:r>
          </w:p>
        </w:tc>
        <w:tc>
          <w:tcPr>
            <w:tcW w:w="66" w:type="dxa"/>
            <w:tcBorders>
              <w:top w:val="single" w:sz="4" w:space="0" w:color="000000"/>
              <w:left w:val="single" w:sz="13" w:space="0" w:color="FFFFFF"/>
              <w:bottom w:val="single" w:sz="4" w:space="0" w:color="000000"/>
              <w:right w:val="nil" w:sz="6" w:space="0" w:color="auto"/>
            </w:tcBorders>
          </w:tcPr>
          <w:p>
            <w:pPr/>
          </w:p>
        </w:tc>
        <w:tc>
          <w:tcPr>
            <w:tcW w:w="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293.795013pt;margin-top:72.47998pt;width:39.9pt;height:142.5pt;mso-position-horizontal-relative:page;mso-position-vertical-relative:page;z-index:-65996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47.606995pt;margin-top:282.289978pt;width:86.1pt;height:93.6pt;mso-position-horizontal-relative:page;mso-position-vertical-relative:page;z-index:-6599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，软件设计、</w:t>
                  </w:r>
                </w:p>
              </w:txbxContent>
            </v:textbox>
            <w10:wrap type="none"/>
          </v:shape>
        </w:pict>
      </w:r>
      <w:r>
        <w:rPr/>
        <w:pict>
          <v:shape style="position:absolute;margin-left:257.812988pt;margin-top:393.529968pt;width:74.7pt;height:17.650pt;mso-position-horizontal-relative:page;mso-position-vertical-relative:page;z-index:-65992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技术转让，</w:t>
                  </w:r>
                </w:p>
              </w:txbxContent>
            </v:textbox>
            <w10:wrap type="none"/>
          </v:shape>
        </w:pict>
      </w:r>
      <w:r>
        <w:rPr/>
        <w:pict>
          <v:shape style="position:absolute;margin-left:257.812988pt;margin-top:634.059998pt;width:75.9pt;height:93.6pt;mso-position-horizontal-relative:page;mso-position-vertical-relative:page;z-index:-659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技术转让。</w:t>
                  </w:r>
                </w:p>
              </w:txbxContent>
            </v:textbox>
            <w10:wrap type="none"/>
          </v:shape>
        </w:pict>
      </w:r>
      <w:r>
        <w:rPr/>
        <w:pict>
          <v:shape style="position:absolute;margin-left:257.812988pt;margin-top:745.776001pt;width:74.7pt;height:17.650pt;mso-position-horizontal-relative:page;mso-position-vertical-relative:page;z-index:-659872" type="#_x0000_t202" filled="false" stroked="false">
            <v:textbox inset="0,0,0,0">
              <w:txbxContent>
                <w:p>
                  <w:pPr>
                    <w:spacing w:before="27"/>
                    <w:ind w:left="0" w:right="0" w:firstLine="0"/>
                    <w:jc w:val="left"/>
                    <w:rPr>
                      <w:rFonts w:ascii="宋体" w:hAnsi="宋体" w:cs="宋体" w:eastAsia="宋体" w:hint="default"/>
                      <w:sz w:val="18"/>
                      <w:szCs w:val="18"/>
                    </w:rPr>
                  </w:pPr>
                  <w:r>
                    <w:rPr>
                      <w:rFonts w:ascii="宋体" w:hAnsi="宋体" w:cs="宋体" w:eastAsia="宋体" w:hint="default"/>
                      <w:sz w:val="18"/>
                      <w:szCs w:val="18"/>
                    </w:rPr>
                    <w:t>投资咨询，</w:t>
                  </w:r>
                </w:p>
              </w:txbxContent>
            </v:textbox>
            <w10:wrap type="none"/>
          </v:shape>
        </w:pict>
      </w:r>
      <w:r>
        <w:rPr/>
        <w:pict>
          <v:group style="position:absolute;margin-left:300.049988pt;margin-top:282.289978pt;width:33.65pt;height:93.6pt;mso-position-horizontal-relative:page;mso-position-vertical-relative:page;z-index:-659848" coordorigin="6001,5646" coordsize="673,1872">
            <v:shape style="position:absolute;left:6001;top:5646;width:673;height:1872" coordorigin="6001,5646" coordsize="673,1872" path="m6001,7518l6673,7518,6673,5646,6001,5646,6001,7518xe" filled="true" fillcolor="#ffffff" stroked="false">
              <v:path arrowok="t"/>
              <v:fill type="solid"/>
            </v:shape>
            <w10:wrap type="none"/>
          </v:group>
        </w:pict>
      </w:r>
      <w:r>
        <w:rPr/>
        <w:pict>
          <v:group style="position:absolute;margin-left:301.130005pt;margin-top:393.529968pt;width:31.35pt;height:17.650pt;mso-position-horizontal-relative:page;mso-position-vertical-relative:page;z-index:-659824" coordorigin="6023,7871" coordsize="627,353">
            <v:shape style="position:absolute;left:6023;top:7871;width:627;height:353" coordorigin="6023,7871" coordsize="627,353" path="m6023,8223l6649,8223,6649,7871,6023,7871,6023,8223xe" filled="true" fillcolor="#ffffff" stroked="false">
              <v:path arrowok="t"/>
              <v:fill type="solid"/>
            </v:shape>
            <w10:wrap type="none"/>
          </v:group>
        </w:pict>
      </w:r>
      <w:r>
        <w:rPr/>
        <w:pict>
          <v:group style="position:absolute;margin-left:300.049988pt;margin-top:634.059998pt;width:33.65pt;height:93.6pt;mso-position-horizontal-relative:page;mso-position-vertical-relative:page;z-index:-659800" coordorigin="6001,12681" coordsize="673,1872">
            <v:shape style="position:absolute;left:6001;top:12681;width:673;height:1872" coordorigin="6001,12681" coordsize="673,1872" path="m6001,14553l6673,14553,6673,12681,6001,12681,6001,14553xe" filled="true" fillcolor="#ffffff" stroked="false">
              <v:path arrowok="t"/>
              <v:fill type="solid"/>
            </v:shape>
            <w10:wrap type="none"/>
          </v:group>
        </w:pict>
      </w:r>
      <w:r>
        <w:rPr/>
        <w:pict>
          <v:group style="position:absolute;margin-left:301.130005pt;margin-top:745.776001pt;width:31.35pt;height:17.650pt;mso-position-horizontal-relative:page;mso-position-vertical-relative:page;z-index:-659776" coordorigin="6023,14916" coordsize="627,353">
            <v:shape style="position:absolute;left:6023;top:14916;width:627;height:353" coordorigin="6023,14916" coordsize="627,353" path="m6023,15268l6649,15268,6649,14916,6023,14916,6023,15268xe" filled="true" fillcolor="#ffffff" stroked="false">
              <v:path arrowok="t"/>
              <v:fill type="solid"/>
            </v:shape>
            <w10:wrap type="none"/>
          </v:group>
        </w:pict>
      </w:r>
    </w:p>
    <w:p>
      <w:pPr>
        <w:spacing w:after="0"/>
        <w:rPr>
          <w:sz w:val="2"/>
          <w:szCs w:val="2"/>
        </w:rPr>
        <w:sectPr>
          <w:pgSz w:w="11910" w:h="16840"/>
          <w:pgMar w:header="852" w:footer="980" w:top="1440" w:bottom="1160" w:left="620" w:right="620"/>
        </w:sectPr>
      </w:pPr>
    </w:p>
    <w:tbl>
      <w:tblPr>
        <w:tblW w:w="0" w:type="auto"/>
        <w:jc w:val="left"/>
        <w:tblInd w:w="111" w:type="dxa"/>
        <w:tblLayout w:type="fixed"/>
        <w:tblCellMar>
          <w:top w:w="0" w:type="dxa"/>
          <w:left w:w="0" w:type="dxa"/>
          <w:bottom w:w="0" w:type="dxa"/>
          <w:right w:w="0" w:type="dxa"/>
        </w:tblCellMar>
        <w:tblLook w:val="01E0"/>
      </w:tblPr>
      <w:tblGrid>
        <w:gridCol w:w="684"/>
        <w:gridCol w:w="684"/>
        <w:gridCol w:w="775"/>
        <w:gridCol w:w="684"/>
        <w:gridCol w:w="910"/>
        <w:gridCol w:w="1519"/>
        <w:gridCol w:w="89"/>
        <w:gridCol w:w="596"/>
        <w:gridCol w:w="682"/>
        <w:gridCol w:w="514"/>
        <w:gridCol w:w="540"/>
        <w:gridCol w:w="416"/>
        <w:gridCol w:w="900"/>
        <w:gridCol w:w="720"/>
        <w:gridCol w:w="720"/>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息科技 有限公 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3"/>
              <w:jc w:val="both"/>
              <w:rPr>
                <w:rFonts w:ascii="宋体" w:hAnsi="宋体" w:cs="宋体" w:eastAsia="宋体" w:hint="default"/>
                <w:sz w:val="18"/>
                <w:szCs w:val="18"/>
              </w:rPr>
            </w:pPr>
            <w:r>
              <w:rPr>
                <w:rFonts w:ascii="宋体" w:hAnsi="宋体" w:cs="宋体" w:eastAsia="宋体" w:hint="default"/>
                <w:sz w:val="18"/>
                <w:szCs w:val="18"/>
              </w:rPr>
              <w:t>企业策划，经济贸 易咨询，会议及展 览服务，设计、制 作、代理、发布广 告</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广州东 财信息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8"/>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计算机软硬件、网 路系统的技术开 发、技术咨询、技 术服务、 企业投资咨询、策 划（证券期货投资 </w:t>
            </w:r>
            <w:r>
              <w:rPr>
                <w:rFonts w:ascii="宋体" w:hAnsi="宋体" w:cs="宋体" w:eastAsia="宋体" w:hint="default"/>
                <w:spacing w:val="-18"/>
                <w:sz w:val="18"/>
                <w:szCs w:val="18"/>
              </w:rPr>
              <w:t>咨询除外），商务信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息咨询，会务会展 咨询，设计制作发 布代理各类广告</w:t>
            </w:r>
          </w:p>
        </w:tc>
        <w:tc>
          <w:tcPr>
            <w:tcW w:w="89" w:type="dxa"/>
            <w:tcBorders>
              <w:top w:val="single" w:sz="4" w:space="0" w:color="000000"/>
              <w:left w:val="single" w:sz="4" w:space="0" w:color="000000"/>
              <w:bottom w:val="single" w:sz="4" w:space="0" w:color="000000"/>
              <w:right w:val="nil" w:sz="6" w:space="0" w:color="auto"/>
            </w:tcBorders>
          </w:tcPr>
          <w:p>
            <w:pPr/>
          </w:p>
        </w:tc>
        <w:tc>
          <w:tcPr>
            <w:tcW w:w="5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上海天 天基金 销售有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8"/>
              <w:jc w:val="left"/>
              <w:rPr>
                <w:rFonts w:ascii="宋体" w:hAnsi="宋体" w:cs="宋体" w:eastAsia="宋体" w:hint="default"/>
                <w:sz w:val="18"/>
                <w:szCs w:val="18"/>
              </w:rPr>
            </w:pPr>
            <w:r>
              <w:rPr>
                <w:rFonts w:ascii="宋体" w:hAnsi="宋体" w:cs="宋体" w:eastAsia="宋体" w:hint="default"/>
                <w:sz w:val="18"/>
                <w:szCs w:val="18"/>
              </w:rPr>
              <w:t>基金销 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151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基金销售（企业经 营设计行政许可 的，</w:t>
            </w:r>
          </w:p>
        </w:tc>
        <w:tc>
          <w:tcPr>
            <w:tcW w:w="89" w:type="dxa"/>
            <w:tcBorders>
              <w:top w:val="single" w:sz="4" w:space="0" w:color="000000"/>
              <w:left w:val="single" w:sz="13" w:space="0" w:color="FFFFFF"/>
              <w:bottom w:val="single" w:sz="4" w:space="0" w:color="000000"/>
              <w:right w:val="nil" w:sz="6" w:space="0" w:color="auto"/>
            </w:tcBorders>
          </w:tcPr>
          <w:p>
            <w:pPr/>
          </w:p>
        </w:tc>
        <w:tc>
          <w:tcPr>
            <w:tcW w:w="5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上海东 方财富 金融数 据服务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8"/>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金融数据服务，计 算机软硬件及网路 系统的技术开发、 技术咨询、技术转 让、计算机软硬件 的销售，企业投资 咨询、策划，商务 咨询，会务会展， 设计制作发布代理 各类广告</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上海东 方财富 置业有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房地产 开发经 营服务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43"/>
              <w:jc w:val="left"/>
              <w:rPr>
                <w:rFonts w:ascii="宋体" w:hAnsi="宋体" w:cs="宋体" w:eastAsia="宋体" w:hint="default"/>
                <w:sz w:val="18"/>
                <w:szCs w:val="18"/>
              </w:rPr>
            </w:pPr>
            <w:r>
              <w:rPr>
                <w:rFonts w:ascii="宋体" w:hAnsi="宋体" w:cs="宋体" w:eastAsia="宋体" w:hint="default"/>
                <w:sz w:val="18"/>
                <w:szCs w:val="18"/>
              </w:rPr>
              <w:t>房地产开发经营， 物业管理</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r>
        <w:rPr/>
        <w:pict>
          <v:shape style="position:absolute;margin-left:257.812988pt;margin-top:153.019989pt;width:75.9pt;height:62.4pt;mso-position-horizontal-relative:page;mso-position-vertical-relative:page;z-index:-659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技术转让、</w:t>
                  </w:r>
                </w:p>
              </w:txbxContent>
            </v:textbox>
            <w10:wrap type="none"/>
          </v:shape>
        </w:pict>
      </w:r>
      <w:r>
        <w:rPr/>
        <w:pict>
          <v:shape style="position:absolute;margin-left:239.813004pt;margin-top:346.72998pt;width:92.7pt;height:20pt;mso-position-horizontal-relative:page;mso-position-vertical-relative:page;z-index:-659728"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凭许可证经营）</w:t>
                  </w:r>
                </w:p>
              </w:txbxContent>
            </v:textbox>
            <w10:wrap type="none"/>
          </v:shape>
        </w:pict>
      </w:r>
      <w:r>
        <w:rPr/>
        <w:pict>
          <v:group style="position:absolute;margin-left:300.049988pt;margin-top:153.019989pt;width:33.65pt;height:62.4pt;mso-position-horizontal-relative:page;mso-position-vertical-relative:page;z-index:-659704" coordorigin="6001,3060" coordsize="673,1248">
            <v:shape style="position:absolute;left:6001;top:3060;width:673;height:1248" coordorigin="6001,3060" coordsize="673,1248" path="m6001,4308l6673,4308,6673,3060,6001,3060,6001,4308xe" filled="true" fillcolor="#ffffff" stroked="false">
              <v:path arrowok="t"/>
              <v:fill type="solid"/>
            </v:shape>
            <w10:wrap type="none"/>
          </v:group>
        </w:pict>
      </w:r>
      <w:r>
        <w:rPr/>
        <w:pict>
          <v:group style="position:absolute;margin-left:300.049988pt;margin-top:346.72998pt;width:33.65pt;height:33.25pt;mso-position-horizontal-relative:page;mso-position-vertical-relative:page;z-index:-659680" coordorigin="6001,6935" coordsize="673,665">
            <v:group style="position:absolute;left:6001;top:7287;width:673;height:312" coordorigin="6001,7287" coordsize="673,312">
              <v:shape style="position:absolute;left:6001;top:7287;width:673;height:312" coordorigin="6001,7287" coordsize="673,312" path="m6001,7599l6673,7599,6673,7287,6001,7287,6001,7599xe" filled="true" fillcolor="#ffffff" stroked="false">
                <v:path arrowok="t"/>
                <v:fill type="solid"/>
              </v:shape>
            </v:group>
            <v:group style="position:absolute;left:6023;top:6935;width:627;height:353" coordorigin="6023,6935" coordsize="627,353">
              <v:shape style="position:absolute;left:6023;top:6935;width:627;height:353" coordorigin="6023,6935" coordsize="627,353" path="m6023,7287l6649,7287,6649,6935,6023,6935,6023,7287xe" filled="true" fillcolor="#ffffff" stroked="false">
                <v:path arrowok="t"/>
                <v:fill type="solid"/>
              </v:shape>
            </v:group>
            <w10:wrap type="none"/>
          </v:group>
        </w:pict>
      </w:r>
    </w:p>
    <w:p>
      <w:pPr>
        <w:spacing w:line="240" w:lineRule="auto" w:before="0"/>
        <w:rPr>
          <w:rFonts w:ascii="宋体" w:hAnsi="宋体" w:cs="宋体" w:eastAsia="宋体" w:hint="default"/>
          <w:sz w:val="26"/>
          <w:szCs w:val="26"/>
        </w:rPr>
      </w:pPr>
    </w:p>
    <w:p>
      <w:pPr>
        <w:pStyle w:val="Heading5"/>
        <w:spacing w:line="240" w:lineRule="auto" w:before="36"/>
        <w:ind w:left="512"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4"/>
        <w:rPr>
          <w:rFonts w:ascii="宋体" w:hAnsi="宋体" w:cs="宋体" w:eastAsia="宋体" w:hint="default"/>
          <w:b/>
          <w:bCs/>
          <w:sz w:val="26"/>
          <w:szCs w:val="26"/>
        </w:rPr>
      </w:pPr>
    </w:p>
    <w:p>
      <w:pPr>
        <w:spacing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left="512"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80" w:top="1440" w:bottom="1160" w:left="620" w:right="620"/>
        </w:sectPr>
      </w:pPr>
    </w:p>
    <w:p>
      <w:pPr>
        <w:spacing w:line="240" w:lineRule="auto" w:before="9"/>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684"/>
        <w:gridCol w:w="684"/>
        <w:gridCol w:w="682"/>
        <w:gridCol w:w="470"/>
        <w:gridCol w:w="898"/>
        <w:gridCol w:w="1087"/>
        <w:gridCol w:w="684"/>
        <w:gridCol w:w="684"/>
        <w:gridCol w:w="682"/>
        <w:gridCol w:w="684"/>
        <w:gridCol w:w="446"/>
        <w:gridCol w:w="541"/>
        <w:gridCol w:w="540"/>
        <w:gridCol w:w="1205"/>
      </w:tblGrid>
      <w:tr>
        <w:trPr>
          <w:trHeight w:val="320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52" w:right="4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38" w:right="3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86" w:right="82"/>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7" w:right="55"/>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年初所有者权 益中所享有份 额后的余额</w:t>
            </w:r>
          </w:p>
        </w:tc>
      </w:tr>
      <w:tr>
        <w:trPr>
          <w:trHeight w:val="383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上海东 方财富 证券研 究所有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6" w:right="72"/>
              <w:jc w:val="left"/>
              <w:rPr>
                <w:rFonts w:ascii="宋体" w:hAnsi="宋体" w:cs="宋体" w:eastAsia="宋体" w:hint="default"/>
                <w:sz w:val="18"/>
                <w:szCs w:val="18"/>
              </w:rPr>
            </w:pPr>
            <w:r>
              <w:rPr>
                <w:rFonts w:ascii="宋体" w:hAnsi="宋体" w:cs="宋体" w:eastAsia="宋体" w:hint="default"/>
                <w:sz w:val="18"/>
                <w:szCs w:val="18"/>
              </w:rPr>
              <w:t>咨询 服务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10000000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证券投资咨 询，企业财 务，企业管 </w:t>
            </w:r>
            <w:r>
              <w:rPr>
                <w:rFonts w:ascii="宋体" w:hAnsi="宋体" w:cs="宋体" w:eastAsia="宋体" w:hint="default"/>
                <w:spacing w:val="-8"/>
                <w:sz w:val="18"/>
                <w:szCs w:val="18"/>
              </w:rPr>
              <w:t>理，电脑、计</w:t>
            </w:r>
            <w:r>
              <w:rPr>
                <w:rFonts w:ascii="宋体" w:hAnsi="宋体" w:cs="宋体" w:eastAsia="宋体" w:hint="default"/>
                <w:sz w:val="18"/>
                <w:szCs w:val="18"/>
              </w:rPr>
              <w:t> 算机软件领 域的四技服 </w:t>
            </w:r>
            <w:r>
              <w:rPr>
                <w:rFonts w:ascii="宋体" w:hAnsi="宋体" w:cs="宋体" w:eastAsia="宋体" w:hint="default"/>
                <w:spacing w:val="-9"/>
                <w:sz w:val="18"/>
                <w:szCs w:val="18"/>
              </w:rPr>
              <w:t>务，经济信息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咨询，企业管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理咨询，投资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管理咨询，提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供劳务，电脑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及配件销售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9,982,0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0" w:right="0"/>
              <w:jc w:val="left"/>
              <w:rPr>
                <w:rFonts w:ascii="Times New Roman" w:hAnsi="Times New Roman" w:cs="Times New Roman" w:eastAsia="Times New Roman" w:hint="default"/>
                <w:sz w:val="18"/>
                <w:szCs w:val="18"/>
              </w:rPr>
            </w:pPr>
            <w:r>
              <w:rPr>
                <w:rFonts w:ascii="Times New Roman"/>
                <w:sz w:val="18"/>
              </w:rPr>
              <w:t>100%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5"/>
        <w:spacing w:line="240" w:lineRule="auto" w:before="36"/>
        <w:ind w:left="272" w:right="2923"/>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7"/>
        <w:rPr>
          <w:rFonts w:ascii="宋体" w:hAnsi="宋体" w:cs="宋体" w:eastAsia="宋体" w:hint="default"/>
          <w:b/>
          <w:bCs/>
          <w:sz w:val="26"/>
          <w:szCs w:val="26"/>
        </w:rPr>
      </w:pPr>
    </w:p>
    <w:p>
      <w:pPr>
        <w:spacing w:before="0"/>
        <w:ind w:left="272" w:right="29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20"/>
        <w:ind w:left="272" w:right="2923"/>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2"/>
        <w:rPr>
          <w:rFonts w:ascii="宋体" w:hAnsi="宋体" w:cs="宋体" w:eastAsia="宋体" w:hint="default"/>
          <w:b/>
          <w:bCs/>
          <w:sz w:val="26"/>
          <w:szCs w:val="26"/>
        </w:rPr>
      </w:pPr>
    </w:p>
    <w:p>
      <w:pPr>
        <w:spacing w:before="0"/>
        <w:ind w:left="272" w:right="2923"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40" w:lineRule="auto" w:before="96"/>
        <w:ind w:left="272" w:right="2923"/>
        <w:jc w:val="left"/>
      </w:pPr>
      <w:r>
        <w:rPr/>
        <w:t>本期合并范围未发生变更。</w:t>
      </w:r>
    </w:p>
    <w:p>
      <w:pPr>
        <w:spacing w:before="98"/>
        <w:ind w:left="272" w:right="292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5"/>
        <w:spacing w:line="240" w:lineRule="auto" w:before="118"/>
        <w:ind w:left="272" w:right="2923"/>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26"/>
          <w:szCs w:val="26"/>
        </w:rPr>
      </w:pPr>
    </w:p>
    <w:p>
      <w:pPr>
        <w:spacing w:before="0"/>
        <w:ind w:left="272" w:right="29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506" w:lineRule="auto" w:before="120"/>
        <w:ind w:left="272" w:right="292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、报告期内发生的同一控制下企业合并</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本期未发生的同一控制下企业合并。</w:t>
      </w:r>
    </w:p>
    <w:p>
      <w:pPr>
        <w:spacing w:after="0" w:line="506" w:lineRule="auto"/>
        <w:jc w:val="left"/>
        <w:rPr>
          <w:rFonts w:ascii="宋体" w:hAnsi="宋体" w:cs="宋体" w:eastAsia="宋体" w:hint="default"/>
          <w:sz w:val="21"/>
          <w:szCs w:val="21"/>
        </w:rPr>
        <w:sectPr>
          <w:pgSz w:w="11910" w:h="16840"/>
          <w:pgMar w:header="852" w:footer="980" w:top="1340" w:bottom="1160" w:left="860" w:right="8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87,172.60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119,380.40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87,172.60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119,380.40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1,526,784,091.12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1,481,281,611.13</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1,526,784,091.12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1,481,281,611.13</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1,526,871,263.72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1,481,400,991.53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31,529,216.22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45,434,347.15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53,872,707.63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23,090,855.74</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31,529,216.22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45,434,347.15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53,872,707.63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23,090,855.74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采用账龄分析法计提坏 账准备的应收账款组合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40,878,559.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3,297,153.0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35,406,38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2,580,019.43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40,878,559.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3,297,153.0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35,406,38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2,580,019.43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40,878,559.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3,297,153.0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35,406,38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2,580,019.43</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after="0"/>
        <w:jc w:val="left"/>
        <w:rPr>
          <w:rFonts w:ascii="宋体" w:hAnsi="宋体" w:cs="宋体" w:eastAsia="宋体" w:hint="default"/>
          <w:sz w:val="18"/>
          <w:szCs w:val="18"/>
        </w:rPr>
        <w:sectPr>
          <w:pgSz w:w="11910" w:h="16840"/>
          <w:pgMar w:header="852" w:footer="980" w:top="1340" w:bottom="1160" w:left="980" w:right="1020"/>
        </w:sectPr>
      </w:pPr>
    </w:p>
    <w:p>
      <w:pPr>
        <w:spacing w:before="95"/>
        <w:ind w:left="152" w:right="-20" w:firstLine="0"/>
        <w:jc w:val="left"/>
        <w:rPr>
          <w:rFonts w:ascii="宋体" w:hAnsi="宋体" w:cs="宋体" w:eastAsia="宋体" w:hint="default"/>
          <w:sz w:val="18"/>
          <w:szCs w:val="18"/>
        </w:rPr>
      </w:pPr>
      <w:r>
        <w:rPr/>
        <w:pict>
          <v:group style="position:absolute;margin-left:55.200001pt;margin-top:2.181719pt;width:436.9pt;height:.1pt;mso-position-horizontal-relative:page;mso-position-vertical-relative:paragraph;z-index:3208" coordorigin="1104,44" coordsize="8738,2">
            <v:shape style="position:absolute;left:1104;top:44;width:8738;height:2" coordorigin="1104,44" coordsize="8738,0" path="m1104,44l9842,44e" filled="false" stroked="true" strokeweight=".72pt" strokecolor="#000000">
              <v:path arrowok="t"/>
            </v:shape>
            <w10:wrap type="none"/>
          </v:group>
        </w:pict>
      </w: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52" w:footer="980" w:top="1340" w:bottom="1160" w:left="980" w:right="1020"/>
          <w:cols w:num="2" w:equalWidth="0">
            <w:col w:w="4113" w:space="4716"/>
            <w:col w:w="108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5"/>
        <w:gridCol w:w="1594"/>
        <w:gridCol w:w="923"/>
        <w:gridCol w:w="1740"/>
        <w:gridCol w:w="1454"/>
        <w:gridCol w:w="931"/>
        <w:gridCol w:w="1459"/>
      </w:tblGrid>
      <w:tr>
        <w:trPr>
          <w:trHeight w:val="403"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38,302,059.96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93.7%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1,887,603.00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33,298,388.70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1,664,919.43</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958,500.00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287,550.00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444,600.00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496,000.00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155,500.00</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626,000.00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626,000.00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315,000.00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40,878,559.96</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3,297,153.00</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35,406,388.70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2,580,019.43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北京美通互动广告有限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3,238,869.00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科思世通广告（北京）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华扬联众数字技术股份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群邑（上海）广告有限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上海安瑞信杰广告有限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1,473,974.65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9,977,843.65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采用账龄分析法计提坏 账准备的其他应收款组 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4,537,311.52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1,932,848.08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3,840,003.06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1,212,014.50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31.56%</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4,537,311.52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1,932,848.08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3,840,003.06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1,212,014.50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31.56%</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4,537,311.52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1,932,848.08</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3,840,003.06</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1,212,014.50</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40" w:bottom="1160" w:left="980" w:right="1020"/>
          <w:cols w:num="2" w:equalWidth="0">
            <w:col w:w="4293" w:space="4536"/>
            <w:col w:w="108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4"/>
        <w:gridCol w:w="1859"/>
        <w:gridCol w:w="646"/>
        <w:gridCol w:w="1459"/>
        <w:gridCol w:w="1450"/>
        <w:gridCol w:w="646"/>
        <w:gridCol w:w="1674"/>
      </w:tblGrid>
      <w:tr>
        <w:trPr>
          <w:trHeight w:val="404" w:hRule="exact"/>
        </w:trPr>
        <w:tc>
          <w:tcPr>
            <w:tcW w:w="1824" w:type="dxa"/>
            <w:vMerge w:val="restart"/>
            <w:tcBorders>
              <w:top w:val="single" w:sz="4" w:space="0" w:color="000000"/>
              <w:left w:val="single" w:sz="4" w:space="0" w:color="000000"/>
              <w:right w:val="single" w:sz="4" w:space="0" w:color="000000"/>
            </w:tcBorders>
            <w:shd w:val="clear" w:color="auto" w:fill="D2D2D2"/>
          </w:tcPr>
          <w:p>
            <w:pPr/>
          </w:p>
        </w:tc>
        <w:tc>
          <w:tcPr>
            <w:tcW w:w="39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24"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24" w:type="dxa"/>
            <w:vMerge/>
            <w:tcBorders>
              <w:left w:val="single" w:sz="4" w:space="0" w:color="000000"/>
              <w:bottom w:val="single" w:sz="4" w:space="0" w:color="FFFFFF"/>
              <w:right w:val="single" w:sz="4" w:space="0" w:color="000000"/>
            </w:tcBorders>
            <w:shd w:val="clear" w:color="auto" w:fill="D2D2D2"/>
          </w:tcPr>
          <w:p>
            <w:pPr/>
          </w:p>
        </w:tc>
        <w:tc>
          <w:tcPr>
            <w:tcW w:w="185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24" w:type="dxa"/>
            <w:vMerge w:val="restart"/>
            <w:tcBorders>
              <w:top w:val="single" w:sz="4" w:space="0" w:color="FFFFFF"/>
              <w:left w:val="single" w:sz="4" w:space="0" w:color="000000"/>
              <w:right w:val="single" w:sz="4" w:space="0" w:color="000000"/>
            </w:tcBorders>
            <w:shd w:val="clear" w:color="auto" w:fill="D2D2D2"/>
          </w:tcPr>
          <w:p>
            <w:pPr/>
          </w:p>
        </w:tc>
        <w:tc>
          <w:tcPr>
            <w:tcW w:w="185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24" w:type="dxa"/>
            <w:vMerge/>
            <w:tcBorders>
              <w:left w:val="single" w:sz="4" w:space="0" w:color="000000"/>
              <w:right w:val="single" w:sz="4" w:space="0" w:color="000000"/>
            </w:tcBorders>
            <w:shd w:val="clear" w:color="auto" w:fill="D2D2D2"/>
          </w:tcPr>
          <w:p>
            <w:pPr/>
          </w:p>
        </w:tc>
        <w:tc>
          <w:tcPr>
            <w:tcW w:w="1859"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24" w:type="dxa"/>
            <w:vMerge/>
            <w:tcBorders>
              <w:left w:val="single" w:sz="4" w:space="0" w:color="000000"/>
              <w:bottom w:val="single" w:sz="4" w:space="0" w:color="000000"/>
              <w:right w:val="single" w:sz="4" w:space="0" w:color="000000"/>
            </w:tcBorders>
            <w:shd w:val="clear" w:color="auto" w:fill="D2D2D2"/>
          </w:tcPr>
          <w:p>
            <w:pPr/>
          </w:p>
        </w:tc>
        <w:tc>
          <w:tcPr>
            <w:tcW w:w="185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1,124,109.52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24.77%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56,205.48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2,447,100.06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63.73%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122,355.00</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2,061,492.00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45.43%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618,447.60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188,080.00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56,424.00</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187,030.00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93,515.00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343,175.00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8.94%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171,587.50</w:t>
            </w:r>
          </w:p>
        </w:tc>
      </w:tr>
      <w:tr>
        <w:trPr>
          <w:trHeight w:val="404"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1,164,680.00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25.67%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1,164,680.00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861,648.00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22.44%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861,648.00</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4,537,311.52</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1,932,848.08</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3,840,003.06</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1,212,014.50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5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东湖宾馆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37.05%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上海巨航投资管理有限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1,466,380.00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32.32%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快钱支付清算信息有限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623,367.27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13.74%</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东方梅地亚公司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445,894.00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中证指数有限公司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4,416,641.27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97.34%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10,057,849.54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87.46%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10,386,952.23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92.03%</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1,441,659.20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12.54%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w:t>
            </w: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11,499,508.74</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11,286,952.27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上海市建设装饰工程有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预付装修款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上海龙华仓储公司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2,130,721.08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预付租赁费</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深圳证券信息公司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958,333.32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预付信息采集费</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上海和茂空调电器有限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636,860.00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预付装修款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东湖宾馆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506,389.00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预付租赁费</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6,632,303.40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0"/>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1"/>
              <w:jc w:val="left"/>
              <w:rPr>
                <w:rFonts w:ascii="宋体" w:hAnsi="宋体" w:cs="宋体" w:eastAsia="宋体" w:hint="default"/>
                <w:sz w:val="18"/>
                <w:szCs w:val="18"/>
              </w:rPr>
            </w:pPr>
            <w:r>
              <w:rPr>
                <w:rFonts w:ascii="宋体" w:hAnsi="宋体" w:cs="宋体" w:eastAsia="宋体" w:hint="default"/>
                <w:sz w:val="18"/>
                <w:szCs w:val="18"/>
              </w:rPr>
              <w:t>交通银行股份有限公司上海市分行人民币 结构性存款</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85"/>
        <w:gridCol w:w="1315"/>
        <w:gridCol w:w="1594"/>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73,440,785.86</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6,895,317.89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80,336,103.75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19,780,329.20</w:t>
            </w:r>
          </w:p>
        </w:tc>
        <w:tc>
          <w:tcPr>
            <w:tcW w:w="2909"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19,780,329.20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48,351,844.66</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5,929,594.23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54,281,438.89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5,308,612.00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965,723.66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6,274,335.66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19,257,484.79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11,056,063.74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30,313,548.53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949,455.84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949,455.84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16,887,217.98</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9,035,334.61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25,922,552.59</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2,370,266.81</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1,071,273.29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3,441,540.10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54,183,301.07</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50,022,555.22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19,780,329.20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18,830,873.36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31,464,626.68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28,358,886.30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2,938,345.19</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2,832,795.56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54,183,301.07</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50,022,555.22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19,780,329.20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18,830,873.36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31,464,626.68</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28,358,886.30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128"/>
        <w:gridCol w:w="1474"/>
        <w:gridCol w:w="4506"/>
        <w:gridCol w:w="1459"/>
      </w:tblGrid>
      <w:tr>
        <w:trPr>
          <w:trHeight w:val="40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2,938,345.19</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2,832,795.56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11,056,063.74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8</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142,920,769.56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2,117,900.00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145,038,669.56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141,057,900.00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141,057,900.00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1,862,869.56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2,117,900.00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3,980,769.56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3,493,228.92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4,063,030.48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7,556,259.40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2,938,706.25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3,526,447.56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6,465,153.81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554,522.67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536,582.92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1,091,105.59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139,427,540.64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-1,945,130.48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137,482,410.16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138,119,193.75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-3,526,447.56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134,592,746.19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1,308,346.89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1,581,317.08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2,889,663.97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139,427,540.64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-1,945,130.48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137,482,410.16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138,119,193.75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-3,526,447.56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134,592,746.19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1,308,346.89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1,581,317.08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2,889,663.97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4,063,030.48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9</w:t>
      </w:r>
      <w:r>
        <w:rPr/>
        <w:t>、商誉</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6"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上海东方财富证券研究所有限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4,731,868.08</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4,731,868.08</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4,731,868.08</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4,731,868.08</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61" w:lineRule="auto" w:before="96"/>
        <w:ind w:right="106" w:firstLine="420"/>
        <w:jc w:val="both"/>
      </w:pPr>
      <w:r>
        <w:rPr>
          <w:w w:val="100"/>
        </w:rPr>
        <w:t>东方</w:t>
      </w:r>
      <w:r>
        <w:rPr>
          <w:spacing w:val="-3"/>
          <w:w w:val="100"/>
        </w:rPr>
        <w:t>财</w:t>
      </w:r>
      <w:r>
        <w:rPr>
          <w:w w:val="100"/>
        </w:rPr>
        <w:t>富</w:t>
      </w:r>
      <w:r>
        <w:rPr>
          <w:spacing w:val="-3"/>
          <w:w w:val="100"/>
        </w:rPr>
        <w:t>信</w:t>
      </w:r>
      <w:r>
        <w:rPr>
          <w:w w:val="100"/>
        </w:rPr>
        <w:t>息</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1"/>
          <w:w w:val="44"/>
        </w:rPr>
        <w:t>―</w:t>
      </w:r>
      <w:r>
        <w:rPr>
          <w:spacing w:val="-3"/>
          <w:w w:val="100"/>
        </w:rPr>
        <w:t>东</w:t>
      </w:r>
      <w:r>
        <w:rPr>
          <w:w w:val="100"/>
        </w:rPr>
        <w:t>方</w:t>
      </w:r>
      <w:r>
        <w:rPr>
          <w:spacing w:val="-3"/>
          <w:w w:val="100"/>
        </w:rPr>
        <w:t>财</w:t>
      </w:r>
      <w:r>
        <w:rPr>
          <w:spacing w:val="-1"/>
          <w:w w:val="100"/>
        </w:rPr>
        <w:t>富</w:t>
      </w:r>
      <w:r>
        <w:rPr>
          <w:rFonts w:ascii="Times New Roman" w:hAnsi="Times New Roman" w:cs="Times New Roman" w:eastAsia="Times New Roman" w:hint="default"/>
          <w:spacing w:val="-3"/>
          <w:w w:val="159"/>
        </w:rPr>
        <w:t>‖</w:t>
      </w:r>
      <w:r>
        <w:rPr>
          <w:w w:val="100"/>
        </w:rPr>
        <w:t>）完</w:t>
      </w:r>
      <w:r>
        <w:rPr>
          <w:spacing w:val="-3"/>
          <w:w w:val="100"/>
        </w:rPr>
        <w:t>成</w:t>
      </w:r>
      <w:r>
        <w:rPr>
          <w:w w:val="100"/>
        </w:rPr>
        <w:t>对</w:t>
      </w:r>
      <w:r>
        <w:rPr>
          <w:spacing w:val="-3"/>
          <w:w w:val="100"/>
        </w:rPr>
        <w:t>上</w:t>
      </w:r>
      <w:r>
        <w:rPr>
          <w:w w:val="100"/>
        </w:rPr>
        <w:t>海</w:t>
      </w:r>
      <w:r>
        <w:rPr>
          <w:spacing w:val="-3"/>
          <w:w w:val="100"/>
        </w:rPr>
        <w:t>东</w:t>
      </w:r>
      <w:r>
        <w:rPr>
          <w:w w:val="100"/>
        </w:rPr>
        <w:t>方</w:t>
      </w:r>
      <w:r>
        <w:rPr>
          <w:spacing w:val="-3"/>
          <w:w w:val="100"/>
        </w:rPr>
        <w:t>财</w:t>
      </w:r>
      <w:r>
        <w:rPr>
          <w:w w:val="100"/>
        </w:rPr>
        <w:t>富</w:t>
      </w:r>
      <w:r>
        <w:rPr>
          <w:spacing w:val="-3"/>
          <w:w w:val="100"/>
        </w:rPr>
        <w:t>证</w:t>
      </w:r>
      <w:r>
        <w:rPr>
          <w:w w:val="100"/>
        </w:rPr>
        <w:t>券研</w:t>
      </w:r>
      <w:r>
        <w:rPr>
          <w:spacing w:val="-3"/>
          <w:w w:val="100"/>
        </w:rPr>
        <w:t>究</w:t>
      </w:r>
      <w:r>
        <w:rPr>
          <w:w w:val="100"/>
        </w:rPr>
        <w:t>所</w:t>
      </w:r>
      <w:r>
        <w:rPr>
          <w:spacing w:val="-3"/>
          <w:w w:val="100"/>
        </w:rPr>
        <w:t>有</w:t>
      </w:r>
      <w:r>
        <w:rPr>
          <w:w w:val="100"/>
        </w:rPr>
        <w:t>限</w:t>
      </w:r>
      <w:r>
        <w:rPr>
          <w:spacing w:val="-3"/>
          <w:w w:val="100"/>
        </w:rPr>
        <w:t>公</w:t>
      </w:r>
      <w:r>
        <w:rPr>
          <w:w w:val="100"/>
        </w:rPr>
        <w:t>司</w:t>
      </w:r>
      <w:r>
        <w:rPr>
          <w:spacing w:val="-3"/>
          <w:w w:val="100"/>
        </w:rPr>
        <w:t>（</w:t>
      </w:r>
      <w:r>
        <w:rPr>
          <w:w w:val="100"/>
        </w:rPr>
        <w:t>以下</w:t>
      </w:r>
      <w:r>
        <w:rPr>
          <w:w w:val="100"/>
        </w:rPr>
        <w:t> 简称</w:t>
      </w:r>
      <w:r>
        <w:rPr>
          <w:rFonts w:ascii="Times New Roman" w:hAnsi="Times New Roman" w:cs="Times New Roman" w:eastAsia="Times New Roman" w:hint="default"/>
          <w:spacing w:val="-3"/>
          <w:w w:val="44"/>
        </w:rPr>
        <w:t>―</w:t>
      </w:r>
      <w:r>
        <w:rPr>
          <w:w w:val="100"/>
        </w:rPr>
        <w:t>东</w:t>
      </w:r>
      <w:r>
        <w:rPr>
          <w:spacing w:val="-3"/>
          <w:w w:val="100"/>
        </w:rPr>
        <w:t>财</w:t>
      </w:r>
      <w:r>
        <w:rPr>
          <w:w w:val="100"/>
        </w:rPr>
        <w:t>证</w:t>
      </w:r>
      <w:r>
        <w:rPr>
          <w:spacing w:val="-1"/>
          <w:w w:val="100"/>
        </w:rPr>
        <w:t>券</w:t>
      </w:r>
      <w:r>
        <w:rPr>
          <w:rFonts w:ascii="Times New Roman" w:hAnsi="Times New Roman" w:cs="Times New Roman" w:eastAsia="Times New Roman" w:hint="default"/>
          <w:spacing w:val="-3"/>
          <w:w w:val="159"/>
        </w:rPr>
        <w:t>‖</w:t>
      </w:r>
      <w:r>
        <w:rPr>
          <w:w w:val="100"/>
        </w:rPr>
        <w:t>）</w:t>
      </w:r>
      <w:r>
        <w:rPr>
          <w:spacing w:val="-3"/>
          <w:w w:val="100"/>
        </w:rPr>
        <w:t>收</w:t>
      </w:r>
      <w:r>
        <w:rPr>
          <w:w w:val="100"/>
        </w:rPr>
        <w:t>购</w:t>
      </w:r>
      <w:r>
        <w:rPr>
          <w:spacing w:val="-3"/>
          <w:w w:val="100"/>
        </w:rPr>
        <w:t>后</w:t>
      </w:r>
      <w:r>
        <w:rPr>
          <w:w w:val="100"/>
        </w:rPr>
        <w:t>，对</w:t>
      </w:r>
      <w:r>
        <w:rPr>
          <w:spacing w:val="-3"/>
          <w:w w:val="100"/>
        </w:rPr>
        <w:t>东</w:t>
      </w:r>
      <w:r>
        <w:rPr>
          <w:w w:val="100"/>
        </w:rPr>
        <w:t>财</w:t>
      </w:r>
      <w:r>
        <w:rPr>
          <w:spacing w:val="-3"/>
          <w:w w:val="100"/>
        </w:rPr>
        <w:t>证</w:t>
      </w:r>
      <w:r>
        <w:rPr>
          <w:w w:val="100"/>
        </w:rPr>
        <w:t>券</w:t>
      </w:r>
      <w:r>
        <w:rPr>
          <w:spacing w:val="-3"/>
          <w:w w:val="100"/>
        </w:rPr>
        <w:t>进</w:t>
      </w:r>
      <w:r>
        <w:rPr>
          <w:w w:val="100"/>
        </w:rPr>
        <w:t>行</w:t>
      </w:r>
      <w:r>
        <w:rPr>
          <w:spacing w:val="-3"/>
          <w:w w:val="100"/>
        </w:rPr>
        <w:t>了</w:t>
      </w:r>
      <w:r>
        <w:rPr>
          <w:w w:val="100"/>
        </w:rPr>
        <w:t>业</w:t>
      </w:r>
      <w:r>
        <w:rPr>
          <w:spacing w:val="-3"/>
          <w:w w:val="100"/>
        </w:rPr>
        <w:t>务</w:t>
      </w:r>
      <w:r>
        <w:rPr>
          <w:w w:val="100"/>
        </w:rPr>
        <w:t>调整</w:t>
      </w:r>
      <w:r>
        <w:rPr>
          <w:spacing w:val="-3"/>
          <w:w w:val="100"/>
        </w:rPr>
        <w:t>，</w:t>
      </w:r>
      <w:r>
        <w:rPr>
          <w:w w:val="100"/>
        </w:rPr>
        <w:t>业</w:t>
      </w:r>
      <w:r>
        <w:rPr>
          <w:spacing w:val="-3"/>
          <w:w w:val="100"/>
        </w:rPr>
        <w:t>务</w:t>
      </w:r>
      <w:r>
        <w:rPr>
          <w:w w:val="100"/>
        </w:rPr>
        <w:t>方</w:t>
      </w:r>
      <w:r>
        <w:rPr>
          <w:spacing w:val="-3"/>
          <w:w w:val="100"/>
        </w:rPr>
        <w:t>向</w:t>
      </w:r>
      <w:r>
        <w:rPr>
          <w:w w:val="100"/>
        </w:rPr>
        <w:t>调</w:t>
      </w:r>
      <w:r>
        <w:rPr>
          <w:spacing w:val="-3"/>
          <w:w w:val="100"/>
        </w:rPr>
        <w:t>整</w:t>
      </w:r>
      <w:r>
        <w:rPr>
          <w:w w:val="100"/>
        </w:rPr>
        <w:t>为</w:t>
      </w:r>
      <w:r>
        <w:rPr>
          <w:spacing w:val="-3"/>
          <w:w w:val="100"/>
        </w:rPr>
        <w:t>向</w:t>
      </w:r>
      <w:r>
        <w:rPr>
          <w:w w:val="100"/>
        </w:rPr>
        <w:t>东方</w:t>
      </w:r>
      <w:r>
        <w:rPr>
          <w:spacing w:val="-3"/>
          <w:w w:val="100"/>
        </w:rPr>
        <w:t>财</w:t>
      </w:r>
      <w:r>
        <w:rPr>
          <w:w w:val="100"/>
        </w:rPr>
        <w:t>富</w:t>
      </w:r>
      <w:r>
        <w:rPr>
          <w:spacing w:val="-3"/>
          <w:w w:val="100"/>
        </w:rPr>
        <w:t>提</w:t>
      </w:r>
      <w:r>
        <w:rPr>
          <w:w w:val="100"/>
        </w:rPr>
        <w:t>供</w:t>
      </w:r>
      <w:r>
        <w:rPr>
          <w:spacing w:val="-3"/>
          <w:w w:val="100"/>
        </w:rPr>
        <w:t>证</w:t>
      </w:r>
      <w:r>
        <w:rPr>
          <w:w w:val="100"/>
        </w:rPr>
        <w:t>券</w:t>
      </w:r>
      <w:r>
        <w:rPr>
          <w:spacing w:val="-3"/>
          <w:w w:val="100"/>
        </w:rPr>
        <w:t>投</w:t>
      </w:r>
      <w:r>
        <w:rPr>
          <w:w w:val="100"/>
        </w:rPr>
        <w:t>资</w:t>
      </w:r>
      <w:r>
        <w:rPr>
          <w:spacing w:val="-3"/>
          <w:w w:val="100"/>
        </w:rPr>
        <w:t>咨</w:t>
      </w:r>
      <w:r>
        <w:rPr>
          <w:w w:val="100"/>
        </w:rPr>
        <w:t>询服</w:t>
      </w:r>
      <w:r>
        <w:rPr>
          <w:w w:val="100"/>
        </w:rPr>
        <w:t> </w:t>
      </w:r>
      <w:r>
        <w:rPr>
          <w:spacing w:val="-2"/>
        </w:rPr>
        <w:t>务。东财证券的收入全部为向东方财富提供证券投资咨询服务的收入，且其以后的收入来源仍为向东方财</w:t>
      </w:r>
      <w:r>
        <w:rPr>
          <w:spacing w:val="-43"/>
        </w:rPr>
        <w:t> </w:t>
      </w:r>
      <w:r>
        <w:rPr>
          <w:spacing w:val="-43"/>
        </w:rPr>
      </w:r>
      <w:r>
        <w:rPr>
          <w:spacing w:val="-2"/>
        </w:rPr>
        <w:t>富提供咨询服务。根据约定，双方每三年续签一次合同，延续至公司整个经营期，因此东财证券资产组产</w:t>
      </w:r>
    </w:p>
    <w:p>
      <w:pPr>
        <w:spacing w:after="0" w:line="261" w:lineRule="auto"/>
        <w:jc w:val="both"/>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68" w:lineRule="auto" w:before="18"/>
        <w:ind w:right="105"/>
        <w:jc w:val="both"/>
      </w:pPr>
      <w:r>
        <w:rPr>
          <w:spacing w:val="-2"/>
        </w:rPr>
        <w:t>生的收入依赖于东方财富，其形式上的资产组实质是东方财富资产组中不可分割的一个组成部分。根据东</w:t>
      </w:r>
      <w:r>
        <w:rPr>
          <w:spacing w:val="-44"/>
        </w:rPr>
        <w:t> </w:t>
      </w:r>
      <w:r>
        <w:rPr>
          <w:spacing w:val="-44"/>
        </w:rPr>
      </w:r>
      <w:r>
        <w:rPr>
          <w:spacing w:val="-2"/>
        </w:rPr>
        <w:t>财证券的上述经营状况，将东财证券的资产组并入东方财富一并按企业会计准则要求对其进行减值测试。</w:t>
      </w:r>
      <w:r>
        <w:rPr>
          <w:spacing w:val="-21"/>
        </w:rPr>
        <w:t> </w:t>
      </w:r>
      <w:r>
        <w:rPr>
          <w:spacing w:val="-21"/>
        </w:rPr>
      </w:r>
      <w:r>
        <w:rPr>
          <w:spacing w:val="-2"/>
        </w:rPr>
        <w:t>经测试，截至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日东方财富的可收回金额大于其可辨认净资产的账面价值，其商誉并不存在减</w:t>
      </w:r>
      <w:r>
        <w:rPr>
          <w:spacing w:val="-40"/>
        </w:rPr>
        <w:t> </w:t>
      </w:r>
      <w:r>
        <w:rPr>
          <w:spacing w:val="-40"/>
        </w:rPr>
      </w:r>
      <w:r>
        <w:rPr/>
        <w:t>值迹象。</w:t>
      </w:r>
    </w:p>
    <w:p>
      <w:pPr>
        <w:spacing w:line="240" w:lineRule="auto" w:before="11"/>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10</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5,232,372.82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4,130,893.00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2,638,640.82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6,724,625.00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5,232,372.82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4,130,893.00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2,638,640.82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6,724,625.00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11</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5"/>
        <w:gridCol w:w="2931"/>
        <w:gridCol w:w="2921"/>
      </w:tblGrid>
      <w:tr>
        <w:trPr>
          <w:trHeight w:val="408"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762,063.84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464,542.53</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762,063.84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464,542.53</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4"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5,080,425.60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5,080,425.60</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627"/>
        <w:gridCol w:w="1628"/>
        <w:gridCol w:w="1628"/>
        <w:gridCol w:w="1630"/>
      </w:tblGrid>
      <w:tr>
        <w:trPr>
          <w:trHeight w:val="67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1" w:right="84"/>
              <w:jc w:val="left"/>
              <w:rPr>
                <w:rFonts w:ascii="宋体" w:hAnsi="宋体" w:cs="宋体" w:eastAsia="宋体" w:hint="default"/>
                <w:sz w:val="18"/>
                <w:szCs w:val="18"/>
              </w:rPr>
            </w:pPr>
            <w:r>
              <w:rPr>
                <w:rFonts w:ascii="宋体" w:hAnsi="宋体" w:cs="宋体" w:eastAsia="宋体" w:hint="default"/>
                <w:sz w:val="18"/>
                <w:szCs w:val="18"/>
              </w:rPr>
              <w:t>报告期末互抵后的 递延所得税资产或</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8" w:right="87"/>
              <w:jc w:val="left"/>
              <w:rPr>
                <w:rFonts w:ascii="宋体" w:hAnsi="宋体" w:cs="宋体" w:eastAsia="宋体" w:hint="default"/>
                <w:sz w:val="18"/>
                <w:szCs w:val="18"/>
              </w:rPr>
            </w:pPr>
            <w:r>
              <w:rPr>
                <w:rFonts w:ascii="宋体" w:hAnsi="宋体" w:cs="宋体" w:eastAsia="宋体" w:hint="default"/>
                <w:sz w:val="18"/>
                <w:szCs w:val="18"/>
              </w:rPr>
              <w:t>报告期末互抵后的 可抵扣或应纳税暂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8" w:right="87"/>
              <w:jc w:val="left"/>
              <w:rPr>
                <w:rFonts w:ascii="宋体" w:hAnsi="宋体" w:cs="宋体" w:eastAsia="宋体" w:hint="default"/>
                <w:sz w:val="18"/>
                <w:szCs w:val="18"/>
              </w:rPr>
            </w:pPr>
            <w:r>
              <w:rPr>
                <w:rFonts w:ascii="宋体" w:hAnsi="宋体" w:cs="宋体" w:eastAsia="宋体" w:hint="default"/>
                <w:sz w:val="18"/>
                <w:szCs w:val="18"/>
              </w:rPr>
              <w:t>报告期初互抵后的 递延所得税资产或</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8" w:right="89"/>
              <w:jc w:val="left"/>
              <w:rPr>
                <w:rFonts w:ascii="宋体" w:hAnsi="宋体" w:cs="宋体" w:eastAsia="宋体" w:hint="default"/>
                <w:sz w:val="18"/>
                <w:szCs w:val="18"/>
              </w:rPr>
            </w:pPr>
            <w:r>
              <w:rPr>
                <w:rFonts w:ascii="宋体" w:hAnsi="宋体" w:cs="宋体" w:eastAsia="宋体" w:hint="default"/>
                <w:sz w:val="18"/>
                <w:szCs w:val="18"/>
              </w:rPr>
              <w:t>报告期初互抵后的 可抵扣或应纳税暂</w:t>
            </w:r>
          </w:p>
        </w:tc>
      </w:tr>
    </w:tbl>
    <w:p>
      <w:pPr>
        <w:spacing w:after="0" w:line="314" w:lineRule="auto"/>
        <w:jc w:val="left"/>
        <w:rPr>
          <w:rFonts w:ascii="宋体" w:hAnsi="宋体" w:cs="宋体" w:eastAsia="宋体" w:hint="default"/>
          <w:sz w:val="18"/>
          <w:szCs w:val="18"/>
        </w:rPr>
        <w:sectPr>
          <w:pgSz w:w="11910" w:h="16840"/>
          <w:pgMar w:header="852" w:footer="980"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038"/>
        <w:gridCol w:w="1638"/>
        <w:gridCol w:w="1628"/>
        <w:gridCol w:w="1628"/>
        <w:gridCol w:w="1630"/>
      </w:tblGrid>
      <w:tr>
        <w:trPr>
          <w:trHeight w:val="36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时性差异</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762,063.84</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464,542.53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12</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3,792,033.93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1,437,967.15</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5,230,001.08</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4,292,033.93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1,437,967.15</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5,730,001.08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13</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15,948,841.80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9,142,545.40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1,187,350.00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17,136,191.80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9,142,545.40</w:t>
            </w:r>
          </w:p>
        </w:tc>
      </w:tr>
    </w:tbl>
    <w:p>
      <w:pPr>
        <w:spacing w:line="240" w:lineRule="auto" w:before="3"/>
        <w:rPr>
          <w:rFonts w:ascii="宋体" w:hAnsi="宋体" w:cs="宋体" w:eastAsia="宋体" w:hint="default"/>
          <w:sz w:val="19"/>
          <w:szCs w:val="19"/>
        </w:rPr>
      </w:pPr>
    </w:p>
    <w:p>
      <w:pPr>
        <w:spacing w:line="506" w:lineRule="auto" w:before="36"/>
        <w:ind w:left="152" w:right="541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）账龄超过一年的大额应付账款情况的说明</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应付广告成本未结算。</w:t>
      </w:r>
    </w:p>
    <w:p>
      <w:pPr>
        <w:pStyle w:val="Heading5"/>
        <w:spacing w:line="240" w:lineRule="auto" w:before="101"/>
        <w:ind w:right="0"/>
        <w:jc w:val="left"/>
        <w:rPr>
          <w:b w:val="0"/>
          <w:bCs w:val="0"/>
        </w:rPr>
      </w:pPr>
      <w:r>
        <w:rPr>
          <w:rFonts w:ascii="Times New Roman" w:hAnsi="Times New Roman" w:cs="Times New Roman" w:eastAsia="Times New Roman" w:hint="default"/>
        </w:rPr>
        <w:t>14</w:t>
      </w:r>
      <w:r>
        <w:rPr/>
        <w:t>、预收账款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59,164,181.27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106,497,819.13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1,454,559.49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2,874,433.45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60,618,740.76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109,372,252.58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506" w:lineRule="auto" w:before="18"/>
        <w:ind w:left="573" w:right="5414"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）账龄超过一年的大额预收账款情况的说明</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预收金融数据服务业务款。</w:t>
      </w:r>
    </w:p>
    <w:p>
      <w:pPr>
        <w:pStyle w:val="Heading5"/>
        <w:spacing w:line="240" w:lineRule="auto" w:before="104"/>
        <w:ind w:right="0"/>
        <w:jc w:val="left"/>
        <w:rPr>
          <w:b w:val="0"/>
          <w:bCs w:val="0"/>
        </w:rPr>
      </w:pPr>
      <w:r>
        <w:rPr>
          <w:rFonts w:ascii="Times New Roman" w:hAnsi="Times New Roman" w:cs="Times New Roman" w:eastAsia="Times New Roman" w:hint="default"/>
        </w:rPr>
        <w:t>15</w:t>
      </w:r>
      <w:r>
        <w:rPr/>
        <w:t>、应付职工薪酬</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85,436,163.20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85,436,163.20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1,931,385.59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1,931,385.59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11,448,093.84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11,448,093.84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3,383,958.41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3,383,958.41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7,319,377.71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7,319,377.71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441,510.38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441,510.38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165,208.49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165,208.49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138,038.85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138,038.85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1,561,413.00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1,561,413.00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2,499,260.61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2,499,260.61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102,888,316.24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102,888,316.24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73" w:lineRule="auto" w:before="0"/>
        <w:ind w:left="573" w:right="0"/>
        <w:jc w:val="left"/>
      </w:pPr>
      <w:r>
        <w:rPr/>
        <w:t>应付职工薪酬中属于拖欠性质的金额</w:t>
      </w:r>
      <w:r>
        <w:rPr>
          <w:rFonts w:ascii="宋体" w:hAnsi="宋体" w:cs="宋体" w:eastAsia="宋体" w:hint="default"/>
        </w:rPr>
        <w:t>0.00</w:t>
      </w:r>
      <w:r>
        <w:rPr/>
        <w:t>元。</w:t>
      </w:r>
      <w:r>
        <w:rPr>
          <w:w w:val="100"/>
        </w:rPr>
        <w:t> </w:t>
      </w:r>
      <w:r>
        <w:rPr>
          <w:spacing w:val="-2"/>
        </w:rPr>
        <w:t>工会经费和职工教育经费金额</w:t>
      </w:r>
      <w:r>
        <w:rPr>
          <w:rFonts w:ascii="宋体" w:hAnsi="宋体" w:cs="宋体" w:eastAsia="宋体" w:hint="default"/>
          <w:spacing w:val="-2"/>
        </w:rPr>
        <w:t>1,939,741.80</w:t>
      </w:r>
      <w:r>
        <w:rPr>
          <w:spacing w:val="-2"/>
        </w:rPr>
        <w:t>元，非货币性福利金额</w:t>
      </w:r>
      <w:r>
        <w:rPr>
          <w:rFonts w:ascii="宋体" w:hAnsi="宋体" w:cs="宋体" w:eastAsia="宋体" w:hint="default"/>
          <w:spacing w:val="-2"/>
        </w:rPr>
        <w:t>0.00</w:t>
      </w:r>
      <w:r>
        <w:rPr>
          <w:spacing w:val="-2"/>
        </w:rPr>
        <w:t>元，因解除劳动关系给予补偿</w:t>
      </w:r>
    </w:p>
    <w:p>
      <w:pPr>
        <w:pStyle w:val="BodyText"/>
        <w:spacing w:line="240" w:lineRule="auto"/>
        <w:ind w:right="0"/>
        <w:jc w:val="left"/>
      </w:pPr>
      <w:r>
        <w:rPr>
          <w:rFonts w:ascii="宋体" w:hAnsi="宋体" w:cs="宋体" w:eastAsia="宋体" w:hint="default"/>
        </w:rPr>
        <w:t>12,000.00</w:t>
      </w:r>
      <w:r>
        <w:rPr/>
        <w:t>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16</w:t>
      </w:r>
      <w:r>
        <w:rPr/>
        <w:t>、应交税费</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146,902.74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-1,883,140.30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-2,513,456.18</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294,007.63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4,120,356.91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1,548,719.44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1,009,388.34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-21,047.05</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-30,090.93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-70,241.45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-18,095.06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-23,145.67</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380,068.38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365,069.63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57"/>
      </w:tblGrid>
      <w:tr>
        <w:trPr>
          <w:trHeight w:val="404"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434,179.73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0" w:right="0"/>
              <w:jc w:val="left"/>
              <w:rPr>
                <w:rFonts w:ascii="Times New Roman" w:hAnsi="Times New Roman" w:cs="Times New Roman" w:eastAsia="Times New Roman" w:hint="default"/>
                <w:sz w:val="18"/>
                <w:szCs w:val="18"/>
              </w:rPr>
            </w:pPr>
            <w:r>
              <w:rPr>
                <w:rFonts w:ascii="Times New Roman"/>
                <w:sz w:val="18"/>
              </w:rPr>
              <w:t>2,866,924.53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17</w:t>
      </w:r>
      <w:r>
        <w:rPr/>
        <w:t>、其他应付款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1,827,194.41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1,978,112.03</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1,827,194.41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1,978,112.03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980"/>
        <w:gridCol w:w="1580"/>
        <w:gridCol w:w="1610"/>
        <w:gridCol w:w="1344"/>
      </w:tblGrid>
      <w:tr>
        <w:trPr>
          <w:trHeight w:val="360" w:hRule="exact"/>
        </w:trPr>
        <w:tc>
          <w:tcPr>
            <w:tcW w:w="398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8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10"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73" w:right="0"/>
              <w:jc w:val="left"/>
              <w:rPr>
                <w:rFonts w:ascii="宋体" w:hAnsi="宋体" w:cs="宋体" w:eastAsia="宋体" w:hint="default"/>
                <w:sz w:val="21"/>
                <w:szCs w:val="21"/>
              </w:rPr>
            </w:pPr>
            <w:r>
              <w:rPr>
                <w:rFonts w:ascii="宋体" w:hAnsi="宋体" w:cs="宋体" w:eastAsia="宋体" w:hint="default"/>
                <w:sz w:val="21"/>
                <w:szCs w:val="21"/>
              </w:rPr>
              <w:t>性质或内容</w:t>
            </w:r>
          </w:p>
        </w:tc>
        <w:tc>
          <w:tcPr>
            <w:tcW w:w="1344" w:type="dxa"/>
            <w:tcBorders>
              <w:top w:val="single" w:sz="12" w:space="0" w:color="000000"/>
              <w:left w:val="single" w:sz="6" w:space="0" w:color="000000"/>
              <w:bottom w:val="single" w:sz="12" w:space="0" w:color="000000"/>
              <w:right w:val="nil" w:sz="6" w:space="0" w:color="auto"/>
            </w:tcBorders>
          </w:tcPr>
          <w:p>
            <w:pPr>
              <w:pStyle w:val="TableParagraph"/>
              <w:tabs>
                <w:tab w:pos="878" w:val="left" w:leader="none"/>
              </w:tabs>
              <w:spacing w:line="272" w:lineRule="exact"/>
              <w:ind w:left="247"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362" w:hRule="exact"/>
        </w:trPr>
        <w:tc>
          <w:tcPr>
            <w:tcW w:w="3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东方明珠安舒茨文化体育发展（上海）有限公司</w:t>
            </w:r>
          </w:p>
        </w:tc>
        <w:tc>
          <w:tcPr>
            <w:tcW w:w="1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790,000.00</w:t>
            </w:r>
          </w:p>
        </w:tc>
        <w:tc>
          <w:tcPr>
            <w:tcW w:w="16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应付会务费</w:t>
            </w:r>
          </w:p>
        </w:tc>
        <w:tc>
          <w:tcPr>
            <w:tcW w:w="1344" w:type="dxa"/>
            <w:tcBorders>
              <w:top w:val="single" w:sz="12" w:space="0" w:color="000000"/>
              <w:left w:val="single" w:sz="6" w:space="0" w:color="000000"/>
              <w:bottom w:val="single" w:sz="12" w:space="0" w:color="000000"/>
              <w:right w:val="nil" w:sz="6" w:space="0" w:color="auto"/>
            </w:tcBorders>
          </w:tcPr>
          <w:p>
            <w:pPr/>
          </w:p>
        </w:tc>
      </w:tr>
      <w:tr>
        <w:trPr>
          <w:trHeight w:val="365" w:hRule="exact"/>
        </w:trPr>
        <w:tc>
          <w:tcPr>
            <w:tcW w:w="3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上海东湖物业管理公司</w:t>
            </w:r>
          </w:p>
        </w:tc>
        <w:tc>
          <w:tcPr>
            <w:tcW w:w="1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142,128.74</w:t>
            </w:r>
          </w:p>
        </w:tc>
        <w:tc>
          <w:tcPr>
            <w:tcW w:w="16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应付物业费</w:t>
            </w:r>
          </w:p>
        </w:tc>
        <w:tc>
          <w:tcPr>
            <w:tcW w:w="134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18</w:t>
      </w:r>
      <w:r>
        <w:rPr/>
        <w:t>、其他非流动负债</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年软件和集成电路产业发展专项资金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64" w:lineRule="auto" w:before="96"/>
        <w:ind w:right="0" w:firstLine="420"/>
        <w:jc w:val="left"/>
      </w:pPr>
      <w:r>
        <w:rPr/>
        <w:t>根据上海市经济和信息化委员会文件沪经信信（</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689</w:t>
      </w:r>
      <w:r>
        <w:rPr/>
        <w:t>号上海市经济信息化委关于下达</w:t>
      </w:r>
      <w:r>
        <w:rPr>
          <w:rFonts w:ascii="Times New Roman" w:hAnsi="Times New Roman" w:cs="Times New Roman" w:eastAsia="Times New Roman" w:hint="default"/>
        </w:rPr>
        <w:t>2012</w:t>
      </w:r>
      <w:r>
        <w:rPr/>
        <w:t>年度</w:t>
      </w:r>
      <w:r>
        <w:rPr>
          <w:spacing w:val="-3"/>
          <w:w w:val="100"/>
        </w:rPr>
        <w:t> </w:t>
      </w:r>
      <w:r>
        <w:rPr>
          <w:spacing w:val="-2"/>
        </w:rPr>
        <w:t>软件和集成电路产业发展专项资金项目计划的通知东方财富信息股份有限公司《基于移动互联网的基金在</w:t>
      </w:r>
      <w:r>
        <w:rPr>
          <w:spacing w:val="-43"/>
        </w:rPr>
        <w:t> </w:t>
      </w:r>
      <w:r>
        <w:rPr>
          <w:spacing w:val="-43"/>
        </w:rPr>
      </w:r>
      <w:r>
        <w:rPr/>
        <w:t>线交易终端》项目获得</w:t>
      </w:r>
      <w:r>
        <w:rPr>
          <w:rFonts w:ascii="Times New Roman" w:hAnsi="Times New Roman" w:cs="Times New Roman" w:eastAsia="Times New Roman" w:hint="default"/>
        </w:rPr>
        <w:t>180</w:t>
      </w:r>
      <w:r>
        <w:rPr/>
        <w:t>万元的专项发展资助资金，截至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w:t>
      </w:r>
    </w:p>
    <w:p>
      <w:pPr>
        <w:spacing w:line="240" w:lineRule="auto" w:before="10"/>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19</w:t>
      </w:r>
      <w:r>
        <w:rPr/>
        <w:t>、股本</w:t>
      </w:r>
      <w:r>
        <w:rPr>
          <w:b w:val="0"/>
          <w:bCs w:val="0"/>
        </w:rPr>
      </w:r>
    </w:p>
    <w:p>
      <w:pPr>
        <w:spacing w:line="240" w:lineRule="auto" w:before="2"/>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210,000,000.00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126,000,000.00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126,000,000.00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336,000,000.00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p>
      <w:pPr>
        <w:spacing w:before="60"/>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273" w:lineRule="auto" w:before="96"/>
        <w:ind w:right="0" w:firstLine="420"/>
        <w:jc w:val="left"/>
      </w:pPr>
      <w:r>
        <w:rPr>
          <w:spacing w:val="-2"/>
        </w:rPr>
        <w:t>对本期股本发生变动执行验资的会计师事务所名称及验资报告文号：立信会计师事务所（特殊普通合</w:t>
      </w:r>
      <w:r>
        <w:rPr>
          <w:w w:val="100"/>
        </w:rPr>
        <w:t> </w:t>
      </w:r>
      <w:r>
        <w:rPr/>
        <w:t>伙）出具信会师报字</w:t>
      </w:r>
      <w:r>
        <w:rPr>
          <w:rFonts w:ascii="宋体" w:hAnsi="宋体" w:cs="宋体" w:eastAsia="宋体" w:hint="default"/>
        </w:rPr>
        <w:t>[2012]</w:t>
      </w:r>
      <w:r>
        <w:rPr/>
        <w:t>第</w:t>
      </w:r>
      <w:r>
        <w:rPr>
          <w:rFonts w:ascii="宋体" w:hAnsi="宋体" w:cs="宋体" w:eastAsia="宋体" w:hint="default"/>
        </w:rPr>
        <w:t>113428</w:t>
      </w:r>
      <w:r>
        <w:rPr/>
        <w:t>号验资报告。</w:t>
      </w:r>
    </w:p>
    <w:p>
      <w:pPr>
        <w:spacing w:after="0" w:line="273" w:lineRule="auto"/>
        <w:jc w:val="left"/>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76"/>
        <w:jc w:val="left"/>
        <w:rPr>
          <w:b w:val="0"/>
          <w:bCs w:val="0"/>
        </w:rPr>
      </w:pPr>
      <w:r>
        <w:rPr>
          <w:rFonts w:ascii="Times New Roman" w:hAnsi="Times New Roman" w:cs="Times New Roman" w:eastAsia="Times New Roman" w:hint="default"/>
        </w:rPr>
        <w:t>20</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1,252,457,166.55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1,126,457,166.55</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702,996.21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2,600,634.00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3,303,630.21</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1,253,160,162.76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2,600,634.00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1,129,760,796.76</w:t>
            </w:r>
          </w:p>
        </w:tc>
      </w:tr>
    </w:tbl>
    <w:p>
      <w:pPr>
        <w:spacing w:before="49"/>
        <w:ind w:left="152" w:right="76"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73" w:lineRule="auto" w:before="96"/>
        <w:ind w:left="573" w:right="76" w:hanging="421"/>
        <w:jc w:val="left"/>
      </w:pPr>
      <w:r>
        <w:rPr/>
        <w:t>资本公积的说明：</w:t>
      </w:r>
      <w:r>
        <w:rPr>
          <w:w w:val="100"/>
        </w:rPr>
        <w:t> </w:t>
      </w:r>
      <w:r>
        <w:rPr>
          <w:rFonts w:ascii="宋体" w:hAnsi="宋体" w:cs="宋体" w:eastAsia="宋体" w:hint="default"/>
          <w:spacing w:val="-2"/>
        </w:rPr>
        <w:t>1</w:t>
      </w:r>
      <w:r>
        <w:rPr>
          <w:spacing w:val="-2"/>
        </w:rPr>
        <w:t>、本期减少：本公司</w:t>
      </w:r>
      <w:r>
        <w:rPr>
          <w:rFonts w:ascii="宋体" w:hAnsi="宋体" w:cs="宋体" w:eastAsia="宋体" w:hint="default"/>
          <w:spacing w:val="-2"/>
        </w:rPr>
        <w:t>2011</w:t>
      </w:r>
      <w:r>
        <w:rPr>
          <w:spacing w:val="-2"/>
        </w:rPr>
        <w:t>年度股东大会审议通过了《</w:t>
      </w:r>
      <w:r>
        <w:rPr>
          <w:rFonts w:ascii="宋体" w:hAnsi="宋体" w:cs="宋体" w:eastAsia="宋体" w:hint="default"/>
          <w:spacing w:val="-2"/>
        </w:rPr>
        <w:t>2011</w:t>
      </w:r>
      <w:r>
        <w:rPr>
          <w:spacing w:val="-2"/>
        </w:rPr>
        <w:t>年度资本公积转增股本及利润分配预案》，</w:t>
      </w:r>
    </w:p>
    <w:p>
      <w:pPr>
        <w:pStyle w:val="BodyText"/>
        <w:spacing w:line="273" w:lineRule="auto"/>
        <w:ind w:right="76"/>
        <w:jc w:val="left"/>
      </w:pPr>
      <w:r>
        <w:rPr>
          <w:spacing w:val="-2"/>
        </w:rPr>
        <w:t>以公司现有股本</w:t>
      </w:r>
      <w:r>
        <w:rPr>
          <w:rFonts w:ascii="宋体" w:hAnsi="宋体" w:cs="宋体" w:eastAsia="宋体" w:hint="default"/>
          <w:spacing w:val="-2"/>
        </w:rPr>
        <w:t>21,000</w:t>
      </w:r>
      <w:r>
        <w:rPr>
          <w:spacing w:val="-2"/>
        </w:rPr>
        <w:t>万股为基数，用资本公积向全体股东每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6</w:t>
      </w:r>
      <w:r>
        <w:rPr>
          <w:spacing w:val="-2"/>
        </w:rPr>
        <w:t>股，共转增</w:t>
      </w:r>
      <w:r>
        <w:rPr>
          <w:rFonts w:ascii="宋体" w:hAnsi="宋体" w:cs="宋体" w:eastAsia="宋体" w:hint="default"/>
          <w:spacing w:val="-2"/>
        </w:rPr>
        <w:t>12,600</w:t>
      </w:r>
      <w:r>
        <w:rPr>
          <w:spacing w:val="-2"/>
        </w:rPr>
        <w:t>万股，减少资</w:t>
      </w:r>
      <w:r>
        <w:rPr>
          <w:spacing w:val="-7"/>
        </w:rPr>
        <w:t> </w:t>
      </w:r>
      <w:r>
        <w:rPr>
          <w:spacing w:val="-7"/>
        </w:rPr>
      </w:r>
      <w:r>
        <w:rPr/>
        <w:t>本公积</w:t>
      </w:r>
      <w:r>
        <w:rPr>
          <w:rFonts w:ascii="宋体" w:hAnsi="宋体" w:cs="宋体" w:eastAsia="宋体" w:hint="default"/>
        </w:rPr>
        <w:t>12,600.00</w:t>
      </w:r>
      <w:r>
        <w:rPr/>
        <w:t>万元。</w:t>
      </w:r>
    </w:p>
    <w:p>
      <w:pPr>
        <w:pStyle w:val="BodyText"/>
        <w:spacing w:line="273" w:lineRule="auto"/>
        <w:ind w:right="206" w:firstLine="420"/>
        <w:jc w:val="left"/>
      </w:pPr>
      <w:r>
        <w:rPr>
          <w:rFonts w:ascii="宋体" w:hAnsi="宋体" w:cs="宋体" w:eastAsia="宋体" w:hint="default"/>
          <w:spacing w:val="-6"/>
        </w:rPr>
        <w:t>2</w:t>
      </w:r>
      <w:r>
        <w:rPr>
          <w:spacing w:val="-6"/>
        </w:rPr>
        <w:t>、本期增加</w:t>
      </w:r>
      <w:r>
        <w:rPr>
          <w:rFonts w:ascii="宋体" w:hAnsi="宋体" w:cs="宋体" w:eastAsia="宋体" w:hint="default"/>
          <w:spacing w:val="-6"/>
        </w:rPr>
        <w:t>:</w:t>
      </w:r>
      <w:r>
        <w:rPr>
          <w:spacing w:val="-6"/>
        </w:rPr>
        <w:t>经公司</w:t>
      </w:r>
      <w:r>
        <w:rPr>
          <w:rFonts w:ascii="宋体" w:hAnsi="宋体" w:cs="宋体" w:eastAsia="宋体" w:hint="default"/>
          <w:spacing w:val="-6"/>
        </w:rPr>
        <w:t>2010</w:t>
      </w:r>
      <w:r>
        <w:rPr>
          <w:spacing w:val="-6"/>
        </w:rPr>
        <w:t>年股东大会审议批准，本公司实施一项股权激励计划，该计划最终确定以</w:t>
      </w:r>
      <w:r>
        <w:rPr>
          <w:rFonts w:ascii="宋体" w:hAnsi="宋体" w:cs="宋体" w:eastAsia="宋体" w:hint="default"/>
          <w:spacing w:val="-6"/>
        </w:rPr>
        <w:t>2011</w:t>
      </w:r>
      <w:r>
        <w:rPr>
          <w:rFonts w:ascii="宋体" w:hAnsi="宋体" w:cs="宋体" w:eastAsia="宋体" w:hint="default"/>
          <w:w w:val="100"/>
        </w:rPr>
        <w:t> </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日为授予日授予相关人员股票期权。根据《企业会计准则第</w:t>
      </w:r>
      <w:r>
        <w:rPr>
          <w:rFonts w:ascii="宋体" w:hAnsi="宋体" w:cs="宋体" w:eastAsia="宋体" w:hint="default"/>
          <w:spacing w:val="-2"/>
        </w:rPr>
        <w:t>11</w:t>
      </w:r>
      <w:r>
        <w:rPr>
          <w:spacing w:val="-2"/>
        </w:rPr>
        <w:t>号</w:t>
      </w:r>
      <w:r>
        <w:rPr>
          <w:rFonts w:ascii="宋体" w:hAnsi="宋体" w:cs="宋体" w:eastAsia="宋体" w:hint="default"/>
          <w:spacing w:val="-2"/>
        </w:rPr>
        <w:t>-</w:t>
      </w:r>
      <w:r>
        <w:rPr>
          <w:spacing w:val="-2"/>
        </w:rPr>
        <w:t>股份支付》的有关规定，公司将</w:t>
      </w:r>
      <w:r>
        <w:rPr>
          <w:spacing w:val="-44"/>
        </w:rPr>
        <w:t> </w:t>
      </w:r>
      <w:r>
        <w:rPr>
          <w:spacing w:val="-44"/>
        </w:rPr>
      </w:r>
      <w:r>
        <w:rPr/>
        <w:t>在等待期的每个资产负债表日，将当期取得的服务计入相关成本或费用和资本公积。</w:t>
      </w:r>
      <w:r>
        <w:rPr>
          <w:rFonts w:ascii="宋体" w:hAnsi="宋体" w:cs="宋体" w:eastAsia="宋体" w:hint="default"/>
        </w:rPr>
        <w:t>2012</w:t>
      </w:r>
      <w:r>
        <w:rPr/>
        <w:t>年应摊销费用</w:t>
      </w:r>
      <w:r>
        <w:rPr>
          <w:w w:val="100"/>
        </w:rPr>
        <w:t> </w:t>
      </w:r>
      <w:r>
        <w:rPr>
          <w:rFonts w:ascii="宋体" w:hAnsi="宋体" w:cs="宋体" w:eastAsia="宋体" w:hint="default"/>
        </w:rPr>
        <w:t>2,600,634.00</w:t>
      </w:r>
      <w:r>
        <w:rPr/>
        <w:t>元，同时增加资本公积</w:t>
      </w:r>
      <w:r>
        <w:rPr>
          <w:rFonts w:ascii="宋体" w:hAnsi="宋体" w:cs="宋体" w:eastAsia="宋体" w:hint="default"/>
        </w:rPr>
        <w:t>2,600,634.00</w:t>
      </w:r>
      <w:r>
        <w:rPr/>
        <w:t>元。</w:t>
      </w:r>
    </w:p>
    <w:p>
      <w:pPr>
        <w:spacing w:line="240" w:lineRule="auto" w:before="7"/>
        <w:rPr>
          <w:rFonts w:ascii="宋体" w:hAnsi="宋体" w:cs="宋体" w:eastAsia="宋体" w:hint="default"/>
          <w:sz w:val="23"/>
          <w:szCs w:val="23"/>
        </w:rPr>
      </w:pPr>
    </w:p>
    <w:p>
      <w:pPr>
        <w:pStyle w:val="Heading5"/>
        <w:spacing w:line="240" w:lineRule="auto"/>
        <w:ind w:right="76"/>
        <w:jc w:val="left"/>
        <w:rPr>
          <w:b w:val="0"/>
          <w:bCs w:val="0"/>
        </w:rPr>
      </w:pPr>
      <w:r>
        <w:rPr>
          <w:rFonts w:ascii="Times New Roman" w:hAnsi="Times New Roman" w:cs="Times New Roman" w:eastAsia="Times New Roman" w:hint="default"/>
        </w:rPr>
        <w:t>21</w:t>
      </w:r>
      <w:r>
        <w:rPr/>
        <w:t>、盈余公积</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34,103,025.45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4,609,729.84</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38,712,755.29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34,103,025.45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4,609,729.84</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38,712,755.29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right="76"/>
        <w:jc w:val="left"/>
        <w:rPr>
          <w:b w:val="0"/>
          <w:bCs w:val="0"/>
        </w:rPr>
      </w:pPr>
      <w:r>
        <w:rPr>
          <w:rFonts w:ascii="Times New Roman" w:hAnsi="Times New Roman" w:cs="Times New Roman" w:eastAsia="Times New Roman" w:hint="default"/>
        </w:rPr>
        <w:t>22</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203,039,431.55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203,039,431.55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37,581,860.98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4,609,729.84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215,011,562.69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76"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before="3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经审计的利润数</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23</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222,701,535.89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280,308,218.79</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64,732,333.89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60,150,212.35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222,701,535.89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64,732,333.89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280,308,218.79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60,150,212.35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222,701,535.89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64,732,333.89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280,308,218.79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60,150,212.35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98,571,039.88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34,207,288.47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154,893,604.43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30,058,580.51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110,590,621.40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25,989,133.86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116,855,497.06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27,529,229.26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13,539,874.61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4,535,911.56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8,559,117.30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2,562,402.58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222,701,535.89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64,732,333.89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280,308,218.79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60,150,212.35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8"/>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电信覆盖地区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145,041,340.16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42,158,956.94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208,351,586.30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44,709,328.23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联通覆盖地区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76,331,449.70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22,187,152.27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69,003,937.14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14,807,277.11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1,328,746.03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386,224.68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2,952,695.35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633,607.01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222,701,535.89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64,732,333.89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280,308,218.79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60,150,212.35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2"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北京道位传诚广告有限公司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8,925,353.37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宁波银行股份有限公司上海分行</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2.69%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5,863,500.00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华扬联众数字技术股份有限公司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4,705,000.00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北京美通互动广告有限公司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3,648,869.00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29,142,722.37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13.08%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24</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7,239,172.06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9,639,342.11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139,242.34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135,604.69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393,690.66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474,611.45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71,764.85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93,616.63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5,836.31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472,180.07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7,849,706.22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10,815,354.95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25</w:t>
      </w:r>
      <w:r>
        <w:rPr/>
        <w:t>、销售费用</w:t>
      </w:r>
      <w:r>
        <w:rPr>
          <w:b w:val="0"/>
          <w:bCs w:val="0"/>
        </w:rPr>
      </w:r>
    </w:p>
    <w:p>
      <w:pPr>
        <w:spacing w:line="240" w:lineRule="auto" w:before="13"/>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1,502,985.16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1,932,932.36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1,533,966.15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1,233,563.71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689,989.64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1,073,368.50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580,639.22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2,093,753.38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5,772,441.40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2,553,999.78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7,888,707.55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8,213,975.20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1,131,745.57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1,143,836.41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2,731,847.92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1,833,935.43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3,224,059.11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6,369,118.71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437,848.30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463,121.30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41,013.50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1,240,975.44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1,493,027.36</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217,843.90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60,335.00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719,404.50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867,330.54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355,685.93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207,231.62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65,782,116.35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76,840,940.27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171,800.87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1,692,246.41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552,553.52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设备维护修理费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123,499.93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144,240.00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924,689.40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2,525,389.58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96,748,393.17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109,836,587.04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26</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502,187.97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700,133.07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1,019,975.19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550,763.60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460,147.60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172,884.17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179,388.53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104,313.69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2,119,677.64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3,024,727.85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7,633,069.41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1,477,747.01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598,142.14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99,504.27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1,585,216.27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1,889,338.07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电脑耗材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211,575.58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79,297.00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1,578,003.72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1,568,254.00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586,166.90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901,352.50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2,210,420.88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915,971.46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3,707,344.55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2,997,850.53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369,592.71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233,979.81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39,146,833.89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12,859,750.84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351,645.37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336,861.67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1,352,134.48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196,458.72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410,826.00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设备维护修理费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287,049.94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478,904.08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1,998,472.74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65,386,886.85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30,787,217.00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27</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-49,000,107.65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-42,668,644.10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224,016.26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389,039.53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-48,779,024.89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-42,278,797.59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28</w:t>
      </w:r>
      <w:r>
        <w:rPr/>
        <w:t>、资产减值损失</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1,437,967.15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1,294,955.69</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1,437,967.15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1,294,955.69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29</w:t>
      </w:r>
      <w:r>
        <w:rPr/>
        <w:t>、营业外收入</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970" w:right="0"/>
              <w:jc w:val="left"/>
              <w:rPr>
                <w:rFonts w:ascii="Times New Roman" w:hAnsi="Times New Roman" w:cs="Times New Roman" w:eastAsia="Times New Roman" w:hint="default"/>
                <w:sz w:val="18"/>
                <w:szCs w:val="18"/>
              </w:rPr>
            </w:pPr>
            <w:r>
              <w:rPr>
                <w:rFonts w:ascii="Times New Roman"/>
                <w:sz w:val="18"/>
              </w:rPr>
              <w:t>9,639,500.00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14,908,000.00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3" w:right="0"/>
              <w:jc w:val="left"/>
              <w:rPr>
                <w:rFonts w:ascii="Times New Roman" w:hAnsi="Times New Roman" w:cs="Times New Roman" w:eastAsia="Times New Roman" w:hint="default"/>
                <w:sz w:val="18"/>
                <w:szCs w:val="18"/>
              </w:rPr>
            </w:pPr>
            <w:r>
              <w:rPr>
                <w:rFonts w:ascii="Times New Roman"/>
                <w:sz w:val="18"/>
              </w:rPr>
              <w:t>9,639,500.00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0.98</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93"/>
        <w:gridCol w:w="1956"/>
        <w:gridCol w:w="2160"/>
        <w:gridCol w:w="2161"/>
      </w:tblGrid>
      <w:tr>
        <w:trPr>
          <w:trHeight w:val="404" w:hRule="exact"/>
        </w:trPr>
        <w:tc>
          <w:tcPr>
            <w:tcW w:w="3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9,639,500.00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4" w:right="0"/>
              <w:jc w:val="left"/>
              <w:rPr>
                <w:rFonts w:ascii="Times New Roman" w:hAnsi="Times New Roman" w:cs="Times New Roman" w:eastAsia="Times New Roman" w:hint="default"/>
                <w:sz w:val="18"/>
                <w:szCs w:val="18"/>
              </w:rPr>
            </w:pPr>
            <w:r>
              <w:rPr>
                <w:rFonts w:ascii="Times New Roman"/>
                <w:sz w:val="18"/>
              </w:rPr>
              <w:t>14,908,000.98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3" w:right="0"/>
              <w:jc w:val="left"/>
              <w:rPr>
                <w:rFonts w:ascii="Times New Roman" w:hAnsi="Times New Roman" w:cs="Times New Roman" w:eastAsia="Times New Roman" w:hint="default"/>
                <w:sz w:val="18"/>
                <w:szCs w:val="18"/>
              </w:rPr>
            </w:pPr>
            <w:r>
              <w:rPr>
                <w:rFonts w:ascii="Times New Roman"/>
                <w:sz w:val="18"/>
              </w:rPr>
              <w:t>9,639,500.00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网络视听产业专项资金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服务业发展专项基金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职工职业培训补贴资金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139,900.00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2,849,600.00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9,408,000.00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04"/>
              <w:jc w:val="left"/>
              <w:rPr>
                <w:rFonts w:ascii="宋体" w:hAnsi="宋体" w:cs="宋体" w:eastAsia="宋体" w:hint="default"/>
                <w:sz w:val="18"/>
                <w:szCs w:val="18"/>
              </w:rPr>
            </w:pPr>
            <w:r>
              <w:rPr>
                <w:rFonts w:ascii="宋体" w:hAnsi="宋体" w:cs="宋体" w:eastAsia="宋体" w:hint="default"/>
                <w:sz w:val="18"/>
                <w:szCs w:val="18"/>
              </w:rPr>
              <w:t>上海市高新技术产业化重大项目 专项资金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嘉定区科技进步奖奖金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9,639,500.00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14,908,000.00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right="0"/>
        <w:jc w:val="left"/>
        <w:rPr>
          <w:b w:val="0"/>
          <w:bCs w:val="0"/>
        </w:rPr>
      </w:pPr>
      <w:r>
        <w:rPr>
          <w:rFonts w:ascii="Times New Roman" w:hAnsi="Times New Roman" w:cs="Times New Roman" w:eastAsia="Times New Roman" w:hint="default"/>
        </w:rPr>
        <w:t>30</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2,686,963.45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3,196,963.45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31</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6,059,523.06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15,097,634.64</w:t>
            </w:r>
          </w:p>
        </w:tc>
      </w:tr>
      <w:tr>
        <w:trPr>
          <w:trHeight w:val="40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-297,521.31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-220,709.33</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5,762,001.75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14,876,925.31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32</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before="0"/>
        <w:ind w:left="870" w:right="7195"/>
        <w:jc w:val="left"/>
        <w:rPr>
          <w:rFonts w:ascii="Times New Roman" w:hAnsi="Times New Roman" w:cs="Times New Roman" w:eastAsia="Times New Roman" w:hint="default"/>
        </w:rPr>
      </w:pPr>
      <w:r>
        <w:rPr/>
        <w:t>计算公式：</w:t>
      </w:r>
      <w:r>
        <w:rPr>
          <w:spacing w:val="-102"/>
        </w:rPr>
        <w:t> </w:t>
      </w:r>
      <w:r>
        <w:rPr>
          <w:spacing w:val="-102"/>
        </w:rPr>
      </w:r>
      <w:r>
        <w:rPr>
          <w:rFonts w:ascii="Times New Roman" w:hAnsi="Times New Roman" w:cs="Times New Roman" w:eastAsia="Times New Roman" w:hint="default"/>
        </w:rPr>
        <w:t>1</w:t>
      </w:r>
      <w:r>
        <w:rPr/>
        <w:t>、基本每股收益</w:t>
      </w:r>
      <w:r>
        <w:rPr>
          <w:w w:val="100"/>
        </w:rPr>
        <w:t> </w:t>
      </w:r>
      <w:r>
        <w:rPr>
          <w:spacing w:val="-1"/>
        </w:rPr>
        <w:t>基本每股收益</w:t>
      </w:r>
      <w:r>
        <w:rPr>
          <w:rFonts w:ascii="Times New Roman" w:hAnsi="Times New Roman" w:cs="Times New Roman" w:eastAsia="Times New Roman" w:hint="default"/>
          <w:spacing w:val="-1"/>
        </w:rPr>
        <w:t>=P0÷S</w:t>
      </w:r>
    </w:p>
    <w:p>
      <w:pPr>
        <w:pStyle w:val="BodyText"/>
        <w:spacing w:line="289" w:lineRule="exact" w:before="0"/>
        <w:ind w:left="870"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6"/>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spacing w:after="0" w:line="289" w:lineRule="exact"/>
        <w:jc w:val="left"/>
        <w:rPr>
          <w:rFonts w:ascii="Times New Roman" w:hAnsi="Times New Roman" w:cs="Times New Roman" w:eastAsia="Times New Roman" w:hint="default"/>
        </w:rPr>
        <w:sectPr>
          <w:footerReference w:type="default" r:id="rId21"/>
          <w:pgSz w:w="11910" w:h="16840"/>
          <w:pgMar w:footer="980" w:header="852" w:top="1340" w:bottom="1160" w:left="980" w:right="102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56" w:lineRule="auto" w:before="18"/>
        <w:ind w:left="870" w:right="106"/>
        <w:jc w:val="both"/>
      </w:pPr>
      <w:r>
        <w:rPr>
          <w:spacing w:val="-2"/>
        </w:rPr>
        <w:t>其中：</w:t>
      </w:r>
      <w:r>
        <w:rPr>
          <w:rFonts w:ascii="Times New Roman" w:hAnsi="Times New Roman" w:cs="Times New Roman" w:eastAsia="Times New Roman" w:hint="default"/>
          <w:spacing w:val="-2"/>
        </w:rPr>
        <w:t>P0</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rFonts w:ascii="Times New Roman" w:hAnsi="Times New Roman" w:cs="Times New Roman" w:eastAsia="Times New Roman" w:hint="default"/>
          <w:spacing w:val="1"/>
        </w:rPr>
        <w:t> </w:t>
      </w:r>
      <w:r>
        <w:rPr/>
        <w:t>为发行在外的普通股加权平均数；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为报告期因公积金转增股本或股票股利</w:t>
      </w:r>
      <w:r>
        <w:rPr>
          <w:spacing w:val="-30"/>
        </w:rPr>
        <w:t> </w:t>
      </w:r>
      <w:r>
        <w:rPr>
          <w:spacing w:val="-30"/>
        </w:rPr>
      </w:r>
      <w:r>
        <w:rPr>
          <w:spacing w:val="-3"/>
        </w:rPr>
        <w:t>分配等增加股份数；</w:t>
      </w:r>
      <w:r>
        <w:rPr>
          <w:rFonts w:ascii="Times New Roman" w:hAnsi="Times New Roman" w:cs="Times New Roman" w:eastAsia="Times New Roman" w:hint="default"/>
          <w:spacing w:val="-3"/>
        </w:rPr>
        <w:t>Si</w:t>
      </w:r>
      <w:r>
        <w:rPr>
          <w:spacing w:val="-3"/>
        </w:rPr>
        <w:t>为报告期因发行新股或债转股等增加股份数；</w:t>
      </w:r>
      <w:r>
        <w:rPr>
          <w:rFonts w:ascii="Times New Roman" w:hAnsi="Times New Roman" w:cs="Times New Roman" w:eastAsia="Times New Roman" w:hint="default"/>
          <w:spacing w:val="-3"/>
        </w:rPr>
        <w:t>Sj</w:t>
      </w:r>
      <w:r>
        <w:rPr>
          <w:spacing w:val="-3"/>
        </w:rPr>
        <w:t>为报告期因回购等减少股份</w:t>
      </w:r>
      <w:r>
        <w:rPr>
          <w:spacing w:val="-18"/>
        </w:rPr>
        <w:t> </w:t>
      </w:r>
      <w:r>
        <w:rPr>
          <w:spacing w:val="-18"/>
        </w:rPr>
      </w:r>
      <w:r>
        <w:rPr/>
        <w:t>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24"/>
        </w:rPr>
        <w:t> </w:t>
      </w:r>
      <w:r>
        <w:rPr/>
        <w:t>为减少股份次月起至报告期期末的累计月数。</w:t>
      </w:r>
    </w:p>
    <w:p>
      <w:pPr>
        <w:spacing w:line="240" w:lineRule="auto" w:before="7"/>
        <w:rPr>
          <w:rFonts w:ascii="宋体" w:hAnsi="宋体" w:cs="宋体" w:eastAsia="宋体" w:hint="default"/>
          <w:sz w:val="25"/>
          <w:szCs w:val="25"/>
        </w:rPr>
      </w:pPr>
    </w:p>
    <w:p>
      <w:pPr>
        <w:pStyle w:val="BodyText"/>
        <w:spacing w:line="256" w:lineRule="auto" w:before="0"/>
        <w:ind w:left="870"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、稀释每股收益</w:t>
      </w:r>
      <w:r>
        <w:rPr>
          <w:w w:val="100"/>
        </w:rPr>
        <w:t> </w:t>
      </w:r>
      <w:r>
        <w:rPr>
          <w:spacing w:val="-3"/>
        </w:rPr>
        <w:t>稀释每股收益</w:t>
      </w:r>
      <w:r>
        <w:rPr>
          <w:rFonts w:ascii="Times New Roman" w:hAnsi="Times New Roman" w:cs="Times New Roman" w:eastAsia="Times New Roman" w:hint="default"/>
          <w:spacing w:val="-3"/>
        </w:rPr>
        <w:t>=P1/(S0</w:t>
      </w:r>
      <w:r>
        <w:rPr>
          <w:spacing w:val="-3"/>
        </w:rPr>
        <w:t>＋</w:t>
      </w:r>
      <w:r>
        <w:rPr>
          <w:rFonts w:ascii="Times New Roman" w:hAnsi="Times New Roman" w:cs="Times New Roman" w:eastAsia="Times New Roman" w:hint="default"/>
          <w:spacing w:val="-3"/>
        </w:rPr>
        <w:t>S1</w:t>
      </w:r>
      <w:r>
        <w:rPr>
          <w:spacing w:val="-3"/>
        </w:rPr>
        <w:t>＋</w:t>
      </w:r>
      <w:r>
        <w:rPr>
          <w:rFonts w:ascii="Times New Roman" w:hAnsi="Times New Roman" w:cs="Times New Roman" w:eastAsia="Times New Roman" w:hint="default"/>
          <w:spacing w:val="-3"/>
        </w:rPr>
        <w:t>Si×Mi÷M0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Sj×Mj÷M0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Sk+</w:t>
      </w:r>
      <w:r>
        <w:rPr>
          <w:spacing w:val="-3"/>
        </w:rPr>
        <w:t>认股权证、股份期权、可转换债券等增加的</w:t>
      </w:r>
      <w:r>
        <w:rPr>
          <w:spacing w:val="-48"/>
        </w:rPr>
        <w:t> </w:t>
      </w:r>
      <w:r>
        <w:rPr>
          <w:spacing w:val="-48"/>
        </w:rPr>
      </w:r>
      <w:r>
        <w:rPr/>
        <w:t>普通股加权平均数</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7"/>
          <w:szCs w:val="27"/>
        </w:rPr>
      </w:pPr>
    </w:p>
    <w:p>
      <w:pPr>
        <w:pStyle w:val="BodyText"/>
        <w:spacing w:line="268" w:lineRule="auto" w:before="0"/>
        <w:ind w:left="870" w:right="114"/>
        <w:jc w:val="both"/>
      </w:pP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w:t>
      </w:r>
      <w:r>
        <w:rPr>
          <w:spacing w:val="-23"/>
        </w:rPr>
        <w:t> </w:t>
      </w:r>
      <w:r>
        <w:rPr>
          <w:spacing w:val="-23"/>
        </w:rPr>
      </w:r>
      <w:r>
        <w:rPr/>
        <w:t>润，并考虑稀释性潜在普通股对其影响，按《企业会计准则》及有关规定进行调整。公司在计算</w:t>
      </w:r>
      <w:r>
        <w:rPr>
          <w:spacing w:val="-9"/>
        </w:rPr>
        <w:t> </w:t>
      </w:r>
      <w:r>
        <w:rPr>
          <w:spacing w:val="-9"/>
        </w:rPr>
      </w:r>
      <w:r>
        <w:rPr/>
        <w:t>稀释每股收益时，应考虑所有稀释性潜在普通股对归属于公司普通股股东的净利润或扣除非经常</w:t>
      </w:r>
      <w:r>
        <w:rPr>
          <w:spacing w:val="-9"/>
        </w:rPr>
        <w:t> </w:t>
      </w:r>
      <w:r>
        <w:rPr>
          <w:spacing w:val="-9"/>
        </w:rPr>
      </w:r>
      <w:r>
        <w:rPr/>
        <w:t>性损益后归属于公司普通股股东的净利润和加权平均股数的影响，按照其稀释程度从大到小的顺</w:t>
      </w:r>
      <w:r>
        <w:rPr>
          <w:spacing w:val="-9"/>
        </w:rPr>
        <w:t> </w:t>
      </w:r>
      <w:r>
        <w:rPr>
          <w:spacing w:val="-9"/>
        </w:rPr>
      </w:r>
      <w:r>
        <w:rPr/>
        <w:t>序计入稀释每股收益，直至稀释每股收益达到最小值。</w:t>
      </w:r>
    </w:p>
    <w:p>
      <w:pPr>
        <w:spacing w:line="240" w:lineRule="auto" w:before="10"/>
        <w:rPr>
          <w:rFonts w:ascii="宋体" w:hAnsi="宋体" w:cs="宋体" w:eastAsia="宋体" w:hint="default"/>
          <w:sz w:val="24"/>
          <w:szCs w:val="24"/>
        </w:rPr>
      </w:pPr>
    </w:p>
    <w:p>
      <w:pPr>
        <w:pStyle w:val="BodyText"/>
        <w:spacing w:line="240" w:lineRule="auto" w:before="0"/>
        <w:ind w:left="870" w:right="0"/>
        <w:jc w:val="left"/>
      </w:pPr>
      <w:r>
        <w:rPr/>
        <w:t>计算过程：</w:t>
      </w:r>
    </w:p>
    <w:p>
      <w:pPr>
        <w:pStyle w:val="BodyText"/>
        <w:spacing w:line="264" w:lineRule="auto" w:before="37"/>
        <w:ind w:left="870" w:right="0"/>
        <w:jc w:val="left"/>
      </w:pPr>
      <w:r>
        <w:rPr/>
        <w:t>（</w:t>
      </w:r>
      <w:r>
        <w:rPr>
          <w:rFonts w:ascii="Times New Roman" w:hAnsi="Times New Roman" w:cs="Times New Roman" w:eastAsia="Times New Roman" w:hint="default"/>
        </w:rPr>
        <w:t>1</w:t>
      </w:r>
      <w:r>
        <w:rPr/>
        <w:t>）基本每股收益</w:t>
      </w:r>
      <w:r>
        <w:rPr>
          <w:w w:val="100"/>
        </w:rPr>
        <w:t> </w:t>
      </w:r>
      <w:r>
        <w:rPr/>
        <w:t>基本每股收益以归属于本公司普通股股东的合并净利润除以本公司发行在外普通股的加权平均数</w:t>
      </w:r>
      <w:r>
        <w:rPr>
          <w:spacing w:val="-9"/>
        </w:rPr>
        <w:t> </w:t>
      </w:r>
      <w:r>
        <w:rPr>
          <w:spacing w:val="-9"/>
        </w:rPr>
      </w:r>
      <w:r>
        <w:rPr/>
        <w:t>计算：</w:t>
      </w:r>
    </w:p>
    <w:p>
      <w:pPr>
        <w:spacing w:line="240" w:lineRule="auto" w:before="0"/>
        <w:rPr>
          <w:rFonts w:ascii="宋体" w:hAnsi="宋体" w:cs="宋体" w:eastAsia="宋体" w:hint="default"/>
          <w:sz w:val="26"/>
          <w:szCs w:val="26"/>
        </w:rPr>
      </w:pPr>
    </w:p>
    <w:tbl>
      <w:tblPr>
        <w:tblW w:w="0" w:type="auto"/>
        <w:jc w:val="left"/>
        <w:tblInd w:w="726" w:type="dxa"/>
        <w:tblLayout w:type="fixed"/>
        <w:tblCellMar>
          <w:top w:w="0" w:type="dxa"/>
          <w:left w:w="0" w:type="dxa"/>
          <w:bottom w:w="0" w:type="dxa"/>
          <w:right w:w="0" w:type="dxa"/>
        </w:tblCellMar>
        <w:tblLook w:val="01E0"/>
      </w:tblPr>
      <w:tblGrid>
        <w:gridCol w:w="4347"/>
        <w:gridCol w:w="1721"/>
        <w:gridCol w:w="1721"/>
      </w:tblGrid>
      <w:tr>
        <w:trPr>
          <w:trHeight w:val="362" w:hRule="exact"/>
        </w:trPr>
        <w:tc>
          <w:tcPr>
            <w:tcW w:w="4347"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4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90" w:lineRule="exact"/>
              <w:ind w:left="25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上期金额</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362" w:hRule="exact"/>
        </w:trPr>
        <w:tc>
          <w:tcPr>
            <w:tcW w:w="434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归属于本公司普通股股东的合并净利润</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37,602,771.75</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106,528,210.93</w:t>
            </w:r>
          </w:p>
        </w:tc>
      </w:tr>
      <w:tr>
        <w:trPr>
          <w:trHeight w:val="360" w:hRule="exact"/>
        </w:trPr>
        <w:tc>
          <w:tcPr>
            <w:tcW w:w="4347"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336,000,000</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336,000,000</w:t>
            </w:r>
          </w:p>
        </w:tc>
      </w:tr>
      <w:tr>
        <w:trPr>
          <w:trHeight w:val="365" w:hRule="exact"/>
        </w:trPr>
        <w:tc>
          <w:tcPr>
            <w:tcW w:w="4347"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0.11</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2"/>
              <w:jc w:val="right"/>
              <w:rPr>
                <w:rFonts w:ascii="Times New Roman" w:hAnsi="Times New Roman" w:cs="Times New Roman" w:eastAsia="Times New Roman" w:hint="default"/>
                <w:sz w:val="21"/>
                <w:szCs w:val="21"/>
              </w:rPr>
            </w:pPr>
            <w:r>
              <w:rPr>
                <w:rFonts w:ascii="Times New Roman"/>
                <w:sz w:val="21"/>
              </w:rPr>
              <w:t>0.32</w:t>
            </w:r>
          </w:p>
        </w:tc>
      </w:tr>
    </w:tbl>
    <w:p>
      <w:pPr>
        <w:spacing w:line="240" w:lineRule="auto" w:before="2"/>
        <w:rPr>
          <w:rFonts w:ascii="宋体" w:hAnsi="宋体" w:cs="宋体" w:eastAsia="宋体" w:hint="default"/>
          <w:sz w:val="20"/>
          <w:szCs w:val="20"/>
        </w:rPr>
      </w:pPr>
    </w:p>
    <w:p>
      <w:pPr>
        <w:pStyle w:val="BodyText"/>
        <w:spacing w:line="240" w:lineRule="auto" w:before="36"/>
        <w:ind w:left="887" w:right="0"/>
        <w:jc w:val="left"/>
      </w:pPr>
      <w:r>
        <w:rPr/>
        <w:t>普通股的加权平均数计算过程如下：</w:t>
      </w:r>
    </w:p>
    <w:p>
      <w:pPr>
        <w:spacing w:line="240" w:lineRule="auto" w:before="10"/>
        <w:rPr>
          <w:rFonts w:ascii="宋体" w:hAnsi="宋体" w:cs="宋体" w:eastAsia="宋体" w:hint="default"/>
          <w:sz w:val="3"/>
          <w:szCs w:val="3"/>
        </w:rPr>
      </w:pPr>
    </w:p>
    <w:tbl>
      <w:tblPr>
        <w:tblW w:w="0" w:type="auto"/>
        <w:jc w:val="left"/>
        <w:tblInd w:w="722" w:type="dxa"/>
        <w:tblLayout w:type="fixed"/>
        <w:tblCellMar>
          <w:top w:w="0" w:type="dxa"/>
          <w:left w:w="0" w:type="dxa"/>
          <w:bottom w:w="0" w:type="dxa"/>
          <w:right w:w="0" w:type="dxa"/>
        </w:tblCellMar>
        <w:tblLook w:val="01E0"/>
      </w:tblPr>
      <w:tblGrid>
        <w:gridCol w:w="4321"/>
        <w:gridCol w:w="1709"/>
        <w:gridCol w:w="1709"/>
      </w:tblGrid>
      <w:tr>
        <w:trPr>
          <w:trHeight w:val="362"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left="42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0"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年初已发行普通股股数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210,000,000</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224,000,000</w:t>
            </w:r>
          </w:p>
        </w:tc>
      </w:tr>
      <w:tr>
        <w:trPr>
          <w:trHeight w:val="362"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126,000,000</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112,000,000</w:t>
            </w:r>
          </w:p>
        </w:tc>
      </w:tr>
      <w:tr>
        <w:trPr>
          <w:trHeight w:val="362"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1709" w:type="dxa"/>
            <w:tcBorders>
              <w:top w:val="single" w:sz="12" w:space="0" w:color="000000"/>
              <w:left w:val="single" w:sz="6" w:space="0" w:color="000000"/>
              <w:bottom w:val="single" w:sz="12" w:space="0" w:color="000000"/>
              <w:right w:val="single" w:sz="6" w:space="0" w:color="000000"/>
            </w:tcBorders>
          </w:tcPr>
          <w:p>
            <w:pPr/>
          </w:p>
        </w:tc>
        <w:tc>
          <w:tcPr>
            <w:tcW w:w="1709"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4321"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17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336,000,000</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336,000,000</w:t>
            </w:r>
          </w:p>
        </w:tc>
      </w:tr>
    </w:tbl>
    <w:p>
      <w:pPr>
        <w:pStyle w:val="BodyText"/>
        <w:spacing w:line="266" w:lineRule="auto" w:before="0"/>
        <w:ind w:right="106" w:firstLine="420"/>
        <w:jc w:val="both"/>
      </w:pPr>
      <w:r>
        <w:rPr/>
        <w:t>注：本期公司以资本公积每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6</w:t>
      </w:r>
      <w:r>
        <w:rPr/>
        <w:t>股转增股本，根据企业会计准则《每股收益》的规定，当企业</w:t>
      </w:r>
      <w:r>
        <w:rPr>
          <w:w w:val="100"/>
        </w:rPr>
        <w:t> </w:t>
      </w:r>
      <w:r>
        <w:rPr>
          <w:spacing w:val="-2"/>
        </w:rPr>
        <w:t>存在派发股票股利、公积金转增资本、拆股和并股等情况时，应当按调整后的股数重新计算各列报期间的</w:t>
      </w:r>
      <w:r>
        <w:rPr>
          <w:spacing w:val="-43"/>
        </w:rPr>
        <w:t> </w:t>
      </w:r>
      <w:r>
        <w:rPr>
          <w:spacing w:val="-43"/>
        </w:rPr>
      </w:r>
      <w:r>
        <w:rPr/>
        <w:t>每股收益，因此，按</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6</w:t>
      </w:r>
      <w:r>
        <w:rPr/>
        <w:t>股的比例，经重新计算后的上期末发行在外普通股加权数为</w:t>
      </w:r>
      <w:r>
        <w:rPr>
          <w:rFonts w:ascii="Times New Roman" w:hAnsi="Times New Roman" w:cs="Times New Roman" w:eastAsia="Times New Roman" w:hint="default"/>
        </w:rPr>
        <w:t>336,000,000</w:t>
      </w:r>
      <w:r>
        <w:rPr/>
        <w:t>。</w:t>
      </w:r>
    </w:p>
    <w:p>
      <w:pPr>
        <w:spacing w:line="240" w:lineRule="auto" w:before="8"/>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33</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footerReference w:type="default" r:id="rId22"/>
          <w:pgSz w:w="11910" w:h="16840"/>
          <w:pgMar w:footer="980" w:header="852" w:top="1340" w:bottom="1160" w:left="980" w:right="1020"/>
          <w:pgNumType w:start="101"/>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1,927,926.50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专项补贴、补助款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11,439,500.00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56,855,070.87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70,222,497.37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890,237.16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28,046,714.51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18,727,566.38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49,264,518.05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人民币结构性存款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60,583,397.26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60,583,397.26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中国证券登记结算有限责任公司股利分配登记结算费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183,055.72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183,055.72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34</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37,602,771.75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106,536,801.57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1,437,967.15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1,294,955.69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11,056,063.74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9,599,978.46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4,063,030.48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3,205,082.15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2,638,640.82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1,689,486.08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-297,521.31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-220,709.33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2,605,695.60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-22,384,483.15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-41,543,527.84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54,584,068.64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2,600,634.00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1,744,600.00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20,163,754.39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156,049,780.11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1,526,871,263.72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1,481,400,991.53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1,481,400,991.53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1,540,457,809.85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45,470,272.19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-59,056,818.32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1,526,871,263.72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1,481,400,991.53</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87,172.60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119,380.40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1,526,784,091.12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1,481,281,611.13</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1,526,871,263.72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1,481,400,991.53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、本企业的子公司情况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上海优优商 务咨询有限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67457041-3</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2"/>
              <w:jc w:val="right"/>
              <w:rPr>
                <w:rFonts w:ascii="宋体" w:hAnsi="宋体" w:cs="宋体" w:eastAsia="宋体" w:hint="default"/>
                <w:sz w:val="18"/>
                <w:szCs w:val="18"/>
              </w:rPr>
            </w:pPr>
            <w:r>
              <w:rPr>
                <w:rFonts w:ascii="宋体" w:hAnsi="宋体" w:cs="宋体" w:eastAsia="宋体" w:hint="default"/>
                <w:sz w:val="18"/>
                <w:szCs w:val="18"/>
              </w:rPr>
              <w:t>上海东方财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学校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非企业单位</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68226693-</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40" w:bottom="1160" w:left="980" w:right="1020"/>
        </w:sect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6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富管理专修 学院</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w w:val="99"/>
                <w:sz w:val="18"/>
              </w:rPr>
              <w:t>X</w:t>
            </w:r>
            <w:r>
              <w:rPr>
                <w:rFonts w:ascii="Times New Roman"/>
                <w:sz w:val="18"/>
              </w:rPr>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上海东方财 富证券研究 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63128603-3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上海东银软 件科技有限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79149712-0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上海中经商 务咨询有限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78516116-1</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北京京东财 信息科技有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柳明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67877908-9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广州东财信 息科技有限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周向洋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67970407-0</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上海天天基 金销售有限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金融电子商 务服务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68225362-9</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上海东方财 富金融数据 服务有限公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1"/>
              <w:jc w:val="left"/>
              <w:rPr>
                <w:rFonts w:ascii="宋体" w:hAnsi="宋体" w:cs="宋体" w:eastAsia="宋体" w:hint="default"/>
                <w:sz w:val="18"/>
                <w:szCs w:val="18"/>
              </w:rPr>
            </w:pPr>
            <w:r>
              <w:rPr>
                <w:rFonts w:ascii="宋体" w:hAnsi="宋体" w:cs="宋体" w:eastAsia="宋体" w:hint="default"/>
                <w:sz w:val="18"/>
                <w:szCs w:val="18"/>
              </w:rPr>
              <w:t>信息技术服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58525217-3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上海东方财 富置业有限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房地产开发 经营服务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57410134-5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上海中穗农业科技发展有限公司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本公司的主要投资者其实为该公司的第 二大股东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57741939-1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pStyle w:val="BodyText"/>
        <w:spacing w:line="256" w:lineRule="auto" w:before="94"/>
        <w:ind w:right="0" w:firstLine="420"/>
        <w:jc w:val="left"/>
      </w:pPr>
      <w:r>
        <w:rPr>
          <w:spacing w:val="-2"/>
        </w:rPr>
        <w:t>上海中穗农业科技发展有限公司成立于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日，注册资本为</w:t>
      </w:r>
      <w:r>
        <w:rPr>
          <w:rFonts w:ascii="Times New Roman" w:hAnsi="Times New Roman" w:cs="Times New Roman" w:eastAsia="Times New Roman" w:hint="default"/>
          <w:spacing w:val="-2"/>
        </w:rPr>
        <w:t>3,000</w:t>
      </w:r>
      <w:r>
        <w:rPr>
          <w:spacing w:val="-2"/>
        </w:rPr>
        <w:t>万元，本公司的第一大股东</w:t>
      </w:r>
      <w:r>
        <w:rPr>
          <w:w w:val="100"/>
        </w:rPr>
        <w:t> </w:t>
      </w:r>
      <w:r>
        <w:rPr/>
        <w:t>其实对其投资</w:t>
      </w:r>
      <w:r>
        <w:rPr>
          <w:rFonts w:ascii="Times New Roman" w:hAnsi="Times New Roman" w:cs="Times New Roman" w:eastAsia="Times New Roman" w:hint="default"/>
        </w:rPr>
        <w:t>720</w:t>
      </w:r>
      <w:r>
        <w:rPr/>
        <w:t>万元，占注册资本的</w:t>
      </w:r>
      <w:r>
        <w:rPr>
          <w:rFonts w:ascii="Times New Roman" w:hAnsi="Times New Roman" w:cs="Times New Roman" w:eastAsia="Times New Roman" w:hint="default"/>
        </w:rPr>
        <w:t>24%</w:t>
      </w:r>
      <w:r>
        <w:rPr/>
        <w:t>，为第二大股东。</w:t>
      </w:r>
    </w:p>
    <w:p>
      <w:pPr>
        <w:spacing w:after="0" w:line="256" w:lineRule="auto"/>
        <w:jc w:val="left"/>
        <w:sectPr>
          <w:pgSz w:w="11910" w:h="16840"/>
          <w:pgMar w:header="852" w:footer="980" w:top="14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before="18"/>
        <w:ind w:right="0"/>
        <w:jc w:val="left"/>
        <w:rPr>
          <w:b w:val="0"/>
          <w:bCs w:val="0"/>
        </w:rPr>
      </w:pPr>
      <w:r>
        <w:rPr>
          <w:rFonts w:ascii="Times New Roman" w:hAnsi="Times New Roman" w:cs="Times New Roman" w:eastAsia="Times New Roman" w:hint="default"/>
        </w:rPr>
        <w:t>3</w:t>
      </w:r>
      <w:r>
        <w:rPr/>
        <w:t>、关联方交易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20" w:firstLine="0"/>
        <w:jc w:val="right"/>
        <w:rPr>
          <w:rFonts w:ascii="宋体" w:hAnsi="宋体" w:cs="宋体" w:eastAsia="宋体" w:hint="default"/>
          <w:sz w:val="18"/>
          <w:szCs w:val="18"/>
        </w:rPr>
      </w:pPr>
      <w:r>
        <w:rPr/>
        <w:pict>
          <v:shape style="position:absolute;margin-left:409.630005pt;margin-top:3.831728pt;width:85.5pt;height:15.6pt;mso-position-horizontal-relative:page;mso-position-vertical-relative:paragraph;z-index:-65929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68273pt;width:479.1pt;height:107.55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0"/>
                          <w:jc w:val="left"/>
                          <w:rPr>
                            <w:rFonts w:ascii="宋体" w:hAnsi="宋体" w:cs="宋体" w:eastAsia="宋体" w:hint="default"/>
                            <w:sz w:val="18"/>
                            <w:szCs w:val="18"/>
                          </w:rPr>
                        </w:pPr>
                        <w:r>
                          <w:rPr>
                            <w:rFonts w:ascii="宋体" w:hAnsi="宋体" w:cs="宋体" w:eastAsia="宋体" w:hint="default"/>
                            <w:sz w:val="18"/>
                            <w:szCs w:val="18"/>
                          </w:rPr>
                          <w:t>上海中穗农业科技 发展有限公司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农副产品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15.57%</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before="26"/>
        <w:ind w:right="0"/>
        <w:jc w:val="left"/>
        <w:rPr>
          <w:b w:val="0"/>
          <w:bCs w:val="0"/>
        </w:rPr>
      </w:pPr>
      <w:r>
        <w:rPr/>
        <w:t>九、股份支付</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2,189,600.00</w:t>
            </w:r>
          </w:p>
        </w:tc>
      </w:tr>
      <w:tr>
        <w:trPr>
          <w:trHeight w:val="401"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201,900.00</w:t>
            </w:r>
          </w:p>
        </w:tc>
      </w:tr>
      <w:tr>
        <w:trPr>
          <w:trHeight w:val="71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首次授予期权行权价为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元，合同剩余期限为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年；授予的预留期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权的行权价为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15.09 </w:t>
            </w:r>
            <w:r>
              <w:rPr>
                <w:rFonts w:ascii="宋体" w:hAnsi="宋体" w:cs="宋体" w:eastAsia="宋体" w:hint="default"/>
                <w:sz w:val="18"/>
                <w:szCs w:val="18"/>
              </w:rPr>
              <w:t>元，合同剩余期限为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权益工具的公允价值采用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模型确定</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本公司根据最新取得的可行权职工人数变动、是否达到规定 业绩条件等后续信息对可行权权益工具数量作出最佳估计。</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2,600,634.00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2,600,634.00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pStyle w:val="BodyText"/>
        <w:spacing w:line="240" w:lineRule="auto" w:before="96"/>
        <w:ind w:left="573" w:right="0"/>
        <w:jc w:val="left"/>
      </w:pPr>
      <w:r>
        <w:rPr/>
        <w:t>以权益结算的股份支付的说明</w:t>
      </w:r>
    </w:p>
    <w:p>
      <w:pPr>
        <w:pStyle w:val="BodyText"/>
        <w:spacing w:line="240" w:lineRule="auto" w:before="37"/>
        <w:ind w:left="573" w:right="0"/>
        <w:jc w:val="left"/>
      </w:pPr>
      <w:r>
        <w:rPr/>
        <w:t>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日召开的第二届五次董事会和</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2010</w:t>
      </w:r>
      <w:r>
        <w:rPr/>
        <w:t>年度股东大会审议通过了</w:t>
      </w:r>
    </w:p>
    <w:p>
      <w:pPr>
        <w:pStyle w:val="BodyText"/>
        <w:spacing w:line="261" w:lineRule="auto" w:before="21"/>
        <w:ind w:right="106"/>
        <w:jc w:val="both"/>
      </w:pPr>
      <w:r>
        <w:rPr>
          <w:spacing w:val="-2"/>
        </w:rPr>
        <w:t>《关于东方财富信息股份有限公司股票期权激励计划（草案修订案）的议案》，根据股权激励计划，授予</w:t>
      </w:r>
      <w:r>
        <w:rPr>
          <w:spacing w:val="-43"/>
        </w:rPr>
        <w:t> </w:t>
      </w:r>
      <w:r>
        <w:rPr>
          <w:spacing w:val="-43"/>
        </w:rPr>
      </w:r>
      <w:r>
        <w:rPr>
          <w:spacing w:val="-3"/>
        </w:rPr>
        <w:t>激励对象</w:t>
      </w:r>
      <w:r>
        <w:rPr>
          <w:rFonts w:ascii="Times New Roman" w:hAnsi="Times New Roman" w:cs="Times New Roman" w:eastAsia="Times New Roman" w:hint="default"/>
          <w:spacing w:val="-3"/>
        </w:rPr>
        <w:t>330</w:t>
      </w:r>
      <w:r>
        <w:rPr>
          <w:spacing w:val="-3"/>
        </w:rPr>
        <w:t>万份股票期权，其中首次授予</w:t>
      </w:r>
      <w:r>
        <w:rPr>
          <w:rFonts w:ascii="Times New Roman" w:hAnsi="Times New Roman" w:cs="Times New Roman" w:eastAsia="Times New Roman" w:hint="default"/>
          <w:spacing w:val="-3"/>
        </w:rPr>
        <w:t>305</w:t>
      </w:r>
      <w:r>
        <w:rPr>
          <w:spacing w:val="-3"/>
        </w:rPr>
        <w:t>万份，预留</w:t>
      </w:r>
      <w:r>
        <w:rPr>
          <w:rFonts w:ascii="Times New Roman" w:hAnsi="Times New Roman" w:cs="Times New Roman" w:eastAsia="Times New Roman" w:hint="default"/>
          <w:spacing w:val="-3"/>
        </w:rPr>
        <w:t>25</w:t>
      </w:r>
      <w:r>
        <w:rPr>
          <w:spacing w:val="-3"/>
        </w:rPr>
        <w:t>万份，授予的股票行权价格为</w:t>
      </w:r>
      <w:r>
        <w:rPr>
          <w:rFonts w:ascii="Times New Roman" w:hAnsi="Times New Roman" w:cs="Times New Roman" w:eastAsia="Times New Roman" w:hint="default"/>
          <w:spacing w:val="-3"/>
        </w:rPr>
        <w:t>53.70</w:t>
      </w:r>
      <w:r>
        <w:rPr>
          <w:spacing w:val="-3"/>
        </w:rPr>
        <w:t>元，行权价</w:t>
      </w:r>
      <w:r>
        <w:rPr>
          <w:spacing w:val="-33"/>
        </w:rPr>
        <w:t> </w:t>
      </w:r>
      <w:r>
        <w:rPr>
          <w:spacing w:val="-33"/>
        </w:rPr>
      </w:r>
      <w:r>
        <w:rPr>
          <w:spacing w:val="-3"/>
        </w:rPr>
        <w:t>格以股票期权激励计划草案摘要公布前</w:t>
      </w:r>
      <w:r>
        <w:rPr>
          <w:rFonts w:ascii="Times New Roman" w:hAnsi="Times New Roman" w:cs="Times New Roman" w:eastAsia="Times New Roman" w:hint="default"/>
          <w:spacing w:val="-3"/>
        </w:rPr>
        <w:t>1</w:t>
      </w:r>
      <w:r>
        <w:rPr>
          <w:spacing w:val="-3"/>
        </w:rPr>
        <w:t>交易日的公司标的股票收盘价（</w:t>
      </w:r>
      <w:r>
        <w:rPr>
          <w:rFonts w:ascii="Times New Roman" w:hAnsi="Times New Roman" w:cs="Times New Roman" w:eastAsia="Times New Roman" w:hint="default"/>
          <w:spacing w:val="-3"/>
        </w:rPr>
        <w:t>53.7</w:t>
      </w:r>
      <w:r>
        <w:rPr>
          <w:spacing w:val="-3"/>
        </w:rPr>
        <w:t>元）和股票期权激励计划草案</w:t>
      </w:r>
      <w:r>
        <w:rPr>
          <w:spacing w:val="-44"/>
        </w:rPr>
        <w:t> </w:t>
      </w:r>
      <w:r>
        <w:rPr>
          <w:spacing w:val="-44"/>
        </w:rPr>
      </w:r>
      <w:r>
        <w:rPr>
          <w:spacing w:val="-3"/>
        </w:rPr>
        <w:t>摘要公布前</w:t>
      </w:r>
      <w:r>
        <w:rPr>
          <w:rFonts w:ascii="Times New Roman" w:hAnsi="Times New Roman" w:cs="Times New Roman" w:eastAsia="Times New Roman" w:hint="default"/>
          <w:spacing w:val="-3"/>
        </w:rPr>
        <w:t>30</w:t>
      </w:r>
      <w:r>
        <w:rPr>
          <w:spacing w:val="-3"/>
        </w:rPr>
        <w:t>个交易日的公司标的股票平均收盘价（</w:t>
      </w:r>
      <w:r>
        <w:rPr>
          <w:rFonts w:ascii="Times New Roman" w:hAnsi="Times New Roman" w:cs="Times New Roman" w:eastAsia="Times New Roman" w:hint="default"/>
          <w:spacing w:val="-3"/>
        </w:rPr>
        <w:t>50.05</w:t>
      </w:r>
      <w:r>
        <w:rPr>
          <w:spacing w:val="-3"/>
        </w:rPr>
        <w:t>元）中较高者为准。股票期权的有效期自首次股</w:t>
      </w:r>
      <w:r>
        <w:rPr>
          <w:spacing w:val="-39"/>
        </w:rPr>
        <w:t> </w:t>
      </w:r>
      <w:r>
        <w:rPr>
          <w:spacing w:val="-39"/>
        </w:rPr>
      </w:r>
      <w:r>
        <w:rPr/>
        <w:t>票期权授予之日起计算，最长不超过</w:t>
      </w:r>
      <w:r>
        <w:rPr>
          <w:rFonts w:ascii="Times New Roman" w:hAnsi="Times New Roman" w:cs="Times New Roman" w:eastAsia="Times New Roman" w:hint="default"/>
        </w:rPr>
        <w:t>6</w:t>
      </w:r>
      <w:r>
        <w:rPr/>
        <w:t>年。自授权日起满</w:t>
      </w:r>
      <w:r>
        <w:rPr>
          <w:rFonts w:ascii="Times New Roman" w:hAnsi="Times New Roman" w:cs="Times New Roman" w:eastAsia="Times New Roman" w:hint="default"/>
        </w:rPr>
        <w:t>12</w:t>
      </w:r>
      <w:r>
        <w:rPr/>
        <w:t>个月后，激励对象应在未来</w:t>
      </w:r>
      <w:r>
        <w:rPr>
          <w:rFonts w:ascii="Times New Roman" w:hAnsi="Times New Roman" w:cs="Times New Roman" w:eastAsia="Times New Roman" w:hint="default"/>
        </w:rPr>
        <w:t>48</w:t>
      </w:r>
      <w:r>
        <w:rPr/>
        <w:t>个月内分四次行</w:t>
      </w:r>
      <w:r>
        <w:rPr>
          <w:spacing w:val="-23"/>
        </w:rPr>
        <w:t> </w:t>
      </w:r>
      <w:r>
        <w:rPr>
          <w:spacing w:val="-23"/>
        </w:rPr>
      </w:r>
      <w:r>
        <w:rPr/>
        <w:t>权，每一个行权期可行权数量占获授权数量的</w:t>
      </w:r>
      <w:r>
        <w:rPr>
          <w:rFonts w:ascii="Times New Roman" w:hAnsi="Times New Roman" w:cs="Times New Roman" w:eastAsia="Times New Roman" w:hint="default"/>
        </w:rPr>
        <w:t>25%</w:t>
      </w:r>
      <w:r>
        <w:rPr/>
        <w:t>。</w:t>
      </w:r>
    </w:p>
    <w:p>
      <w:pPr>
        <w:spacing w:after="0" w:line="261" w:lineRule="auto"/>
        <w:jc w:val="both"/>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59" w:lineRule="auto" w:before="36"/>
        <w:ind w:right="185" w:firstLine="420"/>
        <w:jc w:val="both"/>
      </w:pPr>
      <w:r>
        <w:rPr/>
        <w:t>由于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2010</w:t>
      </w:r>
      <w:r>
        <w:rPr/>
        <w:t>年度股东大会审议通过了《</w:t>
      </w:r>
      <w:r>
        <w:rPr>
          <w:rFonts w:ascii="Times New Roman" w:hAnsi="Times New Roman" w:cs="Times New Roman" w:eastAsia="Times New Roman" w:hint="default"/>
        </w:rPr>
        <w:t>2010</w:t>
      </w:r>
      <w:r>
        <w:rPr/>
        <w:t>年度资本公积转增股本及利润分配预</w:t>
      </w:r>
      <w:r>
        <w:rPr>
          <w:w w:val="100"/>
        </w:rPr>
        <w:t> </w:t>
      </w:r>
      <w:r>
        <w:rPr/>
        <w:t>案》，使得股本由原来的</w:t>
      </w:r>
      <w:r>
        <w:rPr>
          <w:rFonts w:ascii="Times New Roman" w:hAnsi="Times New Roman" w:cs="Times New Roman" w:eastAsia="Times New Roman" w:hint="default"/>
        </w:rPr>
        <w:t>14,000</w:t>
      </w:r>
      <w:r>
        <w:rPr/>
        <w:t>万股增加到</w:t>
      </w:r>
      <w:r>
        <w:rPr>
          <w:rFonts w:ascii="Times New Roman" w:hAnsi="Times New Roman" w:cs="Times New Roman" w:eastAsia="Times New Roman" w:hint="default"/>
        </w:rPr>
        <w:t>21,000</w:t>
      </w:r>
      <w:r>
        <w:rPr/>
        <w:t>万股，根据股票激励计划的规定，若在行权前公司有资</w:t>
      </w:r>
      <w:r>
        <w:rPr>
          <w:spacing w:val="-26"/>
        </w:rPr>
        <w:t> </w:t>
      </w:r>
      <w:r>
        <w:rPr>
          <w:spacing w:val="-26"/>
        </w:rPr>
      </w:r>
      <w:r>
        <w:rPr>
          <w:spacing w:val="-2"/>
        </w:rPr>
        <w:t>本公积转增资本、配送股票红利、股票细拆或缩股等事项，应当对股票期权的数量和行权价格进行调整，</w:t>
      </w:r>
      <w:r>
        <w:rPr>
          <w:spacing w:val="-21"/>
        </w:rPr>
        <w:t> </w:t>
      </w:r>
      <w:r>
        <w:rPr>
          <w:spacing w:val="-21"/>
        </w:rPr>
      </w:r>
      <w:r>
        <w:rPr/>
        <w:t>同时由于部分人员离职而导致股票期权数量变动，为此，公司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日召开的第二届六次董事会议</w:t>
      </w:r>
      <w:r>
        <w:rPr>
          <w:spacing w:val="-25"/>
        </w:rPr>
        <w:t> </w:t>
      </w:r>
      <w:r>
        <w:rPr>
          <w:spacing w:val="-25"/>
        </w:rPr>
      </w:r>
      <w:r>
        <w:rPr>
          <w:spacing w:val="-3"/>
        </w:rPr>
        <w:t>审议通过了《关于对</w:t>
      </w:r>
      <w:r>
        <w:rPr>
          <w:rFonts w:ascii="Times New Roman" w:hAnsi="Times New Roman" w:cs="Times New Roman" w:eastAsia="Times New Roman" w:hint="default"/>
          <w:spacing w:val="-3"/>
        </w:rPr>
        <w:t>&lt;</w:t>
      </w:r>
      <w:r>
        <w:rPr>
          <w:spacing w:val="-3"/>
        </w:rPr>
        <w:t>公司股票期权激励计划</w:t>
      </w:r>
      <w:r>
        <w:rPr>
          <w:rFonts w:ascii="Times New Roman" w:hAnsi="Times New Roman" w:cs="Times New Roman" w:eastAsia="Times New Roman" w:hint="default"/>
          <w:spacing w:val="-3"/>
        </w:rPr>
        <w:t>&gt;</w:t>
      </w:r>
      <w:r>
        <w:rPr>
          <w:spacing w:val="-3"/>
        </w:rPr>
        <w:t>实际的股票期权数量和行权价格进行调整的议案》，经本次</w:t>
      </w:r>
      <w:r>
        <w:rPr>
          <w:spacing w:val="-26"/>
        </w:rPr>
        <w:t> </w:t>
      </w:r>
      <w:r>
        <w:rPr>
          <w:spacing w:val="-26"/>
        </w:rPr>
      </w:r>
      <w:r>
        <w:rPr>
          <w:spacing w:val="-3"/>
        </w:rPr>
        <w:t>调整，授予股票期权总数调整为</w:t>
      </w:r>
      <w:r>
        <w:rPr>
          <w:rFonts w:ascii="Times New Roman" w:hAnsi="Times New Roman" w:cs="Times New Roman" w:eastAsia="Times New Roman" w:hint="default"/>
          <w:spacing w:val="-3"/>
        </w:rPr>
        <w:t>490.5</w:t>
      </w:r>
      <w:r>
        <w:rPr>
          <w:spacing w:val="-3"/>
        </w:rPr>
        <w:t>万份（调整前</w:t>
      </w:r>
      <w:r>
        <w:rPr>
          <w:rFonts w:ascii="Times New Roman" w:hAnsi="Times New Roman" w:cs="Times New Roman" w:eastAsia="Times New Roman" w:hint="default"/>
          <w:spacing w:val="-3"/>
        </w:rPr>
        <w:t>327</w:t>
      </w:r>
      <w:r>
        <w:rPr>
          <w:spacing w:val="-3"/>
        </w:rPr>
        <w:t>万份），其中：首次授予的期权数量为</w:t>
      </w:r>
      <w:r>
        <w:rPr>
          <w:rFonts w:ascii="Times New Roman" w:hAnsi="Times New Roman" w:cs="Times New Roman" w:eastAsia="Times New Roman" w:hint="default"/>
          <w:spacing w:val="-3"/>
        </w:rPr>
        <w:t>453</w:t>
      </w:r>
      <w:r>
        <w:rPr>
          <w:spacing w:val="-3"/>
        </w:rPr>
        <w:t>万份（调</w:t>
      </w:r>
      <w:r>
        <w:rPr>
          <w:spacing w:val="-40"/>
        </w:rPr>
        <w:t> </w:t>
      </w:r>
      <w:r>
        <w:rPr>
          <w:spacing w:val="-40"/>
        </w:rPr>
      </w:r>
      <w:r>
        <w:rPr>
          <w:spacing w:val="-6"/>
        </w:rPr>
        <w:t>整前</w:t>
      </w:r>
      <w:r>
        <w:rPr>
          <w:rFonts w:ascii="Times New Roman" w:hAnsi="Times New Roman" w:cs="Times New Roman" w:eastAsia="Times New Roman" w:hint="default"/>
          <w:spacing w:val="-6"/>
        </w:rPr>
        <w:t>302</w:t>
      </w:r>
      <w:r>
        <w:rPr>
          <w:spacing w:val="-6"/>
        </w:rPr>
        <w:t>万份），预留数量为</w:t>
      </w:r>
      <w:r>
        <w:rPr>
          <w:rFonts w:ascii="Times New Roman" w:hAnsi="Times New Roman" w:cs="Times New Roman" w:eastAsia="Times New Roman" w:hint="default"/>
          <w:spacing w:val="-6"/>
        </w:rPr>
        <w:t>37.5</w:t>
      </w:r>
      <w:r>
        <w:rPr>
          <w:spacing w:val="-6"/>
        </w:rPr>
        <w:t>万份（调整前</w:t>
      </w:r>
      <w:r>
        <w:rPr>
          <w:rFonts w:ascii="Times New Roman" w:hAnsi="Times New Roman" w:cs="Times New Roman" w:eastAsia="Times New Roman" w:hint="default"/>
          <w:spacing w:val="-6"/>
        </w:rPr>
        <w:t>25</w:t>
      </w:r>
      <w:r>
        <w:rPr>
          <w:spacing w:val="-6"/>
        </w:rPr>
        <w:t>万份），行权价格调整为</w:t>
      </w:r>
      <w:r>
        <w:rPr>
          <w:rFonts w:ascii="Times New Roman" w:hAnsi="Times New Roman" w:cs="Times New Roman" w:eastAsia="Times New Roman" w:hint="default"/>
          <w:spacing w:val="-6"/>
        </w:rPr>
        <w:t>35.7</w:t>
      </w:r>
      <w:r>
        <w:rPr>
          <w:spacing w:val="-6"/>
        </w:rPr>
        <w:t>元。确定首次授权日期为</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p>
    <w:p>
      <w:pPr>
        <w:spacing w:line="240" w:lineRule="auto" w:before="1"/>
        <w:rPr>
          <w:rFonts w:ascii="宋体" w:hAnsi="宋体" w:cs="宋体" w:eastAsia="宋体" w:hint="default"/>
          <w:sz w:val="24"/>
          <w:szCs w:val="24"/>
        </w:rPr>
      </w:pPr>
    </w:p>
    <w:p>
      <w:pPr>
        <w:pStyle w:val="BodyText"/>
        <w:spacing w:line="256" w:lineRule="auto" w:before="0"/>
        <w:ind w:right="158" w:firstLine="420"/>
        <w:jc w:val="both"/>
      </w:pPr>
      <w:r>
        <w:rPr/>
        <w:t>由于部分人员离职而导致股票期权数量变动，公司于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日召开第二届十三次董事会会议，</w:t>
      </w:r>
      <w:r>
        <w:rPr>
          <w:w w:val="100"/>
        </w:rPr>
        <w:t> </w:t>
      </w:r>
      <w:r>
        <w:rPr>
          <w:spacing w:val="-2"/>
        </w:rPr>
        <w:t>审议通过了《关于对</w:t>
      </w:r>
      <w:r>
        <w:rPr>
          <w:rFonts w:ascii="Times New Roman" w:hAnsi="Times New Roman" w:cs="Times New Roman" w:eastAsia="Times New Roman" w:hint="default"/>
          <w:spacing w:val="-2"/>
        </w:rPr>
        <w:t>&lt;</w:t>
      </w:r>
      <w:r>
        <w:rPr>
          <w:spacing w:val="-2"/>
        </w:rPr>
        <w:t>股票期权激励计划</w:t>
      </w:r>
      <w:r>
        <w:rPr>
          <w:rFonts w:ascii="Times New Roman" w:hAnsi="Times New Roman" w:cs="Times New Roman" w:eastAsia="Times New Roman" w:hint="default"/>
          <w:spacing w:val="-2"/>
        </w:rPr>
        <w:t>&gt;</w:t>
      </w:r>
      <w:r>
        <w:rPr>
          <w:spacing w:val="-2"/>
        </w:rPr>
        <w:t>激励对象及所涉股票期权数量进行调整的议案》，经本次调整，</w:t>
      </w:r>
      <w:r>
        <w:rPr>
          <w:spacing w:val="-21"/>
        </w:rPr>
        <w:t> </w:t>
      </w:r>
      <w:r>
        <w:rPr>
          <w:spacing w:val="-21"/>
        </w:rPr>
      </w:r>
      <w:r>
        <w:rPr/>
        <w:t>首次授予的期权数量为</w:t>
      </w:r>
      <w:r>
        <w:rPr>
          <w:rFonts w:ascii="Times New Roman" w:hAnsi="Times New Roman" w:cs="Times New Roman" w:eastAsia="Times New Roman" w:hint="default"/>
        </w:rPr>
        <w:t>355.8</w:t>
      </w:r>
      <w:r>
        <w:rPr/>
        <w:t>万份（调整前</w:t>
      </w:r>
      <w:r>
        <w:rPr>
          <w:rFonts w:ascii="Times New Roman" w:hAnsi="Times New Roman" w:cs="Times New Roman" w:eastAsia="Times New Roman" w:hint="default"/>
        </w:rPr>
        <w:t>453</w:t>
      </w:r>
      <w:r>
        <w:rPr/>
        <w:t>万份）。</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BodyText"/>
        <w:spacing w:line="259" w:lineRule="auto" w:before="0"/>
        <w:ind w:right="76" w:firstLine="420"/>
        <w:jc w:val="left"/>
      </w:pPr>
      <w:r>
        <w:rPr/>
        <w:t>由于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2011</w:t>
      </w:r>
      <w:r>
        <w:rPr/>
        <w:t>年度股东大会审议通过了《关于</w:t>
      </w:r>
      <w:r>
        <w:rPr>
          <w:rFonts w:ascii="Times New Roman" w:hAnsi="Times New Roman" w:cs="Times New Roman" w:eastAsia="Times New Roman" w:hint="default"/>
        </w:rPr>
        <w:t>2011</w:t>
      </w:r>
      <w:r>
        <w:rPr/>
        <w:t>年度资本公积金转增股本及利润</w:t>
      </w:r>
      <w:r>
        <w:rPr>
          <w:w w:val="100"/>
        </w:rPr>
        <w:t> </w:t>
      </w:r>
      <w:r>
        <w:rPr/>
        <w:t>分配预案及修订〈东方财富信息股份有限公司章程〉相应条款的议案》，使得股本由原来的</w:t>
      </w:r>
      <w:r>
        <w:rPr>
          <w:rFonts w:ascii="Times New Roman" w:hAnsi="Times New Roman" w:cs="Times New Roman" w:eastAsia="Times New Roman" w:hint="default"/>
        </w:rPr>
        <w:t>21,000</w:t>
      </w:r>
      <w:r>
        <w:rPr/>
        <w:t>万股增</w:t>
      </w:r>
      <w:r>
        <w:rPr>
          <w:spacing w:val="-75"/>
        </w:rPr>
        <w:t> </w:t>
      </w:r>
      <w:r>
        <w:rPr>
          <w:spacing w:val="-75"/>
        </w:rPr>
      </w:r>
      <w:r>
        <w:rPr/>
        <w:t>加到</w:t>
      </w:r>
      <w:r>
        <w:rPr>
          <w:rFonts w:ascii="Times New Roman" w:hAnsi="Times New Roman" w:cs="Times New Roman" w:eastAsia="Times New Roman" w:hint="default"/>
        </w:rPr>
        <w:t>33,600</w:t>
      </w:r>
      <w:r>
        <w:rPr/>
        <w:t>万股，根据股票激励计划的规定，若在行权前公司有资本公积转增资本、配送股票红利、股票</w:t>
      </w:r>
      <w:r>
        <w:rPr>
          <w:spacing w:val="-78"/>
        </w:rPr>
        <w:t> </w:t>
      </w:r>
      <w:r>
        <w:rPr>
          <w:spacing w:val="-78"/>
        </w:rPr>
      </w:r>
      <w:r>
        <w:rPr>
          <w:spacing w:val="-2"/>
        </w:rPr>
        <w:t>细拆或缩股等事项，应当对股票期权的数量和行权价格进行调整，同时由于部分人员离职而导致股票期权</w:t>
      </w:r>
      <w:r>
        <w:rPr>
          <w:spacing w:val="-42"/>
        </w:rPr>
        <w:t> </w:t>
      </w:r>
      <w:r>
        <w:rPr>
          <w:spacing w:val="-42"/>
        </w:rPr>
      </w:r>
      <w:r>
        <w:rPr>
          <w:spacing w:val="-3"/>
        </w:rPr>
        <w:t>数量变动，为此，公司</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日召开的第二届十四次董事会议审议通过了《关于调整</w:t>
      </w:r>
      <w:r>
        <w:rPr>
          <w:rFonts w:ascii="Times New Roman" w:hAnsi="Times New Roman" w:cs="Times New Roman" w:eastAsia="Times New Roman" w:hint="default"/>
          <w:spacing w:val="-3"/>
        </w:rPr>
        <w:t>&lt;</w:t>
      </w:r>
      <w:r>
        <w:rPr>
          <w:spacing w:val="-3"/>
        </w:rPr>
        <w:t>股票期权激励</w:t>
      </w:r>
      <w:r>
        <w:rPr>
          <w:spacing w:val="-4"/>
        </w:rPr>
        <w:t> </w:t>
      </w:r>
      <w:r>
        <w:rPr>
          <w:spacing w:val="-4"/>
        </w:rPr>
      </w:r>
      <w:r>
        <w:rPr>
          <w:spacing w:val="-8"/>
        </w:rPr>
        <w:t>计划</w:t>
      </w:r>
      <w:r>
        <w:rPr>
          <w:rFonts w:ascii="Times New Roman" w:hAnsi="Times New Roman" w:cs="Times New Roman" w:eastAsia="Times New Roman" w:hint="default"/>
          <w:spacing w:val="-8"/>
        </w:rPr>
        <w:t>&gt;</w:t>
      </w:r>
      <w:r>
        <w:rPr>
          <w:spacing w:val="-8"/>
        </w:rPr>
        <w:t>期权数量及行权价格的议案》，经本次调整，首次授予的期权数量为</w:t>
      </w:r>
      <w:r>
        <w:rPr>
          <w:rFonts w:ascii="Times New Roman" w:hAnsi="Times New Roman" w:cs="Times New Roman" w:eastAsia="Times New Roman" w:hint="default"/>
          <w:spacing w:val="-8"/>
        </w:rPr>
        <w:t>567.36</w:t>
      </w:r>
      <w:r>
        <w:rPr>
          <w:spacing w:val="-8"/>
        </w:rPr>
        <w:t>万份（调整前</w:t>
      </w:r>
      <w:r>
        <w:rPr>
          <w:rFonts w:ascii="Times New Roman" w:hAnsi="Times New Roman" w:cs="Times New Roman" w:eastAsia="Times New Roman" w:hint="default"/>
          <w:spacing w:val="-8"/>
        </w:rPr>
        <w:t>355.80</w:t>
      </w:r>
      <w:r>
        <w:rPr>
          <w:spacing w:val="-8"/>
        </w:rPr>
        <w:t>万份），</w:t>
      </w:r>
      <w:r>
        <w:rPr>
          <w:spacing w:val="-28"/>
        </w:rPr>
        <w:t> </w:t>
      </w:r>
      <w:r>
        <w:rPr>
          <w:spacing w:val="-28"/>
        </w:rPr>
      </w:r>
      <w:r>
        <w:rPr/>
        <w:t>预留数量为</w:t>
      </w:r>
      <w:r>
        <w:rPr>
          <w:rFonts w:ascii="Times New Roman" w:hAnsi="Times New Roman" w:cs="Times New Roman" w:eastAsia="Times New Roman" w:hint="default"/>
        </w:rPr>
        <w:t>60</w:t>
      </w:r>
      <w:r>
        <w:rPr/>
        <w:t>万份（调整前</w:t>
      </w:r>
      <w:r>
        <w:rPr>
          <w:rFonts w:ascii="Times New Roman" w:hAnsi="Times New Roman" w:cs="Times New Roman" w:eastAsia="Times New Roman" w:hint="default"/>
        </w:rPr>
        <w:t>37.5</w:t>
      </w:r>
      <w:r>
        <w:rPr/>
        <w:t>万份），行权价格调整为</w:t>
      </w:r>
      <w:r>
        <w:rPr>
          <w:rFonts w:ascii="Times New Roman" w:hAnsi="Times New Roman" w:cs="Times New Roman" w:eastAsia="Times New Roman" w:hint="default"/>
        </w:rPr>
        <w:t>22.25</w:t>
      </w:r>
      <w:r>
        <w:rPr/>
        <w:t>元。</w:t>
      </w:r>
    </w:p>
    <w:p>
      <w:pPr>
        <w:spacing w:line="240" w:lineRule="auto" w:before="1"/>
        <w:rPr>
          <w:rFonts w:ascii="宋体" w:hAnsi="宋体" w:cs="宋体" w:eastAsia="宋体" w:hint="default"/>
          <w:sz w:val="24"/>
          <w:szCs w:val="24"/>
        </w:rPr>
      </w:pPr>
    </w:p>
    <w:p>
      <w:pPr>
        <w:pStyle w:val="BodyText"/>
        <w:spacing w:line="256" w:lineRule="auto" w:before="0"/>
        <w:ind w:right="206" w:firstLine="420"/>
        <w:jc w:val="both"/>
      </w:pPr>
      <w:r>
        <w:rPr>
          <w:spacing w:val="-2"/>
        </w:rPr>
        <w:t>鉴于预留期权授予条件成熟，公司于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日召开第二届十五次董事会会议，通过了《关于公司</w:t>
      </w:r>
      <w:r>
        <w:rPr>
          <w:w w:val="100"/>
        </w:rPr>
        <w:t> </w:t>
      </w:r>
      <w:r>
        <w:rPr>
          <w:spacing w:val="-2"/>
        </w:rPr>
        <w:t>首期股票期权激励计划预留期权授予相关事项的议案》，确定预留期权授予日为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日，行权价为</w:t>
      </w:r>
      <w:r>
        <w:rPr>
          <w:spacing w:val="-37"/>
        </w:rPr>
        <w:t> </w:t>
      </w:r>
      <w:r>
        <w:rPr>
          <w:spacing w:val="-37"/>
        </w:rPr>
      </w:r>
      <w:r>
        <w:rPr>
          <w:rFonts w:ascii="Times New Roman" w:hAnsi="Times New Roman" w:cs="Times New Roman" w:eastAsia="Times New Roman" w:hint="default"/>
        </w:rPr>
        <w:t>15.09</w:t>
      </w:r>
      <w:r>
        <w:rPr/>
        <w:t>元。</w:t>
      </w:r>
    </w:p>
    <w:p>
      <w:pPr>
        <w:spacing w:line="240" w:lineRule="auto" w:before="3"/>
        <w:rPr>
          <w:rFonts w:ascii="宋体" w:hAnsi="宋体" w:cs="宋体" w:eastAsia="宋体" w:hint="default"/>
          <w:sz w:val="24"/>
          <w:szCs w:val="24"/>
        </w:rPr>
      </w:pPr>
    </w:p>
    <w:p>
      <w:pPr>
        <w:pStyle w:val="BodyText"/>
        <w:spacing w:line="240" w:lineRule="auto" w:before="0"/>
        <w:ind w:left="573" w:right="76"/>
        <w:jc w:val="left"/>
      </w:pPr>
      <w:r>
        <w:rPr/>
        <w:t>（</w:t>
      </w:r>
      <w:r>
        <w:rPr>
          <w:rFonts w:ascii="Times New Roman" w:hAnsi="Times New Roman" w:cs="Times New Roman" w:eastAsia="Times New Roman" w:hint="default"/>
        </w:rPr>
        <w:t>1</w:t>
      </w:r>
      <w:r>
        <w:rPr/>
        <w:t>）首次授予期权情况</w:t>
      </w:r>
    </w:p>
    <w:p>
      <w:pPr>
        <w:pStyle w:val="BodyText"/>
        <w:spacing w:line="256" w:lineRule="auto" w:before="21"/>
        <w:ind w:right="209" w:firstLine="420"/>
        <w:jc w:val="both"/>
      </w:pPr>
      <w:r>
        <w:rPr/>
        <w:t>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股份支付》和《企业会计准则第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金融工具确认和计量》等的相关规</w:t>
      </w:r>
      <w:r>
        <w:rPr>
          <w:w w:val="100"/>
        </w:rPr>
        <w:t> </w:t>
      </w:r>
      <w:r>
        <w:rPr/>
        <w:t>定，公司采用期权定价模型（</w:t>
      </w:r>
      <w:r>
        <w:rPr>
          <w:rFonts w:ascii="Times New Roman" w:hAnsi="Times New Roman" w:cs="Times New Roman" w:eastAsia="Times New Roman" w:hint="default"/>
        </w:rPr>
        <w:t>black-scholes</w:t>
      </w:r>
      <w:r>
        <w:rPr/>
        <w:t>模型）的方</w:t>
      </w:r>
    </w:p>
    <w:p>
      <w:pPr>
        <w:pStyle w:val="BodyText"/>
        <w:spacing w:line="240" w:lineRule="auto" w:before="5"/>
        <w:ind w:left="573" w:right="76"/>
        <w:jc w:val="left"/>
      </w:pPr>
      <w:r>
        <w:rPr/>
        <w:t>式估计确定首次实施股票期权激励计划在授予日的公允价值。期权定价模型确定各项参数如下：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675" w:lineRule="exact"/>
        <w:ind w:left="573"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3757782" cy="428625"/>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3" cstate="print"/>
                    <a:stretch>
                      <a:fillRect/>
                    </a:stretch>
                  </pic:blipFill>
                  <pic:spPr>
                    <a:xfrm>
                      <a:off x="0" y="0"/>
                      <a:ext cx="3757782" cy="428625"/>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1"/>
        <w:rPr>
          <w:rFonts w:ascii="宋体" w:hAnsi="宋体" w:cs="宋体" w:eastAsia="宋体" w:hint="default"/>
          <w:sz w:val="11"/>
          <w:szCs w:val="11"/>
        </w:rPr>
      </w:pPr>
    </w:p>
    <w:p>
      <w:pPr>
        <w:spacing w:line="2154" w:lineRule="exact"/>
        <w:ind w:left="573"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3169130" cy="1368171"/>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24" cstate="print"/>
                    <a:stretch>
                      <a:fillRect/>
                    </a:stretch>
                  </pic:blipFill>
                  <pic:spPr>
                    <a:xfrm>
                      <a:off x="0" y="0"/>
                      <a:ext cx="3169130" cy="1368171"/>
                    </a:xfrm>
                    <a:prstGeom prst="rect">
                      <a:avLst/>
                    </a:prstGeom>
                  </pic:spPr>
                </pic:pic>
              </a:graphicData>
            </a:graphic>
          </wp:inline>
        </w:drawing>
      </w:r>
      <w:r>
        <w:rPr>
          <w:rFonts w:ascii="宋体" w:hAnsi="宋体" w:cs="宋体" w:eastAsia="宋体" w:hint="default"/>
          <w:position w:val="-42"/>
          <w:sz w:val="20"/>
          <w:szCs w:val="20"/>
        </w:rPr>
      </w:r>
    </w:p>
    <w:p>
      <w:pPr>
        <w:pStyle w:val="BodyText"/>
        <w:spacing w:line="256" w:lineRule="auto" w:before="5"/>
        <w:ind w:left="573" w:right="1866"/>
        <w:jc w:val="left"/>
      </w:pPr>
      <w:r>
        <w:rPr>
          <w:spacing w:val="-1"/>
        </w:rPr>
        <w:t>标的股价（</w:t>
      </w:r>
      <w:r>
        <w:rPr>
          <w:rFonts w:ascii="Times New Roman" w:hAnsi="Times New Roman" w:cs="Times New Roman" w:eastAsia="Times New Roman" w:hint="default"/>
          <w:spacing w:val="-1"/>
        </w:rPr>
        <w:t>S</w:t>
      </w:r>
      <w:r>
        <w:rPr>
          <w:spacing w:val="-1"/>
        </w:rPr>
        <w:t>）：以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27</w:t>
      </w:r>
      <w:r>
        <w:rPr>
          <w:spacing w:val="-1"/>
        </w:rPr>
        <w:t>日收盘价</w:t>
      </w:r>
      <w:r>
        <w:rPr>
          <w:rFonts w:ascii="Times New Roman" w:hAnsi="Times New Roman" w:cs="Times New Roman" w:eastAsia="Times New Roman" w:hint="default"/>
          <w:spacing w:val="-1"/>
        </w:rPr>
        <w:t>33.89</w:t>
      </w:r>
      <w:r>
        <w:rPr>
          <w:spacing w:val="-1"/>
        </w:rPr>
        <w:t>元进行测算</w:t>
      </w:r>
      <w:r>
        <w:rPr>
          <w:spacing w:val="-75"/>
        </w:rPr>
        <w:t> </w:t>
      </w:r>
      <w:r>
        <w:rPr>
          <w:spacing w:val="-75"/>
        </w:rPr>
      </w:r>
      <w:r>
        <w:rPr/>
        <w:t>行权价格（</w:t>
      </w:r>
      <w:r>
        <w:rPr>
          <w:rFonts w:ascii="Times New Roman" w:hAnsi="Times New Roman" w:cs="Times New Roman" w:eastAsia="Times New Roman" w:hint="default"/>
        </w:rPr>
        <w:t>K</w:t>
      </w:r>
      <w:r>
        <w:rPr/>
        <w:t>）：</w:t>
      </w:r>
      <w:r>
        <w:rPr>
          <w:rFonts w:ascii="Times New Roman" w:hAnsi="Times New Roman" w:cs="Times New Roman" w:eastAsia="Times New Roman" w:hint="default"/>
        </w:rPr>
        <w:t>53.70</w:t>
      </w:r>
      <w:r>
        <w:rPr/>
        <w:t>元</w:t>
      </w:r>
    </w:p>
    <w:p>
      <w:pPr>
        <w:spacing w:after="0" w:line="256"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18"/>
        <w:ind w:left="573" w:right="3252"/>
        <w:jc w:val="left"/>
        <w:rPr>
          <w:rFonts w:ascii="Times New Roman" w:hAnsi="Times New Roman" w:cs="Times New Roman" w:eastAsia="Times New Roman" w:hint="default"/>
        </w:rPr>
      </w:pPr>
      <w:r>
        <w:rPr>
          <w:spacing w:val="-2"/>
        </w:rPr>
        <w:t>无风险利率</w:t>
      </w:r>
      <w:r>
        <w:rPr>
          <w:rFonts w:ascii="Times New Roman" w:hAnsi="Times New Roman" w:cs="Times New Roman" w:eastAsia="Times New Roman" w:hint="default"/>
          <w:spacing w:val="-2"/>
        </w:rPr>
        <w:t>(r)</w:t>
      </w:r>
      <w:r>
        <w:rPr>
          <w:spacing w:val="-2"/>
        </w:rPr>
        <w:t>：</w:t>
      </w:r>
      <w:r>
        <w:rPr>
          <w:rFonts w:ascii="Times New Roman" w:hAnsi="Times New Roman" w:cs="Times New Roman" w:eastAsia="Times New Roman" w:hint="default"/>
          <w:spacing w:val="-2"/>
        </w:rPr>
        <w:t>0.5%</w:t>
      </w:r>
      <w:r>
        <w:rPr>
          <w:spacing w:val="-2"/>
        </w:rPr>
        <w:t>，取</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号新执行的活期存款利率</w:t>
      </w:r>
      <w:r>
        <w:rPr>
          <w:spacing w:val="-43"/>
        </w:rPr>
        <w:t> </w:t>
      </w:r>
      <w:r>
        <w:rPr>
          <w:spacing w:val="-43"/>
        </w:rPr>
      </w:r>
      <w:r>
        <w:rPr/>
        <w:t>标的股票的股息率（</w:t>
      </w:r>
      <w:r>
        <w:rPr>
          <w:rFonts w:ascii="Times New Roman" w:hAnsi="Times New Roman" w:cs="Times New Roman" w:eastAsia="Times New Roman" w:hint="default"/>
        </w:rPr>
        <w:t>i</w:t>
      </w:r>
      <w:r>
        <w:rPr/>
        <w:t>）为：</w:t>
      </w:r>
      <w:r>
        <w:rPr>
          <w:rFonts w:ascii="Times New Roman" w:hAnsi="Times New Roman" w:cs="Times New Roman" w:eastAsia="Times New Roman" w:hint="default"/>
        </w:rPr>
        <w:t>0.39%</w:t>
      </w:r>
    </w:p>
    <w:p>
      <w:pPr>
        <w:pStyle w:val="BodyText"/>
        <w:spacing w:line="256" w:lineRule="auto" w:before="5"/>
        <w:ind w:right="109" w:firstLine="420"/>
        <w:jc w:val="both"/>
      </w:pPr>
      <w:r>
        <w:rPr/>
        <w:t>期权到期时间（</w:t>
      </w:r>
      <w:r>
        <w:rPr>
          <w:rFonts w:ascii="Times New Roman" w:hAnsi="Times New Roman" w:cs="Times New Roman" w:eastAsia="Times New Roman" w:hint="default"/>
        </w:rPr>
        <w:t>T</w:t>
      </w:r>
      <w:r>
        <w:rPr/>
        <w:t>）：</w:t>
      </w:r>
      <w:r>
        <w:rPr>
          <w:rFonts w:ascii="Times New Roman" w:hAnsi="Times New Roman" w:cs="Times New Roman" w:eastAsia="Times New Roman" w:hint="default"/>
        </w:rPr>
        <w:t>3.75</w:t>
      </w:r>
      <w:r>
        <w:rPr/>
        <w:t>，根据计算公式，有效期</w:t>
      </w:r>
      <w:r>
        <w:rPr>
          <w:rFonts w:ascii="Times New Roman" w:hAnsi="Times New Roman" w:cs="Times New Roman" w:eastAsia="Times New Roman" w:hint="default"/>
        </w:rPr>
        <w:t>=0.5×</w:t>
      </w:r>
      <w:r>
        <w:rPr/>
        <w:t>（加权的预期生效期</w:t>
      </w:r>
      <w:r>
        <w:rPr>
          <w:rFonts w:ascii="Times New Roman" w:hAnsi="Times New Roman" w:cs="Times New Roman" w:eastAsia="Times New Roman" w:hint="default"/>
        </w:rPr>
        <w:t>+</w:t>
      </w:r>
      <w:r>
        <w:rPr/>
        <w:t>总有效期限）</w:t>
      </w:r>
      <w:r>
        <w:rPr>
          <w:rFonts w:ascii="Times New Roman" w:hAnsi="Times New Roman" w:cs="Times New Roman" w:eastAsia="Times New Roman" w:hint="default"/>
        </w:rPr>
        <w:t>,</w:t>
      </w:r>
      <w:r>
        <w:rPr/>
        <w:t>其中预</w:t>
      </w:r>
      <w:r>
        <w:rPr>
          <w:w w:val="100"/>
        </w:rPr>
        <w:t> </w:t>
      </w:r>
      <w:r>
        <w:rPr/>
        <w:t>期加权的预期生效期为</w:t>
      </w:r>
      <w:r>
        <w:rPr>
          <w:rFonts w:ascii="Times New Roman" w:hAnsi="Times New Roman" w:cs="Times New Roman" w:eastAsia="Times New Roman" w:hint="default"/>
        </w:rPr>
        <w:t>2.5</w:t>
      </w:r>
      <w:r>
        <w:rPr/>
        <w:t>年，总有效期为</w:t>
      </w:r>
      <w:r>
        <w:rPr>
          <w:rFonts w:ascii="Times New Roman" w:hAnsi="Times New Roman" w:cs="Times New Roman" w:eastAsia="Times New Roman" w:hint="default"/>
        </w:rPr>
        <w:t>5</w:t>
      </w:r>
      <w:r>
        <w:rPr/>
        <w:t>年。</w:t>
      </w:r>
    </w:p>
    <w:p>
      <w:pPr>
        <w:pStyle w:val="BodyText"/>
        <w:spacing w:line="256" w:lineRule="auto" w:before="5"/>
        <w:ind w:right="106" w:firstLine="420"/>
        <w:jc w:val="both"/>
      </w:pPr>
      <w:r>
        <w:rPr>
          <w:spacing w:val="-3"/>
        </w:rPr>
        <w:t>标的股票波动率</w:t>
      </w:r>
      <w:r>
        <w:rPr>
          <w:rFonts w:ascii="Times New Roman" w:hAnsi="Times New Roman" w:cs="Times New Roman" w:eastAsia="Times New Roman" w:hint="default"/>
          <w:spacing w:val="-3"/>
        </w:rPr>
        <w:t>(ó)</w:t>
      </w:r>
      <w:r>
        <w:rPr>
          <w:spacing w:val="-3"/>
        </w:rPr>
        <w:t>：</w:t>
      </w:r>
      <w:r>
        <w:rPr>
          <w:rFonts w:ascii="Times New Roman" w:hAnsi="Times New Roman" w:cs="Times New Roman" w:eastAsia="Times New Roman" w:hint="default"/>
          <w:spacing w:val="-3"/>
        </w:rPr>
        <w:t>26.77%</w:t>
      </w:r>
      <w:r>
        <w:rPr>
          <w:spacing w:val="-3"/>
        </w:rPr>
        <w:t>，计算波动率时选取自公司上市之日起，即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19</w:t>
      </w:r>
      <w:r>
        <w:rPr>
          <w:spacing w:val="-3"/>
        </w:rPr>
        <w:t>日至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rFonts w:ascii="Times New Roman" w:hAnsi="Times New Roman" w:cs="Times New Roman" w:eastAsia="Times New Roman" w:hint="default"/>
          <w:w w:val="100"/>
        </w:rPr>
        <w:t> </w:t>
      </w:r>
      <w:r>
        <w:rPr/>
        <w:t>日中小板指数的历史波动率。</w:t>
      </w:r>
    </w:p>
    <w:p>
      <w:pPr>
        <w:spacing w:line="240" w:lineRule="auto" w:before="7"/>
        <w:rPr>
          <w:rFonts w:ascii="宋体" w:hAnsi="宋体" w:cs="宋体" w:eastAsia="宋体" w:hint="default"/>
          <w:sz w:val="25"/>
          <w:szCs w:val="25"/>
        </w:rPr>
      </w:pPr>
    </w:p>
    <w:p>
      <w:pPr>
        <w:pStyle w:val="BodyText"/>
        <w:spacing w:line="264" w:lineRule="auto" w:before="0"/>
        <w:ind w:right="106" w:firstLine="420"/>
        <w:jc w:val="both"/>
      </w:pPr>
      <w:r>
        <w:rPr>
          <w:spacing w:val="-2"/>
        </w:rPr>
        <w:t>根据上述参数，股权激励计划中每份期权的理论价值为</w:t>
      </w:r>
      <w:r>
        <w:rPr>
          <w:rFonts w:ascii="Times New Roman" w:hAnsi="Times New Roman" w:cs="Times New Roman" w:eastAsia="Times New Roman" w:hint="default"/>
          <w:spacing w:val="-2"/>
        </w:rPr>
        <w:t>2.219</w:t>
      </w:r>
      <w:r>
        <w:rPr>
          <w:spacing w:val="-2"/>
        </w:rPr>
        <w:t>元，</w:t>
      </w:r>
      <w:r>
        <w:rPr>
          <w:rFonts w:ascii="Times New Roman" w:hAnsi="Times New Roman" w:cs="Times New Roman" w:eastAsia="Times New Roman" w:hint="default"/>
          <w:spacing w:val="-2"/>
        </w:rPr>
        <w:t>236.40</w:t>
      </w:r>
      <w:r>
        <w:rPr>
          <w:spacing w:val="-2"/>
        </w:rPr>
        <w:t>万份期权（其中部分激励对象</w:t>
      </w:r>
      <w:r>
        <w:rPr>
          <w:w w:val="100"/>
        </w:rPr>
        <w:t> </w:t>
      </w:r>
      <w:r>
        <w:rPr>
          <w:spacing w:val="-2"/>
        </w:rPr>
        <w:t>因个人原因离职，根据股权激励计划的规定，激励对象自离职之日起所有未行权的股票期权即被取消，故</w:t>
      </w:r>
      <w:r>
        <w:rPr>
          <w:spacing w:val="-43"/>
        </w:rPr>
        <w:t> </w:t>
      </w:r>
      <w:r>
        <w:rPr>
          <w:spacing w:val="-43"/>
        </w:rPr>
      </w:r>
      <w:r>
        <w:rPr/>
        <w:t>减去</w:t>
      </w:r>
      <w:r>
        <w:rPr>
          <w:rFonts w:ascii="Times New Roman" w:hAnsi="Times New Roman" w:cs="Times New Roman" w:eastAsia="Times New Roman" w:hint="default"/>
        </w:rPr>
        <w:t>65.60</w:t>
      </w:r>
      <w:r>
        <w:rPr/>
        <w:t>万股）对应的理论价值总额为</w:t>
      </w:r>
      <w:r>
        <w:rPr>
          <w:rFonts w:ascii="Times New Roman" w:hAnsi="Times New Roman" w:cs="Times New Roman" w:eastAsia="Times New Roman" w:hint="default"/>
        </w:rPr>
        <w:t>524.57</w:t>
      </w:r>
      <w:r>
        <w:rPr/>
        <w:t>万元。</w:t>
      </w:r>
    </w:p>
    <w:p>
      <w:pPr>
        <w:spacing w:line="240" w:lineRule="auto" w:before="9"/>
        <w:rPr>
          <w:rFonts w:ascii="宋体" w:hAnsi="宋体" w:cs="宋体" w:eastAsia="宋体" w:hint="default"/>
          <w:sz w:val="23"/>
          <w:szCs w:val="23"/>
        </w:rPr>
      </w:pPr>
    </w:p>
    <w:p>
      <w:pPr>
        <w:pStyle w:val="BodyText"/>
        <w:spacing w:line="268" w:lineRule="auto" w:before="0"/>
        <w:ind w:right="106" w:firstLine="420"/>
        <w:jc w:val="both"/>
      </w:pPr>
      <w:r>
        <w:rPr>
          <w:spacing w:val="-4"/>
        </w:rPr>
        <w:t>根据《企业会计准则第</w:t>
      </w:r>
      <w:r>
        <w:rPr>
          <w:rFonts w:ascii="Times New Roman" w:hAnsi="Times New Roman" w:cs="Times New Roman" w:eastAsia="Times New Roman" w:hint="default"/>
          <w:spacing w:val="-4"/>
        </w:rPr>
        <w:t>11</w:t>
      </w:r>
      <w:r>
        <w:rPr>
          <w:spacing w:val="-4"/>
        </w:rPr>
        <w:t>号</w:t>
      </w:r>
      <w:r>
        <w:rPr>
          <w:rFonts w:ascii="Times New Roman" w:hAnsi="Times New Roman" w:cs="Times New Roman" w:eastAsia="Times New Roman" w:hint="default"/>
          <w:spacing w:val="-4"/>
        </w:rPr>
        <w:t>-</w:t>
      </w:r>
      <w:r>
        <w:rPr>
          <w:spacing w:val="-4"/>
        </w:rPr>
        <w:t>股份支付》的有关规定，公司将在每个等待期的资产负债表日，根据最新</w:t>
      </w:r>
      <w:r>
        <w:rPr>
          <w:w w:val="100"/>
        </w:rPr>
        <w:t> </w:t>
      </w:r>
      <w:r>
        <w:rPr>
          <w:spacing w:val="-2"/>
        </w:rPr>
        <w:t>取得的可行权人数变动、业绩完成情况等后续消息，修正预计可行权的股票期权数量，并按照股票期权授</w:t>
      </w:r>
      <w:r>
        <w:rPr>
          <w:spacing w:val="-44"/>
        </w:rPr>
        <w:t> </w:t>
      </w:r>
      <w:r>
        <w:rPr>
          <w:spacing w:val="-44"/>
        </w:rPr>
      </w:r>
      <w:r>
        <w:rPr>
          <w:spacing w:val="-2"/>
        </w:rPr>
        <w:t>予日的公允价值，将当期取得的服务计入相关成本或费用和资本公积，并且，对于前期已计提的成本或费</w:t>
      </w:r>
      <w:r>
        <w:rPr>
          <w:spacing w:val="-44"/>
        </w:rPr>
        <w:t> </w:t>
      </w:r>
      <w:r>
        <w:rPr>
          <w:spacing w:val="-44"/>
        </w:rPr>
      </w:r>
      <w:r>
        <w:rPr/>
        <w:t>用，不再做调整。因此，</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2015</w:t>
      </w:r>
      <w:r>
        <w:rPr/>
        <w:t>年每年所摊销期权费用为：</w:t>
      </w:r>
    </w:p>
    <w:p>
      <w:pPr>
        <w:spacing w:line="240" w:lineRule="auto" w:before="4"/>
        <w:rPr>
          <w:rFonts w:ascii="宋体" w:hAnsi="宋体" w:cs="宋体" w:eastAsia="宋体" w:hint="default"/>
          <w:sz w:val="24"/>
          <w:szCs w:val="24"/>
        </w:rPr>
      </w:pPr>
    </w:p>
    <w:tbl>
      <w:tblPr>
        <w:tblW w:w="0" w:type="auto"/>
        <w:jc w:val="left"/>
        <w:tblInd w:w="712" w:type="dxa"/>
        <w:tblLayout w:type="fixed"/>
        <w:tblCellMar>
          <w:top w:w="0" w:type="dxa"/>
          <w:left w:w="0" w:type="dxa"/>
          <w:bottom w:w="0" w:type="dxa"/>
          <w:right w:w="0" w:type="dxa"/>
        </w:tblCellMar>
        <w:tblLook w:val="01E0"/>
      </w:tblPr>
      <w:tblGrid>
        <w:gridCol w:w="1591"/>
        <w:gridCol w:w="1841"/>
        <w:gridCol w:w="1419"/>
        <w:gridCol w:w="1418"/>
        <w:gridCol w:w="1373"/>
      </w:tblGrid>
      <w:tr>
        <w:trPr>
          <w:trHeight w:val="674"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p>
            <w:pPr>
              <w:pStyle w:val="TableParagraph"/>
              <w:spacing w:line="240" w:lineRule="auto" w:before="21"/>
              <w:ind w:left="422"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p>
          <w:p>
            <w:pPr>
              <w:pStyle w:val="TableParagraph"/>
              <w:spacing w:line="240" w:lineRule="auto" w:before="21"/>
              <w:ind w:left="423"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p>
            <w:pPr>
              <w:pStyle w:val="TableParagraph"/>
              <w:spacing w:line="240" w:lineRule="auto" w:before="21"/>
              <w:ind w:left="422"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p>
            <w:pPr>
              <w:pStyle w:val="TableParagraph"/>
              <w:spacing w:line="240" w:lineRule="auto" w:before="21"/>
              <w:ind w:left="422"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90" w:lineRule="exact"/>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p>
            <w:pPr>
              <w:pStyle w:val="TableParagraph"/>
              <w:spacing w:line="240" w:lineRule="auto" w:before="21"/>
              <w:ind w:left="417" w:right="0"/>
              <w:jc w:val="center"/>
              <w:rPr>
                <w:rFonts w:ascii="宋体" w:hAnsi="宋体" w:cs="宋体" w:eastAsia="宋体" w:hint="default"/>
                <w:sz w:val="21"/>
                <w:szCs w:val="21"/>
              </w:rPr>
            </w:pPr>
            <w:r>
              <w:rPr>
                <w:rFonts w:ascii="宋体" w:hAnsi="宋体" w:cs="宋体" w:eastAsia="宋体" w:hint="default"/>
                <w:sz w:val="21"/>
                <w:szCs w:val="21"/>
              </w:rPr>
              <w:t>摊销费用</w:t>
            </w:r>
          </w:p>
        </w:tc>
      </w:tr>
      <w:tr>
        <w:trPr>
          <w:trHeight w:val="362"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left="1022" w:right="0"/>
              <w:jc w:val="left"/>
              <w:rPr>
                <w:rFonts w:ascii="Times New Roman" w:hAnsi="Times New Roman" w:cs="Times New Roman" w:eastAsia="Times New Roman" w:hint="default"/>
                <w:sz w:val="20"/>
                <w:szCs w:val="20"/>
              </w:rPr>
            </w:pPr>
            <w:r>
              <w:rPr>
                <w:rFonts w:ascii="Times New Roman"/>
                <w:sz w:val="20"/>
              </w:rPr>
              <w:t>174.46</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186.59</w:t>
            </w:r>
            <w:r>
              <w:rPr>
                <w:rFonts w:ascii="Times New Roman"/>
                <w:sz w:val="20"/>
              </w:rPr>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left="849" w:right="0"/>
              <w:jc w:val="left"/>
              <w:rPr>
                <w:rFonts w:ascii="Times New Roman" w:hAnsi="Times New Roman" w:cs="Times New Roman" w:eastAsia="Times New Roman" w:hint="default"/>
                <w:sz w:val="20"/>
                <w:szCs w:val="20"/>
              </w:rPr>
            </w:pPr>
            <w:r>
              <w:rPr>
                <w:rFonts w:ascii="Times New Roman"/>
                <w:sz w:val="20"/>
              </w:rPr>
              <w:t>100.93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49.62</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8"/>
              <w:ind w:left="907" w:right="0"/>
              <w:jc w:val="left"/>
              <w:rPr>
                <w:rFonts w:ascii="Times New Roman" w:hAnsi="Times New Roman" w:cs="Times New Roman" w:eastAsia="Times New Roman" w:hint="default"/>
                <w:sz w:val="20"/>
                <w:szCs w:val="20"/>
              </w:rPr>
            </w:pPr>
            <w:r>
              <w:rPr>
                <w:rFonts w:ascii="Times New Roman"/>
                <w:sz w:val="20"/>
              </w:rPr>
              <w:t>12.97</w:t>
            </w:r>
          </w:p>
        </w:tc>
      </w:tr>
    </w:tbl>
    <w:p>
      <w:pPr>
        <w:spacing w:line="240" w:lineRule="auto" w:before="2"/>
        <w:rPr>
          <w:rFonts w:ascii="宋体" w:hAnsi="宋体" w:cs="宋体" w:eastAsia="宋体" w:hint="default"/>
          <w:sz w:val="20"/>
          <w:szCs w:val="20"/>
        </w:rPr>
      </w:pPr>
    </w:p>
    <w:p>
      <w:pPr>
        <w:pStyle w:val="BodyText"/>
        <w:spacing w:line="240" w:lineRule="auto" w:before="36"/>
        <w:ind w:left="573" w:right="0"/>
        <w:jc w:val="left"/>
      </w:pPr>
      <w:r>
        <w:rPr/>
        <w:t>（</w:t>
      </w:r>
      <w:r>
        <w:rPr>
          <w:rFonts w:ascii="Times New Roman" w:hAnsi="Times New Roman" w:cs="Times New Roman" w:eastAsia="Times New Roman" w:hint="default"/>
        </w:rPr>
        <w:t>2</w:t>
      </w:r>
      <w:r>
        <w:rPr/>
        <w:t>）预留期权情况</w:t>
      </w:r>
    </w:p>
    <w:p>
      <w:pPr>
        <w:pStyle w:val="BodyText"/>
        <w:spacing w:line="256" w:lineRule="auto" w:before="21"/>
        <w:ind w:right="109" w:firstLine="420"/>
        <w:jc w:val="left"/>
      </w:pPr>
      <w:r>
        <w:rPr/>
        <w:t>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股份支付》和《企业会计准则第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金融工具确认和计量》等的相关规</w:t>
      </w:r>
      <w:r>
        <w:rPr>
          <w:w w:val="100"/>
        </w:rPr>
        <w:t> </w:t>
      </w:r>
      <w:r>
        <w:rPr/>
        <w:t>定，公司采用期权定价模型（</w:t>
      </w:r>
      <w:r>
        <w:rPr>
          <w:rFonts w:ascii="Times New Roman" w:hAnsi="Times New Roman" w:cs="Times New Roman" w:eastAsia="Times New Roman" w:hint="default"/>
        </w:rPr>
        <w:t>black-scholes</w:t>
      </w:r>
      <w:r>
        <w:rPr/>
        <w:t>模型）的方</w:t>
      </w:r>
    </w:p>
    <w:p>
      <w:pPr>
        <w:pStyle w:val="BodyText"/>
        <w:spacing w:line="240" w:lineRule="auto" w:before="5"/>
        <w:ind w:left="573" w:right="0"/>
        <w:jc w:val="left"/>
      </w:pPr>
      <w:r>
        <w:rPr/>
        <w:t>式估计确定首次实施股票期权激励计划在授予日的公允价值。期权定价模型确定各项参数如下：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675" w:lineRule="exact"/>
        <w:ind w:left="573"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3752214" cy="428625"/>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23" cstate="print"/>
                    <a:stretch>
                      <a:fillRect/>
                    </a:stretch>
                  </pic:blipFill>
                  <pic:spPr>
                    <a:xfrm>
                      <a:off x="0" y="0"/>
                      <a:ext cx="3752214" cy="428625"/>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2"/>
        <w:rPr>
          <w:rFonts w:ascii="宋体" w:hAnsi="宋体" w:cs="宋体" w:eastAsia="宋体" w:hint="default"/>
          <w:sz w:val="11"/>
          <w:szCs w:val="11"/>
        </w:rPr>
      </w:pPr>
    </w:p>
    <w:p>
      <w:pPr>
        <w:spacing w:line="2154" w:lineRule="exact"/>
        <w:ind w:left="573"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3170601" cy="1368171"/>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24" cstate="print"/>
                    <a:stretch>
                      <a:fillRect/>
                    </a:stretch>
                  </pic:blipFill>
                  <pic:spPr>
                    <a:xfrm>
                      <a:off x="0" y="0"/>
                      <a:ext cx="3170601" cy="1368171"/>
                    </a:xfrm>
                    <a:prstGeom prst="rect">
                      <a:avLst/>
                    </a:prstGeom>
                  </pic:spPr>
                </pic:pic>
              </a:graphicData>
            </a:graphic>
          </wp:inline>
        </w:drawing>
      </w:r>
      <w:r>
        <w:rPr>
          <w:rFonts w:ascii="宋体" w:hAnsi="宋体" w:cs="宋体" w:eastAsia="宋体" w:hint="default"/>
          <w:position w:val="-42"/>
          <w:sz w:val="20"/>
          <w:szCs w:val="20"/>
        </w:rPr>
      </w:r>
    </w:p>
    <w:p>
      <w:pPr>
        <w:pStyle w:val="BodyText"/>
        <w:spacing w:line="256" w:lineRule="auto" w:before="5"/>
        <w:ind w:left="573" w:right="3252"/>
        <w:jc w:val="left"/>
        <w:rPr>
          <w:rFonts w:ascii="Times New Roman" w:hAnsi="Times New Roman" w:cs="Times New Roman" w:eastAsia="Times New Roman" w:hint="default"/>
        </w:rPr>
      </w:pPr>
      <w:r>
        <w:rPr>
          <w:spacing w:val="-2"/>
        </w:rPr>
        <w:t>标的股价（</w:t>
      </w:r>
      <w:r>
        <w:rPr>
          <w:rFonts w:ascii="Times New Roman" w:hAnsi="Times New Roman" w:cs="Times New Roman" w:eastAsia="Times New Roman" w:hint="default"/>
          <w:spacing w:val="-2"/>
        </w:rPr>
        <w:t>S</w:t>
      </w:r>
      <w:r>
        <w:rPr>
          <w:spacing w:val="-2"/>
        </w:rPr>
        <w:t>）：以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日收盘价</w:t>
      </w:r>
      <w:r>
        <w:rPr>
          <w:rFonts w:ascii="Times New Roman" w:hAnsi="Times New Roman" w:cs="Times New Roman" w:eastAsia="Times New Roman" w:hint="default"/>
          <w:spacing w:val="-2"/>
        </w:rPr>
        <w:t>15.09</w:t>
      </w:r>
      <w:r>
        <w:rPr>
          <w:spacing w:val="-2"/>
        </w:rPr>
        <w:t>元进行测算</w:t>
      </w:r>
      <w:r>
        <w:rPr>
          <w:spacing w:val="-50"/>
        </w:rPr>
        <w:t> </w:t>
      </w:r>
      <w:r>
        <w:rPr>
          <w:spacing w:val="-50"/>
        </w:rPr>
      </w:r>
      <w:r>
        <w:rPr/>
        <w:t>行权价格（</w:t>
      </w:r>
      <w:r>
        <w:rPr>
          <w:rFonts w:ascii="Times New Roman" w:hAnsi="Times New Roman" w:cs="Times New Roman" w:eastAsia="Times New Roman" w:hint="default"/>
        </w:rPr>
        <w:t>K</w:t>
      </w:r>
      <w:r>
        <w:rPr/>
        <w:t>）：</w:t>
      </w:r>
      <w:r>
        <w:rPr>
          <w:rFonts w:ascii="Times New Roman" w:hAnsi="Times New Roman" w:cs="Times New Roman" w:eastAsia="Times New Roman" w:hint="default"/>
        </w:rPr>
        <w:t>15.09</w:t>
      </w:r>
      <w:r>
        <w:rPr/>
        <w:t>元</w:t>
      </w:r>
      <w:r>
        <w:rPr>
          <w:w w:val="100"/>
        </w:rPr>
        <w:t> </w:t>
      </w:r>
      <w:r>
        <w:rPr/>
        <w:t>无风险利率</w:t>
      </w:r>
      <w:r>
        <w:rPr>
          <w:rFonts w:ascii="Times New Roman" w:hAnsi="Times New Roman" w:cs="Times New Roman" w:eastAsia="Times New Roman" w:hint="default"/>
        </w:rPr>
        <w:t>(r)</w:t>
      </w:r>
      <w:r>
        <w:rPr/>
        <w:t>：</w:t>
      </w:r>
      <w:r>
        <w:rPr>
          <w:rFonts w:ascii="Times New Roman" w:hAnsi="Times New Roman" w:cs="Times New Roman" w:eastAsia="Times New Roman" w:hint="default"/>
        </w:rPr>
        <w:t>3.5%</w:t>
      </w:r>
      <w:r>
        <w:rPr/>
        <w:t>，取一年期定存利率</w:t>
      </w:r>
      <w:r>
        <w:rPr>
          <w:w w:val="100"/>
        </w:rPr>
        <w:t> </w:t>
      </w:r>
      <w:r>
        <w:rPr/>
        <w:t>标的股票的股息率（</w:t>
      </w:r>
      <w:r>
        <w:rPr>
          <w:rFonts w:ascii="Times New Roman" w:hAnsi="Times New Roman" w:cs="Times New Roman" w:eastAsia="Times New Roman" w:hint="default"/>
        </w:rPr>
        <w:t>i</w:t>
      </w:r>
      <w:r>
        <w:rPr/>
        <w:t>）为：</w:t>
      </w:r>
      <w:r>
        <w:rPr>
          <w:rFonts w:ascii="Times New Roman" w:hAnsi="Times New Roman" w:cs="Times New Roman" w:eastAsia="Times New Roman" w:hint="default"/>
        </w:rPr>
        <w:t>0.4359%</w:t>
      </w:r>
    </w:p>
    <w:p>
      <w:pPr>
        <w:pStyle w:val="BodyText"/>
        <w:spacing w:line="256" w:lineRule="auto" w:before="5"/>
        <w:ind w:right="0" w:firstLine="420"/>
        <w:jc w:val="left"/>
      </w:pPr>
      <w:r>
        <w:rPr/>
        <w:t>期权到期时间（</w:t>
      </w:r>
      <w:r>
        <w:rPr>
          <w:rFonts w:ascii="Times New Roman" w:hAnsi="Times New Roman" w:cs="Times New Roman" w:eastAsia="Times New Roman" w:hint="default"/>
        </w:rPr>
        <w:t>T</w:t>
      </w:r>
      <w:r>
        <w:rPr/>
        <w:t>）：</w:t>
      </w:r>
      <w:r>
        <w:rPr>
          <w:rFonts w:ascii="Times New Roman" w:hAnsi="Times New Roman" w:cs="Times New Roman" w:eastAsia="Times New Roman" w:hint="default"/>
        </w:rPr>
        <w:t>3.75</w:t>
      </w:r>
      <w:r>
        <w:rPr/>
        <w:t>，根据计算公式，有效期</w:t>
      </w:r>
      <w:r>
        <w:rPr>
          <w:rFonts w:ascii="Times New Roman" w:hAnsi="Times New Roman" w:cs="Times New Roman" w:eastAsia="Times New Roman" w:hint="default"/>
        </w:rPr>
        <w:t>=0.5×</w:t>
      </w:r>
      <w:r>
        <w:rPr/>
        <w:t>（加权的预期生效期</w:t>
      </w:r>
      <w:r>
        <w:rPr>
          <w:rFonts w:ascii="Times New Roman" w:hAnsi="Times New Roman" w:cs="Times New Roman" w:eastAsia="Times New Roman" w:hint="default"/>
        </w:rPr>
        <w:t>+</w:t>
      </w:r>
      <w:r>
        <w:rPr/>
        <w:t>总有效期限）</w:t>
      </w:r>
      <w:r>
        <w:rPr>
          <w:rFonts w:ascii="Times New Roman" w:hAnsi="Times New Roman" w:cs="Times New Roman" w:eastAsia="Times New Roman" w:hint="default"/>
        </w:rPr>
        <w:t>,</w:t>
      </w:r>
      <w:r>
        <w:rPr/>
        <w:t>其中预</w:t>
      </w:r>
      <w:r>
        <w:rPr>
          <w:w w:val="100"/>
        </w:rPr>
        <w:t> </w:t>
      </w:r>
      <w:r>
        <w:rPr/>
        <w:t>期加权的预期生效期为</w:t>
      </w:r>
      <w:r>
        <w:rPr>
          <w:rFonts w:ascii="Times New Roman" w:hAnsi="Times New Roman" w:cs="Times New Roman" w:eastAsia="Times New Roman" w:hint="default"/>
        </w:rPr>
        <w:t>2.5</w:t>
      </w:r>
      <w:r>
        <w:rPr/>
        <w:t>年，总有效期为</w:t>
      </w:r>
      <w:r>
        <w:rPr>
          <w:rFonts w:ascii="Times New Roman" w:hAnsi="Times New Roman" w:cs="Times New Roman" w:eastAsia="Times New Roman" w:hint="default"/>
        </w:rPr>
        <w:t>5</w:t>
      </w:r>
      <w:r>
        <w:rPr/>
        <w:t>年。</w:t>
      </w:r>
    </w:p>
    <w:p>
      <w:pPr>
        <w:pStyle w:val="BodyText"/>
        <w:spacing w:line="256" w:lineRule="auto" w:before="5"/>
        <w:ind w:right="0" w:firstLine="420"/>
        <w:jc w:val="left"/>
      </w:pPr>
      <w:r>
        <w:rPr>
          <w:spacing w:val="-1"/>
        </w:rPr>
        <w:t>标的股票波动率</w:t>
      </w:r>
      <w:r>
        <w:rPr>
          <w:rFonts w:ascii="Times New Roman" w:hAnsi="Times New Roman" w:cs="Times New Roman" w:eastAsia="Times New Roman" w:hint="default"/>
          <w:spacing w:val="-1"/>
        </w:rPr>
        <w:t>(ó)</w:t>
      </w:r>
      <w:r>
        <w:rPr>
          <w:spacing w:val="-1"/>
        </w:rPr>
        <w:t>：</w:t>
      </w:r>
      <w:r>
        <w:rPr>
          <w:rFonts w:ascii="Times New Roman" w:hAnsi="Times New Roman" w:cs="Times New Roman" w:eastAsia="Times New Roman" w:hint="default"/>
          <w:spacing w:val="-1"/>
        </w:rPr>
        <w:t>25.83%</w:t>
      </w:r>
      <w:r>
        <w:rPr>
          <w:spacing w:val="-1"/>
        </w:rPr>
        <w:t>，计算波动率时选取自公司上市之日起，即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19</w:t>
      </w:r>
      <w:r>
        <w:rPr>
          <w:spacing w:val="-1"/>
        </w:rPr>
        <w:t>日至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rFonts w:ascii="Times New Roman" w:hAnsi="Times New Roman" w:cs="Times New Roman" w:eastAsia="Times New Roman" w:hint="default"/>
          <w:w w:val="100"/>
        </w:rPr>
        <w:t> </w:t>
      </w:r>
      <w:r>
        <w:rPr/>
        <w:t>日中小板指数的历史波动率。</w:t>
      </w:r>
    </w:p>
    <w:p>
      <w:pPr>
        <w:spacing w:after="0" w:line="256" w:lineRule="auto"/>
        <w:jc w:val="left"/>
        <w:sectPr>
          <w:pgSz w:w="11910" w:h="16840"/>
          <w:pgMar w:header="852" w:footer="980"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8"/>
        <w:ind w:left="573" w:right="76"/>
        <w:jc w:val="left"/>
      </w:pPr>
      <w:r>
        <w:rPr/>
        <w:t>根据上述参数，股权激励计划中每份期权的理论价值为</w:t>
      </w:r>
      <w:r>
        <w:rPr>
          <w:rFonts w:ascii="Times New Roman" w:hAnsi="Times New Roman" w:cs="Times New Roman" w:eastAsia="Times New Roman" w:hint="default"/>
        </w:rPr>
        <w:t>3.649</w:t>
      </w:r>
      <w:r>
        <w:rPr/>
        <w:t>元，</w:t>
      </w:r>
      <w:r>
        <w:rPr>
          <w:rFonts w:ascii="Times New Roman" w:hAnsi="Times New Roman" w:cs="Times New Roman" w:eastAsia="Times New Roman" w:hint="default"/>
        </w:rPr>
        <w:t>60</w:t>
      </w:r>
      <w:r>
        <w:rPr/>
        <w:t>万份期权对应的理论价值总额为</w:t>
      </w:r>
    </w:p>
    <w:p>
      <w:pPr>
        <w:pStyle w:val="BodyText"/>
        <w:spacing w:line="240" w:lineRule="auto" w:before="21"/>
        <w:ind w:right="76"/>
        <w:jc w:val="left"/>
      </w:pPr>
      <w:r>
        <w:rPr>
          <w:rFonts w:ascii="Times New Roman" w:hAnsi="Times New Roman" w:cs="Times New Roman" w:eastAsia="Times New Roman" w:hint="default"/>
        </w:rPr>
        <w:t>218.96</w:t>
      </w:r>
      <w:r>
        <w:rPr/>
        <w:t>万元。</w:t>
      </w:r>
    </w:p>
    <w:p>
      <w:pPr>
        <w:spacing w:line="240" w:lineRule="auto" w:before="6"/>
        <w:rPr>
          <w:rFonts w:ascii="宋体" w:hAnsi="宋体" w:cs="宋体" w:eastAsia="宋体" w:hint="default"/>
          <w:sz w:val="25"/>
          <w:szCs w:val="25"/>
        </w:rPr>
      </w:pPr>
    </w:p>
    <w:p>
      <w:pPr>
        <w:pStyle w:val="BodyText"/>
        <w:spacing w:line="261" w:lineRule="auto" w:before="0"/>
        <w:ind w:right="206" w:firstLine="420"/>
        <w:jc w:val="both"/>
      </w:pPr>
      <w:r>
        <w:rPr>
          <w:spacing w:val="-4"/>
        </w:rPr>
        <w:t>根据《企业会计准则第</w:t>
      </w:r>
      <w:r>
        <w:rPr>
          <w:rFonts w:ascii="Times New Roman" w:hAnsi="Times New Roman" w:cs="Times New Roman" w:eastAsia="Times New Roman" w:hint="default"/>
          <w:spacing w:val="-4"/>
        </w:rPr>
        <w:t>11</w:t>
      </w:r>
      <w:r>
        <w:rPr>
          <w:spacing w:val="-4"/>
        </w:rPr>
        <w:t>号</w:t>
      </w:r>
      <w:r>
        <w:rPr>
          <w:rFonts w:ascii="Times New Roman" w:hAnsi="Times New Roman" w:cs="Times New Roman" w:eastAsia="Times New Roman" w:hint="default"/>
          <w:spacing w:val="-4"/>
        </w:rPr>
        <w:t>-</w:t>
      </w:r>
      <w:r>
        <w:rPr>
          <w:spacing w:val="-4"/>
        </w:rPr>
        <w:t>股份支付》的有关规定，公司将在每个等待期的资产负债表日，根据最新</w:t>
      </w:r>
      <w:r>
        <w:rPr>
          <w:w w:val="100"/>
        </w:rPr>
        <w:t> </w:t>
      </w:r>
      <w:r>
        <w:rPr>
          <w:spacing w:val="-2"/>
        </w:rPr>
        <w:t>取得的可行权人数变动、业绩完成情况等后续消息，修正预计可行权的股票期权数量，并按照股票期权授</w:t>
      </w:r>
      <w:r>
        <w:rPr>
          <w:spacing w:val="-43"/>
        </w:rPr>
        <w:t> </w:t>
      </w:r>
      <w:r>
        <w:rPr>
          <w:spacing w:val="-43"/>
        </w:rPr>
      </w:r>
      <w:r>
        <w:rPr>
          <w:spacing w:val="-2"/>
        </w:rPr>
        <w:t>予日的公允价值，将当其取得的服务计入相关成本或费用和资本公积，</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2016</w:t>
      </w:r>
      <w:r>
        <w:rPr>
          <w:spacing w:val="-2"/>
        </w:rPr>
        <w:t>年每年所摊销期权费</w:t>
      </w:r>
      <w:r>
        <w:rPr>
          <w:spacing w:val="-35"/>
        </w:rPr>
        <w:t> </w:t>
      </w:r>
      <w:r>
        <w:rPr>
          <w:spacing w:val="-35"/>
        </w:rPr>
      </w:r>
      <w:r>
        <w:rPr/>
        <w:t>用为：</w:t>
      </w:r>
    </w:p>
    <w:p>
      <w:pPr>
        <w:spacing w:line="240" w:lineRule="auto" w:before="3"/>
        <w:rPr>
          <w:rFonts w:ascii="宋体" w:hAnsi="宋体" w:cs="宋体" w:eastAsia="宋体" w:hint="default"/>
          <w:sz w:val="26"/>
          <w:szCs w:val="26"/>
        </w:rPr>
      </w:pPr>
    </w:p>
    <w:tbl>
      <w:tblPr>
        <w:tblW w:w="0" w:type="auto"/>
        <w:jc w:val="left"/>
        <w:tblInd w:w="712" w:type="dxa"/>
        <w:tblLayout w:type="fixed"/>
        <w:tblCellMar>
          <w:top w:w="0" w:type="dxa"/>
          <w:left w:w="0" w:type="dxa"/>
          <w:bottom w:w="0" w:type="dxa"/>
          <w:right w:w="0" w:type="dxa"/>
        </w:tblCellMar>
        <w:tblLook w:val="01E0"/>
      </w:tblPr>
      <w:tblGrid>
        <w:gridCol w:w="1591"/>
        <w:gridCol w:w="1841"/>
        <w:gridCol w:w="1419"/>
        <w:gridCol w:w="1418"/>
        <w:gridCol w:w="1373"/>
      </w:tblGrid>
      <w:tr>
        <w:trPr>
          <w:trHeight w:val="674"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p>
          <w:p>
            <w:pPr>
              <w:pStyle w:val="TableParagraph"/>
              <w:spacing w:line="240" w:lineRule="auto" w:before="21"/>
              <w:ind w:left="422"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p>
            <w:pPr>
              <w:pStyle w:val="TableParagraph"/>
              <w:spacing w:line="240" w:lineRule="auto" w:before="21"/>
              <w:ind w:left="423"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p>
            <w:pPr>
              <w:pStyle w:val="TableParagraph"/>
              <w:spacing w:line="240" w:lineRule="auto" w:before="21"/>
              <w:ind w:left="422"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90" w:lineRule="exact"/>
              <w:ind w:left="42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p>
            <w:pPr>
              <w:pStyle w:val="TableParagraph"/>
              <w:spacing w:line="240" w:lineRule="auto" w:before="21"/>
              <w:ind w:left="422" w:right="0"/>
              <w:jc w:val="center"/>
              <w:rPr>
                <w:rFonts w:ascii="宋体" w:hAnsi="宋体" w:cs="宋体" w:eastAsia="宋体" w:hint="default"/>
                <w:sz w:val="21"/>
                <w:szCs w:val="21"/>
              </w:rPr>
            </w:pPr>
            <w:r>
              <w:rPr>
                <w:rFonts w:ascii="宋体" w:hAnsi="宋体" w:cs="宋体" w:eastAsia="宋体" w:hint="default"/>
                <w:sz w:val="21"/>
                <w:szCs w:val="21"/>
              </w:rPr>
              <w:t>摊销费用</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90" w:lineRule="exact"/>
              <w:ind w:left="4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p>
            <w:pPr>
              <w:pStyle w:val="TableParagraph"/>
              <w:spacing w:line="240" w:lineRule="auto" w:before="21"/>
              <w:ind w:left="417" w:right="0"/>
              <w:jc w:val="center"/>
              <w:rPr>
                <w:rFonts w:ascii="宋体" w:hAnsi="宋体" w:cs="宋体" w:eastAsia="宋体" w:hint="default"/>
                <w:sz w:val="21"/>
                <w:szCs w:val="21"/>
              </w:rPr>
            </w:pPr>
            <w:r>
              <w:rPr>
                <w:rFonts w:ascii="宋体" w:hAnsi="宋体" w:cs="宋体" w:eastAsia="宋体" w:hint="default"/>
                <w:sz w:val="21"/>
                <w:szCs w:val="21"/>
              </w:rPr>
              <w:t>摊销费用</w:t>
            </w:r>
          </w:p>
        </w:tc>
      </w:tr>
      <w:tr>
        <w:trPr>
          <w:trHeight w:val="362" w:hRule="exact"/>
        </w:trPr>
        <w:tc>
          <w:tcPr>
            <w:tcW w:w="15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76.03</w:t>
            </w:r>
          </w:p>
        </w:tc>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77.55</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41.05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19.77</w:t>
            </w:r>
          </w:p>
        </w:tc>
        <w:tc>
          <w:tcPr>
            <w:tcW w:w="137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z w:val="20"/>
              </w:rPr>
              <w:t>4.56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76"/>
        <w:jc w:val="left"/>
        <w:rPr>
          <w:b w:val="0"/>
          <w:bCs w:val="0"/>
        </w:rPr>
      </w:pPr>
      <w:r>
        <w:rPr/>
        <w:t>十、资产负债表日后事项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76"/>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spacing w:before="44"/>
        <w:ind w:left="0" w:right="30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26"/>
        <w:ind w:right="76"/>
        <w:jc w:val="left"/>
        <w:rPr>
          <w:b w:val="0"/>
          <w:bCs w:val="0"/>
        </w:rPr>
      </w:pPr>
      <w:r>
        <w:rPr/>
        <w:t>十一、其他重要事项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76"/>
        <w:jc w:val="left"/>
        <w:rPr>
          <w:b w:val="0"/>
          <w:bCs w:val="0"/>
        </w:rPr>
      </w:pPr>
      <w:r>
        <w:rPr>
          <w:rFonts w:ascii="Times New Roman" w:hAnsi="Times New Roman" w:cs="Times New Roman" w:eastAsia="Times New Roman" w:hint="default"/>
        </w:rPr>
        <w:t>1</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408" w:right="76"/>
        <w:jc w:val="left"/>
        <w:rPr>
          <w:b w:val="0"/>
          <w:bCs w:val="0"/>
        </w:rPr>
      </w:pPr>
      <w:r>
        <w:rPr/>
        <w:t>本公司主要经营租赁租入情况如下：</w:t>
      </w:r>
      <w:r>
        <w:rPr>
          <w:b w:val="0"/>
          <w:bCs w:val="0"/>
        </w:rPr>
      </w:r>
    </w:p>
    <w:p>
      <w:pPr>
        <w:spacing w:line="240" w:lineRule="auto" w:before="10"/>
        <w:rPr>
          <w:rFonts w:ascii="宋体" w:hAnsi="宋体" w:cs="宋体" w:eastAsia="宋体" w:hint="default"/>
          <w:b/>
          <w:bCs/>
          <w:sz w:val="27"/>
          <w:szCs w:val="27"/>
        </w:rPr>
      </w:pPr>
    </w:p>
    <w:p>
      <w:pPr>
        <w:spacing w:before="44"/>
        <w:ind w:left="0" w:right="1120" w:firstLine="0"/>
        <w:jc w:val="right"/>
        <w:rPr>
          <w:rFonts w:ascii="宋体" w:hAnsi="宋体" w:cs="宋体" w:eastAsia="宋体" w:hint="default"/>
          <w:sz w:val="18"/>
          <w:szCs w:val="18"/>
        </w:rPr>
      </w:pPr>
      <w:r>
        <w:rPr/>
        <w:pict>
          <v:shape style="position:absolute;margin-left:86.783997pt;margin-top:-.128282pt;width:403.65pt;height:154.3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8"/>
                    <w:gridCol w:w="2429"/>
                    <w:gridCol w:w="1270"/>
                    <w:gridCol w:w="1812"/>
                    <w:gridCol w:w="1028"/>
                  </w:tblGrid>
                  <w:tr>
                    <w:trPr>
                      <w:trHeight w:val="362" w:hRule="exact"/>
                    </w:trPr>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right="466"/>
                          <w:jc w:val="right"/>
                          <w:rPr>
                            <w:rFonts w:ascii="宋体" w:hAnsi="宋体" w:cs="宋体" w:eastAsia="宋体" w:hint="default"/>
                            <w:sz w:val="18"/>
                            <w:szCs w:val="18"/>
                          </w:rPr>
                        </w:pPr>
                        <w:r>
                          <w:rPr>
                            <w:rFonts w:ascii="宋体" w:hAnsi="宋体" w:cs="宋体" w:eastAsia="宋体" w:hint="default"/>
                            <w:b/>
                            <w:bCs/>
                            <w:w w:val="95"/>
                            <w:sz w:val="18"/>
                            <w:szCs w:val="18"/>
                          </w:rPr>
                          <w:t>出租方</w:t>
                        </w:r>
                        <w:r>
                          <w:rPr>
                            <w:rFonts w:ascii="宋体" w:hAnsi="宋体" w:cs="宋体" w:eastAsia="宋体" w:hint="default"/>
                            <w:sz w:val="18"/>
                            <w:szCs w:val="18"/>
                          </w:rPr>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物业地点</w:t>
                        </w:r>
                        <w:r>
                          <w:rPr>
                            <w:rFonts w:ascii="宋体" w:hAnsi="宋体" w:cs="宋体" w:eastAsia="宋体" w:hint="default"/>
                            <w:sz w:val="18"/>
                            <w:szCs w:val="18"/>
                          </w:rPr>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66" w:right="0"/>
                          <w:jc w:val="left"/>
                          <w:rPr>
                            <w:rFonts w:ascii="宋体" w:hAnsi="宋体" w:cs="宋体" w:eastAsia="宋体" w:hint="default"/>
                            <w:sz w:val="18"/>
                            <w:szCs w:val="18"/>
                          </w:rPr>
                        </w:pPr>
                        <w:r>
                          <w:rPr>
                            <w:rFonts w:ascii="宋体" w:hAnsi="宋体" w:cs="宋体" w:eastAsia="宋体" w:hint="default"/>
                            <w:b/>
                            <w:bCs/>
                            <w:sz w:val="18"/>
                            <w:szCs w:val="18"/>
                          </w:rPr>
                          <w:t>租赁面积</w:t>
                        </w:r>
                        <w:r>
                          <w:rPr>
                            <w:rFonts w:ascii="宋体" w:hAnsi="宋体" w:cs="宋体" w:eastAsia="宋体" w:hint="default"/>
                            <w:sz w:val="18"/>
                            <w:szCs w:val="18"/>
                          </w:rPr>
                        </w:r>
                      </w:p>
                    </w:tc>
                    <w:tc>
                      <w:tcPr>
                        <w:tcW w:w="1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537" w:right="0"/>
                          <w:jc w:val="left"/>
                          <w:rPr>
                            <w:rFonts w:ascii="宋体" w:hAnsi="宋体" w:cs="宋体" w:eastAsia="宋体" w:hint="default"/>
                            <w:sz w:val="18"/>
                            <w:szCs w:val="18"/>
                          </w:rPr>
                        </w:pPr>
                        <w:r>
                          <w:rPr>
                            <w:rFonts w:ascii="宋体" w:hAnsi="宋体" w:cs="宋体" w:eastAsia="宋体" w:hint="default"/>
                            <w:b/>
                            <w:bCs/>
                            <w:sz w:val="18"/>
                            <w:szCs w:val="18"/>
                          </w:rPr>
                          <w:t>租赁期限</w:t>
                        </w:r>
                        <w:r>
                          <w:rPr>
                            <w:rFonts w:ascii="宋体" w:hAnsi="宋体" w:cs="宋体" w:eastAsia="宋体" w:hint="default"/>
                            <w:sz w:val="18"/>
                            <w:szCs w:val="18"/>
                          </w:rPr>
                        </w:r>
                      </w:p>
                    </w:tc>
                    <w:tc>
                      <w:tcPr>
                        <w:tcW w:w="1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pacing w:val="-6"/>
                            <w:sz w:val="18"/>
                            <w:szCs w:val="18"/>
                          </w:rPr>
                          <w:t>租金（元</w:t>
                        </w:r>
                        <w:r>
                          <w:rPr>
                            <w:rFonts w:ascii="Times New Roman" w:hAnsi="Times New Roman" w:cs="Times New Roman" w:eastAsia="Times New Roman" w:hint="default"/>
                            <w:b/>
                            <w:bCs/>
                            <w:spacing w:val="-6"/>
                            <w:sz w:val="18"/>
                            <w:szCs w:val="18"/>
                          </w:rPr>
                          <w:t>/</w:t>
                        </w:r>
                        <w:r>
                          <w:rPr>
                            <w:rFonts w:ascii="宋体" w:hAnsi="宋体" w:cs="宋体" w:eastAsia="宋体" w:hint="default"/>
                            <w:b/>
                            <w:bCs/>
                            <w:spacing w:val="-6"/>
                            <w:sz w:val="18"/>
                            <w:szCs w:val="18"/>
                          </w:rPr>
                          <w:t>月</w:t>
                        </w:r>
                        <w:r>
                          <w:rPr>
                            <w:rFonts w:ascii="宋体" w:hAnsi="宋体" w:cs="宋体" w:eastAsia="宋体" w:hint="default"/>
                            <w:sz w:val="18"/>
                            <w:szCs w:val="18"/>
                          </w:rPr>
                        </w:r>
                      </w:p>
                    </w:tc>
                  </w:tr>
                  <w:tr>
                    <w:trPr>
                      <w:trHeight w:val="672" w:hRule="exact"/>
                    </w:trPr>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3"/>
                            <w:sz w:val="18"/>
                            <w:szCs w:val="18"/>
                          </w:rPr>
                          <w:t>上海巨航投资管理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上海徐汇区龙漕路</w:t>
                        </w:r>
                        <w:r>
                          <w:rPr>
                            <w:rFonts w:ascii="Times New Roman" w:hAnsi="Times New Roman" w:cs="Times New Roman" w:eastAsia="Times New Roman" w:hint="default"/>
                            <w:spacing w:val="4"/>
                            <w:sz w:val="18"/>
                            <w:szCs w:val="18"/>
                          </w:rPr>
                          <w:t>299</w:t>
                        </w:r>
                        <w:r>
                          <w:rPr>
                            <w:rFonts w:ascii="宋体" w:hAnsi="宋体" w:cs="宋体" w:eastAsia="宋体" w:hint="default"/>
                            <w:spacing w:val="4"/>
                            <w:sz w:val="18"/>
                            <w:szCs w:val="18"/>
                          </w:rPr>
                          <w:t>号园区</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幢北部（</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座）第七至</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层整层</w:t>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3,400</w:t>
                        </w:r>
                        <w:r>
                          <w:rPr>
                            <w:rFonts w:ascii="宋体" w:hAnsi="宋体" w:cs="宋体" w:eastAsia="宋体" w:hint="default"/>
                            <w:sz w:val="18"/>
                            <w:szCs w:val="18"/>
                          </w:rPr>
                          <w:t>平方米</w:t>
                        </w:r>
                      </w:p>
                    </w:tc>
                    <w:tc>
                      <w:tcPr>
                        <w:tcW w:w="1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12"/>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310,250.00</w:t>
                        </w:r>
                      </w:p>
                    </w:tc>
                  </w:tr>
                  <w:tr>
                    <w:trPr>
                      <w:trHeight w:val="674" w:hRule="exact"/>
                    </w:trPr>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上海巨航投资管理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4"/>
                            <w:sz w:val="18"/>
                            <w:szCs w:val="18"/>
                          </w:rPr>
                          <w:t>上海徐汇区龙田路</w:t>
                        </w:r>
                        <w:r>
                          <w:rPr>
                            <w:rFonts w:ascii="Times New Roman" w:hAnsi="Times New Roman" w:cs="Times New Roman" w:eastAsia="Times New Roman" w:hint="default"/>
                            <w:spacing w:val="4"/>
                            <w:sz w:val="18"/>
                            <w:szCs w:val="18"/>
                          </w:rPr>
                          <w:t>190</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幢全</w:t>
                        </w:r>
                        <w:r>
                          <w:rPr>
                            <w:rFonts w:ascii="宋体" w:hAnsi="宋体" w:cs="宋体" w:eastAsia="宋体" w:hint="default"/>
                            <w:spacing w:val="-85"/>
                            <w:sz w:val="18"/>
                            <w:szCs w:val="18"/>
                          </w:rPr>
                          <w:t> </w:t>
                        </w:r>
                        <w:r>
                          <w:rPr>
                            <w:rFonts w:ascii="宋体" w:hAnsi="宋体" w:cs="宋体" w:eastAsia="宋体" w:hint="default"/>
                            <w:sz w:val="18"/>
                            <w:szCs w:val="18"/>
                          </w:rPr>
                          <w:t>幢</w:t>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4,574.72</w:t>
                        </w:r>
                        <w:r>
                          <w:rPr>
                            <w:rFonts w:ascii="宋体" w:hAnsi="宋体" w:cs="宋体" w:eastAsia="宋体" w:hint="default"/>
                            <w:sz w:val="18"/>
                            <w:szCs w:val="18"/>
                          </w:rPr>
                          <w:t>平方米</w:t>
                        </w:r>
                      </w:p>
                    </w:tc>
                    <w:tc>
                      <w:tcPr>
                        <w:tcW w:w="1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12"/>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422,940.10</w:t>
                        </w:r>
                      </w:p>
                    </w:tc>
                  </w:tr>
                  <w:tr>
                    <w:trPr>
                      <w:trHeight w:val="675" w:hRule="exact"/>
                    </w:trPr>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96"/>
                          <w:jc w:val="right"/>
                          <w:rPr>
                            <w:rFonts w:ascii="宋体" w:hAnsi="宋体" w:cs="宋体" w:eastAsia="宋体" w:hint="default"/>
                            <w:sz w:val="18"/>
                            <w:szCs w:val="18"/>
                          </w:rPr>
                        </w:pPr>
                        <w:r>
                          <w:rPr>
                            <w:rFonts w:ascii="宋体" w:hAnsi="宋体" w:cs="宋体" w:eastAsia="宋体" w:hint="default"/>
                            <w:sz w:val="18"/>
                            <w:szCs w:val="18"/>
                          </w:rPr>
                          <w:t>上海东湖宾馆</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11"/>
                            <w:sz w:val="18"/>
                            <w:szCs w:val="18"/>
                          </w:rPr>
                          <w:t>上海徐汇区东湖路</w:t>
                        </w:r>
                        <w:r>
                          <w:rPr>
                            <w:rFonts w:ascii="Times New Roman" w:hAnsi="Times New Roman" w:cs="Times New Roman" w:eastAsia="Times New Roman" w:hint="default"/>
                            <w:spacing w:val="11"/>
                            <w:sz w:val="18"/>
                            <w:szCs w:val="18"/>
                          </w:rPr>
                          <w:t>7</w:t>
                        </w:r>
                        <w:r>
                          <w:rPr>
                            <w:rFonts w:ascii="宋体" w:hAnsi="宋体" w:cs="宋体" w:eastAsia="宋体" w:hint="default"/>
                            <w:spacing w:val="11"/>
                            <w:sz w:val="18"/>
                            <w:szCs w:val="18"/>
                          </w:rPr>
                          <w:t>号东湖宾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馆</w:t>
                        </w:r>
                        <w:r>
                          <w:rPr>
                            <w:rFonts w:ascii="Times New Roman" w:hAnsi="Times New Roman" w:cs="Times New Roman" w:eastAsia="Times New Roman" w:hint="default"/>
                            <w:sz w:val="18"/>
                            <w:szCs w:val="18"/>
                          </w:rPr>
                          <w:t>7</w:t>
                        </w:r>
                        <w:r>
                          <w:rPr>
                            <w:rFonts w:ascii="宋体" w:hAnsi="宋体" w:cs="宋体" w:eastAsia="宋体" w:hint="default"/>
                            <w:sz w:val="18"/>
                            <w:szCs w:val="18"/>
                          </w:rPr>
                          <w:t>号楼</w:t>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约</w:t>
                        </w:r>
                        <w:r>
                          <w:rPr>
                            <w:rFonts w:ascii="Times New Roman" w:hAnsi="Times New Roman" w:cs="Times New Roman" w:eastAsia="Times New Roman" w:hint="default"/>
                            <w:sz w:val="18"/>
                            <w:szCs w:val="18"/>
                          </w:rPr>
                          <w:t>1,500</w:t>
                        </w:r>
                        <w:r>
                          <w:rPr>
                            <w:rFonts w:ascii="宋体" w:hAnsi="宋体" w:cs="宋体" w:eastAsia="宋体" w:hint="default"/>
                            <w:sz w:val="18"/>
                            <w:szCs w:val="18"/>
                          </w:rPr>
                          <w:t>平方米</w:t>
                        </w:r>
                      </w:p>
                    </w:tc>
                    <w:tc>
                      <w:tcPr>
                        <w:tcW w:w="1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12"/>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366,666.00</w:t>
                        </w:r>
                      </w:p>
                    </w:tc>
                  </w:tr>
                  <w:tr>
                    <w:trPr>
                      <w:trHeight w:val="674" w:hRule="exact"/>
                    </w:trPr>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396"/>
                          <w:jc w:val="right"/>
                          <w:rPr>
                            <w:rFonts w:ascii="宋体" w:hAnsi="宋体" w:cs="宋体" w:eastAsia="宋体" w:hint="default"/>
                            <w:sz w:val="18"/>
                            <w:szCs w:val="18"/>
                          </w:rPr>
                        </w:pPr>
                        <w:r>
                          <w:rPr>
                            <w:rFonts w:ascii="宋体" w:hAnsi="宋体" w:cs="宋体" w:eastAsia="宋体" w:hint="default"/>
                            <w:sz w:val="18"/>
                            <w:szCs w:val="18"/>
                          </w:rPr>
                          <w:t>上海东湖宾馆</w:t>
                        </w:r>
                      </w:p>
                    </w:tc>
                    <w:tc>
                      <w:tcPr>
                        <w:tcW w:w="2429"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7"/>
                            <w:sz w:val="18"/>
                            <w:szCs w:val="18"/>
                          </w:rPr>
                          <w:t>上海徐汇区淮海中路</w:t>
                        </w:r>
                        <w:r>
                          <w:rPr>
                            <w:rFonts w:ascii="Times New Roman" w:hAnsi="Times New Roman" w:cs="Times New Roman" w:eastAsia="Times New Roman" w:hint="default"/>
                            <w:spacing w:val="7"/>
                            <w:sz w:val="18"/>
                            <w:szCs w:val="18"/>
                          </w:rPr>
                          <w:t>1110</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A</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座</w:t>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约</w:t>
                        </w:r>
                        <w:r>
                          <w:rPr>
                            <w:rFonts w:ascii="Times New Roman" w:hAnsi="Times New Roman" w:cs="Times New Roman" w:eastAsia="Times New Roman" w:hint="default"/>
                            <w:sz w:val="18"/>
                            <w:szCs w:val="18"/>
                          </w:rPr>
                          <w:t>181</w:t>
                        </w:r>
                        <w:r>
                          <w:rPr>
                            <w:rFonts w:ascii="宋体" w:hAnsi="宋体" w:cs="宋体" w:eastAsia="宋体" w:hint="default"/>
                            <w:sz w:val="18"/>
                            <w:szCs w:val="18"/>
                          </w:rPr>
                          <w:t>平方米</w:t>
                        </w:r>
                      </w:p>
                    </w:tc>
                    <w:tc>
                      <w:tcPr>
                        <w:tcW w:w="18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12"/>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0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80,000.00</w:t>
                        </w:r>
                      </w:p>
                    </w:tc>
                  </w:tr>
                </w:tbl>
                <w:p>
                  <w:pPr/>
                </w:p>
              </w:txbxContent>
            </v:textbox>
            <w10:wrap type="none"/>
          </v:shape>
        </w:pict>
      </w:r>
      <w:r>
        <w:rPr>
          <w:rFonts w:ascii="宋体" w:hAnsi="宋体" w:cs="宋体" w:eastAsia="宋体" w:hint="default"/>
          <w:b/>
          <w:bCs/>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pStyle w:val="Heading5"/>
        <w:spacing w:line="240" w:lineRule="auto" w:before="36"/>
        <w:ind w:right="76"/>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76"/>
        <w:jc w:val="left"/>
      </w:pPr>
      <w:r>
        <w:rPr>
          <w:spacing w:val="-5"/>
        </w:rPr>
        <w:t>根据公司第二届董事会第十二次会议审议通过了《关于使用部分超募资金永久补充流动资金的议案》，</w:t>
      </w:r>
    </w:p>
    <w:p>
      <w:pPr>
        <w:spacing w:after="0" w:line="240" w:lineRule="auto"/>
        <w:jc w:val="left"/>
        <w:sectPr>
          <w:pgSz w:w="11910" w:h="16840"/>
          <w:pgMar w:header="852" w:footer="980"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pStyle w:val="BodyText"/>
        <w:spacing w:line="256" w:lineRule="auto" w:before="18"/>
        <w:ind w:right="0"/>
        <w:jc w:val="left"/>
      </w:pPr>
      <w:r>
        <w:rPr>
          <w:spacing w:val="-2"/>
        </w:rPr>
        <w:t>公司计划使用部分超募资金</w:t>
      </w:r>
      <w:r>
        <w:rPr>
          <w:rFonts w:ascii="Times New Roman" w:hAnsi="Times New Roman" w:cs="Times New Roman" w:eastAsia="Times New Roman" w:hint="default"/>
          <w:spacing w:val="-2"/>
        </w:rPr>
        <w:t>9,000.00</w:t>
      </w:r>
      <w:r>
        <w:rPr>
          <w:spacing w:val="-2"/>
        </w:rPr>
        <w:t>万元永久补充流动资金，公司已于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日完成补充流动资金事</w:t>
      </w:r>
      <w:r>
        <w:rPr>
          <w:spacing w:val="-29"/>
        </w:rPr>
        <w:t> </w:t>
      </w:r>
      <w:r>
        <w:rPr>
          <w:spacing w:val="-29"/>
        </w:rPr>
      </w:r>
      <w:r>
        <w:rPr/>
        <w:t>项。</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十二、母公司财务报表主要项目注释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采用账龄分析法计提坏 账准备的应收账款组合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39,921,589.17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3,276,804.46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35,516,388.70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2,585,519.44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39,921,589.17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3,276,804.46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35,516,388.70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2,585,519.44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39,921,589.17</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3,276,804.46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35,516,388.70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2,585,519.44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40" w:bottom="1160" w:left="980" w:right="1020"/>
          <w:cols w:num="2" w:equalWidth="0">
            <w:col w:w="4113" w:space="4716"/>
            <w:col w:w="108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1"/>
        <w:gridCol w:w="1474"/>
        <w:gridCol w:w="2126"/>
        <w:gridCol w:w="660"/>
        <w:gridCol w:w="1582"/>
      </w:tblGrid>
      <w:tr>
        <w:trPr>
          <w:trHeight w:val="401"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vMerge w:val="restart"/>
            <w:tcBorders>
              <w:top w:val="single" w:sz="4" w:space="0" w:color="000000"/>
              <w:left w:val="single" w:sz="4" w:space="0" w:color="000000"/>
              <w:right w:val="single" w:sz="4" w:space="0" w:color="000000"/>
            </w:tcBorders>
            <w:shd w:val="clear" w:color="auto" w:fill="D2D2D2"/>
          </w:tcPr>
          <w:p>
            <w:pPr/>
          </w:p>
        </w:tc>
        <w:tc>
          <w:tcPr>
            <w:tcW w:w="2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7" w:type="dxa"/>
            <w:gridSpan w:val="2"/>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786" w:type="dxa"/>
            <w:gridSpan w:val="2"/>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4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5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8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474"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8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37,345,089.17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93.55%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1,867,254.46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33,408,388.70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1,670,419.44</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958,500.00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287,550.00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1,482,000.00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444,600.00</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992,000.00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2.48%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496,000.00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155,500.00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626,000.00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626,000.00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315,000.00</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39,921,589.17</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3,276,804.46</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35,516,388.70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2,585,519.44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after="0"/>
        <w:jc w:val="left"/>
        <w:rPr>
          <w:rFonts w:ascii="宋体" w:hAnsi="宋体" w:cs="宋体" w:eastAsia="宋体" w:hint="default"/>
          <w:sz w:val="18"/>
          <w:szCs w:val="18"/>
        </w:rPr>
        <w:sectPr>
          <w:type w:val="continuous"/>
          <w:pgSz w:w="11910" w:h="16840"/>
          <w:pgMar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7.65pt;height:.75pt;mso-position-horizontal-relative:char;mso-position-vertical-relative:line" coordorigin="0,0" coordsize="8753,15">
            <v:group style="position:absolute;left:7;top:7;width:8738;height:2" coordorigin="7,7" coordsize="8738,2">
              <v:shape style="position:absolute;left:7;top:7;width:8738;height:2" coordorigin="7,7" coordsize="8738,0" path="m7,7l8745,7e" filled="false" stroked="true" strokeweight=".72pt" strokecolor="#000000">
                <v:path arrowok="t"/>
              </v:shape>
            </v:group>
          </v:group>
        </w:pict>
      </w:r>
      <w:r>
        <w:rPr>
          <w:rFonts w:ascii="宋体" w:hAnsi="宋体" w:cs="宋体" w:eastAsia="宋体" w:hint="default"/>
          <w:sz w:val="2"/>
          <w:szCs w:val="2"/>
        </w:rPr>
      </w:r>
    </w:p>
    <w:p>
      <w:pPr>
        <w:spacing w:line="340" w:lineRule="auto" w:before="38"/>
        <w:ind w:left="15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81"/>
              <w:jc w:val="left"/>
              <w:rPr>
                <w:rFonts w:ascii="宋体" w:hAnsi="宋体" w:cs="宋体" w:eastAsia="宋体" w:hint="default"/>
                <w:sz w:val="18"/>
                <w:szCs w:val="18"/>
              </w:rPr>
            </w:pPr>
            <w:r>
              <w:rPr>
                <w:rFonts w:ascii="宋体" w:hAnsi="宋体" w:cs="宋体" w:eastAsia="宋体" w:hint="default"/>
                <w:sz w:val="18"/>
                <w:szCs w:val="18"/>
              </w:rPr>
              <w:t>北京美通互动广告有限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3,238,869.00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8.11%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科思世通广告（北京）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华扬联众数字技术股份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群邑（上海）广告有限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上海安瑞信杰广告有限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1,473,974.65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9,977,843.65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采用账龄分析法计提坏账 准备的其他应收款组合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7,322,766.73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1,969,411.84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26.89</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5,475,245.17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1,277,342.86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7,322,766.73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1,969,411.84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26.89</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5,475,245.17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1,277,342.86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23.33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7,322,766.73</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1,969,411.84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5,475,245.17</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1,277,342.86</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25"/>
          <w:pgSz w:w="11910" w:h="16840"/>
          <w:pgMar w:footer="980" w:header="852" w:top="1340" w:bottom="1160" w:left="980" w:right="1020"/>
          <w:pgNumType w:start="110"/>
        </w:sectPr>
      </w:pPr>
    </w:p>
    <w:p>
      <w:pPr>
        <w:spacing w:line="360" w:lineRule="auto" w:before="95"/>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52" w:footer="980" w:top="1340" w:bottom="1160" w:left="980" w:right="1020"/>
          <w:cols w:num="2" w:equalWidth="0">
            <w:col w:w="4293" w:space="4536"/>
            <w:col w:w="108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2"/>
        <w:gridCol w:w="1805"/>
        <w:gridCol w:w="657"/>
        <w:gridCol w:w="1600"/>
        <w:gridCol w:w="1862"/>
        <w:gridCol w:w="660"/>
        <w:gridCol w:w="1725"/>
      </w:tblGrid>
      <w:tr>
        <w:trPr>
          <w:trHeight w:val="402" w:hRule="exact"/>
        </w:trPr>
        <w:tc>
          <w:tcPr>
            <w:tcW w:w="1262"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62"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single" w:sz="4" w:space="0" w:color="000000"/>
            </w:tcBorders>
            <w:shd w:val="clear" w:color="auto" w:fill="D2D2D2"/>
          </w:tcPr>
          <w:p>
            <w:pP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2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62"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62"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62"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
        </w:tc>
        <w:tc>
          <w:tcPr>
            <w:tcW w:w="1862"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62"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4,159,636.73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207,981.84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4,198,897.17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76.69%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209,944.86</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1,998,500.00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27.29%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599,550.00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5,500.00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1,650.00</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5,500.00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w w:val="95"/>
                <w:sz w:val="18"/>
              </w:rPr>
              <w:t>2,750.00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410,200.00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205,100.00</w:t>
            </w:r>
          </w:p>
        </w:tc>
      </w:tr>
      <w:tr>
        <w:trPr>
          <w:trHeight w:val="401"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1,159,130.00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15.83%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1,159,130.00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860,648.00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15.72%</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860,648.00</w:t>
            </w:r>
          </w:p>
        </w:tc>
      </w:tr>
      <w:tr>
        <w:trPr>
          <w:trHeight w:val="403" w:hRule="exact"/>
        </w:trPr>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7,322,766.73</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1,969,411.84</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5,475,245.17</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1,277,342.86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2"/>
        <w:ind w:left="152" w:right="5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东湖宾馆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22.96%</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81"/>
              <w:jc w:val="left"/>
              <w:rPr>
                <w:rFonts w:ascii="宋体" w:hAnsi="宋体" w:cs="宋体" w:eastAsia="宋体" w:hint="default"/>
                <w:sz w:val="18"/>
                <w:szCs w:val="18"/>
              </w:rPr>
            </w:pPr>
            <w:r>
              <w:rPr>
                <w:rFonts w:ascii="宋体" w:hAnsi="宋体" w:cs="宋体" w:eastAsia="宋体" w:hint="default"/>
                <w:sz w:val="18"/>
                <w:szCs w:val="18"/>
              </w:rPr>
              <w:t>上海巨航投资管理有限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1,466,380.00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北京京东财信息科技有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1,112,098.46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快钱支付清算信息有限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623,367.27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上海东方财富金融数据 服务有限公司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40" w:bottom="1160" w:left="980" w:right="1020"/>
        </w:sectPr>
      </w:pPr>
    </w:p>
    <w:p>
      <w:pPr>
        <w:spacing w:line="240" w:lineRule="auto" w:before="9"/>
        <w:rPr>
          <w:rFonts w:ascii="宋体" w:hAnsi="宋体" w:cs="宋体" w:eastAsia="宋体" w:hint="default"/>
          <w:sz w:val="6"/>
          <w:szCs w:val="6"/>
        </w:rPr>
      </w:pPr>
    </w:p>
    <w:tbl>
      <w:tblPr>
        <w:tblW w:w="0" w:type="auto"/>
        <w:jc w:val="left"/>
        <w:tblInd w:w="509" w:type="dxa"/>
        <w:tblLayout w:type="fixed"/>
        <w:tblCellMar>
          <w:top w:w="0" w:type="dxa"/>
          <w:left w:w="0" w:type="dxa"/>
          <w:bottom w:w="0" w:type="dxa"/>
          <w:right w:w="0" w:type="dxa"/>
        </w:tblCellMar>
        <w:tblLook w:val="01E0"/>
      </w:tblPr>
      <w:tblGrid>
        <w:gridCol w:w="1914"/>
        <w:gridCol w:w="1903"/>
        <w:gridCol w:w="1926"/>
        <w:gridCol w:w="1902"/>
        <w:gridCol w:w="1927"/>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940" w:right="0"/>
              <w:jc w:val="left"/>
              <w:rPr>
                <w:rFonts w:ascii="Times New Roman" w:hAnsi="Times New Roman" w:cs="Times New Roman" w:eastAsia="Times New Roman" w:hint="default"/>
                <w:sz w:val="18"/>
                <w:szCs w:val="18"/>
              </w:rPr>
            </w:pPr>
            <w:r>
              <w:rPr>
                <w:rFonts w:ascii="Times New Roman"/>
                <w:sz w:val="18"/>
              </w:rPr>
              <w:t>5,484,925.73</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w:t>
            </w:r>
          </w:p>
        </w:tc>
      </w:tr>
    </w:tbl>
    <w:p>
      <w:pPr>
        <w:spacing w:line="240" w:lineRule="auto" w:before="3"/>
        <w:rPr>
          <w:rFonts w:ascii="宋体" w:hAnsi="宋体" w:cs="宋体" w:eastAsia="宋体" w:hint="default"/>
          <w:sz w:val="19"/>
          <w:szCs w:val="19"/>
        </w:rPr>
      </w:pPr>
    </w:p>
    <w:p>
      <w:pPr>
        <w:pStyle w:val="Heading5"/>
        <w:spacing w:line="240" w:lineRule="auto" w:before="36"/>
        <w:ind w:left="512"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795"/>
        <w:gridCol w:w="799"/>
        <w:gridCol w:w="1195"/>
        <w:gridCol w:w="1256"/>
        <w:gridCol w:w="797"/>
        <w:gridCol w:w="1256"/>
        <w:gridCol w:w="797"/>
        <w:gridCol w:w="799"/>
        <w:gridCol w:w="797"/>
        <w:gridCol w:w="514"/>
        <w:gridCol w:w="720"/>
        <w:gridCol w:w="696"/>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4" w:right="29"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1" w:right="71"/>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4" w:right="71"/>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36"/>
              <w:jc w:val="both"/>
              <w:rPr>
                <w:rFonts w:ascii="宋体" w:hAnsi="宋体" w:cs="宋体" w:eastAsia="宋体" w:hint="default"/>
                <w:sz w:val="18"/>
                <w:szCs w:val="18"/>
              </w:rPr>
            </w:pPr>
            <w:r>
              <w:rPr>
                <w:rFonts w:ascii="宋体" w:hAnsi="宋体" w:cs="宋体" w:eastAsia="宋体" w:hint="default"/>
                <w:sz w:val="18"/>
                <w:szCs w:val="18"/>
              </w:rPr>
              <w:t>上海东方 财富证券 研究所有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9,982,000.00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9,982,000.00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9,982,000.00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上海优优 商务咨询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36"/>
              <w:jc w:val="both"/>
              <w:rPr>
                <w:rFonts w:ascii="宋体" w:hAnsi="宋体" w:cs="宋体" w:eastAsia="宋体" w:hint="default"/>
                <w:sz w:val="18"/>
                <w:szCs w:val="18"/>
              </w:rPr>
            </w:pPr>
            <w:r>
              <w:rPr>
                <w:rFonts w:ascii="宋体" w:hAnsi="宋体" w:cs="宋体" w:eastAsia="宋体" w:hint="default"/>
                <w:sz w:val="18"/>
                <w:szCs w:val="18"/>
              </w:rPr>
              <w:t>上海东方 财富管理 专修学院</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上海中经 商务咨询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36"/>
              <w:jc w:val="both"/>
              <w:rPr>
                <w:rFonts w:ascii="宋体" w:hAnsi="宋体" w:cs="宋体" w:eastAsia="宋体" w:hint="default"/>
                <w:sz w:val="18"/>
                <w:szCs w:val="18"/>
              </w:rPr>
            </w:pPr>
            <w:r>
              <w:rPr>
                <w:rFonts w:ascii="宋体" w:hAnsi="宋体" w:cs="宋体" w:eastAsia="宋体" w:hint="default"/>
                <w:sz w:val="18"/>
                <w:szCs w:val="18"/>
              </w:rPr>
              <w:t>上海东银 软件科技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北京京东 财信息科 技有限公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36"/>
              <w:jc w:val="both"/>
              <w:rPr>
                <w:rFonts w:ascii="宋体" w:hAnsi="宋体" w:cs="宋体" w:eastAsia="宋体" w:hint="default"/>
                <w:sz w:val="18"/>
                <w:szCs w:val="18"/>
              </w:rPr>
            </w:pPr>
            <w:r>
              <w:rPr>
                <w:rFonts w:ascii="宋体" w:hAnsi="宋体" w:cs="宋体" w:eastAsia="宋体" w:hint="default"/>
                <w:sz w:val="18"/>
                <w:szCs w:val="18"/>
              </w:rPr>
              <w:t>广州东财 信息科技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上海天天 基金销售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上海东方 财富金融 数据服务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340" w:bottom="1160" w:left="620" w:right="620"/>
        </w:sectPr>
      </w:pPr>
    </w:p>
    <w:p>
      <w:pPr>
        <w:spacing w:line="240" w:lineRule="auto" w:before="9"/>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795"/>
        <w:gridCol w:w="799"/>
        <w:gridCol w:w="1195"/>
        <w:gridCol w:w="1256"/>
        <w:gridCol w:w="797"/>
        <w:gridCol w:w="1256"/>
        <w:gridCol w:w="797"/>
        <w:gridCol w:w="799"/>
        <w:gridCol w:w="797"/>
        <w:gridCol w:w="514"/>
        <w:gridCol w:w="720"/>
        <w:gridCol w:w="696"/>
      </w:tblGrid>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36"/>
              <w:jc w:val="both"/>
              <w:rPr>
                <w:rFonts w:ascii="宋体" w:hAnsi="宋体" w:cs="宋体" w:eastAsia="宋体" w:hint="default"/>
                <w:sz w:val="18"/>
                <w:szCs w:val="18"/>
              </w:rPr>
            </w:pPr>
            <w:r>
              <w:rPr>
                <w:rFonts w:ascii="宋体" w:hAnsi="宋体" w:cs="宋体" w:eastAsia="宋体" w:hint="default"/>
                <w:sz w:val="18"/>
                <w:szCs w:val="18"/>
              </w:rPr>
              <w:t>上海东方 财富置业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200,000,000.00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315,502,000.00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Times New Roman" w:hAnsi="Times New Roman" w:cs="Times New Roman" w:eastAsia="Times New Roman" w:hint="default"/>
                <w:sz w:val="18"/>
                <w:szCs w:val="18"/>
              </w:rPr>
            </w:pPr>
            <w:r>
              <w:rPr>
                <w:rFonts w:ascii="Times New Roman"/>
                <w:sz w:val="18"/>
              </w:rPr>
              <w:t>315,502,000.00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315,502,000.00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single" w:sz="4" w:space="0" w:color="000000"/>
              <w:left w:val="single" w:sz="10" w:space="0" w:color="D2D2D2"/>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left="51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12"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52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218,210,924.62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280,314,718.79</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218,210,924.62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280,314,718.79</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82,119,189.93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79,520,922.35</w:t>
            </w:r>
          </w:p>
        </w:tc>
      </w:tr>
    </w:tbl>
    <w:p>
      <w:pPr>
        <w:spacing w:line="240" w:lineRule="auto" w:before="3"/>
        <w:rPr>
          <w:rFonts w:ascii="宋体" w:hAnsi="宋体" w:cs="宋体" w:eastAsia="宋体" w:hint="default"/>
          <w:sz w:val="19"/>
          <w:szCs w:val="19"/>
        </w:rPr>
      </w:pPr>
    </w:p>
    <w:p>
      <w:pPr>
        <w:pStyle w:val="Heading5"/>
        <w:spacing w:line="240" w:lineRule="auto" w:before="36"/>
        <w:ind w:left="512"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50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218,210,924.62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82,119,189.93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280,314,718.79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79,520,922.35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218,210,924.62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82,119,189.93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280,314,718.79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79,520,922.35</w:t>
            </w:r>
          </w:p>
        </w:tc>
      </w:tr>
    </w:tbl>
    <w:p>
      <w:pPr>
        <w:spacing w:line="240" w:lineRule="auto" w:before="3"/>
        <w:rPr>
          <w:rFonts w:ascii="宋体" w:hAnsi="宋体" w:cs="宋体" w:eastAsia="宋体" w:hint="default"/>
          <w:sz w:val="19"/>
          <w:szCs w:val="19"/>
        </w:rPr>
      </w:pPr>
    </w:p>
    <w:p>
      <w:pPr>
        <w:pStyle w:val="Heading5"/>
        <w:spacing w:line="240" w:lineRule="auto" w:before="36"/>
        <w:ind w:left="512"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507"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98,571,039.88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39,874,504.72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155,053,604.43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33,147,462.87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110,018,923.30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38,847,536.44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116,855,497.06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38,400,057.42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9,620,961.44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3,397,148.77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8,405,617.30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7,973,402.06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218,210,924.62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82,119,189.93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280,314,718.79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79,520,922.35</w:t>
            </w:r>
          </w:p>
        </w:tc>
      </w:tr>
    </w:tbl>
    <w:p>
      <w:pPr>
        <w:spacing w:line="240" w:lineRule="auto" w:before="3"/>
        <w:rPr>
          <w:rFonts w:ascii="宋体" w:hAnsi="宋体" w:cs="宋体" w:eastAsia="宋体" w:hint="default"/>
          <w:sz w:val="19"/>
          <w:szCs w:val="19"/>
        </w:rPr>
      </w:pPr>
    </w:p>
    <w:p>
      <w:pPr>
        <w:pStyle w:val="Heading5"/>
        <w:spacing w:line="240" w:lineRule="auto" w:before="36"/>
        <w:ind w:left="512"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50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52" w:footer="980" w:top="1340" w:bottom="1160" w:left="620" w:right="620"/>
        </w:sectPr>
      </w:pPr>
    </w:p>
    <w:p>
      <w:pPr>
        <w:spacing w:line="240" w:lineRule="auto" w:before="9"/>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电信覆盖地区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142,531,537.50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53,638,810.34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208,356,417.70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59,107,472.44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联通覆盖地区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74,398,241.55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27,998,246.83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69,005,537.26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19,575,796.78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1,281,145.57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482,132.76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2,952,763.83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837,653.13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218,210,924.62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82,119,189.93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280,314,718.79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79,520,922.35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北京道位传诚广告有限公司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8,925,353.37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宁波银行股份有限公司上海分行</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5,863,500.00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华扬联众数字技术股份有限公司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4,705,000.00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北京美通互动广告有限公司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3,648,869.00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29,142,722.37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36"/>
        <w:gridCol w:w="2274"/>
        <w:gridCol w:w="2259"/>
      </w:tblGrid>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46,097,298.36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114,094,401.78</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1,383,354.00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1,173,044.12</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10,508,413.71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9,190,013.45</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420,408.76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236,709.86</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2,593,109.92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1,689,486.08</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-304,074.66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-213,875.97</w:t>
            </w:r>
          </w:p>
        </w:tc>
      </w:tr>
      <w:tr>
        <w:trPr>
          <w:trHeight w:val="403"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2,723,446.65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-19,113,359.38</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-53,112,804.47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50,707,651.67</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2,600,634.00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1,744,600.00</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12,909,786.27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159,508,671.61</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1,358,061,016.94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1,317,199,470.98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3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1,317,199,470.98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1,530,167,513.80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40,861,545.96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-212,968,042.82</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十三、补充资料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17"/>
        <w:gridCol w:w="2189"/>
        <w:gridCol w:w="1915"/>
        <w:gridCol w:w="1937"/>
      </w:tblGrid>
      <w:tr>
        <w:trPr>
          <w:trHeight w:val="184"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4"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1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89"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17" w:type="dxa"/>
            <w:vMerge/>
            <w:tcBorders>
              <w:left w:val="single" w:sz="4" w:space="0" w:color="000000"/>
              <w:bottom w:val="nil" w:sz="6" w:space="0" w:color="auto"/>
              <w:right w:val="single" w:sz="4" w:space="0" w:color="000000"/>
            </w:tcBorders>
            <w:shd w:val="clear" w:color="auto" w:fill="D2D2D2"/>
          </w:tcPr>
          <w:p>
            <w:pPr/>
          </w:p>
        </w:tc>
        <w:tc>
          <w:tcPr>
            <w:tcW w:w="2189"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89"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89"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715"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1500"/>
        <w:gridCol w:w="1601"/>
        <w:gridCol w:w="1584"/>
        <w:gridCol w:w="1258"/>
        <w:gridCol w:w="3144"/>
      </w:tblGrid>
      <w:tr>
        <w:trPr>
          <w:trHeight w:val="665" w:hRule="exact"/>
        </w:trPr>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611" w:right="3" w:hanging="610"/>
              <w:jc w:val="left"/>
              <w:rPr>
                <w:rFonts w:ascii="宋体" w:hAnsi="宋体" w:cs="宋体" w:eastAsia="宋体" w:hint="default"/>
                <w:sz w:val="18"/>
                <w:szCs w:val="18"/>
              </w:rPr>
            </w:pPr>
            <w:r>
              <w:rPr>
                <w:rFonts w:ascii="宋体" w:hAnsi="宋体" w:cs="宋体" w:eastAsia="宋体" w:hint="default"/>
                <w:spacing w:val="-5"/>
                <w:sz w:val="18"/>
                <w:szCs w:val="18"/>
              </w:rPr>
              <w:t>期末余额（或本期金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604" w:right="0" w:hanging="603"/>
              <w:jc w:val="left"/>
              <w:rPr>
                <w:rFonts w:ascii="宋体" w:hAnsi="宋体" w:cs="宋体" w:eastAsia="宋体" w:hint="default"/>
                <w:sz w:val="18"/>
                <w:szCs w:val="18"/>
              </w:rPr>
            </w:pPr>
            <w:r>
              <w:rPr>
                <w:rFonts w:ascii="宋体" w:hAnsi="宋体" w:cs="宋体" w:eastAsia="宋体" w:hint="default"/>
                <w:spacing w:val="-7"/>
                <w:sz w:val="18"/>
                <w:szCs w:val="18"/>
              </w:rPr>
              <w:t>年初余额（或上期金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63"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1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65"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60,618,740.76</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109,372,252.58</w:t>
            </w:r>
          </w:p>
        </w:tc>
        <w:tc>
          <w:tcPr>
            <w:tcW w:w="12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-44.58%</w:t>
            </w:r>
          </w:p>
        </w:tc>
        <w:tc>
          <w:tcPr>
            <w:tcW w:w="314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4" w:right="69"/>
              <w:jc w:val="left"/>
              <w:rPr>
                <w:rFonts w:ascii="宋体" w:hAnsi="宋体" w:cs="宋体" w:eastAsia="宋体" w:hint="default"/>
                <w:sz w:val="18"/>
                <w:szCs w:val="18"/>
              </w:rPr>
            </w:pPr>
            <w:r>
              <w:rPr>
                <w:rFonts w:ascii="宋体" w:hAnsi="宋体" w:cs="宋体" w:eastAsia="宋体" w:hint="default"/>
                <w:sz w:val="18"/>
                <w:szCs w:val="18"/>
              </w:rPr>
              <w:t>主要系整体经济下滑及策略调整，公司 金融数据业务预收收入下降</w:t>
            </w:r>
          </w:p>
        </w:tc>
      </w:tr>
      <w:tr>
        <w:trPr>
          <w:trHeight w:val="651"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222,701,535.89</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280,308,218.79</w:t>
            </w:r>
          </w:p>
        </w:tc>
        <w:tc>
          <w:tcPr>
            <w:tcW w:w="12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-20.55%</w:t>
            </w:r>
          </w:p>
        </w:tc>
        <w:tc>
          <w:tcPr>
            <w:tcW w:w="31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65"/>
              <w:jc w:val="center"/>
              <w:rPr>
                <w:rFonts w:ascii="宋体" w:hAnsi="宋体" w:cs="宋体" w:eastAsia="宋体" w:hint="default"/>
                <w:sz w:val="18"/>
                <w:szCs w:val="18"/>
              </w:rPr>
            </w:pPr>
            <w:r>
              <w:rPr>
                <w:rFonts w:ascii="宋体" w:hAnsi="宋体" w:cs="宋体" w:eastAsia="宋体" w:hint="default"/>
                <w:sz w:val="18"/>
                <w:szCs w:val="18"/>
              </w:rPr>
              <w:t>主要系公司本年金融数据业务收入下降</w:t>
            </w:r>
          </w:p>
        </w:tc>
      </w:tr>
      <w:tr>
        <w:trPr>
          <w:trHeight w:val="6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96,748,393.17</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109,836,587.04</w:t>
            </w:r>
          </w:p>
        </w:tc>
        <w:tc>
          <w:tcPr>
            <w:tcW w:w="12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-11.92%</w:t>
            </w:r>
          </w:p>
        </w:tc>
        <w:tc>
          <w:tcPr>
            <w:tcW w:w="314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8"/>
              <w:ind w:left="4" w:right="8"/>
              <w:jc w:val="left"/>
              <w:rPr>
                <w:rFonts w:ascii="宋体" w:hAnsi="宋体" w:cs="宋体" w:eastAsia="宋体" w:hint="default"/>
                <w:sz w:val="18"/>
                <w:szCs w:val="18"/>
              </w:rPr>
            </w:pPr>
            <w:r>
              <w:rPr>
                <w:rFonts w:ascii="宋体" w:hAnsi="宋体" w:cs="宋体" w:eastAsia="宋体" w:hint="default"/>
                <w:spacing w:val="3"/>
                <w:sz w:val="18"/>
                <w:szCs w:val="18"/>
              </w:rPr>
              <w:t>主要系公司组织架构调整导致当年销售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费用下降</w:t>
            </w:r>
          </w:p>
        </w:tc>
      </w:tr>
      <w:tr>
        <w:trPr>
          <w:trHeight w:val="667"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65,386,886.85</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30,787,217.00</w:t>
            </w:r>
          </w:p>
        </w:tc>
        <w:tc>
          <w:tcPr>
            <w:tcW w:w="12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112.38%</w:t>
            </w:r>
          </w:p>
        </w:tc>
        <w:tc>
          <w:tcPr>
            <w:tcW w:w="314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4" w:right="5"/>
              <w:jc w:val="left"/>
              <w:rPr>
                <w:rFonts w:ascii="宋体" w:hAnsi="宋体" w:cs="宋体" w:eastAsia="宋体" w:hint="default"/>
                <w:sz w:val="18"/>
                <w:szCs w:val="18"/>
              </w:rPr>
            </w:pPr>
            <w:r>
              <w:rPr>
                <w:rFonts w:ascii="宋体" w:hAnsi="宋体" w:cs="宋体" w:eastAsia="宋体" w:hint="default"/>
                <w:spacing w:val="3"/>
                <w:sz w:val="18"/>
                <w:szCs w:val="18"/>
              </w:rPr>
              <w:t>主要系公司组织架构调整、及人员规模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增长导致当年管理费用大幅上升</w:t>
            </w:r>
          </w:p>
        </w:tc>
      </w:tr>
    </w:tbl>
    <w:p>
      <w:pPr>
        <w:spacing w:after="0" w:line="316" w:lineRule="auto"/>
        <w:jc w:val="left"/>
        <w:rPr>
          <w:rFonts w:ascii="宋体" w:hAnsi="宋体" w:cs="宋体" w:eastAsia="宋体" w:hint="default"/>
          <w:sz w:val="18"/>
          <w:szCs w:val="18"/>
        </w:rPr>
        <w:sectPr>
          <w:pgSz w:w="11910" w:h="16840"/>
          <w:pgMar w:header="852" w:footer="980" w:top="1340" w:bottom="1160" w:left="980" w:right="102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Heading1"/>
        <w:spacing w:line="240" w:lineRule="auto"/>
        <w:ind w:left="2782" w:right="2746"/>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10"/>
        <w:rPr>
          <w:rFonts w:ascii="宋体" w:hAnsi="宋体" w:cs="宋体" w:eastAsia="宋体" w:hint="default"/>
          <w:b/>
          <w:bCs/>
          <w:sz w:val="46"/>
          <w:szCs w:val="46"/>
        </w:rPr>
      </w:pPr>
    </w:p>
    <w:p>
      <w:pPr>
        <w:pStyle w:val="BodyText"/>
        <w:spacing w:line="386" w:lineRule="auto" w:before="0"/>
        <w:ind w:left="573" w:right="0"/>
        <w:jc w:val="left"/>
      </w:pPr>
      <w:r>
        <w:rPr/>
        <w:t>一、载有董事长其实签名的</w:t>
      </w:r>
      <w:r>
        <w:rPr>
          <w:rFonts w:ascii="Times New Roman" w:hAnsi="Times New Roman" w:cs="Times New Roman" w:eastAsia="Times New Roman" w:hint="default"/>
        </w:rPr>
        <w:t>2012</w:t>
      </w:r>
      <w:r>
        <w:rPr/>
        <w:t>年年度报告文件原件；</w:t>
      </w:r>
      <w:r>
        <w:rPr>
          <w:w w:val="100"/>
        </w:rPr>
        <w:t> </w:t>
      </w:r>
      <w:r>
        <w:rPr>
          <w:spacing w:val="-2"/>
        </w:rPr>
        <w:t>二、载有法定代表人其实、主管会计工作负责人陆威、会计机构负责人叶露签名并盖章的财务报告文</w:t>
      </w:r>
    </w:p>
    <w:p>
      <w:pPr>
        <w:pStyle w:val="BodyText"/>
        <w:spacing w:line="240" w:lineRule="auto" w:before="65"/>
        <w:ind w:right="0"/>
        <w:jc w:val="left"/>
      </w:pPr>
      <w:r>
        <w:rPr/>
        <w:t>本；</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spacing w:val="-2"/>
        </w:rPr>
        <w:t>三、报告期内在中国证监会指定报纸上公开披露过的所有公司文件的正本及公告的原稿；</w:t>
      </w:r>
      <w:r>
        <w:rPr>
          <w:spacing w:val="-31"/>
        </w:rPr>
        <w:t> </w:t>
      </w:r>
      <w:r>
        <w:rPr>
          <w:spacing w:val="-31"/>
        </w:rPr>
      </w:r>
      <w:r>
        <w:rPr/>
        <w:t>四、其它相关资料。</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0"/>
        <w:ind w:left="573" w:right="0"/>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0" w:right="108"/>
        <w:jc w:val="right"/>
      </w:pPr>
      <w:r>
        <w:rPr>
          <w:spacing w:val="-1"/>
        </w:rPr>
        <w:t>东方财富信息股份有限公司</w:t>
      </w:r>
    </w:p>
    <w:p>
      <w:pPr>
        <w:spacing w:line="240" w:lineRule="auto" w:before="10"/>
        <w:rPr>
          <w:rFonts w:ascii="宋体" w:hAnsi="宋体" w:cs="宋体" w:eastAsia="宋体" w:hint="default"/>
          <w:sz w:val="14"/>
          <w:szCs w:val="14"/>
        </w:rPr>
      </w:pPr>
    </w:p>
    <w:p>
      <w:pPr>
        <w:pStyle w:val="BodyText"/>
        <w:spacing w:line="408" w:lineRule="auto" w:before="0"/>
        <w:ind w:left="7692" w:right="108" w:firstLine="840"/>
        <w:jc w:val="right"/>
      </w:pPr>
      <w:r>
        <w:rPr>
          <w:spacing w:val="-1"/>
        </w:rPr>
        <w:t>董事长：其实</w:t>
      </w:r>
      <w:r>
        <w:rPr>
          <w:w w:val="100"/>
        </w:rPr>
        <w:t> </w:t>
      </w:r>
      <w:r>
        <w:rPr>
          <w:spacing w:val="-2"/>
        </w:rPr>
        <w:t>二〇一三年四月十九日</w:t>
      </w:r>
    </w:p>
    <w:sectPr>
      <w:pgSz w:w="11910" w:h="16840"/>
      <w:pgMar w:header="852" w:footer="980" w:top="1340" w:bottom="116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661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61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6616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61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66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01.490005pt;margin-top:51.037918pt;width:29.05pt;height:11pt;mso-position-horizontal-relative:page;mso-position-vertical-relative:page;z-index:-661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r>
      <w:rPr/>
      <w:pict>
        <v:shape style="position:absolute;margin-left:305.170013pt;margin-top:50.545609pt;width:186.5pt;height:11.5pt;mso-position-horizontal-relative:page;mso-position-vertical-relative:page;z-index:-661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9994pt;margin-top:42.599976pt;width:67.800003pt;height:23.300003pt;mso-position-horizontal-relative:page;mso-position-vertical-relative:page;z-index:-661720" type="#_x0000_t75" stroked="false">
          <v:imagedata r:id="rId1" o:title=""/>
        </v:shape>
      </w:pict>
    </w:r>
    <w:r>
      <w:rPr/>
      <w:pict>
        <v:group style="position:absolute;margin-left:55.200001pt;margin-top:69.839981pt;width:436.9pt;height:.1pt;mso-position-horizontal-relative:page;mso-position-vertical-relative:page;z-index:-661696" coordorigin="1104,1397" coordsize="8738,2">
          <v:shape style="position:absolute;left:1104;top:1397;width:8738;height:2" coordorigin="1104,1397" coordsize="8738,0" path="m1104,1397l9842,1397e" filled="false" stroked="true" strokeweight=".72pt" strokecolor="#000000">
            <v:path arrowok="t"/>
          </v:shape>
          <w10:wrap type="none"/>
        </v:group>
      </w:pict>
    </w:r>
    <w:r>
      <w:rPr/>
      <w:pict>
        <v:shape style="position:absolute;margin-left:305.170013pt;margin-top:57.145607pt;width:186.5pt;height:11.5pt;mso-position-horizontal-relative:page;mso-position-vertical-relative:page;z-index:-661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r>
      <w:rPr/>
      <w:pict>
        <v:shape style="position:absolute;margin-left:201.490005pt;margin-top:57.63792pt;width:29.05pt;height:11pt;mso-position-horizontal-relative:page;mso-position-vertical-relative:page;z-index:-6616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spacing w:before="7"/>
      <w:ind w:left="152"/>
    </w:pPr>
    <w:rPr>
      <w:rFonts w:ascii="宋体" w:hAnsi="宋体" w:eastAsia="宋体"/>
      <w:sz w:val="21"/>
      <w:szCs w:val="21"/>
    </w:rPr>
  </w:style>
  <w:style w:styleId="Heading1" w:type="paragraph">
    <w:name w:val="Heading 1"/>
    <w:basedOn w:val="Normal"/>
    <w:uiPriority w:val="1"/>
    <w:qFormat/>
    <w:pPr>
      <w:ind w:left="278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eastmoney.com/" TargetMode="External"/><Relationship Id="rId12" Type="http://schemas.openxmlformats.org/officeDocument/2006/relationships/hyperlink" Target="http://www.chinarank.org.cn/" TargetMode="External"/><Relationship Id="rId13" Type="http://schemas.openxmlformats.org/officeDocument/2006/relationships/hyperlink" Target="mailto:dongmi@eastmoney.com" TargetMode="External"/><Relationship Id="rId14" Type="http://schemas.openxmlformats.org/officeDocument/2006/relationships/hyperlink" Target="http://www.cninfo.com.cn/" TargetMode="Externa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2020-05-04T01:41:37Z</dcterms:created>
  <dcterms:modified xsi:type="dcterms:W3CDTF">2020-05-04T01:41:37Z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Microsoft® Office Word 2007</vt:lpwstr>
  </property>
  <property fmtid="{D5CDD505-2E9C-101B-9397-08002B2CF9AE}" pid="4" name="LastSaved">
    <vt:filetime>2020-05-03T00:00:00Z</vt:filetime>
  </property>
</Properties>
</file>