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8"/>
        <w:rPr>
          <w:rFonts w:ascii="Times New Roman" w:hAnsi="Times New Roman" w:cs="Times New Roman" w:eastAsia="Times New Roman" w:hint="default"/>
          <w:sz w:val="7"/>
          <w:szCs w:val="7"/>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003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2"/>
          <w:szCs w:val="12"/>
        </w:rPr>
      </w:pPr>
    </w:p>
    <w:p>
      <w:pPr>
        <w:spacing w:line="1072" w:lineRule="exact"/>
        <w:ind w:left="252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2740134" cy="68122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740134" cy="681227"/>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spacing w:line="460" w:lineRule="exact" w:before="0"/>
        <w:ind w:left="2745" w:right="2743" w:firstLine="0"/>
        <w:jc w:val="center"/>
        <w:rPr>
          <w:rFonts w:ascii="宋体" w:hAnsi="宋体" w:cs="宋体" w:eastAsia="宋体" w:hint="default"/>
          <w:sz w:val="36"/>
          <w:szCs w:val="36"/>
        </w:rPr>
      </w:pPr>
      <w:r>
        <w:rPr>
          <w:rFonts w:ascii="宋体" w:hAnsi="宋体" w:cs="宋体" w:eastAsia="宋体" w:hint="default"/>
          <w:b/>
          <w:bCs/>
          <w:sz w:val="36"/>
          <w:szCs w:val="36"/>
        </w:rPr>
        <w:t>东方财富信息股份有限公司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743" w:right="274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743" w:right="274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880" w:bottom="28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Heading1"/>
        <w:spacing w:line="240" w:lineRule="auto"/>
        <w:ind w:left="2764" w:right="0"/>
        <w:jc w:val="left"/>
        <w:rPr>
          <w:b w:val="0"/>
          <w:bCs w:val="0"/>
        </w:rPr>
      </w:pPr>
      <w:bookmarkStart w:name="_TOC_250009"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2"/>
        <w:ind w:right="108" w:firstLine="561"/>
        <w:jc w:val="both"/>
        <w:rPr>
          <w:b w:val="0"/>
          <w:bCs w:val="0"/>
        </w:rPr>
      </w:pPr>
      <w:r>
        <w:rPr>
          <w:spacing w:val="2"/>
        </w:rPr>
        <w:t>本公司董事会、监事会及董事、监事、高级管理人员保证本报告所载资料</w:t>
      </w:r>
      <w:r>
        <w:rPr>
          <w:w w:val="99"/>
        </w:rPr>
        <w:t> </w:t>
      </w:r>
      <w:r>
        <w:rPr>
          <w:spacing w:val="2"/>
        </w:rPr>
        <w:t>不存在任何虚假记载、误导性陈述或者重大遗漏，并对其内容的真实性、准确</w:t>
      </w:r>
      <w:r>
        <w:rPr>
          <w:spacing w:val="-135"/>
        </w:rPr>
        <w:t> </w:t>
      </w:r>
      <w:r>
        <w:rPr>
          <w:spacing w:val="-135"/>
        </w:rPr>
      </w:r>
      <w:r>
        <w:rPr/>
        <w:t>性和完整性承担个别及连带责任。</w:t>
      </w:r>
      <w:r>
        <w:rPr>
          <w:b w:val="0"/>
          <w:bCs w:val="0"/>
        </w:rPr>
      </w:r>
    </w:p>
    <w:p>
      <w:pPr>
        <w:pStyle w:val="Heading2"/>
        <w:spacing w:line="475" w:lineRule="auto" w:before="160"/>
        <w:ind w:left="674" w:right="0"/>
        <w:jc w:val="left"/>
        <w:rPr>
          <w:b w:val="0"/>
          <w:bCs w:val="0"/>
        </w:rPr>
      </w:pPr>
      <w:r>
        <w:rPr/>
        <w:t>所有董事均已出席了审议本报告的董事会会议。</w:t>
      </w:r>
      <w:r>
        <w:rPr>
          <w:w w:val="99"/>
        </w:rPr>
        <w:t> </w:t>
      </w:r>
      <w:r>
        <w:rPr>
          <w:spacing w:val="-1"/>
        </w:rPr>
        <w:t>公司负责人其实、主管会计工作负责人陆威及会计机构负责人</w:t>
      </w:r>
      <w:r>
        <w:rPr>
          <w:rFonts w:ascii="Times New Roman" w:hAnsi="Times New Roman" w:cs="Times New Roman" w:eastAsia="Times New Roman" w:hint="default"/>
          <w:spacing w:val="-1"/>
        </w:rPr>
        <w:t>(</w:t>
      </w:r>
      <w:r>
        <w:rPr>
          <w:spacing w:val="-1"/>
        </w:rPr>
        <w:t>会计主管人</w:t>
      </w:r>
      <w:r>
        <w:rPr>
          <w:b w:val="0"/>
          <w:bCs w:val="0"/>
          <w:spacing w:val="-1"/>
        </w:rPr>
      </w:r>
    </w:p>
    <w:p>
      <w:pPr>
        <w:pStyle w:val="Heading2"/>
        <w:spacing w:line="320" w:lineRule="exact"/>
        <w:ind w:right="0"/>
        <w:jc w:val="left"/>
        <w:rPr>
          <w:b w:val="0"/>
          <w:bCs w:val="0"/>
        </w:rPr>
      </w:pPr>
      <w:r>
        <w:rPr/>
        <w:t>员</w:t>
      </w:r>
      <w:r>
        <w:rPr>
          <w:rFonts w:ascii="Times New Roman" w:hAnsi="Times New Roman" w:cs="Times New Roman" w:eastAsia="Times New Roman" w:hint="default"/>
        </w:rPr>
        <w:t>)</w:t>
      </w:r>
      <w:r>
        <w:rPr/>
        <w:t>叶露声明：保证年度报告中财务报告的真实、准确、完整。</w:t>
      </w:r>
      <w:r>
        <w:rPr>
          <w:b w:val="0"/>
          <w:bCs w:val="0"/>
        </w:rPr>
      </w:r>
    </w:p>
    <w:p>
      <w:pPr>
        <w:spacing w:after="0" w:line="320" w:lineRule="exact"/>
        <w:jc w:val="left"/>
        <w:sectPr>
          <w:headerReference w:type="default" r:id="rId6"/>
          <w:footerReference w:type="default" r:id="rId7"/>
          <w:pgSz w:w="11910" w:h="16840"/>
          <w:pgMar w:header="776" w:footer="978" w:top="1100" w:bottom="1160" w:left="1020" w:right="102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2"/>
        <w:ind w:left="2743" w:right="274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09">
            <w:r>
              <w:rPr/>
              <w:t>第一节</w:t>
            </w:r>
            <w:r>
              <w:rPr>
                <w:spacing w:val="-2"/>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第二节</w:t>
            </w:r>
            <w:r>
              <w:rPr>
                <w:spacing w:val="-2"/>
              </w:rPr>
              <w:t> </w:t>
            </w:r>
            <w:r>
              <w:rPr/>
              <w:t>公司基本情况简介</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第三节</w:t>
            </w:r>
            <w:r>
              <w:rPr>
                <w:spacing w:val="-2"/>
              </w:rPr>
              <w:t> </w:t>
            </w:r>
            <w:r>
              <w:rPr/>
              <w:t>会计数据和财务指标摘要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第四节</w:t>
            </w:r>
            <w:r>
              <w:rPr>
                <w:spacing w:val="-2"/>
              </w:rPr>
              <w:t> </w:t>
            </w:r>
            <w:r>
              <w:rPr/>
              <w:t>董事会报告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30</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第七节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41</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第八节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第九节</w:t>
            </w:r>
            <w:r>
              <w:rPr>
                <w:spacing w:val="-2"/>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第十节</w:t>
            </w:r>
            <w:r>
              <w:rPr>
                <w:spacing w:val="-2"/>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124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76" w:footer="978" w:top="1100" w:bottom="1160" w:left="1020" w:right="1020"/>
        </w:sectPr>
      </w:pPr>
    </w:p>
    <w:p>
      <w:pPr>
        <w:spacing w:before="897"/>
        <w:ind w:left="2743" w:right="274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东方财富</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东方财富网</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网址为"</w:t>
            </w:r>
            <w:hyperlink r:id="rId8">
              <w:r>
                <w:rPr>
                  <w:rFonts w:ascii="宋体" w:hAnsi="宋体" w:cs="宋体" w:eastAsia="宋体" w:hint="default"/>
                  <w:sz w:val="18"/>
                  <w:szCs w:val="18"/>
                </w:rPr>
                <w:t>www.eastmoney.com</w:t>
              </w:r>
            </w:hyperlink>
            <w:r>
              <w:rPr>
                <w:rFonts w:ascii="宋体" w:hAnsi="宋体" w:cs="宋体" w:eastAsia="宋体" w:hint="default"/>
                <w:sz w:val="18"/>
                <w:szCs w:val="18"/>
              </w:rPr>
              <w:t>"、"</w:t>
            </w:r>
            <w:hyperlink r:id="rId9">
              <w:r>
                <w:rPr>
                  <w:rFonts w:ascii="宋体" w:hAnsi="宋体" w:cs="宋体" w:eastAsia="宋体" w:hint="default"/>
                  <w:sz w:val="18"/>
                  <w:szCs w:val="18"/>
                </w:rPr>
                <w:t>www.18.com.cn</w:t>
              </w:r>
            </w:hyperlink>
            <w:r>
              <w:rPr>
                <w:rFonts w:ascii="宋体" w:hAnsi="宋体" w:cs="宋体" w:eastAsia="宋体" w:hint="default"/>
                <w:sz w:val="18"/>
                <w:szCs w:val="18"/>
              </w:rPr>
              <w:t>"的网站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天天基金网</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网址为"</w:t>
            </w:r>
            <w:hyperlink r:id="rId10">
              <w:r>
                <w:rPr>
                  <w:rFonts w:ascii="宋体" w:hAnsi="宋体" w:cs="宋体" w:eastAsia="宋体" w:hint="default"/>
                  <w:sz w:val="18"/>
                  <w:szCs w:val="18"/>
                </w:rPr>
                <w:t>www.1234567.com.cn</w:t>
              </w:r>
            </w:hyperlink>
            <w:r>
              <w:rPr>
                <w:rFonts w:ascii="宋体" w:hAnsi="宋体" w:cs="宋体" w:eastAsia="宋体" w:hint="default"/>
                <w:sz w:val="18"/>
                <w:szCs w:val="18"/>
              </w:rPr>
              <w:t>"的网站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保荐人</w:t>
            </w:r>
            <w:r>
              <w:rPr>
                <w:rFonts w:ascii="Times New Roman" w:hAnsi="Times New Roman" w:cs="Times New Roman" w:eastAsia="Times New Roman" w:hint="default"/>
                <w:sz w:val="18"/>
                <w:szCs w:val="18"/>
              </w:rPr>
              <w:t>/</w:t>
            </w:r>
            <w:r>
              <w:rPr>
                <w:rFonts w:ascii="宋体" w:hAnsi="宋体" w:cs="宋体" w:eastAsia="宋体" w:hint="default"/>
                <w:sz w:val="18"/>
                <w:szCs w:val="18"/>
              </w:rPr>
              <w:t>中金公司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中国国际金融有限公司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立信事务所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公司董事</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东方财富信息股份有限公司的董事/董事会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公司监事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东方财富信息股份有限公司的监事/监事会</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艾瑞咨询</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iResearch</w:t>
            </w:r>
            <w:r>
              <w:rPr>
                <w:rFonts w:ascii="宋体" w:hAnsi="宋体" w:cs="宋体" w:eastAsia="宋体" w:hint="default"/>
                <w:spacing w:val="-49"/>
                <w:sz w:val="18"/>
                <w:szCs w:val="18"/>
              </w:rPr>
              <w:t> </w:t>
            </w:r>
            <w:r>
              <w:rPr>
                <w:rFonts w:ascii="宋体" w:hAnsi="宋体" w:cs="宋体" w:eastAsia="宋体" w:hint="default"/>
                <w:sz w:val="18"/>
                <w:szCs w:val="18"/>
              </w:rPr>
              <w:t>艾瑞咨询集团，是一家专注于网络媒体、电子商务、网络</w:t>
            </w:r>
            <w:r>
              <w:rPr>
                <w:rFonts w:ascii="宋体" w:hAnsi="宋体" w:cs="宋体" w:eastAsia="宋体" w:hint="default"/>
                <w:sz w:val="18"/>
                <w:szCs w:val="18"/>
              </w:rPr>
              <w:t> </w:t>
            </w:r>
            <w:r>
              <w:rPr>
                <w:rFonts w:ascii="宋体" w:hAnsi="宋体" w:cs="宋体" w:eastAsia="宋体" w:hint="default"/>
                <w:spacing w:val="-2"/>
                <w:sz w:val="18"/>
                <w:szCs w:val="18"/>
              </w:rPr>
              <w:t>游戏、无线增值等新经济领域，研究和了解消费者行为，并为网络行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业及传统行业客户提供数据产品服务和研究咨询服务的专业机构</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CNNIC</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中国互联网络信息中心（China Internet Network</w:t>
            </w:r>
            <w:r>
              <w:rPr>
                <w:rFonts w:ascii="宋体" w:hAnsi="宋体" w:cs="宋体" w:eastAsia="宋体" w:hint="default"/>
                <w:spacing w:val="-6"/>
                <w:sz w:val="18"/>
                <w:szCs w:val="18"/>
              </w:rPr>
              <w:t> </w:t>
            </w:r>
            <w:r>
              <w:rPr>
                <w:rFonts w:ascii="宋体" w:hAnsi="宋体" w:cs="宋体" w:eastAsia="宋体" w:hint="default"/>
                <w:sz w:val="18"/>
                <w:szCs w:val="18"/>
              </w:rPr>
              <w:t>Information</w:t>
            </w:r>
            <w:r>
              <w:rPr>
                <w:rFonts w:ascii="宋体" w:hAnsi="宋体" w:cs="宋体" w:eastAsia="宋体" w:hint="default"/>
                <w:sz w:val="18"/>
                <w:szCs w:val="18"/>
              </w:rPr>
              <w:t> </w:t>
            </w:r>
            <w:r>
              <w:rPr>
                <w:rFonts w:ascii="宋体" w:hAnsi="宋体" w:cs="宋体" w:eastAsia="宋体" w:hint="default"/>
                <w:spacing w:val="-7"/>
                <w:sz w:val="18"/>
                <w:szCs w:val="18"/>
              </w:rPr>
              <w:t>Center），是经国家主管部门批准，于</w:t>
            </w:r>
            <w:r>
              <w:rPr>
                <w:rFonts w:ascii="宋体" w:hAnsi="宋体" w:cs="宋体" w:eastAsia="宋体" w:hint="default"/>
                <w:spacing w:val="-43"/>
                <w:sz w:val="18"/>
                <w:szCs w:val="18"/>
              </w:rPr>
              <w:t> </w:t>
            </w:r>
            <w:r>
              <w:rPr>
                <w:rFonts w:ascii="宋体" w:hAnsi="宋体" w:cs="宋体" w:eastAsia="宋体" w:hint="default"/>
                <w:sz w:val="18"/>
                <w:szCs w:val="18"/>
              </w:rPr>
              <w:t>1997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日组建的管理和</w:t>
            </w:r>
            <w:r>
              <w:rPr>
                <w:rFonts w:ascii="宋体" w:hAnsi="宋体" w:cs="宋体" w:eastAsia="宋体" w:hint="default"/>
                <w:sz w:val="18"/>
                <w:szCs w:val="18"/>
              </w:rPr>
              <w:t> </w:t>
            </w:r>
            <w:r>
              <w:rPr>
                <w:rFonts w:ascii="宋体" w:hAnsi="宋体" w:cs="宋体" w:eastAsia="宋体" w:hint="default"/>
                <w:spacing w:val="-2"/>
                <w:sz w:val="18"/>
                <w:szCs w:val="18"/>
              </w:rPr>
              <w:t>服务机构，行使国家互联网络信息中心的职责，负责管理维护中国互</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联网地址系统，引领中国互联网地址行业发展，权威发布中国互联网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统计信息，代表中国参与国际互联网社群</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中国网站排名网</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网址为</w:t>
            </w:r>
            <w:r>
              <w:rPr>
                <w:rFonts w:ascii="宋体" w:hAnsi="宋体" w:cs="宋体" w:eastAsia="宋体" w:hint="default"/>
                <w:spacing w:val="-48"/>
                <w:sz w:val="18"/>
                <w:szCs w:val="18"/>
              </w:rPr>
              <w:t> </w:t>
            </w:r>
            <w:hyperlink r:id="rId11">
              <w:r>
                <w:rPr>
                  <w:rFonts w:ascii="宋体" w:hAnsi="宋体" w:cs="宋体" w:eastAsia="宋体" w:hint="default"/>
                  <w:sz w:val="18"/>
                  <w:szCs w:val="18"/>
                </w:rPr>
                <w:t>www.chinarank.org.cn</w:t>
              </w:r>
            </w:hyperlink>
            <w:r>
              <w:rPr>
                <w:rFonts w:ascii="宋体" w:hAnsi="宋体" w:cs="宋体" w:eastAsia="宋体" w:hint="default"/>
                <w:spacing w:val="-49"/>
                <w:sz w:val="18"/>
                <w:szCs w:val="18"/>
              </w:rPr>
              <w:t> </w:t>
            </w:r>
            <w:r>
              <w:rPr>
                <w:rFonts w:ascii="宋体" w:hAnsi="宋体" w:cs="宋体" w:eastAsia="宋体" w:hint="default"/>
                <w:sz w:val="18"/>
                <w:szCs w:val="18"/>
              </w:rPr>
              <w:t>的网站，是由中国互联网协会主办，</w:t>
            </w:r>
            <w:r>
              <w:rPr>
                <w:rFonts w:ascii="宋体" w:hAnsi="宋体" w:cs="宋体" w:eastAsia="宋体" w:hint="default"/>
                <w:sz w:val="18"/>
                <w:szCs w:val="18"/>
              </w:rPr>
              <w:t> </w:t>
            </w:r>
            <w:r>
              <w:rPr>
                <w:rFonts w:ascii="宋体" w:hAnsi="宋体" w:cs="宋体" w:eastAsia="宋体" w:hint="default"/>
                <w:spacing w:val="-2"/>
                <w:sz w:val="18"/>
                <w:szCs w:val="18"/>
              </w:rPr>
              <w:t>国务院新闻办公室网络局、信息产业部电信管理局指导，北京中乾网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润信息技术有限公司提供技术支持的大型网站排名项目。以网站访问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流量统计数据为依据适时发布"中国网站排名"</w:t>
            </w:r>
          </w:p>
        </w:tc>
      </w:tr>
    </w:tbl>
    <w:p>
      <w:pPr>
        <w:spacing w:after="0" w:line="316" w:lineRule="auto"/>
        <w:jc w:val="both"/>
        <w:rPr>
          <w:rFonts w:ascii="宋体" w:hAnsi="宋体" w:cs="宋体" w:eastAsia="宋体" w:hint="default"/>
          <w:sz w:val="18"/>
          <w:szCs w:val="18"/>
        </w:rPr>
        <w:sectPr>
          <w:pgSz w:w="11910" w:h="16840"/>
          <w:pgMar w:header="776" w:footer="978" w:top="110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1"/>
        <w:spacing w:line="240" w:lineRule="auto"/>
        <w:ind w:left="3086" w:right="0"/>
        <w:jc w:val="left"/>
        <w:rPr>
          <w:b w:val="0"/>
          <w:bCs w:val="0"/>
        </w:rPr>
      </w:pPr>
      <w:bookmarkStart w:name="_TOC_250008" w:id="2"/>
      <w:r>
        <w:rPr/>
        <w:t>第二节</w:t>
      </w:r>
      <w:r>
        <w:rPr>
          <w:spacing w:val="-10"/>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930"/>
        <w:gridCol w:w="2305"/>
        <w:gridCol w:w="2157"/>
        <w:gridCol w:w="2177"/>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w:t>
            </w:r>
          </w:p>
        </w:tc>
        <w:tc>
          <w:tcPr>
            <w:tcW w:w="2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300059</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East Money Information</w:t>
            </w:r>
            <w:r>
              <w:rPr>
                <w:rFonts w:ascii="Times New Roman"/>
                <w:spacing w:val="-12"/>
                <w:sz w:val="18"/>
              </w:rPr>
              <w:t> </w:t>
            </w:r>
            <w:r>
              <w:rPr>
                <w:rFonts w:ascii="Times New Roman"/>
                <w:sz w:val="18"/>
              </w:rPr>
              <w:t>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Eastmoney</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其实</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上海市嘉定区宝安公路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201801</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上海市龙田路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200235</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8">
              <w:r>
                <w:rPr>
                  <w:rFonts w:ascii="Times New Roman"/>
                  <w:sz w:val="18"/>
                </w:rPr>
                <w:t>www.eastmoney.com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hyperlink r:id="rId12">
              <w:r>
                <w:rPr>
                  <w:rFonts w:ascii="Times New Roman"/>
                  <w:sz w:val="18"/>
                </w:rPr>
                <w:t>dongmi@eastmoney.com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荣兴</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上海市龙田路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上海市龙田路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021-64382978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021-64382978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021-64389508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021-64389508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dongmi@eastmoney.com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dongmi@eastmoney.com</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860"/>
        <w:gridCol w:w="5708"/>
      </w:tblGrid>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《上海证券报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76" w:footer="978" w:top="1100" w:bottom="1160" w:left="1020" w:right="1020"/>
        </w:sectPr>
      </w:pPr>
    </w:p>
    <w:p>
      <w:pPr>
        <w:spacing w:line="240" w:lineRule="auto" w:before="10"/>
        <w:rPr>
          <w:rFonts w:ascii="宋体" w:hAnsi="宋体" w:cs="宋体" w:eastAsia="宋体" w:hint="default"/>
          <w:b/>
          <w:bCs/>
          <w:sz w:val="19"/>
          <w:szCs w:val="19"/>
        </w:rPr>
      </w:pPr>
    </w:p>
    <w:p>
      <w:pPr>
        <w:pStyle w:val="Heading4"/>
        <w:spacing w:line="240" w:lineRule="auto" w:before="26"/>
        <w:ind w:right="0"/>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1" w:right="70" w:hanging="449"/>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嘉定区曹安路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1926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3101142094752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注册登记地点、经营</w:t>
            </w:r>
            <w:r>
              <w:rPr>
                <w:rFonts w:ascii="宋体" w:hAnsi="宋体" w:cs="宋体" w:eastAsia="宋体" w:hint="default"/>
                <w:sz w:val="18"/>
                <w:szCs w:val="18"/>
              </w:rPr>
              <w:t> 范围变更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嘉定区江桥镇华江 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3101142094752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注册登记地点变更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嘉定区曹安路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1926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3101142094752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注册登记地点变更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公司名称、注册资 </w:t>
            </w:r>
            <w:r>
              <w:rPr>
                <w:rFonts w:ascii="宋体" w:hAnsi="宋体" w:cs="宋体" w:eastAsia="宋体" w:hint="default"/>
                <w:spacing w:val="-9"/>
                <w:sz w:val="18"/>
                <w:szCs w:val="18"/>
              </w:rPr>
              <w:t>本、公司类型、营业</w:t>
            </w:r>
            <w:r>
              <w:rPr>
                <w:rFonts w:ascii="宋体" w:hAnsi="宋体" w:cs="宋体" w:eastAsia="宋体" w:hint="default"/>
                <w:sz w:val="18"/>
                <w:szCs w:val="18"/>
              </w:rPr>
              <w:t> 期限变更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公司名称变更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企业类型、注册资本</w:t>
            </w:r>
            <w:r>
              <w:rPr>
                <w:rFonts w:ascii="宋体" w:hAnsi="宋体" w:cs="宋体" w:eastAsia="宋体" w:hint="default"/>
                <w:sz w:val="18"/>
                <w:szCs w:val="18"/>
              </w:rPr>
              <w:t> 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9"/>
                <w:sz w:val="18"/>
                <w:szCs w:val="18"/>
              </w:rPr>
              <w:t>法定代表人、注册资</w:t>
            </w:r>
            <w:r>
              <w:rPr>
                <w:rFonts w:ascii="宋体" w:hAnsi="宋体" w:cs="宋体" w:eastAsia="宋体" w:hint="default"/>
                <w:sz w:val="18"/>
                <w:szCs w:val="18"/>
              </w:rPr>
              <w:t> 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bl>
    <w:p>
      <w:pPr>
        <w:spacing w:after="0" w:line="240" w:lineRule="auto"/>
        <w:jc w:val="left"/>
        <w:rPr>
          <w:rFonts w:ascii="Times New Roman" w:hAnsi="Times New Roman" w:cs="Times New Roman" w:eastAsia="Times New Roman" w:hint="default"/>
          <w:sz w:val="18"/>
          <w:szCs w:val="18"/>
        </w:rPr>
        <w:sectPr>
          <w:pgSz w:w="11910" w:h="16840"/>
          <w:pgMar w:header="776" w:footer="978" w:top="1100" w:bottom="1160" w:left="1020" w:right="1020"/>
        </w:sectPr>
      </w:pPr>
    </w:p>
    <w:p>
      <w:pPr>
        <w:spacing w:line="240" w:lineRule="auto" w:before="0"/>
        <w:rPr>
          <w:rFonts w:ascii="宋体" w:hAnsi="宋体" w:cs="宋体" w:eastAsia="宋体" w:hint="default"/>
          <w:b/>
          <w:bCs/>
          <w:sz w:val="20"/>
          <w:szCs w:val="20"/>
        </w:rPr>
      </w:pPr>
      <w:r>
        <w:rPr/>
        <w:pict>
          <v:shape style="position:absolute;margin-left:220.919495pt;margin-top:383.700012pt;width:83.8pt;height:19.650pt;mso-position-horizontal-relative:page;mso-position-vertical-relative:page;z-index:-626032"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26.949997pt;margin-top:383.700012pt;width:77.75pt;height:19.650pt;mso-position-horizontal-relative:page;mso-position-vertical-relative:page;z-index:-626008" coordorigin="4539,7674" coordsize="1555,393">
            <v:shape style="position:absolute;left:4539;top:7674;width:1555;height:393" coordorigin="4539,7674" coordsize="1555,393" path="m4539,7674l6094,7674,6094,8067,4539,8067,4539,7674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1"/>
        <w:spacing w:line="240" w:lineRule="auto"/>
        <w:ind w:left="2606" w:right="122"/>
        <w:jc w:val="left"/>
        <w:rPr>
          <w:b w:val="0"/>
          <w:bCs w:val="0"/>
        </w:rPr>
      </w:pPr>
      <w:bookmarkStart w:name="_TOC_250007" w:id="3"/>
      <w:r>
        <w:rPr/>
        <w:t>第三节</w:t>
      </w:r>
      <w:r>
        <w:rPr>
          <w:spacing w:val="-11"/>
        </w:rPr>
        <w:t> </w:t>
      </w:r>
      <w:r>
        <w:rPr/>
        <w:t>会计数据和财务指标摘要</w:t>
      </w:r>
      <w:bookmarkEnd w:id="3"/>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122"/>
        <w:jc w:val="left"/>
        <w:rPr>
          <w:b w:val="0"/>
          <w:bCs w:val="0"/>
        </w:rPr>
      </w:pPr>
      <w:r>
        <w:rPr/>
        <w:t>一、主要会计数据和财务指标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12" w:right="122"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402"/>
        <w:gridCol w:w="1560"/>
        <w:gridCol w:w="1559"/>
        <w:gridCol w:w="1701"/>
        <w:gridCol w:w="1444"/>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612,007,004.55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248,474,867.84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146.31%</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222,701,535.89</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148,569,133.68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89,735,083.82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65.56%</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64,732,333.89</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193,886,384.66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-3,386,372.35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5,825.49%</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35,325,273.50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197,253,800.40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4,976,841.27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3,863.43%</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43,364,773.50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归属于上市公司普通股股东的净利润（元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tabs>
                <w:tab w:pos="403" w:val="left" w:leader="none"/>
              </w:tabs>
              <w:spacing w:line="240" w:lineRule="auto" w:before="49"/>
              <w:ind w:left="-140"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165,723,821.57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5,001,337.41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3,213.59%</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37,581,860.98</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归属于上市公司普通股股东的扣除非经常 性损益后的净利润（元）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162,870,669.95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-2,615,754.67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6,326.53%</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30,737,065.98</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2,362,917,624.68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476,077,544.26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396.33%</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20,163,754.39</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1.9535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0.7084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175.76%</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0.06</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0.1370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0.0041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3,241.46%</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w w:val="95"/>
                <w:sz w:val="18"/>
              </w:rPr>
              <w:t>0.0311</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0.1370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0.0041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3,241.46%</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w w:val="95"/>
                <w:sz w:val="18"/>
              </w:rPr>
              <w:t>0.0311</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9.38%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0.29%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2.20%</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扣除非经常性损益后的加权平均净资产收 益率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9.37%</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1,209,600,000.00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672,000,000.00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80.00%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336,000,000.00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6,182,773,998.84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2,432,782,397.40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154.14%</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1,801,371,020.90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4,303,066,531.12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743,607,844.89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478.67%</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81,816,306.70</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归属于上市公司普通股股东的所有者权益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1,879,707,467.72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1,689,108,559.23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11.28%</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1,719,485,114.74</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归属于上市公司普通股股东的每股净资产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2.5136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-38.18%</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5.1175</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30.57%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39.03%</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4.54%</w:t>
            </w:r>
          </w:p>
        </w:tc>
      </w:tr>
    </w:tbl>
    <w:p>
      <w:pPr>
        <w:spacing w:line="240" w:lineRule="auto" w:before="0"/>
        <w:rPr>
          <w:rFonts w:ascii="宋体" w:hAnsi="宋体" w:cs="宋体" w:eastAsia="宋体" w:hint="default"/>
          <w:sz w:val="18"/>
          <w:szCs w:val="18"/>
        </w:rPr>
      </w:pPr>
    </w:p>
    <w:p>
      <w:pPr>
        <w:pStyle w:val="Heading4"/>
        <w:spacing w:line="240" w:lineRule="auto" w:before="26"/>
        <w:ind w:right="122"/>
        <w:jc w:val="left"/>
        <w:rPr>
          <w:b w:val="0"/>
          <w:bCs w:val="0"/>
        </w:rPr>
      </w:pP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22"/>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spacing w:before="0"/>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76" w:footer="978" w:top="1100" w:bottom="1160" w:left="1020" w:right="980"/>
        </w:sectPr>
      </w:pPr>
    </w:p>
    <w:p>
      <w:pPr>
        <w:spacing w:line="240" w:lineRule="auto" w:before="1"/>
        <w:rPr>
          <w:rFonts w:ascii="宋体" w:hAnsi="宋体" w:cs="宋体" w:eastAsia="宋体" w:hint="default"/>
          <w:sz w:val="22"/>
          <w:szCs w:val="22"/>
        </w:rPr>
      </w:pPr>
    </w:p>
    <w:p>
      <w:pPr>
        <w:spacing w:before="44"/>
        <w:ind w:left="112" w:right="105" w:firstLine="0"/>
        <w:jc w:val="left"/>
        <w:rPr>
          <w:rFonts w:ascii="宋体" w:hAnsi="宋体" w:cs="宋体" w:eastAsia="宋体" w:hint="default"/>
          <w:sz w:val="18"/>
          <w:szCs w:val="18"/>
        </w:rPr>
      </w:pPr>
      <w:r>
        <w:rPr>
          <w:rFonts w:ascii="宋体" w:hAnsi="宋体" w:cs="宋体" w:eastAsia="宋体" w:hint="default"/>
          <w:sz w:val="18"/>
          <w:szCs w:val="18"/>
        </w:rPr>
        <w:t>公司报告期不存在按照国际会计准则与按照中国会计准则披露的财务报告中净利润和净资产差异情况。</w:t>
      </w:r>
    </w:p>
    <w:p>
      <w:pPr>
        <w:spacing w:line="240" w:lineRule="auto" w:before="11"/>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17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4"/>
        <w:spacing w:line="240" w:lineRule="auto"/>
        <w:ind w:right="105"/>
        <w:jc w:val="left"/>
        <w:rPr>
          <w:b w:val="0"/>
          <w:bCs w:val="0"/>
        </w:rPr>
      </w:pPr>
      <w:r>
        <w:rPr/>
        <w:t>三、非经常性损益的项目及金额</w:t>
      </w:r>
      <w:r>
        <w:rPr>
          <w:b w:val="0"/>
          <w:bCs w:val="0"/>
        </w:rPr>
      </w:r>
    </w:p>
    <w:p>
      <w:pPr>
        <w:spacing w:line="240" w:lineRule="auto" w:before="1"/>
        <w:rPr>
          <w:rFonts w:ascii="宋体" w:hAnsi="宋体" w:cs="宋体" w:eastAsia="宋体" w:hint="default"/>
          <w:b/>
          <w:bCs/>
          <w:sz w:val="23"/>
          <w:szCs w:val="23"/>
        </w:rPr>
      </w:pPr>
    </w:p>
    <w:p>
      <w:pPr>
        <w:spacing w:before="44"/>
        <w:ind w:left="11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2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820"/>
        <w:gridCol w:w="1276"/>
        <w:gridCol w:w="1134"/>
        <w:gridCol w:w="1275"/>
        <w:gridCol w:w="1063"/>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tabs>
                <w:tab w:pos="463" w:val="left" w:leader="none"/>
              </w:tabs>
              <w:spacing w:line="240" w:lineRule="auto" w:before="50"/>
              <w:ind w:left="-122"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-20,510.02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05"/>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 统一标准定额或定量享受的政府补助除外）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4,874,542.76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8,911,878.77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9,639,500.00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-1,486,617.00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-548,665.15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514,264.12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746,121.54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1,194,705.00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2,853,151.62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7,617,092.08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6,844,795.00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12" w:right="212" w:firstLine="0"/>
        <w:jc w:val="both"/>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2"/>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300" w:lineRule="auto" w:before="103"/>
        <w:ind w:left="112" w:right="212" w:firstLine="0"/>
        <w:jc w:val="both"/>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line="240" w:lineRule="auto" w:before="8"/>
        <w:rPr>
          <w:rFonts w:ascii="宋体" w:hAnsi="宋体" w:cs="宋体" w:eastAsia="宋体" w:hint="default"/>
          <w:sz w:val="21"/>
          <w:szCs w:val="21"/>
        </w:rPr>
      </w:pPr>
    </w:p>
    <w:p>
      <w:pPr>
        <w:pStyle w:val="Heading4"/>
        <w:spacing w:line="240" w:lineRule="auto"/>
        <w:ind w:right="0"/>
        <w:jc w:val="both"/>
        <w:rPr>
          <w:b w:val="0"/>
          <w:bCs w:val="0"/>
        </w:rPr>
      </w:pPr>
      <w:r>
        <w:rPr/>
        <w:t>四、重大风险提示</w:t>
      </w:r>
      <w:r>
        <w:rPr>
          <w:b w:val="0"/>
          <w:bCs w:val="0"/>
        </w:rPr>
      </w:r>
    </w:p>
    <w:p>
      <w:pPr>
        <w:spacing w:line="240" w:lineRule="auto" w:before="7"/>
        <w:rPr>
          <w:rFonts w:ascii="宋体" w:hAnsi="宋体" w:cs="宋体" w:eastAsia="宋体" w:hint="default"/>
          <w:b/>
          <w:bCs/>
          <w:sz w:val="24"/>
          <w:szCs w:val="24"/>
        </w:rPr>
      </w:pPr>
    </w:p>
    <w:p>
      <w:pPr>
        <w:pStyle w:val="BodyText"/>
        <w:spacing w:line="290" w:lineRule="auto" w:before="0"/>
        <w:ind w:left="532" w:right="105"/>
        <w:jc w:val="left"/>
      </w:pPr>
      <w:r>
        <w:rPr/>
        <w:t>（</w:t>
      </w:r>
      <w:r>
        <w:rPr>
          <w:rFonts w:ascii="Times New Roman" w:hAnsi="Times New Roman" w:cs="Times New Roman" w:eastAsia="Times New Roman" w:hint="default"/>
        </w:rPr>
        <w:t>1</w:t>
      </w:r>
      <w:r>
        <w:rPr/>
        <w:t>）行业及业务受证券市场景气度波动影响的风险</w:t>
      </w:r>
      <w:r>
        <w:rPr>
          <w:w w:val="99"/>
        </w:rPr>
        <w:t> </w:t>
      </w:r>
      <w:r>
        <w:rPr>
          <w:spacing w:val="-5"/>
          <w:w w:val="95"/>
        </w:rPr>
        <w:t>当前，国内网络财经信息服务的市场需求与证券市场景气度仍具有较高的相关性，证券市场投资者（包</w:t>
      </w:r>
      <w:r>
        <w:rPr>
          <w:spacing w:val="-5"/>
        </w:rPr>
      </w:r>
    </w:p>
    <w:p>
      <w:pPr>
        <w:pStyle w:val="BodyText"/>
        <w:spacing w:line="264" w:lineRule="auto" w:before="0"/>
        <w:ind w:right="212"/>
        <w:jc w:val="both"/>
      </w:pPr>
      <w:r>
        <w:rPr>
          <w:spacing w:val="2"/>
        </w:rPr>
        <w:t>括直接投资</w:t>
      </w:r>
      <w:r>
        <w:rPr>
          <w:rFonts w:ascii="Times New Roman" w:hAnsi="Times New Roman" w:cs="Times New Roman" w:eastAsia="Times New Roman" w:hint="default"/>
          <w:spacing w:val="2"/>
        </w:rPr>
        <w:t>A</w:t>
      </w:r>
      <w:r>
        <w:rPr>
          <w:spacing w:val="2"/>
        </w:rPr>
        <w:t>股或购买基金间接投资</w:t>
      </w:r>
      <w:r>
        <w:rPr>
          <w:rFonts w:ascii="Times New Roman" w:hAnsi="Times New Roman" w:cs="Times New Roman" w:eastAsia="Times New Roman" w:hint="default"/>
          <w:spacing w:val="2"/>
        </w:rPr>
        <w:t>A</w:t>
      </w:r>
      <w:r>
        <w:rPr>
          <w:spacing w:val="2"/>
        </w:rPr>
        <w:t>股的投资者）在网络财经信息服务用户中仍占较高比重，一旦证券</w:t>
      </w:r>
      <w:r>
        <w:rPr>
          <w:w w:val="99"/>
        </w:rPr>
        <w:t> </w:t>
      </w:r>
      <w:r>
        <w:rPr>
          <w:w w:val="95"/>
        </w:rPr>
        <w:t>市场景气度下降，市场活跃程度和投资者热情均会受到直接影响，并进而可能抑制投资者对网络财经信息</w:t>
      </w:r>
      <w:r>
        <w:rPr>
          <w:spacing w:val="40"/>
          <w:w w:val="95"/>
        </w:rPr>
        <w:t> </w:t>
      </w:r>
      <w:r>
        <w:rPr>
          <w:spacing w:val="40"/>
          <w:w w:val="95"/>
        </w:rPr>
      </w:r>
      <w:r>
        <w:rPr/>
        <w:t>服务的需求。</w:t>
      </w:r>
    </w:p>
    <w:p>
      <w:pPr>
        <w:pStyle w:val="BodyText"/>
        <w:spacing w:line="273" w:lineRule="auto" w:before="57"/>
        <w:ind w:right="212" w:firstLine="420"/>
        <w:jc w:val="both"/>
      </w:pPr>
      <w:r>
        <w:rPr>
          <w:w w:val="95"/>
        </w:rPr>
        <w:t>应对措施：公司将继续积极推进财经大平台战略，加强技术和产品的研发创新，丰富平台的内容和表</w:t>
      </w:r>
      <w:r>
        <w:rPr>
          <w:w w:val="99"/>
        </w:rPr>
        <w:t> </w:t>
      </w:r>
      <w:r>
        <w:rPr>
          <w:w w:val="95"/>
        </w:rPr>
        <w:t>现形式，延伸平台服务，提高服务的质量和水平，不断提升用户体验，巩固和增强庞大用户优势和用户黏</w:t>
      </w:r>
      <w:r>
        <w:rPr>
          <w:spacing w:val="41"/>
          <w:w w:val="95"/>
        </w:rPr>
        <w:t> </w:t>
      </w:r>
      <w:r>
        <w:rPr>
          <w:spacing w:val="41"/>
          <w:w w:val="95"/>
        </w:rPr>
      </w:r>
      <w:r>
        <w:rPr/>
        <w:t>性，降低证券市场景气度波动带来的影响。</w:t>
      </w:r>
    </w:p>
    <w:p>
      <w:pPr>
        <w:pStyle w:val="BodyText"/>
        <w:spacing w:line="307" w:lineRule="auto" w:before="46"/>
        <w:ind w:left="532" w:right="105"/>
        <w:jc w:val="left"/>
      </w:pPr>
      <w:r>
        <w:rPr/>
        <w:t>（2）一站式互联网金融服务大平台和网络信息传输系统安全运行风险</w:t>
      </w:r>
      <w:r>
        <w:rPr>
          <w:w w:val="99"/>
        </w:rPr>
        <w:t> </w:t>
      </w:r>
      <w:r>
        <w:rPr>
          <w:w w:val="95"/>
        </w:rPr>
        <w:t>公司商业模式的持续运作和盈利模式的有效实施，有赖于公司一站式互联网金融服务大平台和网络信</w:t>
      </w:r>
      <w:r>
        <w:rPr/>
      </w:r>
    </w:p>
    <w:p>
      <w:pPr>
        <w:pStyle w:val="BodyText"/>
        <w:spacing w:line="253" w:lineRule="exact" w:before="0"/>
        <w:ind w:right="0"/>
        <w:jc w:val="both"/>
      </w:pPr>
      <w:r>
        <w:rPr/>
        <w:t>息传输系统的安全运行。如果出现互联网系统安全运行问题，可能造成本公司网站及大平台不能正常访问</w:t>
      </w:r>
    </w:p>
    <w:p>
      <w:pPr>
        <w:pStyle w:val="BodyText"/>
        <w:spacing w:line="273" w:lineRule="auto" w:before="37"/>
        <w:ind w:right="108"/>
        <w:jc w:val="both"/>
      </w:pPr>
      <w:r>
        <w:rPr/>
        <w:t>和金融数据服务客户端不能正常使用等后果。虽然公司已制定了完善的数据库备份、数据安全传输和质量</w:t>
      </w:r>
      <w:r>
        <w:rPr>
          <w:w w:val="99"/>
        </w:rPr>
        <w:t> </w:t>
      </w:r>
      <w:r>
        <w:rPr/>
        <w:t>管理体系等措施，但由于第三方服务提供方而造成的互联网系统安全运行问题，将可能影响公司网站及大</w:t>
      </w:r>
      <w:r>
        <w:rPr>
          <w:w w:val="99"/>
        </w:rPr>
        <w:t> </w:t>
      </w:r>
      <w:r>
        <w:rPr>
          <w:spacing w:val="-3"/>
        </w:rPr>
        <w:t>平台的正常运行和财经金融服务的正常提供，降低用户体验和满意度，甚至给公司品牌形象带来不利影响。</w:t>
      </w:r>
    </w:p>
    <w:p>
      <w:pPr>
        <w:spacing w:after="0" w:line="273" w:lineRule="auto"/>
        <w:jc w:val="both"/>
        <w:sectPr>
          <w:pgSz w:w="11910" w:h="16840"/>
          <w:pgMar w:header="776" w:footer="978" w:top="1100" w:bottom="1160" w:left="1020" w:right="920"/>
        </w:sectPr>
      </w:pPr>
    </w:p>
    <w:p>
      <w:pPr>
        <w:spacing w:line="240" w:lineRule="auto" w:before="12"/>
        <w:rPr>
          <w:rFonts w:ascii="宋体" w:hAnsi="宋体" w:cs="宋体" w:eastAsia="宋体" w:hint="default"/>
          <w:sz w:val="20"/>
          <w:szCs w:val="20"/>
        </w:rPr>
      </w:pPr>
    </w:p>
    <w:p>
      <w:pPr>
        <w:pStyle w:val="BodyText"/>
        <w:spacing w:line="273" w:lineRule="auto" w:before="34"/>
        <w:ind w:right="105" w:firstLine="420"/>
        <w:jc w:val="left"/>
      </w:pPr>
      <w:r>
        <w:rPr/>
        <w:t>应对措施：公司将进一步完善公司内部软硬件管理规范，严格执行内部实时监控流程，确保安全设备</w:t>
      </w:r>
      <w:r>
        <w:rPr>
          <w:w w:val="99"/>
        </w:rPr>
        <w:t> </w:t>
      </w:r>
      <w:r>
        <w:rPr/>
        <w:t>的质量，定期进行相关技术人员的安全技能培训，提高技术安全维护队伍的技术水平，以防范软件、硬件</w:t>
      </w:r>
      <w:r>
        <w:rPr>
          <w:w w:val="99"/>
        </w:rPr>
        <w:t> </w:t>
      </w:r>
      <w:r>
        <w:rPr>
          <w:spacing w:val="-3"/>
        </w:rPr>
        <w:t>和系统故障等风险。制定完善的数据库本地与异地灾备制度，配备专业的数据库管理与系统运营维护人员，</w:t>
      </w:r>
      <w:r>
        <w:rPr>
          <w:w w:val="99"/>
        </w:rPr>
        <w:t> </w:t>
      </w:r>
      <w:r>
        <w:rPr/>
        <w:t>以保证数据库系统与网络系统平稳运行和数据安全。</w:t>
      </w:r>
    </w:p>
    <w:p>
      <w:pPr>
        <w:pStyle w:val="BodyText"/>
        <w:spacing w:line="307" w:lineRule="auto" w:before="46"/>
        <w:ind w:left="532" w:right="105"/>
        <w:jc w:val="left"/>
      </w:pPr>
      <w:r>
        <w:rPr/>
        <w:t>（3）行业竞争进一步加剧的风险</w:t>
      </w:r>
      <w:r>
        <w:rPr>
          <w:w w:val="99"/>
        </w:rPr>
        <w:t> </w:t>
      </w:r>
      <w:r>
        <w:rPr>
          <w:w w:val="95"/>
        </w:rPr>
        <w:t>互联网金融业处于快速发展的起步阶段，互联网金融创新业务模式不断涌现，鉴于行业广阔的发展前</w:t>
      </w:r>
      <w:r>
        <w:rPr/>
      </w:r>
    </w:p>
    <w:p>
      <w:pPr>
        <w:pStyle w:val="BodyText"/>
        <w:spacing w:line="253" w:lineRule="exact" w:before="0"/>
        <w:ind w:right="0"/>
        <w:jc w:val="both"/>
      </w:pPr>
      <w:r>
        <w:rPr/>
        <w:t>景、国内资本市场的进一步健全开放和相关政策的出台，行业的参与者将越来越多，相关费率市场化程度</w:t>
      </w:r>
    </w:p>
    <w:p>
      <w:pPr>
        <w:pStyle w:val="BodyText"/>
        <w:spacing w:line="273" w:lineRule="auto" w:before="37"/>
        <w:ind w:right="210"/>
        <w:jc w:val="both"/>
      </w:pPr>
      <w:r>
        <w:rPr>
          <w:w w:val="95"/>
        </w:rPr>
        <w:t>会越来越高，行业竞争将会进一步加剧，可能会增加公司的营运压力，而缺乏竞争力和核心优势的企业将</w:t>
      </w:r>
      <w:r>
        <w:rPr>
          <w:spacing w:val="40"/>
          <w:w w:val="95"/>
        </w:rPr>
        <w:t> </w:t>
      </w:r>
      <w:r>
        <w:rPr>
          <w:spacing w:val="40"/>
          <w:w w:val="95"/>
        </w:rPr>
      </w:r>
      <w:r>
        <w:rPr>
          <w:w w:val="95"/>
        </w:rPr>
        <w:t>会被市场淘汰。如果公司不能紧跟行业发展形势，提高公司的竞争力和核心优势，可能将无法适应激烈的</w:t>
      </w:r>
      <w:r>
        <w:rPr>
          <w:spacing w:val="43"/>
          <w:w w:val="95"/>
        </w:rPr>
        <w:t> </w:t>
      </w:r>
      <w:r>
        <w:rPr>
          <w:spacing w:val="43"/>
          <w:w w:val="95"/>
        </w:rPr>
      </w:r>
      <w:r>
        <w:rPr/>
        <w:t>行业竞争。</w:t>
      </w:r>
    </w:p>
    <w:p>
      <w:pPr>
        <w:pStyle w:val="BodyText"/>
        <w:spacing w:line="273" w:lineRule="auto" w:before="48"/>
        <w:ind w:right="105" w:firstLine="420"/>
        <w:jc w:val="left"/>
      </w:pPr>
      <w:r>
        <w:rPr>
          <w:w w:val="95"/>
        </w:rPr>
        <w:t>应对措施：公司将进一步立足于战略定位，持续加大研发投入，紧密跟踪行业发展趋势和前沿创新技</w:t>
      </w:r>
      <w:r>
        <w:rPr>
          <w:spacing w:val="-97"/>
          <w:w w:val="95"/>
        </w:rPr>
        <w:t> </w:t>
      </w:r>
      <w:r>
        <w:rPr>
          <w:spacing w:val="-97"/>
          <w:w w:val="95"/>
        </w:rPr>
      </w:r>
      <w:r>
        <w:rPr/>
        <w:t>术，夯实公司在用户访问量、用户黏性及技术方面的核心竞争优势，促进公司可持续健康发展。</w:t>
      </w:r>
    </w:p>
    <w:p>
      <w:pPr>
        <w:pStyle w:val="BodyText"/>
        <w:spacing w:line="290" w:lineRule="auto" w:before="46"/>
        <w:ind w:left="532" w:right="105"/>
        <w:jc w:val="left"/>
      </w:pPr>
      <w:r>
        <w:rPr/>
        <w:t>（</w:t>
      </w:r>
      <w:r>
        <w:rPr>
          <w:rFonts w:ascii="Times New Roman" w:hAnsi="Times New Roman" w:cs="Times New Roman" w:eastAsia="Times New Roman" w:hint="default"/>
        </w:rPr>
        <w:t>4</w:t>
      </w:r>
      <w:r>
        <w:rPr/>
        <w:t>）政策法律风险</w:t>
      </w:r>
      <w:r>
        <w:rPr>
          <w:w w:val="99"/>
        </w:rPr>
        <w:t> </w:t>
      </w:r>
      <w:r>
        <w:rPr>
          <w:w w:val="95"/>
        </w:rPr>
        <w:t>目前，互联网金融还处于发展初期，随着互联网金融发展的进一步深入，将会面临过去不曾遇到过的</w:t>
      </w:r>
      <w:r>
        <w:rPr/>
      </w:r>
    </w:p>
    <w:p>
      <w:pPr>
        <w:pStyle w:val="BodyText"/>
        <w:spacing w:line="273" w:lineRule="auto" w:before="0"/>
        <w:ind w:right="192"/>
        <w:jc w:val="both"/>
      </w:pPr>
      <w:r>
        <w:rPr>
          <w:w w:val="95"/>
        </w:rPr>
        <w:t>法律及监管等方面的问题，虽然目前有《银行法》、《证券法》、《保险法》等法律及相应的监管措施，</w:t>
      </w:r>
      <w:r>
        <w:rPr>
          <w:spacing w:val="61"/>
          <w:w w:val="95"/>
        </w:rPr>
        <w:t> </w:t>
      </w:r>
      <w:r>
        <w:rPr>
          <w:spacing w:val="61"/>
          <w:w w:val="95"/>
        </w:rPr>
      </w:r>
      <w:r>
        <w:rPr>
          <w:w w:val="95"/>
        </w:rPr>
        <w:t>但这些法律和监管措施主要针对传统金融业。随着金融领域创新层出不穷，对于政策及法律尚未明确的领</w:t>
      </w:r>
      <w:r>
        <w:rPr>
          <w:spacing w:val="40"/>
          <w:w w:val="95"/>
        </w:rPr>
        <w:t> </w:t>
      </w:r>
      <w:r>
        <w:rPr>
          <w:spacing w:val="40"/>
          <w:w w:val="95"/>
        </w:rPr>
      </w:r>
      <w:r>
        <w:rPr/>
        <w:t>域，或将面临潜在的政策法律风险。</w:t>
      </w:r>
    </w:p>
    <w:p>
      <w:pPr>
        <w:pStyle w:val="BodyText"/>
        <w:spacing w:line="273" w:lineRule="auto" w:before="48"/>
        <w:ind w:right="105" w:firstLine="420"/>
        <w:jc w:val="left"/>
      </w:pPr>
      <w:r>
        <w:rPr>
          <w:w w:val="95"/>
        </w:rPr>
        <w:t>应对措施：公司积极跟踪和研究行业相关政策及变化，严格按照法律法规开展公司业务，同时，也积</w:t>
      </w:r>
      <w:r>
        <w:rPr>
          <w:spacing w:val="-96"/>
          <w:w w:val="95"/>
        </w:rPr>
        <w:t> </w:t>
      </w:r>
      <w:r>
        <w:rPr>
          <w:spacing w:val="-96"/>
          <w:w w:val="95"/>
        </w:rPr>
      </w:r>
      <w:r>
        <w:rPr/>
        <w:t>极把握新的机遇，努力实现公司一站式金融服务的战略目标。</w:t>
      </w:r>
    </w:p>
    <w:p>
      <w:pPr>
        <w:spacing w:after="0" w:line="273" w:lineRule="auto"/>
        <w:jc w:val="left"/>
        <w:sectPr>
          <w:pgSz w:w="11910" w:h="16840"/>
          <w:pgMar w:header="776" w:footer="978" w:top="1100" w:bottom="116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1"/>
        <w:spacing w:line="240" w:lineRule="auto"/>
        <w:ind w:left="3552" w:right="3652"/>
        <w:jc w:val="center"/>
        <w:rPr>
          <w:b w:val="0"/>
          <w:bCs w:val="0"/>
        </w:rPr>
      </w:pPr>
      <w:bookmarkStart w:name="_TOC_250006" w:id="4"/>
      <w:r>
        <w:rPr/>
        <w:t>第四节</w:t>
      </w:r>
      <w:r>
        <w:rPr>
          <w:spacing w:val="-10"/>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105"/>
        <w:jc w:val="left"/>
        <w:rPr>
          <w:b w:val="0"/>
          <w:bCs w:val="0"/>
        </w:rPr>
      </w:pPr>
      <w:r>
        <w:rPr/>
        <w:t>一、管理层讨论与分析</w:t>
      </w:r>
      <w:r>
        <w:rPr>
          <w:b w:val="0"/>
          <w:bCs w:val="0"/>
        </w:rPr>
      </w:r>
    </w:p>
    <w:p>
      <w:pPr>
        <w:spacing w:line="590" w:lineRule="atLeast" w:before="24"/>
        <w:ind w:left="532" w:right="105"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、报告期内主要业务回顾</w:t>
      </w:r>
      <w:r>
        <w:rPr>
          <w:rFonts w:ascii="宋体" w:hAnsi="宋体" w:cs="宋体" w:eastAsia="宋体" w:hint="default"/>
          <w:b/>
          <w:bCs/>
          <w:w w:val="99"/>
          <w:sz w:val="21"/>
          <w:szCs w:val="21"/>
        </w:rPr>
        <w:t> </w:t>
      </w:r>
      <w:r>
        <w:rPr>
          <w:rFonts w:ascii="宋体" w:hAnsi="宋体" w:cs="宋体" w:eastAsia="宋体" w:hint="default"/>
          <w:w w:val="95"/>
          <w:sz w:val="21"/>
          <w:szCs w:val="21"/>
        </w:rPr>
        <w:t>报告期内，世界经济形势错综复杂，经济前景不确定性增加，国内经济进入转型调整新常态，面临新</w:t>
      </w:r>
      <w:r>
        <w:rPr>
          <w:rFonts w:ascii="宋体" w:hAnsi="宋体" w:cs="宋体" w:eastAsia="宋体" w:hint="default"/>
          <w:sz w:val="21"/>
          <w:szCs w:val="21"/>
        </w:rPr>
      </w:r>
    </w:p>
    <w:p>
      <w:pPr>
        <w:pStyle w:val="BodyText"/>
        <w:spacing w:line="273" w:lineRule="auto" w:before="37"/>
        <w:ind w:right="105"/>
        <w:jc w:val="left"/>
      </w:pPr>
      <w:r>
        <w:rPr/>
        <w:t>压力，国内资本市场2014年上半年总体持续低迷，下半年逐渐回暖，市场持续活跃，市场交易规模大幅增</w:t>
      </w:r>
      <w:r>
        <w:rPr>
          <w:w w:val="99"/>
        </w:rPr>
        <w:t> </w:t>
      </w:r>
      <w:r>
        <w:rPr/>
        <w:t>长。面对复杂多变的新形势、新压力和新机遇，公司全体员工齐心协力，紧紧围绕实现一站式互联网金融</w:t>
      </w:r>
      <w:r>
        <w:rPr>
          <w:w w:val="99"/>
        </w:rPr>
        <w:t> </w:t>
      </w:r>
      <w:r>
        <w:rPr/>
        <w:t>服务的整体战略目标，积极抓住机遇，努力克服困难，认真扎实工作，全面落实2014年度工作计划，进一</w:t>
      </w:r>
      <w:r>
        <w:rPr>
          <w:w w:val="99"/>
        </w:rPr>
        <w:t> </w:t>
      </w:r>
      <w:r>
        <w:rPr/>
        <w:t>步加强战略投入，进一步加强大平台的完善和持续优化升级工作，进一步加大研发力度，进一步做好互联</w:t>
      </w:r>
      <w:r>
        <w:rPr>
          <w:w w:val="99"/>
        </w:rPr>
        <w:t> </w:t>
      </w:r>
      <w:r>
        <w:rPr>
          <w:spacing w:val="-3"/>
        </w:rPr>
        <w:t>网金融电子商务平台的完善和创新，积极探索服务链外延式延伸机会，进一步巩固和提升公司核心竞争力，</w:t>
      </w:r>
      <w:r>
        <w:rPr>
          <w:w w:val="99"/>
        </w:rPr>
        <w:t> </w:t>
      </w:r>
      <w:r>
        <w:rPr/>
        <w:t>为公司未来可持续健康发展打下坚实的基础。</w:t>
      </w:r>
    </w:p>
    <w:p>
      <w:pPr>
        <w:pStyle w:val="BodyText"/>
        <w:spacing w:line="273" w:lineRule="auto" w:before="48"/>
        <w:ind w:right="212" w:firstLine="420"/>
        <w:jc w:val="both"/>
      </w:pPr>
      <w:r>
        <w:rPr>
          <w:w w:val="95"/>
        </w:rPr>
        <w:t>报告期内，公司积极抓住互联网金融服务行业蓬勃发展，及国内资本市场持续回暖活跃带来的发展机</w:t>
      </w:r>
      <w:r>
        <w:rPr>
          <w:w w:val="99"/>
        </w:rPr>
        <w:t> </w:t>
      </w:r>
      <w:r>
        <w:rPr>
          <w:w w:val="95"/>
        </w:rPr>
        <w:t>遇，坚持以用户为中心，全力做好互联网基金第三方销售服务业务，进一步丰富上线产品，不断拓展服务</w:t>
      </w:r>
      <w:r>
        <w:rPr>
          <w:spacing w:val="39"/>
          <w:w w:val="95"/>
        </w:rPr>
        <w:t> </w:t>
      </w:r>
      <w:r>
        <w:rPr>
          <w:spacing w:val="39"/>
          <w:w w:val="95"/>
        </w:rPr>
      </w:r>
      <w:r>
        <w:rPr>
          <w:w w:val="95"/>
        </w:rPr>
        <w:t>范围，持续加强产品和服务创新，提升服务能力，进一步完善交易服务等平台服务功能，不断提升服务质</w:t>
      </w:r>
      <w:r>
        <w:rPr>
          <w:spacing w:val="41"/>
          <w:w w:val="95"/>
        </w:rPr>
        <w:t> </w:t>
      </w:r>
      <w:r>
        <w:rPr>
          <w:spacing w:val="41"/>
          <w:w w:val="95"/>
        </w:rPr>
      </w:r>
      <w:r>
        <w:rPr>
          <w:w w:val="95"/>
        </w:rPr>
        <w:t>量和水平，持续提升用户体验。报告期内，公司互联网基金第三方销售服务业务实现了快速发展，公司互</w:t>
      </w:r>
      <w:r>
        <w:rPr>
          <w:spacing w:val="41"/>
          <w:w w:val="95"/>
        </w:rPr>
        <w:t> </w:t>
      </w:r>
      <w:r>
        <w:rPr>
          <w:spacing w:val="41"/>
          <w:w w:val="95"/>
        </w:rPr>
      </w:r>
      <w:r>
        <w:rPr/>
        <w:t>联网金融电子商务平台基金销售额大幅增长，互联网金融电子商务服务业务收入实现大幅增长。</w:t>
      </w:r>
    </w:p>
    <w:p>
      <w:pPr>
        <w:pStyle w:val="BodyText"/>
        <w:spacing w:line="273" w:lineRule="auto" w:before="46"/>
        <w:ind w:right="212" w:firstLine="420"/>
        <w:jc w:val="both"/>
      </w:pPr>
      <w:r>
        <w:rPr>
          <w:w w:val="95"/>
        </w:rPr>
        <w:t>报告期内，公司进一步加强了金融数据服务业务的发展，进一步加强了海量财经数据库和海量金融数</w:t>
      </w:r>
      <w:r>
        <w:rPr>
          <w:w w:val="99"/>
        </w:rPr>
        <w:t> </w:t>
      </w:r>
      <w:r>
        <w:rPr>
          <w:w w:val="95"/>
        </w:rPr>
        <w:t>据库的建设和完善工作，进一步提升了数据处理和响应能力，进一步加大了金融终端平台，特别是移动终</w:t>
      </w:r>
      <w:r>
        <w:rPr>
          <w:spacing w:val="37"/>
          <w:w w:val="95"/>
        </w:rPr>
        <w:t> </w:t>
      </w:r>
      <w:r>
        <w:rPr>
          <w:spacing w:val="37"/>
          <w:w w:val="95"/>
        </w:rPr>
      </w:r>
      <w:r>
        <w:rPr>
          <w:w w:val="95"/>
        </w:rPr>
        <w:t>端平台的研发和创新力度，开发和完善了移动端的交易服务等功能，进一步加强了机构终端产品的升级完</w:t>
      </w:r>
      <w:r>
        <w:rPr>
          <w:spacing w:val="37"/>
          <w:w w:val="95"/>
        </w:rPr>
        <w:t> </w:t>
      </w:r>
      <w:r>
        <w:rPr>
          <w:spacing w:val="37"/>
          <w:w w:val="95"/>
        </w:rPr>
      </w:r>
      <w:r>
        <w:rPr>
          <w:w w:val="95"/>
        </w:rPr>
        <w:t>善和推广工作，进一步提升了服务能力和市场竞争力。报告期内，受宏观经济形势和业务推广统筹安排等</w:t>
      </w:r>
      <w:r>
        <w:rPr>
          <w:spacing w:val="40"/>
          <w:w w:val="95"/>
        </w:rPr>
        <w:t> </w:t>
      </w:r>
      <w:r>
        <w:rPr>
          <w:spacing w:val="40"/>
          <w:w w:val="95"/>
        </w:rPr>
      </w:r>
      <w:r>
        <w:rPr/>
        <w:t>因素影响，公司互联网广告服务业务出现一定幅度下滑。</w:t>
      </w:r>
    </w:p>
    <w:p>
      <w:pPr>
        <w:pStyle w:val="BodyText"/>
        <w:spacing w:line="273" w:lineRule="auto" w:before="48"/>
        <w:ind w:right="212" w:firstLine="420"/>
        <w:jc w:val="both"/>
      </w:pPr>
      <w:r>
        <w:rPr>
          <w:w w:val="95"/>
        </w:rPr>
        <w:t>报告期内，公司进一步加强募投项目管理工作，做好三个已完成的募投项目的后续维护工作；积极做</w:t>
      </w:r>
      <w:r>
        <w:rPr>
          <w:w w:val="99"/>
        </w:rPr>
        <w:t> </w:t>
      </w:r>
      <w:r>
        <w:rPr>
          <w:w w:val="95"/>
        </w:rPr>
        <w:t>好金融数据机构服务平台系统项目的实施和完善工作；终止了研发基地和金融信息服务中心项目，并完成</w:t>
      </w:r>
      <w:r>
        <w:rPr>
          <w:spacing w:val="40"/>
          <w:w w:val="95"/>
        </w:rPr>
        <w:t> </w:t>
      </w:r>
      <w:r>
        <w:rPr>
          <w:spacing w:val="40"/>
          <w:w w:val="95"/>
        </w:rPr>
      </w:r>
      <w:r>
        <w:rPr/>
        <w:t>了以自有资金置换已投入超募资金的相关工作。</w:t>
      </w:r>
    </w:p>
    <w:p>
      <w:pPr>
        <w:pStyle w:val="BodyText"/>
        <w:spacing w:line="273" w:lineRule="auto" w:before="48"/>
        <w:ind w:right="212" w:firstLine="420"/>
        <w:jc w:val="both"/>
      </w:pPr>
      <w:r>
        <w:rPr>
          <w:w w:val="95"/>
        </w:rPr>
        <w:t>报告期内，公司进一步加强了财务管理工作，加强了资金管理和风险控制；进一步加强了人力资源管</w:t>
      </w:r>
      <w:r>
        <w:rPr>
          <w:w w:val="99"/>
        </w:rPr>
        <w:t> </w:t>
      </w:r>
      <w:r>
        <w:rPr>
          <w:w w:val="95"/>
        </w:rPr>
        <w:t>理工作，积极进行人才储备，进一步完善激励机制，推出了新一期的股权激励计划，同时，公司进一步加</w:t>
      </w:r>
      <w:r>
        <w:rPr>
          <w:spacing w:val="39"/>
          <w:w w:val="95"/>
        </w:rPr>
        <w:t> </w:t>
      </w:r>
      <w:r>
        <w:rPr>
          <w:spacing w:val="39"/>
          <w:w w:val="95"/>
        </w:rPr>
      </w:r>
      <w:r>
        <w:rPr/>
        <w:t>强企业文化建设，进一步增强了企业活力和凝聚力，提升了市场竞争力。</w:t>
      </w:r>
    </w:p>
    <w:p>
      <w:pPr>
        <w:pStyle w:val="BodyText"/>
        <w:spacing w:line="273" w:lineRule="auto" w:before="46"/>
        <w:ind w:right="296" w:firstLine="420"/>
        <w:jc w:val="both"/>
      </w:pPr>
      <w:r>
        <w:rPr>
          <w:w w:val="95"/>
        </w:rPr>
        <w:t>报告期内，公司实现营业收入612,007,004.55元，比上年同期增长146.31%，实现归属于上市公司股</w:t>
      </w:r>
      <w:r>
        <w:rPr>
          <w:spacing w:val="-85"/>
          <w:w w:val="95"/>
        </w:rPr>
        <w:t> </w:t>
      </w:r>
      <w:r>
        <w:rPr>
          <w:spacing w:val="-85"/>
          <w:w w:val="95"/>
        </w:rPr>
      </w:r>
      <w:r>
        <w:rPr/>
        <w:t>东的净利润165,723,821.57元，比上年同期增长3,213.59%。</w:t>
      </w:r>
    </w:p>
    <w:p>
      <w:pPr>
        <w:spacing w:line="240" w:lineRule="auto" w:before="9"/>
        <w:rPr>
          <w:rFonts w:ascii="宋体" w:hAnsi="宋体" w:cs="宋体" w:eastAsia="宋体" w:hint="default"/>
          <w:sz w:val="23"/>
          <w:szCs w:val="23"/>
        </w:rPr>
      </w:pPr>
    </w:p>
    <w:p>
      <w:pPr>
        <w:pStyle w:val="Heading5"/>
        <w:spacing w:line="240" w:lineRule="auto"/>
        <w:ind w:right="105"/>
        <w:jc w:val="left"/>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05"/>
        <w:jc w:val="left"/>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7"/>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）概述</w:t>
      </w:r>
    </w:p>
    <w:p>
      <w:pPr>
        <w:pStyle w:val="BodyText"/>
        <w:spacing w:line="266" w:lineRule="auto" w:before="78"/>
        <w:ind w:right="212" w:firstLine="420"/>
        <w:jc w:val="both"/>
      </w:pPr>
      <w:r>
        <w:rPr>
          <w:rFonts w:ascii="Times New Roman" w:hAnsi="Times New Roman" w:cs="Times New Roman" w:eastAsia="Times New Roman" w:hint="default"/>
          <w:w w:val="95"/>
        </w:rPr>
        <w:t>2014</w:t>
      </w:r>
      <w:r>
        <w:rPr>
          <w:w w:val="95"/>
        </w:rPr>
        <w:t>年下半年以来，国内资本市场持续活跃，市场交易规模大幅增长，股票账户和基金账户新开户数</w:t>
      </w:r>
      <w:r>
        <w:rPr>
          <w:w w:val="99"/>
        </w:rPr>
        <w:t> </w:t>
      </w:r>
      <w:r>
        <w:rPr>
          <w:w w:val="95"/>
        </w:rPr>
        <w:t>大幅增加，受益于资本市场的持续回暖和活跃，公司基金第三方销售服务业务实现了快速发展，互联网金</w:t>
      </w:r>
      <w:r>
        <w:rPr>
          <w:spacing w:val="37"/>
          <w:w w:val="95"/>
        </w:rPr>
        <w:t> </w:t>
      </w:r>
      <w:r>
        <w:rPr>
          <w:spacing w:val="37"/>
          <w:w w:val="95"/>
        </w:rPr>
      </w:r>
      <w:r>
        <w:rPr>
          <w:w w:val="95"/>
        </w:rPr>
        <w:t>融电子商务平台基金销售规模同比大幅上升，互联网金融电子商务服务业务收入同比大幅增长，特别是第</w:t>
      </w:r>
      <w:r>
        <w:rPr>
          <w:spacing w:val="37"/>
          <w:w w:val="95"/>
        </w:rPr>
        <w:t> </w:t>
      </w:r>
      <w:r>
        <w:rPr>
          <w:spacing w:val="37"/>
          <w:w w:val="95"/>
        </w:rPr>
      </w:r>
      <w:r>
        <w:rPr>
          <w:w w:val="95"/>
        </w:rPr>
        <w:t>四季度基金销售规模和收入增加更为明显。受</w:t>
      </w:r>
      <w:r>
        <w:rPr>
          <w:rFonts w:ascii="Times New Roman" w:hAnsi="Times New Roman" w:cs="Times New Roman" w:eastAsia="Times New Roman" w:hint="default"/>
          <w:w w:val="95"/>
        </w:rPr>
        <w:t>2013</w:t>
      </w:r>
      <w:r>
        <w:rPr>
          <w:w w:val="95"/>
        </w:rPr>
        <w:t>年及</w:t>
      </w:r>
      <w:r>
        <w:rPr>
          <w:rFonts w:ascii="Times New Roman" w:hAnsi="Times New Roman" w:cs="Times New Roman" w:eastAsia="Times New Roman" w:hint="default"/>
          <w:w w:val="95"/>
        </w:rPr>
        <w:t>2014</w:t>
      </w:r>
      <w:r>
        <w:rPr>
          <w:w w:val="95"/>
        </w:rPr>
        <w:t>年度预收收入持续增长的影响，</w:t>
      </w:r>
      <w:r>
        <w:rPr>
          <w:rFonts w:ascii="Times New Roman" w:hAnsi="Times New Roman" w:cs="Times New Roman" w:eastAsia="Times New Roman" w:hint="default"/>
          <w:w w:val="95"/>
        </w:rPr>
        <w:t>2014</w:t>
      </w:r>
      <w:r>
        <w:rPr>
          <w:w w:val="95"/>
        </w:rPr>
        <w:t>年度确认</w:t>
      </w:r>
      <w:r>
        <w:rPr/>
      </w:r>
    </w:p>
    <w:p>
      <w:pPr>
        <w:spacing w:after="0" w:line="266" w:lineRule="auto"/>
        <w:jc w:val="both"/>
        <w:sectPr>
          <w:footerReference w:type="default" r:id="rId14"/>
          <w:pgSz w:w="11910" w:h="16840"/>
          <w:pgMar w:footer="978" w:header="776" w:top="1100" w:bottom="1160" w:left="1020" w:right="920"/>
          <w:pgNumType w:start="10"/>
        </w:sectPr>
      </w:pPr>
    </w:p>
    <w:p>
      <w:pPr>
        <w:spacing w:line="240" w:lineRule="auto" w:before="12"/>
        <w:rPr>
          <w:rFonts w:ascii="宋体" w:hAnsi="宋体" w:cs="宋体" w:eastAsia="宋体" w:hint="default"/>
          <w:sz w:val="20"/>
          <w:szCs w:val="20"/>
        </w:rPr>
      </w:pPr>
    </w:p>
    <w:p>
      <w:pPr>
        <w:pStyle w:val="BodyText"/>
        <w:spacing w:line="256" w:lineRule="auto" w:before="34"/>
        <w:ind w:right="215"/>
        <w:jc w:val="both"/>
      </w:pPr>
      <w:r>
        <w:rPr>
          <w:w w:val="95"/>
        </w:rPr>
        <w:t>的金融数据服务业务收入同比大幅增长。受经济形势和公司业务统筹安排等影响，</w:t>
      </w:r>
      <w:r>
        <w:rPr>
          <w:rFonts w:ascii="Times New Roman" w:hAnsi="Times New Roman" w:cs="Times New Roman" w:eastAsia="Times New Roman" w:hint="default"/>
          <w:w w:val="95"/>
        </w:rPr>
        <w:t>2014</w:t>
      </w:r>
      <w:r>
        <w:rPr>
          <w:w w:val="95"/>
        </w:rPr>
        <w:t>年度公司互联网广</w:t>
      </w:r>
      <w:r>
        <w:rPr>
          <w:spacing w:val="37"/>
          <w:w w:val="95"/>
        </w:rPr>
        <w:t> </w:t>
      </w:r>
      <w:r>
        <w:rPr>
          <w:spacing w:val="37"/>
          <w:w w:val="95"/>
        </w:rPr>
      </w:r>
      <w:r>
        <w:rPr>
          <w:w w:val="95"/>
        </w:rPr>
        <w:t>告服务业务收入同比出现一定幅度下降。综合以上主要业务收入增减变动的影响，</w:t>
      </w:r>
      <w:r>
        <w:rPr>
          <w:rFonts w:ascii="Times New Roman" w:hAnsi="Times New Roman" w:cs="Times New Roman" w:eastAsia="Times New Roman" w:hint="default"/>
          <w:w w:val="95"/>
        </w:rPr>
        <w:t>2014</w:t>
      </w:r>
      <w:r>
        <w:rPr>
          <w:w w:val="95"/>
        </w:rPr>
        <w:t>年度公司营业总收</w:t>
      </w:r>
      <w:r>
        <w:rPr>
          <w:spacing w:val="37"/>
          <w:w w:val="95"/>
        </w:rPr>
        <w:t> </w:t>
      </w:r>
      <w:r>
        <w:rPr>
          <w:spacing w:val="37"/>
          <w:w w:val="95"/>
        </w:rPr>
      </w:r>
      <w:r>
        <w:rPr/>
        <w:t>入同比大幅增长。</w:t>
      </w:r>
    </w:p>
    <w:p>
      <w:pPr>
        <w:pStyle w:val="BodyText"/>
        <w:spacing w:line="273" w:lineRule="auto" w:before="61"/>
        <w:ind w:right="105" w:firstLine="420"/>
        <w:jc w:val="left"/>
      </w:pPr>
      <w:r>
        <w:rPr/>
        <w:t>2014年度，公司立足于一站式互联网金融服务平台的战略定位，继续加强战略投入,</w:t>
      </w:r>
      <w:r>
        <w:rPr>
          <w:spacing w:val="-19"/>
        </w:rPr>
        <w:t> </w:t>
      </w:r>
      <w:r>
        <w:rPr/>
        <w:t>相关成本及费用</w:t>
      </w:r>
      <w:r>
        <w:rPr>
          <w:w w:val="99"/>
        </w:rPr>
        <w:t> </w:t>
      </w:r>
      <w:r>
        <w:rPr>
          <w:spacing w:val="-3"/>
        </w:rPr>
        <w:t>开支同比增幅较大。其中公司金融电子商务服务业务成本、相关数据成本、网络服务成本、邮电通讯成本、</w:t>
      </w:r>
      <w:r>
        <w:rPr>
          <w:w w:val="99"/>
        </w:rPr>
        <w:t> </w:t>
      </w:r>
      <w:r>
        <w:rPr/>
        <w:t>职工薪酬等相关成本、费用开支同比大幅增长，租赁费等也有一定幅度增长。受公司营业收入大幅增长影</w:t>
      </w:r>
      <w:r>
        <w:rPr>
          <w:w w:val="99"/>
        </w:rPr>
        <w:t> </w:t>
      </w:r>
      <w:r>
        <w:rPr/>
        <w:t>响，2014年度，公司营业税金及附加同比大幅增长。同时，公司积极加强资金管理，2014年度，公司财务</w:t>
      </w:r>
      <w:r>
        <w:rPr>
          <w:w w:val="99"/>
        </w:rPr>
        <w:t> </w:t>
      </w:r>
      <w:r>
        <w:rPr/>
        <w:t>费用实现同比大幅下降。综合以上主要成本、费用增减变动因素的影响，2014年度公司营业总成本同比大</w:t>
      </w:r>
      <w:r>
        <w:rPr>
          <w:w w:val="99"/>
        </w:rPr>
        <w:t> </w:t>
      </w:r>
      <w:r>
        <w:rPr/>
        <w:t>幅增长。</w:t>
      </w:r>
    </w:p>
    <w:p>
      <w:pPr>
        <w:pStyle w:val="BodyText"/>
        <w:spacing w:line="273" w:lineRule="auto" w:before="48"/>
        <w:ind w:right="105" w:firstLine="420"/>
        <w:jc w:val="left"/>
      </w:pPr>
      <w:r>
        <w:rPr>
          <w:w w:val="95"/>
        </w:rPr>
        <w:t>由于营业总收入同比增长幅度大于营业总成本同比增长幅度，2014年度，公司实现的归属于上市公司</w:t>
      </w:r>
      <w:r>
        <w:rPr>
          <w:w w:val="99"/>
        </w:rPr>
        <w:t> </w:t>
      </w:r>
      <w:r>
        <w:rPr/>
        <w:t>股东的净利润，同比实现大幅增长。</w:t>
      </w:r>
    </w:p>
    <w:p>
      <w:pPr>
        <w:spacing w:line="240" w:lineRule="auto" w:before="12"/>
        <w:rPr>
          <w:rFonts w:ascii="宋体" w:hAnsi="宋体" w:cs="宋体" w:eastAsia="宋体" w:hint="default"/>
          <w:sz w:val="20"/>
          <w:szCs w:val="20"/>
        </w:rPr>
      </w:pPr>
    </w:p>
    <w:p>
      <w:pPr>
        <w:spacing w:before="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）报告期利润构成或利润来源发生重大变动的说明</w:t>
      </w:r>
    </w:p>
    <w:p>
      <w:pPr>
        <w:spacing w:before="103"/>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3"/>
          <w:szCs w:val="23"/>
        </w:rPr>
      </w:pPr>
    </w:p>
    <w:p>
      <w:pPr>
        <w:spacing w:before="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）收入</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612,007,004.55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248,474,867.84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146.31%</w:t>
            </w:r>
          </w:p>
        </w:tc>
      </w:tr>
    </w:tbl>
    <w:p>
      <w:pPr>
        <w:spacing w:before="50"/>
        <w:ind w:left="112" w:right="105" w:firstLine="0"/>
        <w:jc w:val="left"/>
        <w:rPr>
          <w:rFonts w:ascii="宋体" w:hAnsi="宋体" w:cs="宋体" w:eastAsia="宋体" w:hint="default"/>
          <w:sz w:val="18"/>
          <w:szCs w:val="18"/>
        </w:rPr>
      </w:pPr>
      <w:r>
        <w:rPr>
          <w:rFonts w:ascii="宋体" w:hAnsi="宋体" w:cs="宋体" w:eastAsia="宋体" w:hint="default"/>
          <w:sz w:val="18"/>
          <w:szCs w:val="18"/>
        </w:rPr>
        <w:t>驱动收入变化的因素</w:t>
      </w:r>
    </w:p>
    <w:p>
      <w:pPr>
        <w:pStyle w:val="BodyText"/>
        <w:spacing w:line="240" w:lineRule="auto" w:before="92"/>
        <w:ind w:left="532" w:right="105"/>
        <w:jc w:val="left"/>
      </w:pPr>
      <w:r>
        <w:rPr/>
        <w:t>详见本章节（第四节</w:t>
      </w:r>
      <w:r>
        <w:rPr>
          <w:spacing w:val="-21"/>
        </w:rPr>
        <w:t> </w:t>
      </w:r>
      <w:r>
        <w:rPr/>
        <w:t>董事会报告）</w:t>
      </w:r>
      <w:r>
        <w:rPr>
          <w:rFonts w:ascii="Times New Roman" w:hAnsi="Times New Roman" w:cs="Times New Roman" w:eastAsia="Times New Roman" w:hint="default"/>
        </w:rPr>
        <w:t>2</w:t>
      </w:r>
      <w:r>
        <w:rPr/>
        <w:t>、报告期内主要经营情况中（</w:t>
      </w:r>
      <w:r>
        <w:rPr>
          <w:rFonts w:ascii="Times New Roman" w:hAnsi="Times New Roman" w:cs="Times New Roman" w:eastAsia="Times New Roman" w:hint="default"/>
        </w:rPr>
        <w:t>1</w:t>
      </w:r>
      <w:r>
        <w:rPr/>
        <w:t>）主营业务分析概述。</w:t>
      </w:r>
    </w:p>
    <w:p>
      <w:pPr>
        <w:spacing w:before="85"/>
        <w:ind w:left="112" w:right="105"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40" w:lineRule="auto" w:before="117"/>
        <w:ind w:left="112" w:right="7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 公司重大的在手订单情况</w:t>
      </w:r>
    </w:p>
    <w:p>
      <w:pPr>
        <w:spacing w:line="340" w:lineRule="auto" w:before="39"/>
        <w:ind w:left="112" w:right="8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数量分散的订单情况</w:t>
      </w:r>
    </w:p>
    <w:p>
      <w:pPr>
        <w:spacing w:line="338" w:lineRule="auto" w:before="41"/>
        <w:ind w:left="112" w:right="5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公司报告期内产品或服务发生重大变化或调整有关情况</w:t>
      </w:r>
    </w:p>
    <w:p>
      <w:pPr>
        <w:spacing w:before="43"/>
        <w:ind w:left="11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9"/>
          <w:szCs w:val="19"/>
        </w:rPr>
      </w:pPr>
    </w:p>
    <w:p>
      <w:pPr>
        <w:spacing w:before="44"/>
        <w:ind w:left="11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）成本</w:t>
      </w:r>
    </w:p>
    <w:p>
      <w:pPr>
        <w:spacing w:before="103"/>
        <w:ind w:left="0" w:right="2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信息技术服务成本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5" w:right="0"/>
              <w:jc w:val="left"/>
              <w:rPr>
                <w:rFonts w:ascii="Times New Roman" w:hAnsi="Times New Roman" w:cs="Times New Roman" w:eastAsia="Times New Roman" w:hint="default"/>
                <w:sz w:val="18"/>
                <w:szCs w:val="18"/>
              </w:rPr>
            </w:pPr>
            <w:r>
              <w:rPr>
                <w:rFonts w:ascii="Times New Roman"/>
                <w:sz w:val="18"/>
              </w:rPr>
              <w:t>148,569,133.68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7" w:right="0"/>
              <w:jc w:val="lef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89,735,083.82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6" w:right="0"/>
              <w:jc w:val="lef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7" w:right="0"/>
              <w:jc w:val="left"/>
              <w:rPr>
                <w:rFonts w:ascii="Times New Roman" w:hAnsi="Times New Roman" w:cs="Times New Roman" w:eastAsia="Times New Roman" w:hint="default"/>
                <w:sz w:val="18"/>
                <w:szCs w:val="18"/>
              </w:rPr>
            </w:pPr>
            <w:r>
              <w:rPr>
                <w:rFonts w:ascii="Times New Roman"/>
                <w:sz w:val="18"/>
              </w:rPr>
              <w:t>65.56%</w:t>
            </w:r>
          </w:p>
        </w:tc>
      </w:tr>
    </w:tbl>
    <w:p>
      <w:pPr>
        <w:spacing w:before="51"/>
        <w:ind w:left="11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）费用</w:t>
      </w:r>
    </w:p>
    <w:p>
      <w:pPr>
        <w:spacing w:before="101"/>
        <w:ind w:left="0" w:right="2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93"/>
        <w:gridCol w:w="1275"/>
        <w:gridCol w:w="1276"/>
        <w:gridCol w:w="1025"/>
        <w:gridCol w:w="5173"/>
      </w:tblGrid>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51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center"/>
              <w:rPr>
                <w:rFonts w:ascii="Times New Roman" w:hAnsi="Times New Roman" w:cs="Times New Roman" w:eastAsia="Times New Roman" w:hint="default"/>
                <w:sz w:val="18"/>
                <w:szCs w:val="18"/>
              </w:rPr>
            </w:pPr>
            <w:r>
              <w:rPr>
                <w:rFonts w:ascii="Times New Roman"/>
                <w:sz w:val="18"/>
              </w:rPr>
              <w:t>115,249,744.46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110,894,625.98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3.93%</w:t>
            </w:r>
          </w:p>
        </w:tc>
        <w:tc>
          <w:tcPr>
            <w:tcW w:w="5173"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183,892,483.26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84,464,034.61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117.72%</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公司进一步增加投入，相应的职工薪酬、租赁费等支出较上年同 期增长幅度较大。</w:t>
            </w:r>
          </w:p>
        </w:tc>
      </w:tr>
    </w:tbl>
    <w:p>
      <w:pPr>
        <w:spacing w:after="0" w:line="316" w:lineRule="auto"/>
        <w:jc w:val="left"/>
        <w:rPr>
          <w:rFonts w:ascii="宋体" w:hAnsi="宋体" w:cs="宋体" w:eastAsia="宋体" w:hint="default"/>
          <w:sz w:val="18"/>
          <w:szCs w:val="18"/>
        </w:rPr>
        <w:sectPr>
          <w:pgSz w:w="11910" w:h="16840"/>
          <w:pgMar w:header="776" w:footer="978" w:top="1100" w:bottom="1160" w:left="1020" w:right="920"/>
        </w:sectPr>
      </w:pPr>
    </w:p>
    <w:p>
      <w:pPr>
        <w:spacing w:line="240" w:lineRule="auto" w:before="10"/>
        <w:rPr>
          <w:rFonts w:ascii="宋体" w:hAnsi="宋体" w:cs="宋体" w:eastAsia="宋体" w:hint="default"/>
          <w:sz w:val="25"/>
          <w:szCs w:val="25"/>
        </w:rPr>
      </w:pPr>
    </w:p>
    <w:p>
      <w:pPr>
        <w:spacing w:before="44"/>
        <w:ind w:left="0" w:right="107" w:firstLine="0"/>
        <w:jc w:val="right"/>
        <w:rPr>
          <w:rFonts w:ascii="宋体" w:hAnsi="宋体" w:cs="宋体" w:eastAsia="宋体" w:hint="default"/>
          <w:sz w:val="18"/>
          <w:szCs w:val="18"/>
        </w:rPr>
      </w:pPr>
      <w:r>
        <w:rPr/>
        <w:pict>
          <v:shape style="position:absolute;margin-left:56.459999pt;margin-top:-.778308pt;width:487.85pt;height:56.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3"/>
                    <w:gridCol w:w="1275"/>
                    <w:gridCol w:w="1276"/>
                    <w:gridCol w:w="1025"/>
                    <w:gridCol w:w="5173"/>
                  </w:tblGrid>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-59,693,215.78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-41,863,667.30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42.59%</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公司进一步加强资金管理，报告期利息收入较上年同期增加较多</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31,584,938.56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-20,889.96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151,296.74%</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报告期利润总额较上年同期大幅增长，使得报告期内所得税费用 也较上年同期大幅增长。</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）研发投入</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73" w:lineRule="auto" w:before="157"/>
        <w:ind w:right="252" w:firstLine="420"/>
        <w:jc w:val="both"/>
      </w:pPr>
      <w:r>
        <w:rPr>
          <w:w w:val="95"/>
        </w:rPr>
        <w:t>公司高度重视研发创新工作，报告期内，公司进一步加大研发投入，对公司现有产品和服务进行技术</w:t>
      </w:r>
      <w:r>
        <w:rPr>
          <w:w w:val="99"/>
        </w:rPr>
        <w:t> </w:t>
      </w:r>
      <w:r>
        <w:rPr>
          <w:w w:val="95"/>
        </w:rPr>
        <w:t>升级和创新，同时，通过深入了解和把握行业发展的动向，进行前瞻性技术开发，积极做好新产品的研发</w:t>
      </w:r>
      <w:r>
        <w:rPr>
          <w:spacing w:val="39"/>
          <w:w w:val="95"/>
        </w:rPr>
        <w:t> </w:t>
      </w:r>
      <w:r>
        <w:rPr>
          <w:spacing w:val="39"/>
          <w:w w:val="95"/>
        </w:rPr>
      </w:r>
      <w:r>
        <w:rPr>
          <w:w w:val="95"/>
        </w:rPr>
        <w:t>和技术储备工作，为公司进一步丰富互联网财经金融服务大平台的产品和服务，提升互联网大平台的服务</w:t>
      </w:r>
      <w:r>
        <w:rPr>
          <w:spacing w:val="40"/>
          <w:w w:val="95"/>
        </w:rPr>
        <w:t> </w:t>
      </w:r>
      <w:r>
        <w:rPr>
          <w:spacing w:val="40"/>
          <w:w w:val="95"/>
        </w:rPr>
      </w:r>
      <w:r>
        <w:rPr>
          <w:w w:val="95"/>
        </w:rPr>
        <w:t>能力和水平，实现一站式互联网金融服务整体战略目标打下基础。报告期内，公司新增软件著作权22项，</w:t>
      </w:r>
      <w:r>
        <w:rPr>
          <w:spacing w:val="61"/>
          <w:w w:val="95"/>
        </w:rPr>
        <w:t> </w:t>
      </w:r>
      <w:r>
        <w:rPr>
          <w:spacing w:val="61"/>
          <w:w w:val="95"/>
        </w:rPr>
      </w:r>
      <w:r>
        <w:rPr/>
        <w:t>新增非专利技术4项。</w:t>
      </w:r>
    </w:p>
    <w:p>
      <w:pPr>
        <w:spacing w:before="74"/>
        <w:ind w:left="112"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77"/>
        <w:gridCol w:w="2410"/>
        <w:gridCol w:w="2126"/>
        <w:gridCol w:w="2055"/>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70,670,134.93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39,678,000.00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39,596,000.00</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17.78%</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76" w:footer="978" w:top="1100" w:bottom="1160" w:left="1020" w:right="860"/>
        </w:sectPr>
      </w:pPr>
    </w:p>
    <w:p>
      <w:pPr>
        <w:spacing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7"/>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880" w:bottom="280" w:left="1020" w:right="860"/>
          <w:cols w:num="2" w:equalWidth="0">
            <w:col w:w="4073" w:space="4845"/>
            <w:col w:w="111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77"/>
        <w:gridCol w:w="2197"/>
        <w:gridCol w:w="2197"/>
        <w:gridCol w:w="2197"/>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2,886,258,053.44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886,314,858.39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225.65%</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523,340,428.76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410,237,314.13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27.57%</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2,362,917,624.68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476,077,544.26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396.33%</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200,002,000.00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2,020,122.22%</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261,146,150.38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226,668,362.22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15.21%</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-61,144,150.38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-226,658,462.22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73.02%</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3,760,000.00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-93.62%</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13,463,345.88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33,657,117.59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-13,223,345.88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-29,897,117.59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55.77%</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2,287,808,498.66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219,518,948.45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942.19%</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73" w:lineRule="auto" w:before="78"/>
        <w:ind w:right="0" w:firstLine="525"/>
        <w:jc w:val="left"/>
      </w:pPr>
      <w:r>
        <w:rPr/>
        <w:t>报告期内，公司经营活动现金流入量较上年同期增加</w:t>
      </w:r>
      <w:r>
        <w:rPr>
          <w:spacing w:val="-42"/>
        </w:rPr>
        <w:t> </w:t>
      </w:r>
      <w:r>
        <w:rPr/>
        <w:t>225.65%,主要因为：基金第三方销售服务业务</w:t>
      </w:r>
      <w:r>
        <w:rPr>
          <w:w w:val="99"/>
        </w:rPr>
        <w:t> </w:t>
      </w:r>
      <w:r>
        <w:rPr/>
        <w:t>收入、代理买卖证券收到的现金净额及金融数据服务业务预收收入增加。</w:t>
      </w:r>
    </w:p>
    <w:p>
      <w:pPr>
        <w:pStyle w:val="BodyText"/>
        <w:spacing w:line="240" w:lineRule="auto" w:before="46"/>
        <w:ind w:left="638" w:right="0"/>
        <w:jc w:val="left"/>
      </w:pPr>
      <w:r>
        <w:rPr/>
        <w:t>报告期内，公司经营活动现金净流量较上年同期增加</w:t>
      </w:r>
      <w:r>
        <w:rPr>
          <w:spacing w:val="-39"/>
        </w:rPr>
        <w:t> </w:t>
      </w:r>
      <w:r>
        <w:rPr/>
        <w:t>396.33%,主要因为：本报告期经营活动现金流</w:t>
      </w:r>
    </w:p>
    <w:p>
      <w:pPr>
        <w:spacing w:after="0" w:line="240" w:lineRule="auto"/>
        <w:jc w:val="left"/>
        <w:sectPr>
          <w:type w:val="continuous"/>
          <w:pgSz w:w="11910" w:h="16840"/>
          <w:pgMar w:top="880" w:bottom="280" w:left="1020" w:right="860"/>
        </w:sectPr>
      </w:pPr>
    </w:p>
    <w:p>
      <w:pPr>
        <w:spacing w:line="240" w:lineRule="auto" w:before="12"/>
        <w:rPr>
          <w:rFonts w:ascii="宋体" w:hAnsi="宋体" w:cs="宋体" w:eastAsia="宋体" w:hint="default"/>
          <w:sz w:val="20"/>
          <w:szCs w:val="20"/>
        </w:rPr>
      </w:pPr>
    </w:p>
    <w:p>
      <w:pPr>
        <w:pStyle w:val="BodyText"/>
        <w:spacing w:line="307" w:lineRule="auto" w:before="34"/>
        <w:ind w:left="638" w:right="105" w:hanging="526"/>
        <w:jc w:val="left"/>
      </w:pPr>
      <w:r>
        <w:rPr/>
        <w:t>入远大于经营活动现金流出。</w:t>
      </w:r>
      <w:r>
        <w:rPr>
          <w:w w:val="99"/>
        </w:rPr>
        <w:t> </w:t>
      </w:r>
      <w:r>
        <w:rPr>
          <w:spacing w:val="2"/>
          <w:w w:val="95"/>
        </w:rPr>
        <w:t>报告期内，投资活动现金流入量较上年同期大幅增加，主要因为：本报告期内收回了兴业银行企业</w:t>
      </w:r>
      <w:r>
        <w:rPr>
          <w:spacing w:val="2"/>
        </w:rPr>
      </w:r>
    </w:p>
    <w:p>
      <w:pPr>
        <w:pStyle w:val="BodyText"/>
        <w:spacing w:line="253" w:lineRule="exact" w:before="0"/>
        <w:ind w:right="105"/>
        <w:jc w:val="left"/>
      </w:pPr>
      <w:r>
        <w:rPr/>
        <w:t>金融客户人民币结构性存款。</w:t>
      </w:r>
    </w:p>
    <w:p>
      <w:pPr>
        <w:pStyle w:val="BodyText"/>
        <w:spacing w:line="273" w:lineRule="auto" w:before="78"/>
        <w:ind w:right="105" w:firstLine="525"/>
        <w:jc w:val="left"/>
      </w:pPr>
      <w:r>
        <w:rPr>
          <w:spacing w:val="2"/>
          <w:w w:val="95"/>
        </w:rPr>
        <w:t>报告期内，投资活动现金净流量较上年同期增加，主要因为：本报告期投资活动现金流入量较上年</w:t>
      </w:r>
      <w:r>
        <w:rPr>
          <w:w w:val="99"/>
        </w:rPr>
        <w:t> </w:t>
      </w:r>
      <w:r>
        <w:rPr/>
        <w:t>同期大幅增加。</w:t>
      </w:r>
    </w:p>
    <w:p>
      <w:pPr>
        <w:pStyle w:val="BodyText"/>
        <w:spacing w:line="307" w:lineRule="auto" w:before="48"/>
        <w:ind w:left="638" w:right="107"/>
        <w:jc w:val="left"/>
      </w:pPr>
      <w:r>
        <w:rPr>
          <w:spacing w:val="-3"/>
        </w:rPr>
        <w:t>报告期内，筹资活动现金流出量较上年同期减少</w:t>
      </w:r>
      <w:r>
        <w:rPr>
          <w:spacing w:val="-61"/>
        </w:rPr>
        <w:t> </w:t>
      </w:r>
      <w:r>
        <w:rPr>
          <w:spacing w:val="-5"/>
        </w:rPr>
        <w:t>60%，主要因为：本报告期现金分红较上年同期减少。</w:t>
      </w:r>
      <w:r>
        <w:rPr>
          <w:w w:val="99"/>
        </w:rPr>
        <w:t> </w:t>
      </w:r>
      <w:r>
        <w:rPr>
          <w:spacing w:val="2"/>
        </w:rPr>
        <w:t>报告期内，筹资活动产生的现金流量净额较上年同期增加，主要因为：本报告期筹资活动现金流出</w:t>
      </w:r>
    </w:p>
    <w:p>
      <w:pPr>
        <w:pStyle w:val="BodyText"/>
        <w:spacing w:line="253" w:lineRule="exact" w:before="0"/>
        <w:ind w:right="105"/>
        <w:jc w:val="left"/>
      </w:pPr>
      <w:r>
        <w:rPr/>
        <w:t>较上年同期大幅减少。</w:t>
      </w:r>
    </w:p>
    <w:p>
      <w:pPr>
        <w:pStyle w:val="BodyText"/>
        <w:spacing w:line="273" w:lineRule="auto" w:before="78"/>
        <w:ind w:right="105" w:firstLine="525"/>
        <w:jc w:val="left"/>
      </w:pPr>
      <w:r>
        <w:rPr>
          <w:spacing w:val="2"/>
          <w:w w:val="95"/>
        </w:rPr>
        <w:t>报告期内，现金及现金等价物增加额较上年同期大幅度增加，主要因为：本报告期经营活动产生的</w:t>
      </w:r>
      <w:r>
        <w:rPr>
          <w:w w:val="99"/>
        </w:rPr>
        <w:t> </w:t>
      </w:r>
      <w:r>
        <w:rPr/>
        <w:t>现金流量净额较上年同期大幅增加。</w:t>
      </w:r>
    </w:p>
    <w:p>
      <w:pPr>
        <w:spacing w:before="153"/>
        <w:ind w:left="112" w:right="105"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line="338" w:lineRule="auto" w:before="117"/>
        <w:ind w:left="112" w:right="74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8</w:t>
      </w:r>
      <w:r>
        <w:rPr>
          <w:rFonts w:ascii="宋体" w:hAnsi="宋体" w:cs="宋体" w:eastAsia="宋体" w:hint="default"/>
          <w:sz w:val="18"/>
          <w:szCs w:val="18"/>
        </w:rPr>
        <w:t>）公司主要供应商、客户情况 公司主要销售客户情况</w:t>
      </w: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141,458,536.36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23.11%</w:t>
            </w:r>
          </w:p>
        </w:tc>
      </w:tr>
    </w:tbl>
    <w:p>
      <w:pPr>
        <w:spacing w:before="50"/>
        <w:ind w:left="112" w:right="105"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40" w:lineRule="auto" w:before="103"/>
        <w:ind w:left="112" w:right="8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公司主要供应商情况</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71,069,336.52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42.32%</w:t>
            </w:r>
          </w:p>
        </w:tc>
      </w:tr>
    </w:tbl>
    <w:p>
      <w:pPr>
        <w:spacing w:before="50"/>
        <w:ind w:left="112" w:right="105" w:firstLine="0"/>
        <w:jc w:val="left"/>
        <w:rPr>
          <w:rFonts w:ascii="宋体" w:hAnsi="宋体" w:cs="宋体" w:eastAsia="宋体" w:hint="default"/>
          <w:sz w:val="18"/>
          <w:szCs w:val="18"/>
        </w:rPr>
      </w:pPr>
      <w:r>
        <w:rPr>
          <w:rFonts w:ascii="宋体" w:hAnsi="宋体" w:cs="宋体" w:eastAsia="宋体" w:hint="default"/>
          <w:sz w:val="18"/>
          <w:szCs w:val="18"/>
        </w:rPr>
        <w:t>向单一供应商采购比例超过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3"/>
        <w:ind w:left="11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338" w:lineRule="auto" w:before="103"/>
        <w:ind w:left="112" w:right="4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）公司未来发展与规划延续至报告期的说明 首次公开发行招股说明书中披露的未来发展与规划在本报告期的实施情况</w:t>
      </w:r>
    </w:p>
    <w:p>
      <w:pPr>
        <w:spacing w:line="340" w:lineRule="auto" w:before="43"/>
        <w:ind w:left="112" w:right="5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前期披露的发展战略和经营计划在报告期内的进展情况</w:t>
      </w:r>
    </w:p>
    <w:p>
      <w:pPr>
        <w:pStyle w:val="BodyText"/>
        <w:spacing w:line="273" w:lineRule="auto" w:before="14"/>
        <w:ind w:right="212" w:firstLine="420"/>
        <w:jc w:val="both"/>
      </w:pPr>
      <w:r>
        <w:rPr>
          <w:w w:val="95"/>
        </w:rPr>
        <w:t>报告期内，公司立足于实现一站式互联网金融服务的整体战略定位，进一步加强战略性投入，加大软</w:t>
      </w:r>
      <w:r>
        <w:rPr>
          <w:w w:val="99"/>
        </w:rPr>
        <w:t> </w:t>
      </w:r>
      <w:r>
        <w:rPr>
          <w:w w:val="95"/>
        </w:rPr>
        <w:t>硬件的投入，加强互联网大平台的完善、优化和创新研发工作，加强互联网金融电子商务平台的完善和创</w:t>
      </w:r>
      <w:r>
        <w:rPr>
          <w:spacing w:val="37"/>
          <w:w w:val="95"/>
        </w:rPr>
        <w:t> </w:t>
      </w:r>
      <w:r>
        <w:rPr>
          <w:spacing w:val="37"/>
          <w:w w:val="95"/>
        </w:rPr>
      </w:r>
      <w:r>
        <w:rPr>
          <w:w w:val="95"/>
        </w:rPr>
        <w:t>新工作，进一步拓宽了大平台的服务范围，进一步提升了大平台的服务能力、服务质量和服务水平，用户</w:t>
      </w:r>
      <w:r>
        <w:rPr>
          <w:spacing w:val="39"/>
          <w:w w:val="95"/>
        </w:rPr>
        <w:t> </w:t>
      </w:r>
      <w:r>
        <w:rPr>
          <w:spacing w:val="39"/>
          <w:w w:val="95"/>
        </w:rPr>
      </w:r>
      <w:r>
        <w:rPr>
          <w:w w:val="95"/>
        </w:rPr>
        <w:t>体验和用户粘性得到进一步提升，同时，公司积极寻求外延式发展机会，努力提升公司国际化服务的能力</w:t>
      </w:r>
      <w:r>
        <w:rPr>
          <w:spacing w:val="37"/>
          <w:w w:val="95"/>
        </w:rPr>
        <w:t> </w:t>
      </w:r>
      <w:r>
        <w:rPr>
          <w:spacing w:val="37"/>
          <w:w w:val="95"/>
        </w:rPr>
      </w:r>
      <w:r>
        <w:rPr/>
        <w:t>和水平，夯实公司长远可持续健康发展的基础。</w:t>
      </w:r>
    </w:p>
    <w:p>
      <w:pPr>
        <w:pStyle w:val="BodyText"/>
        <w:spacing w:line="273" w:lineRule="auto" w:before="48"/>
        <w:ind w:right="192" w:firstLine="420"/>
        <w:jc w:val="both"/>
      </w:pPr>
      <w:r>
        <w:rPr>
          <w:w w:val="95"/>
        </w:rPr>
        <w:t>报告期内，互联网金融服务行业蓬勃发展，公司积极抓住机遇，进一步加强金融电子商务服务业务的</w:t>
      </w:r>
      <w:r>
        <w:rPr>
          <w:w w:val="99"/>
        </w:rPr>
        <w:t> </w:t>
      </w:r>
      <w:r>
        <w:rPr>
          <w:w w:val="95"/>
        </w:rPr>
        <w:t>推进工作，全力做好基金第三方销售服务业务，进一步加强产品和服务推广力度，进一步丰富产品线，加</w:t>
      </w:r>
      <w:r>
        <w:rPr>
          <w:spacing w:val="41"/>
          <w:w w:val="95"/>
        </w:rPr>
        <w:t> </w:t>
      </w:r>
      <w:r>
        <w:rPr>
          <w:spacing w:val="41"/>
          <w:w w:val="95"/>
        </w:rPr>
      </w:r>
      <w:r>
        <w:rPr>
          <w:w w:val="95"/>
        </w:rPr>
        <w:t>强服务创新，开发和完善了“活期宝”互转等功能，推出了“指数宝”，进一步拓展和延伸了服务范围，</w:t>
      </w:r>
      <w:r>
        <w:rPr>
          <w:spacing w:val="61"/>
          <w:w w:val="95"/>
        </w:rPr>
        <w:t> </w:t>
      </w:r>
      <w:r>
        <w:rPr>
          <w:spacing w:val="61"/>
          <w:w w:val="95"/>
        </w:rPr>
      </w:r>
      <w:r>
        <w:rPr>
          <w:spacing w:val="-3"/>
        </w:rPr>
        <w:t>提升了服务质量和水平，提升了用户体验和用户粘性，截至</w:t>
      </w:r>
      <w:r>
        <w:rPr>
          <w:spacing w:val="-51"/>
        </w:rPr>
        <w:t> </w:t>
      </w:r>
      <w:r>
        <w:rPr/>
        <w:t>2014</w:t>
      </w:r>
      <w:r>
        <w:rPr>
          <w:spacing w:val="-55"/>
        </w:rPr>
        <w:t> </w:t>
      </w:r>
      <w:r>
        <w:rPr/>
        <w:t>年</w:t>
      </w:r>
      <w:r>
        <w:rPr>
          <w:spacing w:val="-54"/>
        </w:rPr>
        <w:t> </w:t>
      </w:r>
      <w:r>
        <w:rPr/>
        <w:t>12</w:t>
      </w:r>
      <w:r>
        <w:rPr>
          <w:spacing w:val="-55"/>
        </w:rPr>
        <w:t> </w:t>
      </w:r>
      <w:r>
        <w:rPr>
          <w:spacing w:val="-6"/>
        </w:rPr>
        <w:t>月底，共上线</w:t>
      </w:r>
      <w:r>
        <w:rPr>
          <w:spacing w:val="-51"/>
        </w:rPr>
        <w:t> </w:t>
      </w:r>
      <w:r>
        <w:rPr/>
        <w:t>83</w:t>
      </w:r>
      <w:r>
        <w:rPr>
          <w:spacing w:val="-55"/>
        </w:rPr>
        <w:t> </w:t>
      </w:r>
      <w:r>
        <w:rPr>
          <w:spacing w:val="-3"/>
        </w:rPr>
        <w:t>家基金公司，2051</w:t>
      </w:r>
    </w:p>
    <w:p>
      <w:pPr>
        <w:pStyle w:val="BodyText"/>
        <w:spacing w:line="240" w:lineRule="auto"/>
        <w:ind w:right="105"/>
        <w:jc w:val="left"/>
      </w:pPr>
      <w:r>
        <w:rPr>
          <w:spacing w:val="-2"/>
        </w:rPr>
        <w:t>支基金产品。报告期内，公司互联网金融电子商务平台共计实现基金认申购及定期定额申购交易</w:t>
      </w:r>
      <w:r>
        <w:rPr>
          <w:spacing w:val="-65"/>
        </w:rPr>
        <w:t> </w:t>
      </w:r>
      <w:r>
        <w:rPr/>
        <w:t>11366406</w:t>
      </w:r>
    </w:p>
    <w:p>
      <w:pPr>
        <w:pStyle w:val="BodyText"/>
        <w:spacing w:line="273" w:lineRule="auto" w:before="37"/>
        <w:ind w:right="105"/>
        <w:jc w:val="left"/>
      </w:pPr>
      <w:r>
        <w:rPr>
          <w:spacing w:val="-12"/>
          <w:w w:val="99"/>
        </w:rPr>
        <w:t>笔，基金销售额为</w:t>
      </w:r>
      <w:r>
        <w:rPr>
          <w:spacing w:val="-46"/>
          <w:w w:val="99"/>
        </w:rPr>
        <w:t> </w:t>
      </w:r>
      <w:r>
        <w:rPr>
          <w:w w:val="99"/>
        </w:rPr>
        <w:t>2,297.67</w:t>
      </w:r>
      <w:r>
        <w:rPr>
          <w:spacing w:val="-48"/>
          <w:w w:val="99"/>
        </w:rPr>
        <w:t> </w:t>
      </w:r>
      <w:r>
        <w:rPr>
          <w:spacing w:val="-10"/>
          <w:w w:val="99"/>
        </w:rPr>
        <w:t>亿元。其中，“活期宝”共计实现申购交易</w:t>
      </w:r>
      <w:r>
        <w:rPr>
          <w:spacing w:val="-46"/>
          <w:w w:val="99"/>
        </w:rPr>
        <w:t> </w:t>
      </w:r>
      <w:r>
        <w:rPr>
          <w:w w:val="99"/>
        </w:rPr>
        <w:t>6622653</w:t>
      </w:r>
      <w:r>
        <w:rPr>
          <w:spacing w:val="-50"/>
          <w:w w:val="99"/>
        </w:rPr>
        <w:t> </w:t>
      </w:r>
      <w:r>
        <w:rPr>
          <w:w w:val="99"/>
        </w:rPr>
        <w:t>笔,销售额累计为</w:t>
      </w:r>
      <w:r>
        <w:rPr>
          <w:spacing w:val="-46"/>
          <w:w w:val="99"/>
        </w:rPr>
        <w:t> </w:t>
      </w:r>
      <w:r>
        <w:rPr>
          <w:w w:val="99"/>
        </w:rPr>
        <w:t>1,760.47</w:t>
      </w:r>
      <w:r>
        <w:rPr>
          <w:spacing w:val="-103"/>
          <w:w w:val="99"/>
        </w:rPr>
        <w:t> </w:t>
      </w:r>
      <w:r>
        <w:rPr>
          <w:spacing w:val="-103"/>
          <w:w w:val="99"/>
        </w:rPr>
      </w:r>
      <w:r>
        <w:rPr/>
        <w:t>亿元。</w:t>
      </w:r>
    </w:p>
    <w:p>
      <w:pPr>
        <w:pStyle w:val="BodyText"/>
        <w:spacing w:line="240" w:lineRule="auto" w:before="48"/>
        <w:ind w:left="532" w:right="105"/>
        <w:jc w:val="left"/>
      </w:pPr>
      <w:r>
        <w:rPr/>
        <w:t>报告期内，公司加强金融数据服务业务的发展，进一步加强了海量财经数据库和海量金融数据库的建</w:t>
      </w:r>
    </w:p>
    <w:p>
      <w:pPr>
        <w:spacing w:after="0" w:line="240" w:lineRule="auto"/>
        <w:jc w:val="left"/>
        <w:sectPr>
          <w:footerReference w:type="default" r:id="rId15"/>
          <w:pgSz w:w="11910" w:h="16840"/>
          <w:pgMar w:footer="978" w:header="776" w:top="1100" w:bottom="1160" w:left="1020" w:right="920"/>
          <w:pgNumType w:start="13"/>
        </w:sectPr>
      </w:pPr>
    </w:p>
    <w:p>
      <w:pPr>
        <w:spacing w:line="240" w:lineRule="auto" w:before="12"/>
        <w:rPr>
          <w:rFonts w:ascii="宋体" w:hAnsi="宋体" w:cs="宋体" w:eastAsia="宋体" w:hint="default"/>
          <w:sz w:val="20"/>
          <w:szCs w:val="20"/>
        </w:rPr>
      </w:pPr>
    </w:p>
    <w:p>
      <w:pPr>
        <w:pStyle w:val="BodyText"/>
        <w:spacing w:line="273" w:lineRule="auto" w:before="34"/>
        <w:ind w:right="0"/>
        <w:jc w:val="left"/>
      </w:pPr>
      <w:r>
        <w:rPr/>
        <w:t>设和完善工作，进一步提升了数据处理和响应能力；进一步加强免费</w:t>
      </w:r>
      <w:r>
        <w:rPr>
          <w:spacing w:val="-57"/>
        </w:rPr>
        <w:t> </w:t>
      </w:r>
      <w:r>
        <w:rPr/>
        <w:t>PC</w:t>
      </w:r>
      <w:r>
        <w:rPr>
          <w:spacing w:val="-59"/>
        </w:rPr>
        <w:t> </w:t>
      </w:r>
      <w:r>
        <w:rPr/>
        <w:t>端、收费端产品，特别是移动端</w:t>
      </w:r>
      <w:r>
        <w:rPr>
          <w:w w:val="99"/>
        </w:rPr>
        <w:t> </w:t>
      </w:r>
      <w:r>
        <w:rPr>
          <w:w w:val="95"/>
        </w:rPr>
        <w:t>产品的研发升级，增加了美股和港股实时行情等服务，开发和完善了移动端的交易服务等功能；进一步加</w:t>
      </w:r>
      <w:r>
        <w:rPr>
          <w:spacing w:val="37"/>
          <w:w w:val="95"/>
        </w:rPr>
        <w:t> </w:t>
      </w:r>
      <w:r>
        <w:rPr>
          <w:spacing w:val="37"/>
          <w:w w:val="95"/>
        </w:rPr>
      </w:r>
      <w:r>
        <w:rPr>
          <w:w w:val="95"/>
        </w:rPr>
        <w:t>强了机构金融数据终端“Choice 金融终端”的研发和创新工作，进一步加强了产品核心功能的开发和优化</w:t>
      </w:r>
      <w:r>
        <w:rPr>
          <w:spacing w:val="36"/>
          <w:w w:val="95"/>
        </w:rPr>
        <w:t> </w:t>
      </w:r>
      <w:r>
        <w:rPr>
          <w:spacing w:val="36"/>
          <w:w w:val="95"/>
        </w:rPr>
      </w:r>
      <w:r>
        <w:rPr>
          <w:w w:val="95"/>
        </w:rPr>
        <w:t>工作，进一步提升了产品质量和服务能力，同时，进一步加强了产品和服务的推广力度，产品用户规模进</w:t>
      </w:r>
      <w:r>
        <w:rPr>
          <w:spacing w:val="41"/>
          <w:w w:val="95"/>
        </w:rPr>
        <w:t> </w:t>
      </w:r>
      <w:r>
        <w:rPr>
          <w:spacing w:val="41"/>
          <w:w w:val="95"/>
        </w:rPr>
      </w:r>
      <w:r>
        <w:rPr>
          <w:w w:val="95"/>
        </w:rPr>
        <w:t>一步扩大，进一步提升了市场竞争力。报告期内，互联网广告服务业务，受宏观经济形势和公司业务推广</w:t>
      </w:r>
      <w:r>
        <w:rPr>
          <w:spacing w:val="39"/>
          <w:w w:val="95"/>
        </w:rPr>
        <w:t> </w:t>
      </w:r>
      <w:r>
        <w:rPr>
          <w:spacing w:val="39"/>
          <w:w w:val="95"/>
        </w:rPr>
      </w:r>
      <w:r>
        <w:rPr/>
        <w:t>统筹安排等影响，出现一定程度下滑。</w:t>
      </w:r>
    </w:p>
    <w:p>
      <w:pPr>
        <w:pStyle w:val="BodyText"/>
        <w:spacing w:line="307" w:lineRule="auto" w:before="46"/>
        <w:ind w:left="532" w:right="0"/>
        <w:jc w:val="left"/>
      </w:pPr>
      <w:r>
        <w:rPr/>
        <w:t>报告期内，公司品牌宣传得到进一步加强，公司品牌影响力和公司整体价值进一步提升。</w:t>
      </w:r>
      <w:r>
        <w:rPr>
          <w:w w:val="99"/>
        </w:rPr>
        <w:t> </w:t>
      </w:r>
      <w:r>
        <w:rPr>
          <w:w w:val="95"/>
        </w:rPr>
        <w:t>报告期内，公司积极做好已完成的三个募投项目的后期维护工作，进一步发挥募投项目对公司长远发</w:t>
      </w:r>
      <w:r>
        <w:rPr/>
      </w:r>
    </w:p>
    <w:p>
      <w:pPr>
        <w:pStyle w:val="BodyText"/>
        <w:spacing w:line="253" w:lineRule="exact" w:before="0"/>
        <w:ind w:right="0"/>
        <w:jc w:val="left"/>
      </w:pPr>
      <w:r>
        <w:rPr/>
        <w:t>展的积极影响。超募资金项目方面：公司进一步推进金融数据机构服务平台项目，加强产品的完善和推广</w:t>
      </w:r>
    </w:p>
    <w:p>
      <w:pPr>
        <w:pStyle w:val="BodyText"/>
        <w:spacing w:line="273" w:lineRule="auto" w:before="37"/>
        <w:ind w:right="0"/>
        <w:jc w:val="left"/>
      </w:pPr>
      <w:r>
        <w:rPr>
          <w:w w:val="95"/>
        </w:rPr>
        <w:t>工作。报告期内，公司终止了研发基地和金融信息服务中心项目，并完成了以自有资金置换已投入的超募</w:t>
      </w:r>
      <w:r>
        <w:rPr>
          <w:spacing w:val="37"/>
          <w:w w:val="95"/>
        </w:rPr>
        <w:t> </w:t>
      </w:r>
      <w:r>
        <w:rPr>
          <w:spacing w:val="37"/>
          <w:w w:val="95"/>
        </w:rPr>
      </w:r>
      <w:r>
        <w:rPr/>
        <w:t>资金相关工作。</w:t>
      </w:r>
    </w:p>
    <w:p>
      <w:pPr>
        <w:pStyle w:val="BodyText"/>
        <w:spacing w:line="273" w:lineRule="auto" w:before="48"/>
        <w:ind w:right="112" w:firstLine="420"/>
        <w:jc w:val="both"/>
      </w:pPr>
      <w:r>
        <w:rPr>
          <w:w w:val="95"/>
        </w:rPr>
        <w:t>报告期内，公司持续加强财务管理工作，加强资金管理，进一步提升了资金效益，进一步完善了内控</w:t>
      </w:r>
      <w:r>
        <w:rPr>
          <w:w w:val="99"/>
        </w:rPr>
        <w:t> </w:t>
      </w:r>
      <w:r>
        <w:rPr>
          <w:w w:val="95"/>
        </w:rPr>
        <w:t>体系，加强了风险防控，企业内部管理水平得到进一步提升。公司进一步加强人力资源管理工作，积极做</w:t>
      </w:r>
      <w:r>
        <w:rPr>
          <w:spacing w:val="41"/>
          <w:w w:val="95"/>
        </w:rPr>
        <w:t> </w:t>
      </w:r>
      <w:r>
        <w:rPr>
          <w:spacing w:val="41"/>
          <w:w w:val="95"/>
        </w:rPr>
      </w:r>
      <w:r>
        <w:rPr>
          <w:w w:val="95"/>
        </w:rPr>
        <w:t>好人才引进和储备工作，进一步完善激励机制，推出了新一期的股权激励计划，同时，公司进一步加强企</w:t>
      </w:r>
      <w:r>
        <w:rPr>
          <w:spacing w:val="39"/>
          <w:w w:val="95"/>
        </w:rPr>
        <w:t> </w:t>
      </w:r>
      <w:r>
        <w:rPr>
          <w:spacing w:val="39"/>
          <w:w w:val="95"/>
        </w:rPr>
      </w:r>
      <w:r>
        <w:rPr/>
        <w:t>业文化建设，进一步增强了员工的归属感，进一步提升了企业内部活力和凝聚力，提升了市场竞争力。</w:t>
      </w:r>
    </w:p>
    <w:p>
      <w:pPr>
        <w:pStyle w:val="BodyText"/>
        <w:spacing w:line="273" w:lineRule="auto" w:before="46"/>
        <w:ind w:right="0"/>
        <w:jc w:val="left"/>
      </w:pPr>
      <w:r>
        <w:rPr>
          <w:w w:val="95"/>
        </w:rPr>
        <w:t>报告期内，公司不断加强和完善投资者关系管理，积极做好与投资者的互动交流工作。报告期内，公司共</w:t>
      </w:r>
      <w:r>
        <w:rPr>
          <w:spacing w:val="42"/>
          <w:w w:val="95"/>
        </w:rPr>
        <w:t> </w:t>
      </w:r>
      <w:r>
        <w:rPr>
          <w:spacing w:val="42"/>
          <w:w w:val="95"/>
        </w:rPr>
      </w:r>
      <w:r>
        <w:rPr>
          <w:spacing w:val="2"/>
        </w:rPr>
        <w:t>接听投资者来电</w:t>
      </w:r>
      <w:r>
        <w:rPr>
          <w:spacing w:val="-56"/>
        </w:rPr>
        <w:t> </w:t>
      </w:r>
      <w:r>
        <w:rPr/>
        <w:t>401</w:t>
      </w:r>
      <w:r>
        <w:rPr>
          <w:spacing w:val="-58"/>
        </w:rPr>
        <w:t> </w:t>
      </w:r>
      <w:r>
        <w:rPr>
          <w:spacing w:val="2"/>
        </w:rPr>
        <w:t>个，回答深交所互动易平台投资者提问</w:t>
      </w:r>
      <w:r>
        <w:rPr>
          <w:spacing w:val="-54"/>
        </w:rPr>
        <w:t> </w:t>
      </w:r>
      <w:r>
        <w:rPr/>
        <w:t>477</w:t>
      </w:r>
      <w:r>
        <w:rPr>
          <w:spacing w:val="-58"/>
        </w:rPr>
        <w:t> </w:t>
      </w:r>
      <w:r>
        <w:rPr>
          <w:spacing w:val="2"/>
        </w:rPr>
        <w:t>个,举行网上业绩说明会、反向路演和机</w:t>
      </w:r>
    </w:p>
    <w:p>
      <w:pPr>
        <w:pStyle w:val="BodyText"/>
        <w:spacing w:line="240" w:lineRule="auto"/>
        <w:ind w:right="0"/>
        <w:jc w:val="left"/>
      </w:pPr>
      <w:r>
        <w:rPr/>
        <w:t>构投资者调研活动各</w:t>
      </w:r>
      <w:r>
        <w:rPr>
          <w:spacing w:val="-55"/>
        </w:rPr>
        <w:t> </w:t>
      </w:r>
      <w:r>
        <w:rPr/>
        <w:t>1</w:t>
      </w:r>
      <w:r>
        <w:rPr>
          <w:spacing w:val="-59"/>
        </w:rPr>
        <w:t> </w:t>
      </w:r>
      <w:r>
        <w:rPr/>
        <w:t>次。</w:t>
      </w:r>
    </w:p>
    <w:p>
      <w:pPr>
        <w:spacing w:line="240" w:lineRule="auto" w:before="13"/>
        <w:rPr>
          <w:rFonts w:ascii="宋体" w:hAnsi="宋体" w:cs="宋体" w:eastAsia="宋体" w:hint="default"/>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）报告期主营业务收入及主营业务利润的构成</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8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612,007,004.55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439,622,145.10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金融数据服务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144,705,457.83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86,723,028.65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85,596,697.67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66,669,626.60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金融电子商务服务业务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372,017,452.49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278,513,654.17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9,687,396.56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7,715,835.68</w:t>
            </w:r>
          </w:p>
        </w:tc>
      </w:tr>
    </w:tbl>
    <w:p>
      <w:pPr>
        <w:spacing w:line="240" w:lineRule="auto" w:before="5"/>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76" w:footer="978" w:top="1100" w:bottom="1160" w:left="1020" w:right="1020"/>
        </w:sectPr>
      </w:pPr>
    </w:p>
    <w:p>
      <w:pPr>
        <w:spacing w:before="44"/>
        <w:ind w:left="11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）占比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以上的产品、行业或地区情况</w:t>
      </w:r>
    </w:p>
    <w:p>
      <w:pPr>
        <w:spacing w:before="103"/>
        <w:ind w:left="11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880" w:bottom="280" w:left="1020" w:right="1020"/>
          <w:cols w:num="2" w:equalWidth="0">
            <w:col w:w="3459" w:space="5460"/>
            <w:col w:w="95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8"/>
        <w:gridCol w:w="1560"/>
        <w:gridCol w:w="1417"/>
        <w:gridCol w:w="709"/>
        <w:gridCol w:w="1276"/>
        <w:gridCol w:w="1275"/>
        <w:gridCol w:w="1066"/>
      </w:tblGrid>
      <w:tr>
        <w:trPr>
          <w:trHeight w:val="71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4" w:right="91" w:hanging="92"/>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2"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8" w:right="75"/>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bl>
    <w:p>
      <w:pPr>
        <w:spacing w:after="0" w:line="316" w:lineRule="auto"/>
        <w:jc w:val="left"/>
        <w:rPr>
          <w:rFonts w:ascii="宋体" w:hAnsi="宋体" w:cs="宋体" w:eastAsia="宋体" w:hint="default"/>
          <w:sz w:val="18"/>
          <w:szCs w:val="18"/>
        </w:rPr>
        <w:sectPr>
          <w:type w:val="continuous"/>
          <w:pgSz w:w="11910" w:h="16840"/>
          <w:pgMar w:top="88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268"/>
        <w:gridCol w:w="1560"/>
        <w:gridCol w:w="1417"/>
        <w:gridCol w:w="709"/>
        <w:gridCol w:w="1276"/>
        <w:gridCol w:w="1275"/>
        <w:gridCol w:w="1066"/>
      </w:tblGrid>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612,007,004.55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148,569,133.68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center"/>
              <w:rPr>
                <w:rFonts w:ascii="Times New Roman" w:hAnsi="Times New Roman" w:cs="Times New Roman" w:eastAsia="Times New Roman" w:hint="default"/>
                <w:sz w:val="18"/>
                <w:szCs w:val="18"/>
              </w:rPr>
            </w:pPr>
            <w:r>
              <w:rPr>
                <w:rFonts w:ascii="Times New Roman"/>
                <w:sz w:val="18"/>
              </w:rPr>
              <w:t>75.72%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146.31%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11.84%</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金融数据服务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144,705,457.83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56,622,795.70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center"/>
              <w:rPr>
                <w:rFonts w:ascii="Times New Roman" w:hAnsi="Times New Roman" w:cs="Times New Roman" w:eastAsia="Times New Roman" w:hint="default"/>
                <w:sz w:val="18"/>
                <w:szCs w:val="18"/>
              </w:rPr>
            </w:pPr>
            <w:r>
              <w:rPr>
                <w:rFonts w:ascii="Times New Roman"/>
                <w:sz w:val="18"/>
              </w:rPr>
              <w:t>60.87%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105.57%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29.97%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85,596,697.67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17,632,627.16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center"/>
              <w:rPr>
                <w:rFonts w:ascii="Times New Roman" w:hAnsi="Times New Roman" w:cs="Times New Roman" w:eastAsia="Times New Roman" w:hint="default"/>
                <w:sz w:val="18"/>
                <w:szCs w:val="18"/>
              </w:rPr>
            </w:pPr>
            <w:r>
              <w:rPr>
                <w:rFonts w:ascii="Times New Roman"/>
                <w:sz w:val="18"/>
              </w:rPr>
              <w:t>79.40%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w w:val="95"/>
                <w:sz w:val="18"/>
              </w:rPr>
              <w:t>-14.11%</w:t>
            </w:r>
            <w:r>
              <w:rPr>
                <w:rFonts w:ascii="Times New Roman"/>
                <w:spacing w:val="-1"/>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金融电子商务服务业务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372,017,452.49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72,481,529.53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center"/>
              <w:rPr>
                <w:rFonts w:ascii="Times New Roman" w:hAnsi="Times New Roman" w:cs="Times New Roman" w:eastAsia="Times New Roman" w:hint="default"/>
                <w:sz w:val="18"/>
                <w:szCs w:val="18"/>
              </w:rPr>
            </w:pPr>
            <w:r>
              <w:rPr>
                <w:rFonts w:ascii="Times New Roman"/>
                <w:sz w:val="18"/>
              </w:rPr>
              <w:t>80.52%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459.71%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9,687,396.56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1,832,181.29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center"/>
              <w:rPr>
                <w:rFonts w:ascii="Times New Roman" w:hAnsi="Times New Roman" w:cs="Times New Roman" w:eastAsia="Times New Roman" w:hint="default"/>
                <w:sz w:val="18"/>
                <w:szCs w:val="18"/>
              </w:rPr>
            </w:pPr>
            <w:r>
              <w:rPr>
                <w:rFonts w:ascii="Times New Roman"/>
                <w:sz w:val="18"/>
              </w:rPr>
              <w:t>81.09%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-19.01%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-6.06%</w:t>
            </w:r>
          </w:p>
        </w:tc>
      </w:tr>
    </w:tbl>
    <w:p>
      <w:pPr>
        <w:spacing w:before="51"/>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122"/>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1"/>
        <w:rPr>
          <w:rFonts w:ascii="宋体" w:hAnsi="宋体" w:cs="宋体" w:eastAsia="宋体" w:hint="default"/>
          <w:b/>
          <w:bCs/>
          <w:sz w:val="23"/>
          <w:szCs w:val="23"/>
        </w:rPr>
      </w:pPr>
    </w:p>
    <w:p>
      <w:pPr>
        <w:spacing w:before="44"/>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）资产项目重大变动情况</w:t>
      </w:r>
    </w:p>
    <w:p>
      <w:pPr>
        <w:spacing w:before="103"/>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467"/>
        <w:gridCol w:w="1231"/>
        <w:gridCol w:w="1418"/>
        <w:gridCol w:w="1276"/>
        <w:gridCol w:w="1037"/>
        <w:gridCol w:w="1869"/>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8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9"/>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037" w:type="dxa"/>
            <w:vMerge/>
            <w:tcBorders>
              <w:left w:val="single" w:sz="4" w:space="0" w:color="000000"/>
              <w:bottom w:val="single" w:sz="4" w:space="0" w:color="000000"/>
              <w:right w:val="single" w:sz="4" w:space="0" w:color="000000"/>
            </w:tcBorders>
            <w:shd w:val="clear" w:color="auto" w:fill="D3D3D3"/>
          </w:tcPr>
          <w:p>
            <w:pPr/>
          </w:p>
        </w:tc>
        <w:tc>
          <w:tcPr>
            <w:tcW w:w="1869"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4,028,492,765.76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1,746,259,555.95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71.78%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w:t>
            </w:r>
          </w:p>
        </w:tc>
        <w:tc>
          <w:tcPr>
            <w:tcW w:w="1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103,973,294.49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49,190,109.27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-0.34%</w:t>
            </w:r>
          </w:p>
        </w:tc>
        <w:tc>
          <w:tcPr>
            <w:tcW w:w="1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48,481,119.22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51,847,286.09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2.13%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w:t>
            </w:r>
          </w:p>
        </w:tc>
        <w:tc>
          <w:tcPr>
            <w:tcW w:w="1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1,556,989,021.19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209,371,845.25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w:t>
            </w:r>
          </w:p>
        </w:tc>
        <w:tc>
          <w:tcPr>
            <w:tcW w:w="1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220,295,702.13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8.22%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-4.66%</w:t>
            </w:r>
          </w:p>
        </w:tc>
        <w:tc>
          <w:tcPr>
            <w:tcW w:w="1869"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）负债项目重大变动情况</w:t>
      </w:r>
    </w:p>
    <w:p>
      <w:pPr>
        <w:spacing w:before="101"/>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26"/>
        <w:gridCol w:w="850"/>
        <w:gridCol w:w="1276"/>
        <w:gridCol w:w="850"/>
        <w:gridCol w:w="851"/>
        <w:gridCol w:w="3145"/>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17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1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2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40" w:right="58"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40" w:right="58"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1" w:type="dxa"/>
            <w:vMerge/>
            <w:tcBorders>
              <w:left w:val="single" w:sz="4" w:space="0" w:color="000000"/>
              <w:bottom w:val="single" w:sz="4" w:space="0" w:color="000000"/>
              <w:right w:val="single" w:sz="4" w:space="0" w:color="000000"/>
            </w:tcBorders>
            <w:shd w:val="clear" w:color="auto" w:fill="D3D3D3"/>
          </w:tcPr>
          <w:p>
            <w:pPr/>
          </w:p>
        </w:tc>
        <w:tc>
          <w:tcPr>
            <w:tcW w:w="314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137,252,963.04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97,472,800.37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-1.79%</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11,011,867.40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6,829,098.00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-0.10%</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46,779,816.70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4,480,967.65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0.58%</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4,051,570,322.77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598,874,803.34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0"/>
              <w:jc w:val="left"/>
              <w:rPr>
                <w:rFonts w:ascii="宋体" w:hAnsi="宋体" w:cs="宋体" w:eastAsia="宋体" w:hint="default"/>
                <w:sz w:val="18"/>
                <w:szCs w:val="18"/>
              </w:rPr>
            </w:pPr>
            <w:r>
              <w:rPr>
                <w:rFonts w:ascii="宋体" w:hAnsi="宋体" w:cs="宋体" w:eastAsia="宋体" w:hint="default"/>
                <w:sz w:val="18"/>
                <w:szCs w:val="18"/>
              </w:rPr>
              <w:t>报告期内，基金第三方销售服务业务实 现快速发展，代理买卖证券款增加。</w:t>
            </w:r>
          </w:p>
        </w:tc>
      </w:tr>
    </w:tbl>
    <w:p>
      <w:pPr>
        <w:spacing w:before="51"/>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）以公允价值计量的资产和负债</w:t>
      </w:r>
    </w:p>
    <w:p>
      <w:pPr>
        <w:spacing w:before="103"/>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宋体" w:hAnsi="宋体" w:cs="宋体" w:eastAsia="宋体" w:hint="default"/>
          <w:spacing w:val="8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843"/>
        <w:gridCol w:w="798"/>
        <w:gridCol w:w="1154"/>
        <w:gridCol w:w="1450"/>
        <w:gridCol w:w="858"/>
        <w:gridCol w:w="1154"/>
        <w:gridCol w:w="1154"/>
        <w:gridCol w:w="1154"/>
      </w:tblGrid>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1" w:right="3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0" w:right="89"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3" w:right="61"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0" w:hRule="exact"/>
        </w:trPr>
        <w:tc>
          <w:tcPr>
            <w:tcW w:w="956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after="0" w:line="240" w:lineRule="auto"/>
        <w:jc w:val="left"/>
        <w:rPr>
          <w:rFonts w:ascii="宋体" w:hAnsi="宋体" w:cs="宋体" w:eastAsia="宋体" w:hint="default"/>
          <w:sz w:val="18"/>
          <w:szCs w:val="18"/>
        </w:rPr>
        <w:sectPr>
          <w:pgSz w:w="11910" w:h="16840"/>
          <w:pgMar w:header="776" w:footer="978" w:top="1100" w:bottom="1160" w:left="1020" w:right="980"/>
        </w:sectPr>
      </w:pPr>
    </w:p>
    <w:p>
      <w:pPr>
        <w:spacing w:line="240" w:lineRule="auto" w:before="8"/>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1843"/>
        <w:gridCol w:w="798"/>
        <w:gridCol w:w="1154"/>
        <w:gridCol w:w="1450"/>
        <w:gridCol w:w="858"/>
        <w:gridCol w:w="1154"/>
        <w:gridCol w:w="1154"/>
        <w:gridCol w:w="1154"/>
      </w:tblGrid>
      <w:tr>
        <w:trPr>
          <w:trHeight w:val="1338"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0"/>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 </w:t>
            </w:r>
            <w:r>
              <w:rPr>
                <w:rFonts w:ascii="宋体" w:hAnsi="宋体" w:cs="宋体" w:eastAsia="宋体" w:hint="default"/>
                <w:spacing w:val="-2"/>
                <w:sz w:val="18"/>
                <w:szCs w:val="18"/>
              </w:rPr>
              <w:t>金融资产（不含衍生金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融资产）</w:t>
            </w:r>
          </w:p>
        </w:tc>
        <w:tc>
          <w:tcPr>
            <w:tcW w:w="79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79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88,200,000.00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88,200,000.00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88,200,000.00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88,200,000.00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9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9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88,200,000.00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88,200,000.00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4"/>
        <w:rPr>
          <w:rFonts w:ascii="宋体" w:hAnsi="宋体" w:cs="宋体" w:eastAsia="宋体" w:hint="default"/>
          <w:sz w:val="19"/>
          <w:szCs w:val="19"/>
        </w:rPr>
      </w:pPr>
    </w:p>
    <w:p>
      <w:pPr>
        <w:pStyle w:val="Heading5"/>
        <w:spacing w:line="240" w:lineRule="auto" w:before="34"/>
        <w:ind w:left="132" w:right="0"/>
        <w:jc w:val="left"/>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6"/>
        <w:rPr>
          <w:rFonts w:ascii="宋体" w:hAnsi="宋体" w:cs="宋体" w:eastAsia="宋体" w:hint="default"/>
          <w:b/>
          <w:bCs/>
          <w:sz w:val="26"/>
          <w:szCs w:val="26"/>
        </w:rPr>
      </w:pPr>
    </w:p>
    <w:p>
      <w:pPr>
        <w:spacing w:before="0"/>
        <w:ind w:left="1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left="132" w:right="0"/>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76" w:footer="978" w:top="1100" w:bottom="1160" w:left="1000" w:right="560"/>
        </w:sectPr>
      </w:pPr>
    </w:p>
    <w:p>
      <w:pPr>
        <w:spacing w:before="44"/>
        <w:ind w:left="1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）对外投资情况</w:t>
      </w:r>
    </w:p>
    <w:p>
      <w:pPr>
        <w:spacing w:line="348" w:lineRule="auto" w:before="103"/>
        <w:ind w:left="1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公司报告期无对外投资。 </w:t>
      </w: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）募集资金使用情况</w:t>
      </w:r>
    </w:p>
    <w:p>
      <w:pPr>
        <w:spacing w:before="14"/>
        <w:ind w:left="1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1"/>
        <w:ind w:left="1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募集资金总体使用情况</w:t>
      </w:r>
    </w:p>
    <w:p>
      <w:pPr>
        <w:spacing w:before="103"/>
        <w:ind w:left="1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3"/>
        <w:ind w:left="13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880" w:bottom="280" w:left="1000" w:right="560"/>
          <w:cols w:num="2" w:equalWidth="0">
            <w:col w:w="2113" w:space="6625"/>
            <w:col w:w="1612"/>
          </w:cols>
        </w:sectPr>
      </w:pP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4100"/>
        <w:gridCol w:w="5468"/>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130,455.45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57,935.03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46,214.82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46,214.82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35.43%</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type w:val="continuous"/>
          <w:pgSz w:w="11910" w:h="16840"/>
          <w:pgMar w:top="880" w:bottom="280" w:left="1000" w:right="560"/>
        </w:sectPr>
      </w:pPr>
    </w:p>
    <w:p>
      <w:pPr>
        <w:spacing w:before="50"/>
        <w:ind w:left="13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募集资金承诺项目情况</w:t>
      </w:r>
    </w:p>
    <w:p>
      <w:pPr>
        <w:spacing w:before="101"/>
        <w:ind w:left="13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880" w:bottom="280" w:left="1000" w:right="560"/>
          <w:cols w:num="2" w:equalWidth="0">
            <w:col w:w="2070" w:space="6668"/>
            <w:col w:w="1612"/>
          </w:cols>
        </w:sectPr>
      </w:pP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622"/>
        <w:gridCol w:w="733"/>
        <w:gridCol w:w="797"/>
        <w:gridCol w:w="797"/>
        <w:gridCol w:w="720"/>
        <w:gridCol w:w="950"/>
        <w:gridCol w:w="715"/>
        <w:gridCol w:w="850"/>
        <w:gridCol w:w="709"/>
        <w:gridCol w:w="851"/>
        <w:gridCol w:w="567"/>
        <w:gridCol w:w="811"/>
      </w:tblGrid>
      <w:tr>
        <w:trPr>
          <w:trHeight w:val="360"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承诺投资项目和超</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是否已</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调整后投</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 w:right="0"/>
              <w:jc w:val="left"/>
              <w:rPr>
                <w:rFonts w:ascii="宋体" w:hAnsi="宋体" w:cs="宋体" w:eastAsia="宋体" w:hint="default"/>
                <w:sz w:val="18"/>
                <w:szCs w:val="18"/>
              </w:rPr>
            </w:pPr>
            <w:r>
              <w:rPr>
                <w:rFonts w:ascii="宋体" w:hAnsi="宋体" w:cs="宋体" w:eastAsia="宋体" w:hint="default"/>
                <w:sz w:val="18"/>
                <w:szCs w:val="18"/>
              </w:rPr>
              <w:t>截至期末</w:t>
            </w:r>
          </w:p>
        </w:tc>
        <w:tc>
          <w:tcPr>
            <w:tcW w:w="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 w:right="0"/>
              <w:jc w:val="left"/>
              <w:rPr>
                <w:rFonts w:ascii="宋体" w:hAnsi="宋体" w:cs="宋体" w:eastAsia="宋体" w:hint="default"/>
                <w:sz w:val="18"/>
                <w:szCs w:val="18"/>
              </w:rPr>
            </w:pPr>
            <w:r>
              <w:rPr>
                <w:rFonts w:ascii="宋体" w:hAnsi="宋体" w:cs="宋体" w:eastAsia="宋体" w:hint="default"/>
                <w:sz w:val="18"/>
                <w:szCs w:val="18"/>
              </w:rPr>
              <w:t>截至期</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项目达到</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截止报告</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是否</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项目可行</w:t>
            </w:r>
          </w:p>
        </w:tc>
      </w:tr>
    </w:tbl>
    <w:p>
      <w:pPr>
        <w:spacing w:after="0" w:line="240" w:lineRule="auto"/>
        <w:jc w:val="left"/>
        <w:rPr>
          <w:rFonts w:ascii="宋体" w:hAnsi="宋体" w:cs="宋体" w:eastAsia="宋体" w:hint="default"/>
          <w:sz w:val="18"/>
          <w:szCs w:val="18"/>
        </w:rPr>
        <w:sectPr>
          <w:type w:val="continuous"/>
          <w:pgSz w:w="11910" w:h="16840"/>
          <w:pgMar w:top="880" w:bottom="280" w:left="1000" w:right="560"/>
        </w:sectPr>
      </w:pPr>
    </w:p>
    <w:p>
      <w:pPr>
        <w:spacing w:line="240" w:lineRule="auto" w:before="11"/>
        <w:rPr>
          <w:rFonts w:ascii="Times New Roman" w:hAnsi="Times New Roman" w:cs="Times New Roman" w:eastAsia="Times New Roman" w:hint="default"/>
          <w:sz w:val="27"/>
          <w:szCs w:val="27"/>
        </w:rPr>
      </w:pPr>
      <w:r>
        <w:rPr/>
        <w:pict>
          <v:group style="position:absolute;margin-left:136.550003pt;margin-top:554.600037pt;width:424.75pt;height:181.85pt;mso-position-horizontal-relative:page;mso-position-vertical-relative:page;z-index:-625960" coordorigin="2731,11092" coordsize="8495,3637">
            <v:shape style="position:absolute;left:2731;top:11092;width:8495;height:3637" coordorigin="2731,11092" coordsize="8495,3637" path="m2731,11092l11226,11092,11226,14729,2731,14729,2731,11092xe" filled="true" fillcolor="#ffffff" stroked="false">
              <v:path arrowok="t"/>
              <v:fill type="solid"/>
            </v:shape>
            <w10:wrap type="none"/>
          </v:group>
        </w:pict>
      </w:r>
    </w:p>
    <w:tbl>
      <w:tblPr>
        <w:tblW w:w="0" w:type="auto"/>
        <w:jc w:val="left"/>
        <w:tblInd w:w="101" w:type="dxa"/>
        <w:tblLayout w:type="fixed"/>
        <w:tblCellMar>
          <w:top w:w="0" w:type="dxa"/>
          <w:left w:w="0" w:type="dxa"/>
          <w:bottom w:w="0" w:type="dxa"/>
          <w:right w:w="0" w:type="dxa"/>
        </w:tblCellMar>
        <w:tblLook w:val="01E0"/>
      </w:tblPr>
      <w:tblGrid>
        <w:gridCol w:w="1622"/>
        <w:gridCol w:w="643"/>
        <w:gridCol w:w="90"/>
        <w:gridCol w:w="797"/>
        <w:gridCol w:w="797"/>
        <w:gridCol w:w="720"/>
        <w:gridCol w:w="824"/>
        <w:gridCol w:w="126"/>
        <w:gridCol w:w="715"/>
        <w:gridCol w:w="850"/>
        <w:gridCol w:w="709"/>
        <w:gridCol w:w="851"/>
        <w:gridCol w:w="567"/>
        <w:gridCol w:w="811"/>
      </w:tblGrid>
      <w:tr>
        <w:trPr>
          <w:trHeight w:val="98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55" w:right="0"/>
              <w:jc w:val="left"/>
              <w:rPr>
                <w:rFonts w:ascii="宋体" w:hAnsi="宋体" w:cs="宋体" w:eastAsia="宋体" w:hint="default"/>
                <w:sz w:val="18"/>
                <w:szCs w:val="18"/>
              </w:rPr>
            </w:pPr>
            <w:r>
              <w:rPr>
                <w:rFonts w:ascii="宋体" w:hAnsi="宋体" w:cs="宋体" w:eastAsia="宋体" w:hint="default"/>
                <w:sz w:val="18"/>
                <w:szCs w:val="18"/>
              </w:rPr>
              <w:t>募资金投向</w:t>
            </w:r>
          </w:p>
        </w:tc>
        <w:tc>
          <w:tcPr>
            <w:tcW w:w="7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11"/>
              <w:ind w:left="63" w:right="58"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213" w:right="32" w:hanging="180"/>
              <w:jc w:val="left"/>
              <w:rPr>
                <w:rFonts w:ascii="宋体" w:hAnsi="宋体" w:cs="宋体" w:eastAsia="宋体" w:hint="default"/>
                <w:sz w:val="18"/>
                <w:szCs w:val="18"/>
              </w:rPr>
            </w:pPr>
            <w:r>
              <w:rPr>
                <w:rFonts w:ascii="宋体" w:hAnsi="宋体" w:cs="宋体" w:eastAsia="宋体" w:hint="default"/>
                <w:sz w:val="18"/>
                <w:szCs w:val="18"/>
              </w:rPr>
              <w:t>承诺投资 总额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资总额</w:t>
            </w:r>
          </w:p>
          <w:p>
            <w:pPr>
              <w:pStyle w:val="TableParagraph"/>
              <w:spacing w:line="240" w:lineRule="auto" w:before="116"/>
              <w:ind w:left="3" w:right="0"/>
              <w:jc w:val="center"/>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74" w:right="82" w:hanging="89"/>
              <w:jc w:val="left"/>
              <w:rPr>
                <w:rFonts w:ascii="宋体" w:hAnsi="宋体" w:cs="宋体" w:eastAsia="宋体" w:hint="default"/>
                <w:sz w:val="18"/>
                <w:szCs w:val="18"/>
              </w:rPr>
            </w:pPr>
            <w:r>
              <w:rPr>
                <w:rFonts w:ascii="宋体" w:hAnsi="宋体" w:cs="宋体" w:eastAsia="宋体" w:hint="default"/>
                <w:sz w:val="18"/>
                <w:szCs w:val="18"/>
              </w:rPr>
              <w:t>期投入 金额</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86" w:right="108" w:hanging="77"/>
              <w:jc w:val="left"/>
              <w:rPr>
                <w:rFonts w:ascii="Times New Roman" w:hAnsi="Times New Roman" w:cs="Times New Roman" w:eastAsia="Times New Roman" w:hint="default"/>
                <w:sz w:val="18"/>
                <w:szCs w:val="18"/>
              </w:rPr>
            </w:pPr>
            <w:r>
              <w:rPr>
                <w:rFonts w:ascii="宋体" w:hAnsi="宋体" w:cs="宋体" w:eastAsia="宋体" w:hint="default"/>
                <w:sz w:val="18"/>
                <w:szCs w:val="18"/>
              </w:rPr>
              <w:t>累计投入 金额</w:t>
            </w:r>
            <w:r>
              <w:rPr>
                <w:rFonts w:ascii="Times New Roman" w:hAnsi="Times New Roman" w:cs="Times New Roman" w:eastAsia="Times New Roman" w:hint="default"/>
                <w:sz w:val="18"/>
                <w:szCs w:val="18"/>
              </w:rPr>
              <w:t>(2)</w:t>
            </w:r>
          </w:p>
        </w:tc>
        <w:tc>
          <w:tcPr>
            <w:tcW w:w="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67" w:right="65"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末投资 进度</w:t>
            </w:r>
            <w:r>
              <w:rPr>
                <w:rFonts w:ascii="Times New Roman" w:hAnsi="Times New Roman" w:cs="Times New Roman" w:eastAsia="Times New Roman" w:hint="default"/>
                <w:sz w:val="18"/>
                <w:szCs w:val="18"/>
              </w:rPr>
              <w:t>(3)</w:t>
            </w:r>
          </w:p>
          <w:p>
            <w:pPr>
              <w:pStyle w:val="TableParagraph"/>
              <w:spacing w:line="248"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60" w:right="58"/>
              <w:jc w:val="center"/>
              <w:rPr>
                <w:rFonts w:ascii="宋体" w:hAnsi="宋体" w:cs="宋体" w:eastAsia="宋体" w:hint="default"/>
                <w:sz w:val="18"/>
                <w:szCs w:val="18"/>
              </w:rPr>
            </w:pPr>
            <w:r>
              <w:rPr>
                <w:rFonts w:ascii="宋体" w:hAnsi="宋体" w:cs="宋体" w:eastAsia="宋体" w:hint="default"/>
                <w:sz w:val="18"/>
                <w:szCs w:val="18"/>
              </w:rPr>
              <w:t>预定可使 用状态日 期</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78" w:right="78"/>
              <w:jc w:val="left"/>
              <w:rPr>
                <w:rFonts w:ascii="宋体" w:hAnsi="宋体" w:cs="宋体" w:eastAsia="宋体" w:hint="default"/>
                <w:sz w:val="18"/>
                <w:szCs w:val="18"/>
              </w:rPr>
            </w:pPr>
            <w:r>
              <w:rPr>
                <w:rFonts w:ascii="宋体" w:hAnsi="宋体" w:cs="宋体" w:eastAsia="宋体" w:hint="default"/>
                <w:sz w:val="18"/>
                <w:szCs w:val="18"/>
              </w:rPr>
              <w:t>期实现 的效益</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61" w:right="58"/>
              <w:jc w:val="center"/>
              <w:rPr>
                <w:rFonts w:ascii="宋体" w:hAnsi="宋体" w:cs="宋体" w:eastAsia="宋体" w:hint="default"/>
                <w:sz w:val="18"/>
                <w:szCs w:val="18"/>
              </w:rPr>
            </w:pPr>
            <w:r>
              <w:rPr>
                <w:rFonts w:ascii="宋体" w:hAnsi="宋体" w:cs="宋体" w:eastAsia="宋体" w:hint="default"/>
                <w:sz w:val="18"/>
                <w:szCs w:val="18"/>
              </w:rPr>
              <w:t>期末累计 实现的效 益</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97" w:right="97"/>
              <w:jc w:val="both"/>
              <w:rPr>
                <w:rFonts w:ascii="宋体" w:hAnsi="宋体" w:cs="宋体" w:eastAsia="宋体" w:hint="default"/>
                <w:sz w:val="18"/>
                <w:szCs w:val="18"/>
              </w:rPr>
            </w:pPr>
            <w:r>
              <w:rPr>
                <w:rFonts w:ascii="宋体" w:hAnsi="宋体" w:cs="宋体" w:eastAsia="宋体" w:hint="default"/>
                <w:sz w:val="18"/>
                <w:szCs w:val="18"/>
              </w:rPr>
              <w:t>达到 预计 效益</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39" w:right="39"/>
              <w:jc w:val="center"/>
              <w:rPr>
                <w:rFonts w:ascii="宋体" w:hAnsi="宋体" w:cs="宋体" w:eastAsia="宋体" w:hint="default"/>
                <w:sz w:val="18"/>
                <w:szCs w:val="18"/>
              </w:rPr>
            </w:pPr>
            <w:r>
              <w:rPr>
                <w:rFonts w:ascii="宋体" w:hAnsi="宋体" w:cs="宋体" w:eastAsia="宋体" w:hint="default"/>
                <w:sz w:val="18"/>
                <w:szCs w:val="18"/>
              </w:rPr>
              <w:t>性是否发 生重大变 化</w:t>
            </w:r>
          </w:p>
        </w:tc>
      </w:tr>
      <w:tr>
        <w:trPr>
          <w:trHeight w:val="402" w:hRule="exact"/>
        </w:trPr>
        <w:tc>
          <w:tcPr>
            <w:tcW w:w="10122"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大型网络在线平 台系统升级项目</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11,739.56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11,739.56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11,726.9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99.89%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在线金融数据服 务系统升级项目</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13,676.79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13,676.79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13,639.71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99.73%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14,325.5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43,697.71</w:t>
            </w:r>
          </w:p>
        </w:tc>
        <w:tc>
          <w:tcPr>
            <w:tcW w:w="56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基于手机端的财 经信息服务系统项 目</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4,571.89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4,571.89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7" w:right="0"/>
              <w:jc w:val="left"/>
              <w:rPr>
                <w:rFonts w:ascii="Times New Roman" w:hAnsi="Times New Roman" w:cs="Times New Roman" w:eastAsia="Times New Roman" w:hint="default"/>
                <w:sz w:val="18"/>
                <w:szCs w:val="18"/>
              </w:rPr>
            </w:pPr>
            <w:r>
              <w:rPr>
                <w:rFonts w:ascii="Times New Roman"/>
                <w:sz w:val="18"/>
              </w:rPr>
              <w:t>4,568.42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99.92%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29,988.24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29,988.24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6" w:right="0"/>
              <w:jc w:val="left"/>
              <w:rPr>
                <w:rFonts w:ascii="Times New Roman" w:hAnsi="Times New Roman" w:cs="Times New Roman" w:eastAsia="Times New Roman" w:hint="default"/>
                <w:sz w:val="18"/>
                <w:szCs w:val="18"/>
              </w:rPr>
            </w:pPr>
            <w:r>
              <w:rPr>
                <w:rFonts w:ascii="Times New Roman"/>
                <w:sz w:val="18"/>
              </w:rPr>
              <w:t>29,935.03</w:t>
            </w:r>
          </w:p>
        </w:tc>
        <w:tc>
          <w:tcPr>
            <w:tcW w:w="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14,325.5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43,697.71</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37"/>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0122"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建设研发基地与 金融信息服务中心</w:t>
            </w:r>
          </w:p>
        </w:tc>
        <w:tc>
          <w:tcPr>
            <w:tcW w:w="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46,214.82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4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东方财富金融数 据机构服务平台系 统项目</w:t>
            </w:r>
          </w:p>
        </w:tc>
        <w:tc>
          <w:tcPr>
            <w:tcW w:w="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6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增资全资子公司</w:t>
            </w:r>
          </w:p>
        </w:tc>
        <w:tc>
          <w:tcPr>
            <w:tcW w:w="733" w:type="dxa"/>
            <w:gridSpan w:val="2"/>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824" w:type="dxa"/>
            <w:tcBorders>
              <w:top w:val="single" w:sz="4" w:space="0" w:color="000000"/>
              <w:left w:val="single" w:sz="4" w:space="0" w:color="000000"/>
              <w:bottom w:val="nil" w:sz="6" w:space="0" w:color="auto"/>
              <w:right w:val="single" w:sz="4" w:space="0" w:color="000000"/>
            </w:tcBorders>
          </w:tcPr>
          <w:p>
            <w:pPr/>
          </w:p>
        </w:tc>
        <w:tc>
          <w:tcPr>
            <w:tcW w:w="841" w:type="dxa"/>
            <w:gridSpan w:val="2"/>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811" w:type="dxa"/>
            <w:vMerge w:val="restart"/>
            <w:tcBorders>
              <w:top w:val="single" w:sz="4" w:space="0" w:color="000000"/>
              <w:left w:val="single" w:sz="4" w:space="0" w:color="000000"/>
              <w:right w:val="single" w:sz="4" w:space="0" w:color="000000"/>
            </w:tcBorders>
          </w:tcPr>
          <w:p>
            <w:pPr/>
          </w:p>
        </w:tc>
      </w:tr>
      <w:tr>
        <w:trPr>
          <w:trHeight w:val="312" w:hRule="exact"/>
        </w:trPr>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上海天天基金销售</w:t>
            </w:r>
          </w:p>
        </w:tc>
        <w:tc>
          <w:tcPr>
            <w:tcW w:w="7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5,000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5,000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5,000</w:t>
            </w:r>
          </w:p>
        </w:tc>
        <w:tc>
          <w:tcPr>
            <w:tcW w:w="84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64" w:right="0"/>
              <w:jc w:val="left"/>
              <w:rPr>
                <w:rFonts w:ascii="Times New Roman" w:hAnsi="Times New Roman" w:cs="Times New Roman" w:eastAsia="Times New Roman" w:hint="default"/>
                <w:sz w:val="18"/>
                <w:szCs w:val="18"/>
              </w:rPr>
            </w:pPr>
            <w:r>
              <w:rPr>
                <w:rFonts w:ascii="Times New Roman"/>
                <w:sz w:val="18"/>
              </w:rPr>
              <w:t>100.00%</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52" w:hRule="exact"/>
        </w:trPr>
        <w:tc>
          <w:tcPr>
            <w:tcW w:w="16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33" w:type="dxa"/>
            <w:gridSpan w:val="2"/>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824" w:type="dxa"/>
            <w:tcBorders>
              <w:top w:val="nil" w:sz="6" w:space="0" w:color="auto"/>
              <w:left w:val="single" w:sz="4" w:space="0" w:color="000000"/>
              <w:bottom w:val="single" w:sz="4" w:space="0" w:color="000000"/>
              <w:right w:val="single" w:sz="4" w:space="0" w:color="000000"/>
            </w:tcBorders>
          </w:tcPr>
          <w:p>
            <w:pPr/>
          </w:p>
        </w:tc>
        <w:tc>
          <w:tcPr>
            <w:tcW w:w="841" w:type="dxa"/>
            <w:gridSpan w:val="2"/>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8"/>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1"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37"/>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48"/>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w:t>
            </w:r>
          </w:p>
        </w:tc>
        <w:tc>
          <w:tcPr>
            <w:tcW w:w="841"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337"/>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56,214.82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w:t>
            </w:r>
          </w:p>
        </w:tc>
        <w:tc>
          <w:tcPr>
            <w:tcW w:w="8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37"/>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86,203.06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39,988.24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57,935.03</w:t>
            </w:r>
          </w:p>
        </w:tc>
        <w:tc>
          <w:tcPr>
            <w:tcW w:w="8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14,325.5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center"/>
              <w:rPr>
                <w:rFonts w:ascii="Times New Roman" w:hAnsi="Times New Roman" w:cs="Times New Roman" w:eastAsia="Times New Roman" w:hint="default"/>
                <w:sz w:val="18"/>
                <w:szCs w:val="18"/>
              </w:rPr>
            </w:pPr>
            <w:r>
              <w:rPr>
                <w:rFonts w:ascii="Times New Roman"/>
                <w:sz w:val="18"/>
              </w:rPr>
              <w:t>43,697.71</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37"/>
              <w:jc w:val="right"/>
              <w:rPr>
                <w:rFonts w:ascii="Times New Roman" w:hAnsi="Times New Roman" w:cs="Times New Roman" w:eastAsia="Times New Roman" w:hint="default"/>
                <w:sz w:val="18"/>
                <w:szCs w:val="18"/>
              </w:rPr>
            </w:pPr>
            <w:r>
              <w:rPr>
                <w:rFonts w:ascii="Times New Roman"/>
                <w:sz w:val="18"/>
              </w:rPr>
              <w:t>--</w:t>
            </w:r>
          </w:p>
        </w:tc>
      </w:tr>
      <w:tr>
        <w:trPr>
          <w:trHeight w:val="358" w:hRule="exact"/>
        </w:trPr>
        <w:tc>
          <w:tcPr>
            <w:tcW w:w="1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8500" w:type="dxa"/>
            <w:gridSpan w:val="13"/>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大型网络在线平台系统升级项目已建成，其建成后为公司现有服务及其他两个募集资金投资项目提供全面平</w:t>
            </w:r>
          </w:p>
        </w:tc>
      </w:tr>
      <w:tr>
        <w:trPr>
          <w:trHeight w:val="331"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
        </w:tc>
        <w:tc>
          <w:tcPr>
            <w:tcW w:w="8500"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台支持，不单独核算投资效益。</w:t>
            </w:r>
          </w:p>
        </w:tc>
      </w:tr>
      <w:tr>
        <w:trPr>
          <w:trHeight w:val="331"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
        </w:tc>
        <w:tc>
          <w:tcPr>
            <w:tcW w:w="8500"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基于手机端的财经信息服务系统项目已建成，其建成后主要与公司现有服务及其他两个募集资金投资项目相</w:t>
            </w:r>
          </w:p>
        </w:tc>
      </w:tr>
      <w:tr>
        <w:trPr>
          <w:trHeight w:val="323"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
        </w:tc>
        <w:tc>
          <w:tcPr>
            <w:tcW w:w="8500"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结合，实现协同效应，不单独进行手机端项目收费，不单独核算投资效益。</w:t>
            </w:r>
          </w:p>
        </w:tc>
      </w:tr>
      <w:tr>
        <w:trPr>
          <w:trHeight w:val="332"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w:t>
            </w:r>
          </w:p>
        </w:tc>
        <w:tc>
          <w:tcPr>
            <w:tcW w:w="8500"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研发基地和金融信息服务中心项目，鉴于公司业务发展、项目规划要求、周边配套和整体经济低迷等原因，</w:t>
            </w:r>
          </w:p>
        </w:tc>
      </w:tr>
      <w:tr>
        <w:trPr>
          <w:trHeight w:val="317"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预计收益的情况和</w:t>
            </w:r>
          </w:p>
        </w:tc>
        <w:tc>
          <w:tcPr>
            <w:tcW w:w="8500"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项目于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日终止。</w:t>
            </w:r>
          </w:p>
        </w:tc>
      </w:tr>
      <w:tr>
        <w:trPr>
          <w:trHeight w:val="357"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1" w:lineRule="exact"/>
              <w:ind w:left="22" w:right="-30"/>
              <w:jc w:val="left"/>
              <w:rPr>
                <w:rFonts w:ascii="宋体" w:hAnsi="宋体" w:cs="宋体" w:eastAsia="宋体" w:hint="default"/>
                <w:sz w:val="18"/>
                <w:szCs w:val="18"/>
              </w:rPr>
            </w:pPr>
            <w:r>
              <w:rPr>
                <w:rFonts w:ascii="宋体" w:hAnsi="宋体" w:cs="宋体" w:eastAsia="宋体" w:hint="default"/>
                <w:sz w:val="18"/>
                <w:szCs w:val="18"/>
              </w:rPr>
              <w:t>原因（分具体项目）</w:t>
            </w:r>
          </w:p>
        </w:tc>
        <w:tc>
          <w:tcPr>
            <w:tcW w:w="8500"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受技术进步和智能终端快速发展的推动，互联网行业的发展和用户需求也不断持续快速变化，为适应互联网</w:t>
            </w:r>
          </w:p>
        </w:tc>
      </w:tr>
      <w:tr>
        <w:trPr>
          <w:trHeight w:val="312"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
        </w:tc>
        <w:tc>
          <w:tcPr>
            <w:tcW w:w="8500"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行业发展变化的新形势，东方财富金融数据机构服务平台系统项目，作为子平台，已成为公司一站式金融服</w:t>
            </w:r>
          </w:p>
        </w:tc>
      </w:tr>
      <w:tr>
        <w:trPr>
          <w:trHeight w:val="312"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
        </w:tc>
        <w:tc>
          <w:tcPr>
            <w:tcW w:w="8500"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务大平台的重要组成部分，为海量用户提供金融数据等服务，单独孤立计算单个平台的效益，已无法完整体</w:t>
            </w:r>
          </w:p>
        </w:tc>
      </w:tr>
      <w:tr>
        <w:trPr>
          <w:trHeight w:val="312"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
        </w:tc>
        <w:tc>
          <w:tcPr>
            <w:tcW w:w="8500" w:type="dxa"/>
            <w:gridSpan w:val="13"/>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现其整体效益，该项目拓展了公司大平台的服务范围和内容，提升了大平台的服务能力和水平，进一步提升</w:t>
            </w:r>
          </w:p>
        </w:tc>
      </w:tr>
      <w:tr>
        <w:trPr>
          <w:trHeight w:val="356" w:hRule="exact"/>
        </w:trPr>
        <w:tc>
          <w:tcPr>
            <w:tcW w:w="1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8500" w:type="dxa"/>
            <w:gridSpan w:val="13"/>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了用户体验和黏性，促进了公司大平台整体效益的实现，整体上达到了预期效益目标。</w:t>
            </w:r>
          </w:p>
        </w:tc>
      </w:tr>
      <w:tr>
        <w:trPr>
          <w:trHeight w:val="360"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项目可行性发生重</w:t>
            </w:r>
          </w:p>
        </w:tc>
        <w:tc>
          <w:tcPr>
            <w:tcW w:w="850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研发基地和金融信息服务中心项目，鉴于公司业务发展、项目规划要求、周边配套和整体经济低迷等原因，</w:t>
            </w:r>
          </w:p>
        </w:tc>
      </w:tr>
    </w:tbl>
    <w:p>
      <w:pPr>
        <w:spacing w:after="0" w:line="240" w:lineRule="auto"/>
        <w:jc w:val="left"/>
        <w:rPr>
          <w:rFonts w:ascii="宋体" w:hAnsi="宋体" w:cs="宋体" w:eastAsia="宋体" w:hint="default"/>
          <w:sz w:val="18"/>
          <w:szCs w:val="18"/>
        </w:rPr>
        <w:sectPr>
          <w:pgSz w:w="11910" w:h="16840"/>
          <w:pgMar w:header="776" w:footer="978" w:top="1100" w:bottom="1160" w:left="1000" w:right="560"/>
        </w:sectPr>
      </w:pPr>
    </w:p>
    <w:p>
      <w:pPr>
        <w:spacing w:line="240" w:lineRule="auto" w:before="11"/>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622"/>
        <w:gridCol w:w="8500"/>
      </w:tblGrid>
      <w:tr>
        <w:trPr>
          <w:trHeight w:val="674"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大变化的情况说明</w:t>
            </w:r>
          </w:p>
        </w:tc>
        <w:tc>
          <w:tcPr>
            <w:tcW w:w="85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项目于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日终止，公司已于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日完成了以自有资金置换已投入上海东方财富置业 有限公司的超募资金。</w:t>
            </w:r>
          </w:p>
        </w:tc>
      </w:tr>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21"/>
              <w:jc w:val="left"/>
              <w:rPr>
                <w:rFonts w:ascii="宋体" w:hAnsi="宋体" w:cs="宋体" w:eastAsia="宋体" w:hint="default"/>
                <w:sz w:val="18"/>
                <w:szCs w:val="18"/>
              </w:rPr>
            </w:pPr>
            <w:r>
              <w:rPr>
                <w:rFonts w:ascii="宋体" w:hAnsi="宋体" w:cs="宋体" w:eastAsia="宋体" w:hint="default"/>
                <w:spacing w:val="-6"/>
                <w:sz w:val="18"/>
                <w:szCs w:val="18"/>
              </w:rPr>
              <w:t>超募资金的金额、用</w:t>
            </w:r>
            <w:r>
              <w:rPr>
                <w:rFonts w:ascii="宋体" w:hAnsi="宋体" w:cs="宋体" w:eastAsia="宋体" w:hint="default"/>
                <w:sz w:val="18"/>
                <w:szCs w:val="18"/>
              </w:rPr>
              <w:t> 途及使用进展情况</w:t>
            </w:r>
          </w:p>
        </w:tc>
        <w:tc>
          <w:tcPr>
            <w:tcW w:w="8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890"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8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公司募集资金净额为 </w:t>
            </w:r>
            <w:r>
              <w:rPr>
                <w:rFonts w:ascii="Times New Roman" w:hAnsi="Times New Roman" w:cs="Times New Roman" w:eastAsia="Times New Roman" w:hint="default"/>
                <w:sz w:val="18"/>
                <w:szCs w:val="18"/>
              </w:rPr>
              <w:t>130,455.45  </w:t>
            </w:r>
            <w:r>
              <w:rPr>
                <w:rFonts w:ascii="宋体" w:hAnsi="宋体" w:cs="宋体" w:eastAsia="宋体" w:hint="default"/>
                <w:spacing w:val="-3"/>
                <w:sz w:val="18"/>
                <w:szCs w:val="18"/>
              </w:rPr>
              <w:t>万元，其中超募资金为 </w:t>
            </w:r>
            <w:r>
              <w:rPr>
                <w:rFonts w:ascii="Times New Roman" w:hAnsi="Times New Roman" w:cs="Times New Roman" w:eastAsia="Times New Roman" w:hint="default"/>
                <w:sz w:val="18"/>
                <w:szCs w:val="18"/>
              </w:rPr>
              <w:t>100,467.21</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、公司第一届董事会第十六次会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议及</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年第二次临时股东大会审议通过了《关于超募资金的使用计划</w:t>
            </w:r>
            <w:r>
              <w:rPr>
                <w:rFonts w:ascii="宋体" w:hAnsi="宋体" w:cs="宋体" w:eastAsia="宋体" w:hint="default"/>
                <w:spacing w:val="-89"/>
                <w:sz w:val="18"/>
                <w:szCs w:val="18"/>
              </w:rPr>
              <w:t>》</w:t>
            </w:r>
            <w:r>
              <w:rPr>
                <w:rFonts w:ascii="宋体" w:hAnsi="宋体" w:cs="宋体" w:eastAsia="宋体" w:hint="default"/>
                <w:sz w:val="18"/>
                <w:szCs w:val="18"/>
              </w:rPr>
              <w:t>，计划使用部分超募资金</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46,214.82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万元建设研发基地和金融信息服务中心。根据公司第二届董事会第三次会议审议通过的《关于成</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立项目公司负责金融信息服务中心建设和运营管理工作的议案</w:t>
            </w:r>
            <w:r>
              <w:rPr>
                <w:rFonts w:ascii="宋体" w:hAnsi="宋体" w:cs="宋体" w:eastAsia="宋体" w:hint="default"/>
                <w:spacing w:val="-89"/>
                <w:sz w:val="18"/>
                <w:szCs w:val="18"/>
              </w:rPr>
              <w:t>》</w:t>
            </w:r>
            <w:r>
              <w:rPr>
                <w:rFonts w:ascii="宋体" w:hAnsi="宋体" w:cs="宋体" w:eastAsia="宋体" w:hint="default"/>
                <w:sz w:val="18"/>
                <w:szCs w:val="18"/>
              </w:rPr>
              <w:t>，公司拟用超募资金</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万元（包含</w:t>
            </w:r>
          </w:p>
          <w:p>
            <w:pPr>
              <w:pStyle w:val="TableParagraph"/>
              <w:spacing w:line="304" w:lineRule="auto" w:before="63"/>
              <w:ind w:left="22"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13,693.00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万元的金融信息服务中心项目建设用地款）注册成立项目公司，负责金融信息服务中心项目的建 设和运营管理工作。公司独立董事、监事会、保荐机构都发表了相关意见，同意上述超募资金的使用计划。 公司已于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日注册成立了全资子公司上海东方财富置业有限公司，公司投资金额</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20,000.00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、根据公司第一届董事会第十七次会议审议通过了《关于使用部分超募资金永久补充流动资金的议 </w:t>
            </w:r>
            <w:r>
              <w:rPr>
                <w:rFonts w:ascii="宋体" w:hAnsi="宋体" w:cs="宋体" w:eastAsia="宋体" w:hint="default"/>
                <w:spacing w:val="-7"/>
                <w:sz w:val="18"/>
                <w:szCs w:val="18"/>
              </w:rPr>
              <w:t>案》，公司计划使用部分超募资金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9,000.00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2"/>
                <w:sz w:val="18"/>
                <w:szCs w:val="18"/>
              </w:rPr>
              <w:t> </w:t>
            </w:r>
            <w:r>
              <w:rPr>
                <w:rFonts w:ascii="宋体" w:hAnsi="宋体" w:cs="宋体" w:eastAsia="宋体" w:hint="default"/>
                <w:spacing w:val="-1"/>
                <w:sz w:val="18"/>
                <w:szCs w:val="18"/>
              </w:rPr>
              <w:t>万元永久补充流动资金，独立董事、监事会、保荐机构都发表了</w:t>
            </w:r>
          </w:p>
          <w:p>
            <w:pPr>
              <w:pStyle w:val="TableParagraph"/>
              <w:spacing w:line="309" w:lineRule="auto" w:before="9"/>
              <w:ind w:left="22" w:right="20"/>
              <w:jc w:val="both"/>
              <w:rPr>
                <w:rFonts w:ascii="宋体" w:hAnsi="宋体" w:cs="宋体" w:eastAsia="宋体" w:hint="default"/>
                <w:sz w:val="18"/>
                <w:szCs w:val="18"/>
              </w:rPr>
            </w:pPr>
            <w:r>
              <w:rPr>
                <w:rFonts w:ascii="宋体" w:hAnsi="宋体" w:cs="宋体" w:eastAsia="宋体" w:hint="default"/>
                <w:sz w:val="18"/>
                <w:szCs w:val="18"/>
              </w:rPr>
              <w:t>相关意见，同意上述超募资金的使用。公司已于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日完成补充流动资金事项。</w:t>
            </w:r>
            <w:r>
              <w:rPr>
                <w:rFonts w:ascii="Times New Roman" w:hAnsi="Times New Roman" w:cs="Times New Roman" w:eastAsia="Times New Roman" w:hint="default"/>
                <w:sz w:val="18"/>
                <w:szCs w:val="18"/>
              </w:rPr>
              <w:t>3</w:t>
            </w:r>
            <w:r>
              <w:rPr>
                <w:rFonts w:ascii="宋体" w:hAnsi="宋体" w:cs="宋体" w:eastAsia="宋体" w:hint="default"/>
                <w:sz w:val="18"/>
                <w:szCs w:val="18"/>
              </w:rPr>
              <w:t>、根据公司 </w:t>
            </w:r>
            <w:r>
              <w:rPr>
                <w:rFonts w:ascii="宋体" w:hAnsi="宋体" w:cs="宋体" w:eastAsia="宋体" w:hint="default"/>
                <w:spacing w:val="-2"/>
                <w:sz w:val="18"/>
                <w:szCs w:val="18"/>
              </w:rPr>
              <w:t>第二届董事会第七次会议审议通过了《关于使用部分超募资金投资设立全资子公司的议案》，公司拟使用超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募资金</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万元投资设立全资子公司负责东方财富金融数据机构服务平台系统项目的具体建设和运营管理</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工作，公司独立董事、监事会、保荐机构都发表了相关意见，同意上述超募资金的使用计划。公司已于</w:t>
            </w:r>
            <w:r>
              <w:rPr>
                <w:rFonts w:ascii="宋体" w:hAnsi="宋体" w:cs="宋体" w:eastAsia="宋体" w:hint="default"/>
                <w:spacing w:val="-10"/>
                <w:sz w:val="18"/>
                <w:szCs w:val="18"/>
              </w:rPr>
              <w:t> </w:t>
            </w:r>
            <w:r>
              <w:rPr>
                <w:rFonts w:ascii="Times New Roman" w:hAnsi="Times New Roman" w:cs="Times New Roman" w:eastAsia="Times New Roman" w:hint="default"/>
                <w:spacing w:val="-2"/>
                <w:sz w:val="18"/>
                <w:szCs w:val="18"/>
              </w:rPr>
              <w:t>2011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日注册成立了全资子公司上海东方财富金融数据服务有限公司，公司投资金额</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万元，另</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支付了设立公司的验资费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w:t>
            </w:r>
            <w:r>
              <w:rPr>
                <w:rFonts w:ascii="宋体" w:hAnsi="宋体" w:cs="宋体" w:eastAsia="宋体" w:hint="default"/>
                <w:sz w:val="18"/>
                <w:szCs w:val="18"/>
              </w:rPr>
              <w:t>、根据公司第二届董事会第十二次会议审议通过了《关于使用部分超募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资金永久补充流动资金的议案</w:t>
            </w:r>
            <w:r>
              <w:rPr>
                <w:rFonts w:ascii="宋体" w:hAnsi="宋体" w:cs="宋体" w:eastAsia="宋体" w:hint="default"/>
                <w:spacing w:val="-89"/>
                <w:sz w:val="18"/>
                <w:szCs w:val="18"/>
              </w:rPr>
              <w:t>》</w:t>
            </w:r>
            <w:r>
              <w:rPr>
                <w:rFonts w:ascii="宋体" w:hAnsi="宋体" w:cs="宋体" w:eastAsia="宋体" w:hint="default"/>
                <w:sz w:val="18"/>
                <w:szCs w:val="18"/>
              </w:rPr>
              <w:t>，公司计划使用部分超募资金</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万元永久补充流动资金，独立董事、</w:t>
            </w:r>
          </w:p>
          <w:p>
            <w:pPr>
              <w:pStyle w:val="TableParagraph"/>
              <w:spacing w:line="307"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监事会、保荐机构都发表了相关意见，同意上述超募资金的使用。公司已于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日完成补充 流动资金事项。</w:t>
            </w:r>
            <w:r>
              <w:rPr>
                <w:rFonts w:ascii="Times New Roman" w:hAnsi="Times New Roman" w:cs="Times New Roman" w:eastAsia="Times New Roman" w:hint="default"/>
                <w:sz w:val="18"/>
                <w:szCs w:val="18"/>
              </w:rPr>
              <w:t>5</w:t>
            </w:r>
            <w:r>
              <w:rPr>
                <w:rFonts w:ascii="宋体" w:hAnsi="宋体" w:cs="宋体" w:eastAsia="宋体" w:hint="default"/>
                <w:sz w:val="18"/>
                <w:szCs w:val="18"/>
              </w:rPr>
              <w:t>、根据公司第二届董事会第二十一次会议审议通过了《关于公司使用部分超募资金对全资 </w:t>
            </w:r>
            <w:r>
              <w:rPr>
                <w:rFonts w:ascii="宋体" w:hAnsi="宋体" w:cs="宋体" w:eastAsia="宋体" w:hint="default"/>
                <w:spacing w:val="-3"/>
                <w:sz w:val="18"/>
                <w:szCs w:val="18"/>
              </w:rPr>
              <w:t>子公司上海天天基金销售有限公司进行增资的议案》，公司计划使用部分超募资金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5,000.00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万元对全资子公 </w:t>
            </w:r>
            <w:r>
              <w:rPr>
                <w:rFonts w:ascii="宋体" w:hAnsi="宋体" w:cs="宋体" w:eastAsia="宋体" w:hint="default"/>
                <w:spacing w:val="-1"/>
                <w:sz w:val="18"/>
                <w:szCs w:val="18"/>
              </w:rPr>
              <w:t>司上海天天基金销售有限公司进行增资，独立董事、监事会、保荐机构都发表了相关意见，同意上述超募资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金的使用。公司已于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号完成了增资事项。</w:t>
            </w:r>
            <w:r>
              <w:rPr>
                <w:rFonts w:ascii="Times New Roman" w:hAnsi="Times New Roman" w:cs="Times New Roman" w:eastAsia="Times New Roman" w:hint="default"/>
                <w:sz w:val="18"/>
                <w:szCs w:val="18"/>
              </w:rPr>
              <w:t>6</w:t>
            </w:r>
            <w:r>
              <w:rPr>
                <w:rFonts w:ascii="宋体" w:hAnsi="宋体" w:cs="宋体" w:eastAsia="宋体" w:hint="default"/>
                <w:sz w:val="18"/>
                <w:szCs w:val="18"/>
              </w:rPr>
              <w:t>、根据公司第二届董事会第二十三次会议和二 </w:t>
            </w:r>
            <w:r>
              <w:rPr>
                <w:rFonts w:ascii="宋体" w:hAnsi="宋体" w:cs="宋体" w:eastAsia="宋体" w:hint="default"/>
                <w:spacing w:val="-1"/>
                <w:sz w:val="18"/>
                <w:szCs w:val="18"/>
              </w:rPr>
              <w:t>〇一四年第一次临时股东大会审议通过《关于终止研发基地和金融信息服务中心超募资金投资项目并使用自</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有资金置换已投入超募资金的议案》，公司决定终止研发基地和金融信息服务中心超募资金投资项目，并使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用自有资金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万元，置换已投入上海东方财富置业有限公司的超募资金。独立董事、监事会、保荐</w:t>
            </w:r>
          </w:p>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机构都发表了相关意见，同意该事项。公司已于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日完成了相关置换工作。</w:t>
            </w:r>
          </w:p>
        </w:tc>
      </w:tr>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48"/>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22" w:type="dxa"/>
            <w:vMerge/>
            <w:tcBorders>
              <w:left w:val="single" w:sz="4" w:space="0" w:color="000000"/>
              <w:right w:val="single" w:sz="4" w:space="0" w:color="000000"/>
            </w:tcBorders>
            <w:shd w:val="clear" w:color="auto" w:fill="D3D3D3"/>
          </w:tcPr>
          <w:p>
            <w:pPr/>
          </w:p>
        </w:tc>
        <w:tc>
          <w:tcPr>
            <w:tcW w:w="8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8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2" w:right="148"/>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22" w:type="dxa"/>
            <w:vMerge/>
            <w:tcBorders>
              <w:left w:val="single" w:sz="4" w:space="0" w:color="000000"/>
              <w:right w:val="single" w:sz="4" w:space="0" w:color="000000"/>
            </w:tcBorders>
            <w:shd w:val="clear" w:color="auto" w:fill="D3D3D3"/>
          </w:tcPr>
          <w:p>
            <w:pPr/>
          </w:p>
        </w:tc>
        <w:tc>
          <w:tcPr>
            <w:tcW w:w="8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8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2" w:right="148"/>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85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公司第一届董事会第十三次会议审议通过了《关于用募集资金置换预先投入募集资金投资项目的自筹资金的</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4"/>
                <w:sz w:val="18"/>
                <w:szCs w:val="18"/>
              </w:rPr>
              <w:t>议案》，在募集资金实际到账之前，同意以本次募集资金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1,698.00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万元置换公司预先已投入募集资金投资项</w:t>
            </w:r>
            <w:r>
              <w:rPr>
                <w:rFonts w:ascii="宋体" w:hAnsi="宋体" w:cs="宋体" w:eastAsia="宋体" w:hint="default"/>
                <w:spacing w:val="-82"/>
                <w:sz w:val="18"/>
                <w:szCs w:val="18"/>
              </w:rPr>
              <w:t> </w:t>
            </w:r>
            <w:r>
              <w:rPr>
                <w:rFonts w:ascii="宋体" w:hAnsi="宋体" w:cs="宋体" w:eastAsia="宋体" w:hint="default"/>
                <w:spacing w:val="-1"/>
                <w:sz w:val="18"/>
                <w:szCs w:val="18"/>
              </w:rPr>
              <w:t>目的自筹资金。立信会计师事务所有限公司对公司以自筹资金预先投入募投项目的情况进行了核验，并出具</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了信会师报字（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11856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号《关于东方财富信息股份有限公司以自筹资金预先投入募投项目的鉴证报 </w:t>
            </w:r>
            <w:r>
              <w:rPr>
                <w:rFonts w:ascii="宋体" w:hAnsi="宋体" w:cs="宋体" w:eastAsia="宋体" w:hint="default"/>
                <w:spacing w:val="-30"/>
                <w:sz w:val="18"/>
                <w:szCs w:val="18"/>
              </w:rPr>
              <w:t>告》。</w:t>
            </w:r>
          </w:p>
        </w:tc>
      </w:tr>
      <w:tr>
        <w:trPr>
          <w:trHeight w:val="400"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w:t>
            </w:r>
          </w:p>
        </w:tc>
        <w:tc>
          <w:tcPr>
            <w:tcW w:w="8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76" w:footer="978" w:top="1100" w:bottom="1160" w:left="1000" w:right="560"/>
        </w:sectPr>
      </w:pPr>
    </w:p>
    <w:p>
      <w:pPr>
        <w:spacing w:line="240" w:lineRule="auto" w:before="11"/>
        <w:rPr>
          <w:rFonts w:ascii="Times New Roman" w:hAnsi="Times New Roman" w:cs="Times New Roman" w:eastAsia="Times New Roman" w:hint="default"/>
          <w:sz w:val="27"/>
          <w:szCs w:val="27"/>
        </w:rPr>
      </w:pPr>
    </w:p>
    <w:tbl>
      <w:tblPr>
        <w:tblW w:w="0" w:type="auto"/>
        <w:jc w:val="left"/>
        <w:tblInd w:w="701" w:type="dxa"/>
        <w:tblLayout w:type="fixed"/>
        <w:tblCellMar>
          <w:top w:w="0" w:type="dxa"/>
          <w:left w:w="0" w:type="dxa"/>
          <w:bottom w:w="0" w:type="dxa"/>
          <w:right w:w="0" w:type="dxa"/>
        </w:tblCellMar>
        <w:tblLook w:val="01E0"/>
      </w:tblPr>
      <w:tblGrid>
        <w:gridCol w:w="1622"/>
        <w:gridCol w:w="8500"/>
      </w:tblGrid>
      <w:tr>
        <w:trPr>
          <w:trHeight w:val="674"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22" w:right="148"/>
              <w:jc w:val="left"/>
              <w:rPr>
                <w:rFonts w:ascii="宋体" w:hAnsi="宋体" w:cs="宋体" w:eastAsia="宋体" w:hint="default"/>
                <w:sz w:val="18"/>
                <w:szCs w:val="18"/>
              </w:rPr>
            </w:pPr>
            <w:r>
              <w:rPr>
                <w:rFonts w:ascii="宋体" w:hAnsi="宋体" w:cs="宋体" w:eastAsia="宋体" w:hint="default"/>
                <w:sz w:val="18"/>
                <w:szCs w:val="18"/>
              </w:rPr>
              <w:t>时补充流动资金情 况</w:t>
            </w:r>
          </w:p>
        </w:tc>
        <w:tc>
          <w:tcPr>
            <w:tcW w:w="8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22" w:right="148"/>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85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8"/>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48"/>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8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732" w:right="6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募集资金变更项目情况</w:t>
      </w:r>
    </w:p>
    <w:p>
      <w:pPr>
        <w:spacing w:line="350" w:lineRule="auto" w:before="101"/>
        <w:ind w:left="732" w:right="6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公司报告期不存在募集资金变更项目情况。 </w:t>
      </w:r>
      <w:r>
        <w:rPr>
          <w:rFonts w:ascii="Times New Roman" w:hAnsi="Times New Roman" w:cs="Times New Roman" w:eastAsia="Times New Roman" w:hint="default"/>
          <w:sz w:val="18"/>
          <w:szCs w:val="18"/>
        </w:rPr>
        <w:t>3</w:t>
      </w:r>
      <w:r>
        <w:rPr>
          <w:rFonts w:ascii="宋体" w:hAnsi="宋体" w:cs="宋体" w:eastAsia="宋体" w:hint="default"/>
          <w:sz w:val="18"/>
          <w:szCs w:val="18"/>
        </w:rPr>
        <w:t>）非募集资金投资的重大项目情况</w:t>
      </w:r>
    </w:p>
    <w:p>
      <w:pPr>
        <w:spacing w:line="350" w:lineRule="auto" w:before="9"/>
        <w:ind w:left="732" w:right="6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公司报告期无非募集资金投资的重大项目。 </w:t>
      </w:r>
      <w:r>
        <w:rPr>
          <w:rFonts w:ascii="Times New Roman" w:hAnsi="Times New Roman" w:cs="Times New Roman" w:eastAsia="Times New Roman" w:hint="default"/>
          <w:sz w:val="18"/>
          <w:szCs w:val="18"/>
        </w:rPr>
        <w:t>4</w:t>
      </w:r>
      <w:r>
        <w:rPr>
          <w:rFonts w:ascii="宋体" w:hAnsi="宋体" w:cs="宋体" w:eastAsia="宋体" w:hint="default"/>
          <w:sz w:val="18"/>
          <w:szCs w:val="18"/>
        </w:rPr>
        <w:t>）持有其他上市公司股权情况</w:t>
      </w:r>
    </w:p>
    <w:p>
      <w:pPr>
        <w:spacing w:before="9"/>
        <w:ind w:left="732" w:right="6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732" w:right="6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）持有金融企业股权情况</w:t>
      </w:r>
    </w:p>
    <w:p>
      <w:pPr>
        <w:spacing w:line="348" w:lineRule="auto" w:before="103"/>
        <w:ind w:left="732" w:right="7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公司报告期未持有金融企业股权。 </w:t>
      </w:r>
      <w:r>
        <w:rPr>
          <w:rFonts w:ascii="Times New Roman" w:hAnsi="Times New Roman" w:cs="Times New Roman" w:eastAsia="Times New Roman" w:hint="default"/>
          <w:sz w:val="18"/>
          <w:szCs w:val="18"/>
        </w:rPr>
        <w:t>6</w:t>
      </w:r>
      <w:r>
        <w:rPr>
          <w:rFonts w:ascii="宋体" w:hAnsi="宋体" w:cs="宋体" w:eastAsia="宋体" w:hint="default"/>
          <w:sz w:val="18"/>
          <w:szCs w:val="18"/>
        </w:rPr>
        <w:t>）买卖其他上市公司股份的情况</w:t>
      </w:r>
    </w:p>
    <w:p>
      <w:pPr>
        <w:spacing w:before="14"/>
        <w:ind w:left="732" w:right="6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1"/>
        <w:ind w:left="732" w:right="6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）以公允价值计量的金融资产</w:t>
      </w:r>
    </w:p>
    <w:p>
      <w:pPr>
        <w:spacing w:before="103"/>
        <w:ind w:left="732" w:right="6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1"/>
          <w:szCs w:val="21"/>
        </w:rPr>
      </w:pPr>
    </w:p>
    <w:p>
      <w:pPr>
        <w:pStyle w:val="Heading5"/>
        <w:spacing w:line="240" w:lineRule="auto"/>
        <w:ind w:left="732" w:right="6934"/>
        <w:jc w:val="left"/>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7"/>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76" w:footer="978" w:top="1100" w:bottom="1160" w:left="400" w:right="400"/>
        </w:sectPr>
      </w:pPr>
    </w:p>
    <w:p>
      <w:pPr>
        <w:spacing w:line="340" w:lineRule="auto" w:before="44"/>
        <w:ind w:left="7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713" w:right="714"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880" w:bottom="280" w:left="400" w:right="400"/>
          <w:cols w:num="2" w:equalWidth="0">
            <w:col w:w="2893" w:space="6025"/>
            <w:col w:w="2192"/>
          </w:cols>
        </w:sectPr>
      </w:pP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320"/>
        <w:gridCol w:w="709"/>
        <w:gridCol w:w="916"/>
        <w:gridCol w:w="785"/>
        <w:gridCol w:w="1119"/>
        <w:gridCol w:w="1324"/>
        <w:gridCol w:w="1247"/>
        <w:gridCol w:w="1247"/>
        <w:gridCol w:w="1100"/>
        <w:gridCol w:w="1093"/>
      </w:tblGrid>
      <w:tr>
        <w:trPr>
          <w:trHeight w:val="714" w:hRule="exact"/>
        </w:trPr>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7" w:right="27" w:hanging="92"/>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1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24"/>
              <w:jc w:val="left"/>
              <w:rPr>
                <w:rFonts w:ascii="宋体" w:hAnsi="宋体" w:cs="宋体" w:eastAsia="宋体" w:hint="default"/>
                <w:sz w:val="18"/>
                <w:szCs w:val="18"/>
              </w:rPr>
            </w:pPr>
            <w:r>
              <w:rPr>
                <w:rFonts w:ascii="宋体" w:hAnsi="宋体" w:cs="宋体" w:eastAsia="宋体" w:hint="default"/>
                <w:sz w:val="18"/>
                <w:szCs w:val="18"/>
              </w:rPr>
              <w:t>上海天天基金销 售有限公司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61"/>
              <w:jc w:val="left"/>
              <w:rPr>
                <w:rFonts w:ascii="宋体" w:hAnsi="宋体" w:cs="宋体" w:eastAsia="宋体" w:hint="default"/>
                <w:sz w:val="18"/>
                <w:szCs w:val="18"/>
              </w:rPr>
            </w:pPr>
            <w:r>
              <w:rPr>
                <w:rFonts w:ascii="宋体" w:hAnsi="宋体" w:cs="宋体" w:eastAsia="宋体" w:hint="default"/>
                <w:sz w:val="18"/>
                <w:szCs w:val="18"/>
              </w:rPr>
              <w:t>金融电子 商务服务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基金销售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4,940,813,970.56</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75,910,513.66</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372,810,617.54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-6,092,153.54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-5,653,153.54</w:t>
            </w:r>
          </w:p>
        </w:tc>
      </w:tr>
      <w:tr>
        <w:trPr>
          <w:trHeight w:val="1026"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上海东方财富证 券研究所有限公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9"/>
              <w:jc w:val="right"/>
              <w:rPr>
                <w:rFonts w:ascii="宋体" w:hAnsi="宋体" w:cs="宋体" w:eastAsia="宋体" w:hint="default"/>
                <w:sz w:val="18"/>
                <w:szCs w:val="18"/>
              </w:rPr>
            </w:pPr>
            <w:r>
              <w:rPr>
                <w:rFonts w:ascii="宋体" w:hAnsi="宋体" w:cs="宋体" w:eastAsia="宋体" w:hint="default"/>
                <w:sz w:val="18"/>
                <w:szCs w:val="18"/>
              </w:rPr>
              <w:t>咨询服务</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121,431,723.37</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13,859,434.53</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102,056,017.19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11,661,013.05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9,435,937.15</w:t>
            </w:r>
          </w:p>
        </w:tc>
      </w:tr>
      <w:tr>
        <w:trPr>
          <w:trHeight w:val="712"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24"/>
              <w:jc w:val="left"/>
              <w:rPr>
                <w:rFonts w:ascii="宋体" w:hAnsi="宋体" w:cs="宋体" w:eastAsia="宋体" w:hint="default"/>
                <w:sz w:val="18"/>
                <w:szCs w:val="18"/>
              </w:rPr>
            </w:pPr>
            <w:r>
              <w:rPr>
                <w:rFonts w:ascii="宋体" w:hAnsi="宋体" w:cs="宋体" w:eastAsia="宋体" w:hint="default"/>
                <w:sz w:val="18"/>
                <w:szCs w:val="18"/>
              </w:rPr>
              <w:t>上海东方财富金 融数据服务有限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61"/>
              <w:jc w:val="left"/>
              <w:rPr>
                <w:rFonts w:ascii="宋体" w:hAnsi="宋体" w:cs="宋体" w:eastAsia="宋体" w:hint="default"/>
                <w:sz w:val="18"/>
                <w:szCs w:val="18"/>
              </w:rPr>
            </w:pPr>
            <w:r>
              <w:rPr>
                <w:rFonts w:ascii="宋体" w:hAnsi="宋体" w:cs="宋体" w:eastAsia="宋体" w:hint="default"/>
                <w:sz w:val="18"/>
                <w:szCs w:val="18"/>
              </w:rPr>
              <w:t>信息技术 服务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29"/>
              <w:jc w:val="left"/>
              <w:rPr>
                <w:rFonts w:ascii="宋体" w:hAnsi="宋体" w:cs="宋体" w:eastAsia="宋体" w:hint="default"/>
                <w:sz w:val="18"/>
                <w:szCs w:val="18"/>
              </w:rPr>
            </w:pPr>
            <w:r>
              <w:rPr>
                <w:rFonts w:ascii="宋体" w:hAnsi="宋体" w:cs="宋体" w:eastAsia="宋体" w:hint="default"/>
                <w:sz w:val="18"/>
                <w:szCs w:val="18"/>
              </w:rPr>
              <w:t>信息技术 服务</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47,732,868.14</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47,545,443.79</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3,495,145.63</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-779,727.67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-779,727.67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880" w:bottom="280" w:left="400" w:right="400"/>
        </w:sectPr>
      </w:pPr>
    </w:p>
    <w:p>
      <w:pPr>
        <w:spacing w:line="240" w:lineRule="auto" w:before="8"/>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320"/>
        <w:gridCol w:w="709"/>
        <w:gridCol w:w="916"/>
        <w:gridCol w:w="785"/>
        <w:gridCol w:w="1119"/>
        <w:gridCol w:w="1324"/>
        <w:gridCol w:w="1247"/>
        <w:gridCol w:w="1247"/>
        <w:gridCol w:w="1100"/>
        <w:gridCol w:w="1093"/>
      </w:tblGrid>
      <w:tr>
        <w:trPr>
          <w:trHeight w:val="362"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9"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24"/>
              <w:jc w:val="left"/>
              <w:rPr>
                <w:rFonts w:ascii="宋体" w:hAnsi="宋体" w:cs="宋体" w:eastAsia="宋体" w:hint="default"/>
                <w:sz w:val="18"/>
                <w:szCs w:val="18"/>
              </w:rPr>
            </w:pPr>
            <w:r>
              <w:rPr>
                <w:rFonts w:ascii="宋体" w:hAnsi="宋体" w:cs="宋体" w:eastAsia="宋体" w:hint="default"/>
                <w:sz w:val="18"/>
                <w:szCs w:val="18"/>
              </w:rPr>
              <w:t>北京京东财信息 科技有限公司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61"/>
              <w:jc w:val="left"/>
              <w:rPr>
                <w:rFonts w:ascii="宋体" w:hAnsi="宋体" w:cs="宋体" w:eastAsia="宋体" w:hint="default"/>
                <w:sz w:val="18"/>
                <w:szCs w:val="18"/>
              </w:rPr>
            </w:pPr>
            <w:r>
              <w:rPr>
                <w:rFonts w:ascii="宋体" w:hAnsi="宋体" w:cs="宋体" w:eastAsia="宋体" w:hint="default"/>
                <w:sz w:val="18"/>
                <w:szCs w:val="18"/>
              </w:rPr>
              <w:t>信息技术 服务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29"/>
              <w:jc w:val="left"/>
              <w:rPr>
                <w:rFonts w:ascii="宋体" w:hAnsi="宋体" w:cs="宋体" w:eastAsia="宋体" w:hint="default"/>
                <w:sz w:val="18"/>
                <w:szCs w:val="18"/>
              </w:rPr>
            </w:pPr>
            <w:r>
              <w:rPr>
                <w:rFonts w:ascii="宋体" w:hAnsi="宋体" w:cs="宋体" w:eastAsia="宋体" w:hint="default"/>
                <w:sz w:val="18"/>
                <w:szCs w:val="18"/>
              </w:rPr>
              <w:t>信息技术 服务</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799,230.40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319,299.31</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9,600,000.00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113,801.77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27,085.59</w:t>
            </w:r>
          </w:p>
        </w:tc>
      </w:tr>
      <w:tr>
        <w:trPr>
          <w:trHeight w:val="71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广州东财信息科 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信息技术 服务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信息技术 服务</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737,519.92</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673,139.83</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4,600,000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102,337.39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44,956.55</w:t>
            </w:r>
          </w:p>
        </w:tc>
      </w:tr>
      <w:tr>
        <w:trPr>
          <w:trHeight w:val="1026"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上海东方财富置 业有限公司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61"/>
              <w:jc w:val="both"/>
              <w:rPr>
                <w:rFonts w:ascii="宋体" w:hAnsi="宋体" w:cs="宋体" w:eastAsia="宋体" w:hint="default"/>
                <w:sz w:val="18"/>
                <w:szCs w:val="18"/>
              </w:rPr>
            </w:pPr>
            <w:r>
              <w:rPr>
                <w:rFonts w:ascii="宋体" w:hAnsi="宋体" w:cs="宋体" w:eastAsia="宋体" w:hint="default"/>
                <w:sz w:val="18"/>
                <w:szCs w:val="18"/>
              </w:rPr>
              <w:t>房地产开 发经营服 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29"/>
              <w:jc w:val="both"/>
              <w:rPr>
                <w:rFonts w:ascii="宋体" w:hAnsi="宋体" w:cs="宋体" w:eastAsia="宋体" w:hint="default"/>
                <w:sz w:val="18"/>
                <w:szCs w:val="18"/>
              </w:rPr>
            </w:pPr>
            <w:r>
              <w:rPr>
                <w:rFonts w:ascii="宋体" w:hAnsi="宋体" w:cs="宋体" w:eastAsia="宋体" w:hint="default"/>
                <w:sz w:val="18"/>
                <w:szCs w:val="18"/>
              </w:rPr>
              <w:t>房地产开 发经营服 务</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189,556,373.57</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189,550,112.73</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-3,515,398.53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-3,515,398.53</w:t>
            </w:r>
          </w:p>
        </w:tc>
      </w:tr>
      <w:tr>
        <w:trPr>
          <w:trHeight w:val="71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上海优优商务咨 询有限公司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信息技术 服务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信息技术 服务</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10,002.59</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-58,118.15</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-138,156.70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-138,156.70</w:t>
            </w:r>
          </w:p>
        </w:tc>
      </w:tr>
      <w:tr>
        <w:trPr>
          <w:trHeight w:val="71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24"/>
              <w:jc w:val="left"/>
              <w:rPr>
                <w:rFonts w:ascii="宋体" w:hAnsi="宋体" w:cs="宋体" w:eastAsia="宋体" w:hint="default"/>
                <w:sz w:val="18"/>
                <w:szCs w:val="18"/>
              </w:rPr>
            </w:pPr>
            <w:r>
              <w:rPr>
                <w:rFonts w:ascii="宋体" w:hAnsi="宋体" w:cs="宋体" w:eastAsia="宋体" w:hint="default"/>
                <w:sz w:val="18"/>
                <w:szCs w:val="18"/>
              </w:rPr>
              <w:t>上海长盛电子商 务有限公司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61"/>
              <w:jc w:val="left"/>
              <w:rPr>
                <w:rFonts w:ascii="宋体" w:hAnsi="宋体" w:cs="宋体" w:eastAsia="宋体" w:hint="default"/>
                <w:sz w:val="18"/>
                <w:szCs w:val="18"/>
              </w:rPr>
            </w:pPr>
            <w:r>
              <w:rPr>
                <w:rFonts w:ascii="宋体" w:hAnsi="宋体" w:cs="宋体" w:eastAsia="宋体" w:hint="default"/>
                <w:sz w:val="18"/>
                <w:szCs w:val="18"/>
              </w:rPr>
              <w:t>信息技术 服务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29"/>
              <w:jc w:val="left"/>
              <w:rPr>
                <w:rFonts w:ascii="宋体" w:hAnsi="宋体" w:cs="宋体" w:eastAsia="宋体" w:hint="default"/>
                <w:sz w:val="18"/>
                <w:szCs w:val="18"/>
              </w:rPr>
            </w:pPr>
            <w:r>
              <w:rPr>
                <w:rFonts w:ascii="宋体" w:hAnsi="宋体" w:cs="宋体" w:eastAsia="宋体" w:hint="default"/>
                <w:sz w:val="18"/>
                <w:szCs w:val="18"/>
              </w:rPr>
              <w:t>信息技术 服务</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49,973,604.74</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49,973,451.66</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-26,548.34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-26,548.34</w:t>
            </w:r>
          </w:p>
        </w:tc>
      </w:tr>
      <w:tr>
        <w:trPr>
          <w:trHeight w:val="71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left"/>
              <w:rPr>
                <w:rFonts w:ascii="宋体" w:hAnsi="宋体" w:cs="宋体" w:eastAsia="宋体" w:hint="default"/>
                <w:sz w:val="18"/>
                <w:szCs w:val="18"/>
              </w:rPr>
            </w:pPr>
            <w:r>
              <w:rPr>
                <w:rFonts w:ascii="宋体" w:hAnsi="宋体" w:cs="宋体" w:eastAsia="宋体" w:hint="default"/>
                <w:spacing w:val="-13"/>
                <w:sz w:val="18"/>
                <w:szCs w:val="18"/>
              </w:rPr>
              <w:t>东方财富（香港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信息技术 服务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信息技术 服务</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港币</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61,194,448.97</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751,458.97</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-39,969.03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-39,969.03</w:t>
            </w:r>
          </w:p>
        </w:tc>
      </w:tr>
    </w:tbl>
    <w:p>
      <w:pPr>
        <w:spacing w:before="50"/>
        <w:ind w:left="732" w:right="6934" w:firstLine="0"/>
        <w:jc w:val="left"/>
        <w:rPr>
          <w:rFonts w:ascii="宋体" w:hAnsi="宋体" w:cs="宋体" w:eastAsia="宋体" w:hint="default"/>
          <w:sz w:val="18"/>
          <w:szCs w:val="18"/>
        </w:rPr>
      </w:pPr>
      <w:r>
        <w:rPr/>
        <w:pict>
          <v:shape style="position:absolute;margin-left:86.279503pt;margin-top:-35.79829pt;width:41.25pt;height:35.450pt;mso-position-horizontal-relative:page;mso-position-vertical-relative:paragraph;z-index:-625936"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92.300003pt;margin-top:-35.79829pt;width:35.2pt;height:35.450pt;mso-position-horizontal-relative:page;mso-position-vertical-relative:paragraph;z-index:-625912" coordorigin="1846,-716" coordsize="704,709">
            <v:shape style="position:absolute;left:1846;top:-716;width:704;height:709" coordorigin="1846,-716" coordsize="704,709" path="m1846,-716l2550,-716,2550,-7,1846,-7,1846,-716xe" filled="true" fillcolor="#ffffff" stroked="false">
              <v:path arrowok="t"/>
              <v:fill type="solid"/>
            </v:shape>
            <w10:wrap type="none"/>
          </v:group>
        </w:pict>
      </w:r>
      <w:r>
        <w:rPr>
          <w:rFonts w:ascii="宋体" w:hAnsi="宋体" w:cs="宋体" w:eastAsia="宋体" w:hint="default"/>
          <w:sz w:val="18"/>
          <w:szCs w:val="18"/>
        </w:rPr>
        <w:t>主要子公司、参股公司情况说明</w:t>
      </w:r>
    </w:p>
    <w:p>
      <w:pPr>
        <w:pStyle w:val="BodyText"/>
        <w:spacing w:line="266" w:lineRule="auto" w:before="92"/>
        <w:ind w:left="732" w:right="777" w:firstLine="420"/>
        <w:jc w:val="left"/>
      </w:pPr>
      <w:r>
        <w:rPr/>
        <w:t>上海天天基金销售有限公司</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年度实现收入较上年同期大幅度增长，主要受益于资本市场的持续</w:t>
      </w:r>
      <w:r>
        <w:rPr>
          <w:w w:val="99"/>
        </w:rPr>
        <w:t> </w:t>
      </w:r>
      <w:r>
        <w:rPr>
          <w:w w:val="95"/>
        </w:rPr>
        <w:t>回暖和活跃，基金第三方销售服务业务实现了快速发展，互联网金融电子商务平台基金销售规模同比大幅</w:t>
      </w:r>
      <w:r>
        <w:rPr>
          <w:spacing w:val="40"/>
          <w:w w:val="95"/>
        </w:rPr>
        <w:t> </w:t>
      </w:r>
      <w:r>
        <w:rPr>
          <w:spacing w:val="40"/>
          <w:w w:val="95"/>
        </w:rPr>
      </w:r>
      <w:r>
        <w:rPr>
          <w:w w:val="95"/>
        </w:rPr>
        <w:t>上升，互联网金融电子商务服务业务收入同比大幅增长，特别是第四季度基金销售规模和收入增加更为明   </w:t>
      </w:r>
      <w:r>
        <w:rPr>
          <w:spacing w:val="40"/>
          <w:w w:val="95"/>
        </w:rPr>
        <w:t> </w:t>
      </w:r>
      <w:r>
        <w:rPr>
          <w:spacing w:val="40"/>
          <w:w w:val="95"/>
        </w:rPr>
      </w:r>
      <w:r>
        <w:rPr/>
        <w:t>显。</w:t>
      </w:r>
    </w:p>
    <w:p>
      <w:pPr>
        <w:spacing w:before="80"/>
        <w:ind w:left="732" w:right="6934"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732" w:right="6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500" w:type="dxa"/>
        <w:tblLayout w:type="fixed"/>
        <w:tblCellMar>
          <w:top w:w="0" w:type="dxa"/>
          <w:left w:w="0" w:type="dxa"/>
          <w:bottom w:w="0" w:type="dxa"/>
          <w:right w:w="0" w:type="dxa"/>
        </w:tblCellMar>
        <w:tblLook w:val="01E0"/>
      </w:tblPr>
      <w:tblGrid>
        <w:gridCol w:w="2392"/>
        <w:gridCol w:w="3420"/>
        <w:gridCol w:w="1372"/>
        <w:gridCol w:w="2911"/>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1" w:right="49"/>
              <w:jc w:val="left"/>
              <w:rPr>
                <w:rFonts w:ascii="宋体" w:hAnsi="宋体" w:cs="宋体" w:eastAsia="宋体" w:hint="default"/>
                <w:sz w:val="18"/>
                <w:szCs w:val="18"/>
              </w:rPr>
            </w:pPr>
            <w:r>
              <w:rPr>
                <w:rFonts w:ascii="宋体" w:hAnsi="宋体" w:cs="宋体" w:eastAsia="宋体" w:hint="default"/>
                <w:sz w:val="18"/>
                <w:szCs w:val="18"/>
              </w:rPr>
              <w:t>报告期内取得和 处置子公司方式</w:t>
            </w:r>
          </w:p>
        </w:tc>
        <w:tc>
          <w:tcPr>
            <w:tcW w:w="2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上海东方财富管理专修学院</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为进一步整合业务，提高管理效率，降低运</w:t>
            </w:r>
            <w:r>
              <w:rPr>
                <w:rFonts w:ascii="宋体" w:hAnsi="宋体" w:cs="宋体" w:eastAsia="宋体" w:hint="default"/>
                <w:sz w:val="18"/>
                <w:szCs w:val="18"/>
              </w:rPr>
              <w:t> 营成本，进一步优化资源配置。</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6"/>
              <w:jc w:val="left"/>
              <w:rPr>
                <w:rFonts w:ascii="宋体" w:hAnsi="宋体" w:cs="宋体" w:eastAsia="宋体" w:hint="default"/>
                <w:sz w:val="18"/>
                <w:szCs w:val="18"/>
              </w:rPr>
            </w:pPr>
            <w:r>
              <w:rPr>
                <w:rFonts w:ascii="宋体" w:hAnsi="宋体" w:cs="宋体" w:eastAsia="宋体" w:hint="default"/>
                <w:sz w:val="18"/>
                <w:szCs w:val="18"/>
              </w:rPr>
              <w:t>不会对公司整体业务发展和盈利水 平产生不利影响。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上海东银软件科技有限公司</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为进一步整合业务，提高管理效率，降低运</w:t>
            </w:r>
            <w:r>
              <w:rPr>
                <w:rFonts w:ascii="宋体" w:hAnsi="宋体" w:cs="宋体" w:eastAsia="宋体" w:hint="default"/>
                <w:sz w:val="18"/>
                <w:szCs w:val="18"/>
              </w:rPr>
              <w:t> 营成本，进一步优化资源配置。</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6"/>
              <w:jc w:val="left"/>
              <w:rPr>
                <w:rFonts w:ascii="宋体" w:hAnsi="宋体" w:cs="宋体" w:eastAsia="宋体" w:hint="default"/>
                <w:sz w:val="18"/>
                <w:szCs w:val="18"/>
              </w:rPr>
            </w:pPr>
            <w:r>
              <w:rPr>
                <w:rFonts w:ascii="宋体" w:hAnsi="宋体" w:cs="宋体" w:eastAsia="宋体" w:hint="default"/>
                <w:sz w:val="18"/>
                <w:szCs w:val="18"/>
              </w:rPr>
              <w:t>不会对公司整体业务发展和盈利水 平产生不利影响。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上海中经商务咨询有限公司</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3"/>
                <w:sz w:val="18"/>
                <w:szCs w:val="18"/>
              </w:rPr>
              <w:t>为进一步整合业务，提高管理效率，降低运</w:t>
            </w:r>
            <w:r>
              <w:rPr>
                <w:rFonts w:ascii="宋体" w:hAnsi="宋体" w:cs="宋体" w:eastAsia="宋体" w:hint="default"/>
                <w:sz w:val="18"/>
                <w:szCs w:val="18"/>
              </w:rPr>
              <w:t> 营成本，进一步优化资源配置。</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76"/>
              <w:jc w:val="left"/>
              <w:rPr>
                <w:rFonts w:ascii="宋体" w:hAnsi="宋体" w:cs="宋体" w:eastAsia="宋体" w:hint="default"/>
                <w:sz w:val="18"/>
                <w:szCs w:val="18"/>
              </w:rPr>
            </w:pPr>
            <w:r>
              <w:rPr>
                <w:rFonts w:ascii="宋体" w:hAnsi="宋体" w:cs="宋体" w:eastAsia="宋体" w:hint="default"/>
                <w:sz w:val="18"/>
                <w:szCs w:val="18"/>
              </w:rPr>
              <w:t>不会对公司整体业务发展和盈利水 平产生不利影响。</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上海长盛电子商务有限公司</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继续深化和巩固在行业的市场领先地位，拓</w:t>
            </w:r>
            <w:r>
              <w:rPr>
                <w:rFonts w:ascii="宋体" w:hAnsi="宋体" w:cs="宋体" w:eastAsia="宋体" w:hint="default"/>
                <w:sz w:val="18"/>
                <w:szCs w:val="18"/>
              </w:rPr>
              <w:t> </w:t>
            </w:r>
            <w:r>
              <w:rPr>
                <w:rFonts w:ascii="宋体" w:hAnsi="宋体" w:cs="宋体" w:eastAsia="宋体" w:hint="default"/>
                <w:spacing w:val="-3"/>
                <w:sz w:val="18"/>
                <w:szCs w:val="18"/>
              </w:rPr>
              <w:t>宽市场覆盖面，延伸和拓展服务领域及服务</w:t>
            </w:r>
            <w:r>
              <w:rPr>
                <w:rFonts w:ascii="宋体" w:hAnsi="宋体" w:cs="宋体" w:eastAsia="宋体" w:hint="default"/>
                <w:sz w:val="18"/>
                <w:szCs w:val="18"/>
              </w:rPr>
              <w:t> 范围。</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成立全资子公司</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
              <w:jc w:val="left"/>
              <w:rPr>
                <w:rFonts w:ascii="宋体" w:hAnsi="宋体" w:cs="宋体" w:eastAsia="宋体" w:hint="default"/>
                <w:sz w:val="18"/>
                <w:szCs w:val="18"/>
              </w:rPr>
            </w:pPr>
            <w:r>
              <w:rPr>
                <w:rFonts w:ascii="宋体" w:hAnsi="宋体" w:cs="宋体" w:eastAsia="宋体" w:hint="default"/>
                <w:sz w:val="18"/>
                <w:szCs w:val="18"/>
              </w:rPr>
              <w:t>进一步拓展和深化公司专业化服务 能力和水平，提升公司市场竞争力。</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pacing w:val="-3"/>
                <w:sz w:val="18"/>
                <w:szCs w:val="18"/>
              </w:rPr>
              <w:t>为了拓宽市场覆盖面，延伸和拓展服务领域</w:t>
            </w:r>
            <w:r>
              <w:rPr>
                <w:rFonts w:ascii="宋体" w:hAnsi="宋体" w:cs="宋体" w:eastAsia="宋体" w:hint="default"/>
                <w:sz w:val="18"/>
                <w:szCs w:val="18"/>
              </w:rPr>
              <w:t> </w:t>
            </w:r>
            <w:r>
              <w:rPr>
                <w:rFonts w:ascii="宋体" w:hAnsi="宋体" w:cs="宋体" w:eastAsia="宋体" w:hint="default"/>
                <w:spacing w:val="-3"/>
                <w:sz w:val="18"/>
                <w:szCs w:val="18"/>
              </w:rPr>
              <w:t>及服务范围，积极开拓海外市场，推动公司</w:t>
            </w:r>
            <w:r>
              <w:rPr>
                <w:rFonts w:ascii="宋体" w:hAnsi="宋体" w:cs="宋体" w:eastAsia="宋体" w:hint="default"/>
                <w:sz w:val="18"/>
                <w:szCs w:val="18"/>
              </w:rPr>
              <w:t> 产品与服务的海外市场拓展。</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成立全资子公司</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拓宽公司服务覆盖面，提升公司市场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竞争力。</w:t>
            </w: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34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进一步延伸和拓展公司互联网金融服务业</w:t>
            </w:r>
          </w:p>
        </w:tc>
        <w:tc>
          <w:tcPr>
            <w:tcW w:w="1372" w:type="dxa"/>
            <w:tcBorders>
              <w:top w:val="single" w:sz="4" w:space="0" w:color="000000"/>
              <w:left w:val="single" w:sz="4" w:space="0" w:color="000000"/>
              <w:bottom w:val="nil" w:sz="6" w:space="0" w:color="auto"/>
              <w:right w:val="single" w:sz="4" w:space="0" w:color="000000"/>
            </w:tcBorders>
          </w:tcPr>
          <w:p>
            <w:pPr/>
          </w:p>
        </w:tc>
        <w:tc>
          <w:tcPr>
            <w:tcW w:w="2911"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上海东睿资产管理有限公司</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3"/>
                <w:sz w:val="18"/>
                <w:szCs w:val="18"/>
              </w:rPr>
              <w:t>务的领域和范围，为投资者提供更广泛的投</w:t>
            </w:r>
            <w:r>
              <w:rPr>
                <w:rFonts w:ascii="宋体" w:hAnsi="宋体" w:cs="宋体" w:eastAsia="宋体" w:hint="default"/>
                <w:sz w:val="18"/>
                <w:szCs w:val="18"/>
              </w:rPr>
              <w:t> </w:t>
            </w:r>
            <w:r>
              <w:rPr>
                <w:rFonts w:ascii="宋体" w:hAnsi="宋体" w:cs="宋体" w:eastAsia="宋体" w:hint="default"/>
                <w:spacing w:val="-3"/>
                <w:sz w:val="18"/>
                <w:szCs w:val="18"/>
              </w:rPr>
              <w:t>资理财渠道，更好地满足投资者金融投资理</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成立全资子公司</w:t>
            </w: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
              <w:jc w:val="left"/>
              <w:rPr>
                <w:rFonts w:ascii="宋体" w:hAnsi="宋体" w:cs="宋体" w:eastAsia="宋体" w:hint="default"/>
                <w:sz w:val="18"/>
                <w:szCs w:val="18"/>
              </w:rPr>
            </w:pPr>
            <w:r>
              <w:rPr>
                <w:rFonts w:ascii="宋体" w:hAnsi="宋体" w:cs="宋体" w:eastAsia="宋体" w:hint="default"/>
                <w:sz w:val="18"/>
                <w:szCs w:val="18"/>
              </w:rPr>
              <w:t>进一步拓展和深化公司专业化服务 能力和水平，提升公司市场竞争力。</w:t>
            </w:r>
          </w:p>
        </w:tc>
      </w:tr>
      <w:tr>
        <w:trPr>
          <w:trHeight w:val="354" w:hRule="exact"/>
        </w:trPr>
        <w:tc>
          <w:tcPr>
            <w:tcW w:w="2392" w:type="dxa"/>
            <w:tcBorders>
              <w:top w:val="nil" w:sz="6" w:space="0" w:color="auto"/>
              <w:left w:val="single" w:sz="4" w:space="0" w:color="000000"/>
              <w:bottom w:val="single" w:sz="4" w:space="0" w:color="000000"/>
              <w:right w:val="single" w:sz="4" w:space="0" w:color="000000"/>
            </w:tcBorders>
          </w:tcPr>
          <w:p>
            <w:pPr/>
          </w:p>
        </w:tc>
        <w:tc>
          <w:tcPr>
            <w:tcW w:w="34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财的需求。</w:t>
            </w:r>
          </w:p>
        </w:tc>
        <w:tc>
          <w:tcPr>
            <w:tcW w:w="1372" w:type="dxa"/>
            <w:tcBorders>
              <w:top w:val="nil" w:sz="6" w:space="0" w:color="auto"/>
              <w:left w:val="single" w:sz="4" w:space="0" w:color="000000"/>
              <w:bottom w:val="single" w:sz="4" w:space="0" w:color="000000"/>
              <w:right w:val="single" w:sz="4" w:space="0" w:color="000000"/>
            </w:tcBorders>
          </w:tcPr>
          <w:p>
            <w:pPr/>
          </w:p>
        </w:tc>
        <w:tc>
          <w:tcPr>
            <w:tcW w:w="2911"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8" w:header="776" w:top="1100" w:bottom="1160" w:left="400" w:right="400"/>
          <w:pgNumType w:start="2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392"/>
        <w:gridCol w:w="3420"/>
        <w:gridCol w:w="1372"/>
        <w:gridCol w:w="2911"/>
      </w:tblGrid>
      <w:tr>
        <w:trPr>
          <w:trHeight w:val="356" w:hRule="exact"/>
        </w:trPr>
        <w:tc>
          <w:tcPr>
            <w:tcW w:w="2392" w:type="dxa"/>
            <w:tcBorders>
              <w:top w:val="single" w:sz="4" w:space="0" w:color="000000"/>
              <w:left w:val="single" w:sz="4" w:space="0" w:color="000000"/>
              <w:bottom w:val="nil" w:sz="6" w:space="0" w:color="auto"/>
              <w:right w:val="single" w:sz="4" w:space="0" w:color="000000"/>
            </w:tcBorders>
          </w:tcPr>
          <w:p>
            <w:pPr/>
          </w:p>
        </w:tc>
        <w:tc>
          <w:tcPr>
            <w:tcW w:w="34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进一步延伸和拓展公司互联网金融服务业</w:t>
            </w:r>
          </w:p>
        </w:tc>
        <w:tc>
          <w:tcPr>
            <w:tcW w:w="1372" w:type="dxa"/>
            <w:tcBorders>
              <w:top w:val="single" w:sz="4" w:space="0" w:color="000000"/>
              <w:left w:val="single" w:sz="4" w:space="0" w:color="000000"/>
              <w:bottom w:val="nil" w:sz="6" w:space="0" w:color="auto"/>
              <w:right w:val="single" w:sz="4" w:space="0" w:color="000000"/>
            </w:tcBorders>
          </w:tcPr>
          <w:p>
            <w:pPr/>
          </w:p>
        </w:tc>
        <w:tc>
          <w:tcPr>
            <w:tcW w:w="2911"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6"/>
              <w:jc w:val="left"/>
              <w:rPr>
                <w:rFonts w:ascii="宋体" w:hAnsi="宋体" w:cs="宋体" w:eastAsia="宋体" w:hint="default"/>
                <w:sz w:val="18"/>
                <w:szCs w:val="18"/>
              </w:rPr>
            </w:pPr>
            <w:r>
              <w:rPr>
                <w:rFonts w:ascii="宋体" w:hAnsi="宋体" w:cs="宋体" w:eastAsia="宋体" w:hint="default"/>
                <w:sz w:val="18"/>
                <w:szCs w:val="18"/>
              </w:rPr>
              <w:t>上海东鑫互联网金融服务有 限公司</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3"/>
                <w:sz w:val="18"/>
                <w:szCs w:val="18"/>
              </w:rPr>
              <w:t>务的领域和范围，为投资者提供更广泛的投</w:t>
            </w:r>
            <w:r>
              <w:rPr>
                <w:rFonts w:ascii="宋体" w:hAnsi="宋体" w:cs="宋体" w:eastAsia="宋体" w:hint="default"/>
                <w:sz w:val="18"/>
                <w:szCs w:val="18"/>
              </w:rPr>
              <w:t> </w:t>
            </w:r>
            <w:r>
              <w:rPr>
                <w:rFonts w:ascii="宋体" w:hAnsi="宋体" w:cs="宋体" w:eastAsia="宋体" w:hint="default"/>
                <w:spacing w:val="-3"/>
                <w:sz w:val="18"/>
                <w:szCs w:val="18"/>
              </w:rPr>
              <w:t>资理财渠道，更好地满足投资者金融投资理</w:t>
            </w:r>
          </w:p>
        </w:tc>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成立全资子公司</w:t>
            </w:r>
          </w:p>
        </w:tc>
        <w:tc>
          <w:tcPr>
            <w:tcW w:w="291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
              <w:jc w:val="left"/>
              <w:rPr>
                <w:rFonts w:ascii="宋体" w:hAnsi="宋体" w:cs="宋体" w:eastAsia="宋体" w:hint="default"/>
                <w:sz w:val="18"/>
                <w:szCs w:val="18"/>
              </w:rPr>
            </w:pPr>
            <w:r>
              <w:rPr>
                <w:rFonts w:ascii="宋体" w:hAnsi="宋体" w:cs="宋体" w:eastAsia="宋体" w:hint="default"/>
                <w:sz w:val="18"/>
                <w:szCs w:val="18"/>
              </w:rPr>
              <w:t>进一步拓展和深化公司专业化服务 能力和水平，提升公司市场竞争力。</w:t>
            </w:r>
          </w:p>
        </w:tc>
      </w:tr>
      <w:tr>
        <w:trPr>
          <w:trHeight w:val="358" w:hRule="exact"/>
        </w:trPr>
        <w:tc>
          <w:tcPr>
            <w:tcW w:w="2392" w:type="dxa"/>
            <w:tcBorders>
              <w:top w:val="nil" w:sz="6" w:space="0" w:color="auto"/>
              <w:left w:val="single" w:sz="4" w:space="0" w:color="000000"/>
              <w:bottom w:val="single" w:sz="4" w:space="0" w:color="000000"/>
              <w:right w:val="single" w:sz="4" w:space="0" w:color="000000"/>
            </w:tcBorders>
          </w:tcPr>
          <w:p>
            <w:pPr/>
          </w:p>
        </w:tc>
        <w:tc>
          <w:tcPr>
            <w:tcW w:w="34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财的需求。</w:t>
            </w:r>
          </w:p>
        </w:tc>
        <w:tc>
          <w:tcPr>
            <w:tcW w:w="1372" w:type="dxa"/>
            <w:tcBorders>
              <w:top w:val="nil" w:sz="6" w:space="0" w:color="auto"/>
              <w:left w:val="single" w:sz="4" w:space="0" w:color="000000"/>
              <w:bottom w:val="single" w:sz="4" w:space="0" w:color="000000"/>
              <w:right w:val="single" w:sz="4" w:space="0" w:color="000000"/>
            </w:tcBorders>
          </w:tcPr>
          <w:p>
            <w:pPr/>
          </w:p>
        </w:tc>
        <w:tc>
          <w:tcPr>
            <w:tcW w:w="2911" w:type="dxa"/>
            <w:tcBorders>
              <w:top w:val="nil" w:sz="6" w:space="0" w:color="auto"/>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5"/>
        <w:spacing w:line="240" w:lineRule="auto" w:before="34"/>
        <w:ind w:left="332" w:right="0"/>
        <w:jc w:val="both"/>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7"/>
        <w:rPr>
          <w:rFonts w:ascii="宋体" w:hAnsi="宋体" w:cs="宋体" w:eastAsia="宋体" w:hint="default"/>
          <w:b/>
          <w:bCs/>
          <w:sz w:val="26"/>
          <w:szCs w:val="26"/>
        </w:rPr>
      </w:pPr>
    </w:p>
    <w:p>
      <w:pPr>
        <w:spacing w:before="0"/>
        <w:ind w:left="33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left="332" w:right="0"/>
        <w:jc w:val="both"/>
        <w:rPr>
          <w:b w:val="0"/>
          <w:bCs w:val="0"/>
        </w:rPr>
      </w:pPr>
      <w:r>
        <w:rPr/>
        <w:t>二、公司未来发展的展望</w:t>
      </w:r>
      <w:r>
        <w:rPr>
          <w:b w:val="0"/>
          <w:bCs w:val="0"/>
        </w:rPr>
      </w:r>
    </w:p>
    <w:p>
      <w:pPr>
        <w:spacing w:line="240" w:lineRule="auto" w:before="7"/>
        <w:rPr>
          <w:rFonts w:ascii="宋体" w:hAnsi="宋体" w:cs="宋体" w:eastAsia="宋体" w:hint="default"/>
          <w:b/>
          <w:bCs/>
          <w:sz w:val="24"/>
          <w:szCs w:val="24"/>
        </w:rPr>
      </w:pPr>
    </w:p>
    <w:p>
      <w:pPr>
        <w:pStyle w:val="BodyText"/>
        <w:spacing w:line="307" w:lineRule="auto" w:before="0"/>
        <w:ind w:left="752" w:right="285"/>
        <w:jc w:val="left"/>
      </w:pPr>
      <w:r>
        <w:rPr/>
        <w:t>（一）公司所处行业的宏观经济趋势</w:t>
      </w:r>
      <w:r>
        <w:rPr>
          <w:w w:val="99"/>
        </w:rPr>
        <w:t> </w:t>
      </w:r>
      <w:r>
        <w:rPr/>
        <w:t>1、国家、地方政策大力支持及“沪港通”的开通，给行业的发展带来难得发展机遇</w:t>
      </w:r>
      <w:r>
        <w:rPr>
          <w:w w:val="99"/>
        </w:rPr>
        <w:t> </w:t>
      </w:r>
      <w:r>
        <w:rPr>
          <w:w w:val="95"/>
        </w:rPr>
        <w:t>国家“十二五规划”和工信部发布的《电子商务“十二五”发展规划》，提出了“要以科技手段促进</w:t>
      </w:r>
      <w:r>
        <w:rPr/>
      </w:r>
    </w:p>
    <w:p>
      <w:pPr>
        <w:pStyle w:val="BodyText"/>
        <w:spacing w:line="253" w:lineRule="exact" w:before="0"/>
        <w:ind w:left="332" w:right="0"/>
        <w:jc w:val="both"/>
      </w:pPr>
      <w:r>
        <w:rPr/>
        <w:t>金融服务与管理创新，提高金融信息化水平。”、“有序拓展金融服务业”和“全面提升金融服务水平”、</w:t>
      </w:r>
    </w:p>
    <w:p>
      <w:pPr>
        <w:pStyle w:val="BodyText"/>
        <w:spacing w:line="273" w:lineRule="auto" w:before="37"/>
        <w:ind w:left="332" w:right="352"/>
        <w:jc w:val="both"/>
      </w:pPr>
      <w:r>
        <w:rPr>
          <w:w w:val="95"/>
        </w:rPr>
        <w:t>“推动金融等行业应用电子商务，促进行业服务方式的转变”等任务和目标。2014 年，国务院及上海市政</w:t>
      </w:r>
      <w:r>
        <w:rPr>
          <w:spacing w:val="38"/>
          <w:w w:val="95"/>
        </w:rPr>
        <w:t> </w:t>
      </w:r>
      <w:r>
        <w:rPr>
          <w:spacing w:val="38"/>
          <w:w w:val="95"/>
        </w:rPr>
      </w:r>
      <w:r>
        <w:rPr>
          <w:w w:val="95"/>
        </w:rPr>
        <w:t>府也相继出台了相关行业扶持政策及意见，同时，又迎来了国家推进“沪港通”和促进中国资本市场国际</w:t>
      </w:r>
      <w:r>
        <w:rPr>
          <w:spacing w:val="39"/>
          <w:w w:val="95"/>
        </w:rPr>
        <w:t> </w:t>
      </w:r>
      <w:r>
        <w:rPr>
          <w:spacing w:val="39"/>
          <w:w w:val="95"/>
        </w:rPr>
      </w:r>
      <w:r>
        <w:rPr>
          <w:w w:val="95"/>
        </w:rPr>
        <w:t>化等重大举措。随着国家及地方政府具体政策的不断出台和落实，以及“沪港通”的进一步深化和中国资</w:t>
      </w:r>
      <w:r>
        <w:rPr>
          <w:spacing w:val="38"/>
          <w:w w:val="95"/>
        </w:rPr>
        <w:t> </w:t>
      </w:r>
      <w:r>
        <w:rPr>
          <w:spacing w:val="38"/>
          <w:w w:val="95"/>
        </w:rPr>
      </w:r>
      <w:r>
        <w:rPr/>
        <w:t>本市场国际化进程的不断推进，公司所在的互联网金融服务行业也将迎来难得的发展机遇。</w:t>
      </w:r>
    </w:p>
    <w:p>
      <w:pPr>
        <w:pStyle w:val="BodyText"/>
        <w:spacing w:line="273" w:lineRule="auto" w:before="46"/>
        <w:ind w:left="332" w:right="285" w:firstLine="420"/>
        <w:jc w:val="left"/>
      </w:pPr>
      <w:r>
        <w:rPr>
          <w:w w:val="95"/>
        </w:rPr>
        <w:t>2、互联网快速普及，手机上网人群规模不断扩大，移动端上网速度不断提升，进一步拓展了行业发</w:t>
      </w:r>
      <w:r>
        <w:rPr>
          <w:spacing w:val="-85"/>
          <w:w w:val="95"/>
        </w:rPr>
        <w:t> </w:t>
      </w:r>
      <w:r>
        <w:rPr>
          <w:spacing w:val="-85"/>
          <w:w w:val="95"/>
        </w:rPr>
      </w:r>
      <w:r>
        <w:rPr/>
        <w:t>展空间</w:t>
      </w:r>
    </w:p>
    <w:p>
      <w:pPr>
        <w:pStyle w:val="BodyText"/>
        <w:spacing w:line="240" w:lineRule="auto" w:before="48"/>
        <w:ind w:left="752" w:right="285"/>
        <w:jc w:val="left"/>
      </w:pPr>
      <w:r>
        <w:rPr/>
        <w:t>根据中国互联网络信息中心（CNNIC）发布的《第</w:t>
      </w:r>
      <w:r>
        <w:rPr>
          <w:spacing w:val="-73"/>
        </w:rPr>
        <w:t> </w:t>
      </w:r>
      <w:r>
        <w:rPr/>
        <w:t>35</w:t>
      </w:r>
      <w:r>
        <w:rPr>
          <w:spacing w:val="-75"/>
        </w:rPr>
        <w:t> </w:t>
      </w:r>
      <w:r>
        <w:rPr/>
        <w:t>次中国互联网络发展状况统计报告》显示，截至</w:t>
      </w:r>
    </w:p>
    <w:p>
      <w:pPr>
        <w:pStyle w:val="BodyText"/>
        <w:spacing w:line="240" w:lineRule="auto" w:before="37"/>
        <w:ind w:left="332" w:right="0"/>
        <w:jc w:val="both"/>
      </w:pPr>
      <w:r>
        <w:rPr/>
        <w:t>2014</w:t>
      </w:r>
      <w:r>
        <w:rPr>
          <w:spacing w:val="-57"/>
        </w:rPr>
        <w:t> </w:t>
      </w:r>
      <w:r>
        <w:rPr/>
        <w:t>年</w:t>
      </w:r>
      <w:r>
        <w:rPr>
          <w:spacing w:val="-53"/>
        </w:rPr>
        <w:t> </w:t>
      </w:r>
      <w:r>
        <w:rPr/>
        <w:t>12</w:t>
      </w:r>
      <w:r>
        <w:rPr>
          <w:spacing w:val="-57"/>
        </w:rPr>
        <w:t> </w:t>
      </w:r>
      <w:r>
        <w:rPr/>
        <w:t>月底，我国网民规模达</w:t>
      </w:r>
      <w:r>
        <w:rPr>
          <w:spacing w:val="-53"/>
        </w:rPr>
        <w:t> </w:t>
      </w:r>
      <w:r>
        <w:rPr/>
        <w:t>6.49</w:t>
      </w:r>
      <w:r>
        <w:rPr>
          <w:spacing w:val="-57"/>
        </w:rPr>
        <w:t> </w:t>
      </w:r>
      <w:r>
        <w:rPr/>
        <w:t>亿，手机网民规模达</w:t>
      </w:r>
      <w:r>
        <w:rPr>
          <w:spacing w:val="-56"/>
        </w:rPr>
        <w:t> </w:t>
      </w:r>
      <w:r>
        <w:rPr/>
        <w:t>5.57</w:t>
      </w:r>
      <w:r>
        <w:rPr>
          <w:spacing w:val="-57"/>
        </w:rPr>
        <w:t> </w:t>
      </w:r>
      <w:r>
        <w:rPr/>
        <w:t>亿，网民中使用手机上网的人群占比达</w:t>
      </w:r>
    </w:p>
    <w:p>
      <w:pPr>
        <w:pStyle w:val="BodyText"/>
        <w:spacing w:line="240" w:lineRule="auto" w:before="37"/>
        <w:ind w:left="332" w:right="0"/>
        <w:jc w:val="both"/>
      </w:pPr>
      <w:r>
        <w:rPr/>
        <w:t>到 85.8%</w:t>
      </w:r>
      <w:r>
        <w:rPr>
          <w:spacing w:val="-59"/>
        </w:rPr>
        <w:t> </w:t>
      </w:r>
      <w:r>
        <w:rPr/>
        <w:t>。如图所示：</w:t>
      </w:r>
    </w:p>
    <w:p>
      <w:pPr>
        <w:spacing w:line="240" w:lineRule="auto" w:before="8"/>
        <w:rPr>
          <w:rFonts w:ascii="宋体" w:hAnsi="宋体" w:cs="宋体" w:eastAsia="宋体" w:hint="default"/>
          <w:sz w:val="8"/>
          <w:szCs w:val="8"/>
        </w:rPr>
      </w:pPr>
    </w:p>
    <w:p>
      <w:pPr>
        <w:spacing w:line="4320" w:lineRule="exact"/>
        <w:ind w:left="1688"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394446" cy="27432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4394446" cy="2743200"/>
                    </a:xfrm>
                    <a:prstGeom prst="rect">
                      <a:avLst/>
                    </a:prstGeom>
                  </pic:spPr>
                </pic:pic>
              </a:graphicData>
            </a:graphic>
          </wp:inline>
        </w:drawing>
      </w:r>
      <w:r>
        <w:rPr>
          <w:rFonts w:ascii="宋体" w:hAnsi="宋体" w:cs="宋体" w:eastAsia="宋体" w:hint="default"/>
          <w:position w:val="-85"/>
          <w:sz w:val="20"/>
          <w:szCs w:val="20"/>
        </w:rPr>
      </w:r>
    </w:p>
    <w:p>
      <w:pPr>
        <w:spacing w:after="0" w:line="4320" w:lineRule="exact"/>
        <w:rPr>
          <w:rFonts w:ascii="宋体" w:hAnsi="宋体" w:cs="宋体" w:eastAsia="宋体" w:hint="default"/>
          <w:sz w:val="20"/>
          <w:szCs w:val="20"/>
        </w:rPr>
        <w:sectPr>
          <w:pgSz w:w="11910" w:h="16840"/>
          <w:pgMar w:header="776" w:footer="978" w:top="1100" w:bottom="1160" w:left="800" w:right="7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p>
      <w:pPr>
        <w:spacing w:line="4467" w:lineRule="exact"/>
        <w:ind w:left="1369"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4532976" cy="283692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8" cstate="print"/>
                    <a:stretch>
                      <a:fillRect/>
                    </a:stretch>
                  </pic:blipFill>
                  <pic:spPr>
                    <a:xfrm>
                      <a:off x="0" y="0"/>
                      <a:ext cx="4532976" cy="2836926"/>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3"/>
        <w:rPr>
          <w:rFonts w:ascii="宋体" w:hAnsi="宋体" w:cs="宋体" w:eastAsia="宋体" w:hint="default"/>
          <w:sz w:val="7"/>
          <w:szCs w:val="7"/>
        </w:rPr>
      </w:pPr>
    </w:p>
    <w:p>
      <w:pPr>
        <w:pStyle w:val="BodyText"/>
        <w:spacing w:line="273" w:lineRule="auto" w:before="34"/>
        <w:ind w:right="215" w:firstLine="420"/>
        <w:jc w:val="both"/>
      </w:pPr>
      <w:r>
        <w:rPr/>
        <w:t>同时，Wi-Fi、3G、4G</w:t>
      </w:r>
      <w:r>
        <w:rPr>
          <w:spacing w:val="-65"/>
        </w:rPr>
        <w:t> </w:t>
      </w:r>
      <w:r>
        <w:rPr/>
        <w:t>等技术不断成熟，手机等移动端上网速度和体验得到进一步提升，基于移动端</w:t>
      </w:r>
      <w:r>
        <w:rPr>
          <w:w w:val="99"/>
        </w:rPr>
        <w:t> </w:t>
      </w:r>
      <w:r>
        <w:rPr>
          <w:w w:val="95"/>
        </w:rPr>
        <w:t>的网络财经信息服务和互联网金融服务的用户体验也不断得到提升，延伸和拓展了行业的服务范围，丰富</w:t>
      </w:r>
      <w:r>
        <w:rPr>
          <w:spacing w:val="37"/>
          <w:w w:val="95"/>
        </w:rPr>
        <w:t> </w:t>
      </w:r>
      <w:r>
        <w:rPr>
          <w:spacing w:val="37"/>
          <w:w w:val="95"/>
        </w:rPr>
      </w:r>
      <w:r>
        <w:rPr/>
        <w:t>了行业服务的模式，进一步拓展了行业的发展空间。</w:t>
      </w:r>
    </w:p>
    <w:p>
      <w:pPr>
        <w:pStyle w:val="BodyText"/>
        <w:spacing w:line="240" w:lineRule="auto" w:before="48"/>
        <w:ind w:left="532" w:right="105"/>
        <w:jc w:val="left"/>
      </w:pPr>
      <w:r>
        <w:rPr/>
        <w:t>3、国内资本市场持续回暖和活跃，投资者投资理财热情提升，互联网金融服务行业迎来发展良机</w:t>
      </w:r>
    </w:p>
    <w:p>
      <w:pPr>
        <w:pStyle w:val="BodyText"/>
        <w:spacing w:line="273" w:lineRule="auto" w:before="78"/>
        <w:ind w:right="105" w:firstLine="420"/>
        <w:jc w:val="left"/>
      </w:pPr>
      <w:r>
        <w:rPr/>
        <w:t>2014</w:t>
      </w:r>
      <w:r>
        <w:rPr>
          <w:spacing w:val="-81"/>
        </w:rPr>
        <w:t> </w:t>
      </w:r>
      <w:r>
        <w:rPr/>
        <w:t>年下半年以来，国内资本市场持续活跃，市场交易规模大幅增长，上证指数和深证成指全年涨幅</w:t>
      </w:r>
      <w:r>
        <w:rPr>
          <w:w w:val="99"/>
        </w:rPr>
        <w:t> </w:t>
      </w:r>
      <w:r>
        <w:rPr/>
        <w:t>分别达到</w:t>
      </w:r>
      <w:r>
        <w:rPr>
          <w:spacing w:val="-55"/>
        </w:rPr>
        <w:t> </w:t>
      </w:r>
      <w:r>
        <w:rPr/>
        <w:t>52.87%和</w:t>
      </w:r>
      <w:r>
        <w:rPr>
          <w:spacing w:val="-58"/>
        </w:rPr>
        <w:t> </w:t>
      </w:r>
      <w:r>
        <w:rPr>
          <w:spacing w:val="-4"/>
        </w:rPr>
        <w:t>35.62%，特别是第四季度，上证指数和深证成指单季度涨幅分别达到</w:t>
      </w:r>
      <w:r>
        <w:rPr>
          <w:spacing w:val="-55"/>
        </w:rPr>
        <w:t> </w:t>
      </w:r>
      <w:r>
        <w:rPr/>
        <w:t>36.84%和</w:t>
      </w:r>
      <w:r>
        <w:rPr>
          <w:spacing w:val="-55"/>
        </w:rPr>
        <w:t> </w:t>
      </w:r>
      <w:r>
        <w:rPr/>
        <w:t>36.31%，</w:t>
      </w:r>
      <w:r>
        <w:rPr>
          <w:w w:val="99"/>
        </w:rPr>
        <w:t> </w:t>
      </w:r>
      <w:r>
        <w:rPr/>
        <w:t>两市单日最高成交量达到</w:t>
      </w:r>
      <w:r>
        <w:rPr>
          <w:spacing w:val="-56"/>
        </w:rPr>
        <w:t> </w:t>
      </w:r>
      <w:r>
        <w:rPr/>
        <w:t>12,438.91</w:t>
      </w:r>
      <w:r>
        <w:rPr>
          <w:spacing w:val="-60"/>
        </w:rPr>
        <w:t> </w:t>
      </w:r>
      <w:r>
        <w:rPr/>
        <w:t>亿元，资本市场的持续活跃和回暖，提升了投资者的投资理财热情，</w:t>
      </w:r>
      <w:r>
        <w:rPr>
          <w:w w:val="99"/>
        </w:rPr>
        <w:t> </w:t>
      </w:r>
      <w:r>
        <w:rPr/>
        <w:t>投资者规模进一步增长。根据中国证券登记结算有限责任公司最新统计，2014</w:t>
      </w:r>
      <w:r>
        <w:rPr>
          <w:spacing w:val="-58"/>
        </w:rPr>
        <w:t> </w:t>
      </w:r>
      <w:r>
        <w:rPr/>
        <w:t>年</w:t>
      </w:r>
      <w:r>
        <w:rPr>
          <w:spacing w:val="-54"/>
        </w:rPr>
        <w:t> </w:t>
      </w:r>
      <w:r>
        <w:rPr/>
        <w:t>12</w:t>
      </w:r>
      <w:r>
        <w:rPr>
          <w:spacing w:val="-58"/>
        </w:rPr>
        <w:t> </w:t>
      </w:r>
      <w:r>
        <w:rPr/>
        <w:t>月份，新开股票账户</w:t>
      </w:r>
      <w:r>
        <w:rPr>
          <w:w w:val="99"/>
        </w:rPr>
        <w:t> </w:t>
      </w:r>
      <w:r>
        <w:rPr>
          <w:spacing w:val="-3"/>
        </w:rPr>
        <w:t>数和基金账户数大幅增长，截至</w:t>
      </w:r>
      <w:r>
        <w:rPr>
          <w:spacing w:val="-54"/>
        </w:rPr>
        <w:t> </w:t>
      </w:r>
      <w:r>
        <w:rPr/>
        <w:t>2014</w:t>
      </w:r>
      <w:r>
        <w:rPr>
          <w:spacing w:val="-58"/>
        </w:rPr>
        <w:t> </w:t>
      </w:r>
      <w:r>
        <w:rPr>
          <w:spacing w:val="-4"/>
        </w:rPr>
        <w:t>年底，股票有效账户达到</w:t>
      </w:r>
      <w:r>
        <w:rPr>
          <w:spacing w:val="-54"/>
        </w:rPr>
        <w:t> </w:t>
      </w:r>
      <w:r>
        <w:rPr/>
        <w:t>14215</w:t>
      </w:r>
      <w:r>
        <w:rPr>
          <w:spacing w:val="-56"/>
        </w:rPr>
        <w:t> </w:t>
      </w:r>
      <w:r>
        <w:rPr>
          <w:spacing w:val="-4"/>
        </w:rPr>
        <w:t>万户，基金投资账户已达</w:t>
      </w:r>
      <w:r>
        <w:rPr>
          <w:spacing w:val="-57"/>
        </w:rPr>
        <w:t> </w:t>
      </w:r>
      <w:r>
        <w:rPr/>
        <w:t>5186</w:t>
      </w:r>
      <w:r>
        <w:rPr>
          <w:spacing w:val="-56"/>
        </w:rPr>
        <w:t> </w:t>
      </w:r>
      <w:r>
        <w:rPr/>
        <w:t>万户。</w:t>
      </w:r>
      <w:r>
        <w:rPr>
          <w:w w:val="99"/>
        </w:rPr>
        <w:t> </w:t>
      </w:r>
      <w:r>
        <w:rPr/>
        <w:t>如图所示：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3423" w:lineRule="exact"/>
        <w:ind w:left="1541"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487615" cy="2174081"/>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9" cstate="print"/>
                    <a:stretch>
                      <a:fillRect/>
                    </a:stretch>
                  </pic:blipFill>
                  <pic:spPr>
                    <a:xfrm>
                      <a:off x="0" y="0"/>
                      <a:ext cx="4487615" cy="2174081"/>
                    </a:xfrm>
                    <a:prstGeom prst="rect">
                      <a:avLst/>
                    </a:prstGeom>
                  </pic:spPr>
                </pic:pic>
              </a:graphicData>
            </a:graphic>
          </wp:inline>
        </w:drawing>
      </w:r>
      <w:r>
        <w:rPr>
          <w:rFonts w:ascii="宋体" w:hAnsi="宋体" w:cs="宋体" w:eastAsia="宋体" w:hint="default"/>
          <w:position w:val="-67"/>
          <w:sz w:val="20"/>
          <w:szCs w:val="20"/>
        </w:rPr>
      </w:r>
    </w:p>
    <w:p>
      <w:pPr>
        <w:spacing w:after="0" w:line="3423" w:lineRule="exact"/>
        <w:rPr>
          <w:rFonts w:ascii="宋体" w:hAnsi="宋体" w:cs="宋体" w:eastAsia="宋体" w:hint="default"/>
          <w:sz w:val="20"/>
          <w:szCs w:val="20"/>
        </w:rPr>
        <w:sectPr>
          <w:pgSz w:w="11910" w:h="16840"/>
          <w:pgMar w:header="776" w:footer="978" w:top="1100" w:bottom="1160" w:left="1020" w:right="920"/>
        </w:sectPr>
      </w:pPr>
    </w:p>
    <w:p>
      <w:pPr>
        <w:spacing w:line="240" w:lineRule="auto" w:before="2"/>
        <w:rPr>
          <w:rFonts w:ascii="宋体" w:hAnsi="宋体" w:cs="宋体" w:eastAsia="宋体" w:hint="default"/>
          <w:sz w:val="25"/>
          <w:szCs w:val="25"/>
        </w:rPr>
      </w:pPr>
    </w:p>
    <w:p>
      <w:pPr>
        <w:spacing w:line="3414" w:lineRule="exact"/>
        <w:ind w:left="1528"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551781" cy="2168271"/>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0" cstate="print"/>
                    <a:stretch>
                      <a:fillRect/>
                    </a:stretch>
                  </pic:blipFill>
                  <pic:spPr>
                    <a:xfrm>
                      <a:off x="0" y="0"/>
                      <a:ext cx="4551781" cy="2168271"/>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p>
      <w:pPr>
        <w:spacing w:line="3836" w:lineRule="exact"/>
        <w:ind w:left="1537"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4540529" cy="2436304"/>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1" cstate="print"/>
                    <a:stretch>
                      <a:fillRect/>
                    </a:stretch>
                  </pic:blipFill>
                  <pic:spPr>
                    <a:xfrm>
                      <a:off x="0" y="0"/>
                      <a:ext cx="4540529" cy="2436304"/>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3537" w:lineRule="exact"/>
        <w:ind w:left="1522"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4559419" cy="2246376"/>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2" cstate="print"/>
                    <a:stretch>
                      <a:fillRect/>
                    </a:stretch>
                  </pic:blipFill>
                  <pic:spPr>
                    <a:xfrm>
                      <a:off x="0" y="0"/>
                      <a:ext cx="4559419" cy="2246376"/>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0"/>
        <w:rPr>
          <w:rFonts w:ascii="宋体" w:hAnsi="宋体" w:cs="宋体" w:eastAsia="宋体" w:hint="default"/>
          <w:sz w:val="20"/>
          <w:szCs w:val="20"/>
        </w:rPr>
      </w:pPr>
    </w:p>
    <w:p>
      <w:pPr>
        <w:pStyle w:val="BodyText"/>
        <w:spacing w:line="240" w:lineRule="auto" w:before="179"/>
        <w:ind w:left="532" w:right="0"/>
        <w:jc w:val="left"/>
      </w:pPr>
      <w:r>
        <w:rPr/>
        <w:t>同时，根据中国证券投资基金业协会的统计数据，截至</w:t>
      </w:r>
      <w:r>
        <w:rPr>
          <w:spacing w:val="-62"/>
        </w:rPr>
        <w:t> </w:t>
      </w:r>
      <w:r>
        <w:rPr/>
        <w:t>2014</w:t>
      </w:r>
      <w:r>
        <w:rPr>
          <w:spacing w:val="-65"/>
        </w:rPr>
        <w:t> </w:t>
      </w:r>
      <w:r>
        <w:rPr/>
        <w:t>年</w:t>
      </w:r>
      <w:r>
        <w:rPr>
          <w:spacing w:val="-64"/>
        </w:rPr>
        <w:t> </w:t>
      </w:r>
      <w:r>
        <w:rPr/>
        <w:t>12</w:t>
      </w:r>
      <w:r>
        <w:rPr>
          <w:spacing w:val="-63"/>
        </w:rPr>
        <w:t> </w:t>
      </w:r>
      <w:r>
        <w:rPr/>
        <w:t>月底，我国境内共有基金管理公司</w:t>
      </w:r>
    </w:p>
    <w:p>
      <w:pPr>
        <w:pStyle w:val="BodyText"/>
        <w:spacing w:line="240" w:lineRule="auto" w:before="37"/>
        <w:ind w:right="0"/>
        <w:jc w:val="left"/>
      </w:pPr>
      <w:r>
        <w:rPr/>
        <w:t>95</w:t>
      </w:r>
      <w:r>
        <w:rPr>
          <w:spacing w:val="-60"/>
        </w:rPr>
        <w:t> </w:t>
      </w:r>
      <w:r>
        <w:rPr>
          <w:spacing w:val="-3"/>
        </w:rPr>
        <w:t>家，其中合资公司</w:t>
      </w:r>
      <w:r>
        <w:rPr>
          <w:spacing w:val="-58"/>
        </w:rPr>
        <w:t> </w:t>
      </w:r>
      <w:r>
        <w:rPr/>
        <w:t>46</w:t>
      </w:r>
      <w:r>
        <w:rPr>
          <w:spacing w:val="-62"/>
        </w:rPr>
        <w:t> </w:t>
      </w:r>
      <w:r>
        <w:rPr>
          <w:spacing w:val="-4"/>
        </w:rPr>
        <w:t>家，内资公司</w:t>
      </w:r>
      <w:r>
        <w:rPr>
          <w:spacing w:val="-58"/>
        </w:rPr>
        <w:t> </w:t>
      </w:r>
      <w:r>
        <w:rPr/>
        <w:t>49</w:t>
      </w:r>
      <w:r>
        <w:rPr>
          <w:spacing w:val="-60"/>
        </w:rPr>
        <w:t> </w:t>
      </w:r>
      <w:r>
        <w:rPr/>
        <w:t>家，共有取得公募基金管理资格的证券公司</w:t>
      </w:r>
      <w:r>
        <w:rPr>
          <w:spacing w:val="-61"/>
        </w:rPr>
        <w:t> </w:t>
      </w:r>
      <w:r>
        <w:rPr/>
        <w:t>6</w:t>
      </w:r>
      <w:r>
        <w:rPr>
          <w:spacing w:val="-60"/>
        </w:rPr>
        <w:t> </w:t>
      </w:r>
      <w:r>
        <w:rPr/>
        <w:t>家；管理资产合计</w:t>
      </w:r>
    </w:p>
    <w:p>
      <w:pPr>
        <w:pStyle w:val="BodyText"/>
        <w:spacing w:line="240" w:lineRule="auto" w:before="37"/>
        <w:ind w:right="0"/>
        <w:jc w:val="left"/>
      </w:pPr>
      <w:r>
        <w:rPr/>
        <w:t>66811.36</w:t>
      </w:r>
      <w:r>
        <w:rPr>
          <w:spacing w:val="-58"/>
        </w:rPr>
        <w:t> </w:t>
      </w:r>
      <w:r>
        <w:rPr/>
        <w:t>亿元，其中管理的公募基金规模</w:t>
      </w:r>
      <w:r>
        <w:rPr>
          <w:spacing w:val="-54"/>
        </w:rPr>
        <w:t> </w:t>
      </w:r>
      <w:r>
        <w:rPr/>
        <w:t>45353.61</w:t>
      </w:r>
      <w:r>
        <w:rPr>
          <w:spacing w:val="-58"/>
        </w:rPr>
        <w:t> </w:t>
      </w:r>
      <w:r>
        <w:rPr/>
        <w:t>亿元，非公开募集资产规模</w:t>
      </w:r>
      <w:r>
        <w:rPr>
          <w:spacing w:val="-54"/>
        </w:rPr>
        <w:t> </w:t>
      </w:r>
      <w:r>
        <w:rPr/>
        <w:t>21457.75</w:t>
      </w:r>
      <w:r>
        <w:rPr>
          <w:spacing w:val="-58"/>
        </w:rPr>
        <w:t> </w:t>
      </w:r>
      <w:r>
        <w:rPr/>
        <w:t>亿元。</w:t>
      </w:r>
    </w:p>
    <w:p>
      <w:pPr>
        <w:spacing w:after="0" w:line="240" w:lineRule="auto"/>
        <w:jc w:val="left"/>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BodyText"/>
        <w:spacing w:line="273" w:lineRule="auto" w:before="34"/>
        <w:ind w:right="112" w:firstLine="420"/>
        <w:jc w:val="both"/>
      </w:pPr>
      <w:r>
        <w:rPr>
          <w:w w:val="95"/>
        </w:rPr>
        <w:t>随着资本市场的持续活跃和回暖，投资者规模的扩大和投资热情的提升，基金资产管理规模的不断扩</w:t>
      </w:r>
      <w:r>
        <w:rPr>
          <w:w w:val="99"/>
        </w:rPr>
        <w:t> </w:t>
      </w:r>
      <w:r>
        <w:rPr>
          <w:w w:val="95"/>
        </w:rPr>
        <w:t>大，及中国多层次资本市场建立和国际化进程的加快，互联网金融服务行业将迎来历史发展机遇，未来发</w:t>
      </w:r>
      <w:r>
        <w:rPr>
          <w:spacing w:val="40"/>
          <w:w w:val="95"/>
        </w:rPr>
        <w:t> </w:t>
      </w:r>
      <w:r>
        <w:rPr>
          <w:spacing w:val="40"/>
          <w:w w:val="95"/>
        </w:rPr>
      </w:r>
      <w:r>
        <w:rPr/>
        <w:t>展空间巨大。</w:t>
      </w:r>
    </w:p>
    <w:p>
      <w:pPr>
        <w:pStyle w:val="BodyText"/>
        <w:spacing w:line="307" w:lineRule="auto" w:before="46"/>
        <w:ind w:left="532" w:right="0"/>
        <w:jc w:val="left"/>
      </w:pPr>
      <w:r>
        <w:rPr/>
        <w:t>（二）公司行业地位和优势</w:t>
      </w:r>
      <w:r>
        <w:rPr>
          <w:w w:val="99"/>
        </w:rPr>
        <w:t> </w:t>
      </w:r>
      <w:r>
        <w:rPr>
          <w:w w:val="95"/>
        </w:rPr>
        <w:t>报告期内，公司进一步加强互联网财经金融服务大平台的建设和完善，进一步加强核心数据库的升级</w:t>
      </w:r>
      <w:r>
        <w:rPr/>
      </w:r>
    </w:p>
    <w:p>
      <w:pPr>
        <w:pStyle w:val="BodyText"/>
        <w:spacing w:line="253" w:lineRule="exact" w:before="0"/>
        <w:ind w:right="0"/>
        <w:jc w:val="left"/>
      </w:pPr>
      <w:r>
        <w:rPr/>
        <w:t>和完善工作，大平台的数据响应和处理能力得到进一步的提升，进一步提升了用户体验，用户访问量和用</w:t>
      </w:r>
    </w:p>
    <w:p>
      <w:pPr>
        <w:pStyle w:val="BodyText"/>
        <w:spacing w:line="273" w:lineRule="auto" w:before="37"/>
        <w:ind w:right="0"/>
        <w:jc w:val="left"/>
      </w:pPr>
      <w:r>
        <w:rPr>
          <w:w w:val="95"/>
        </w:rPr>
        <w:t>户黏性优势得到进一步巩固和强化，进一步强化了公司的核心竞争力，行业和市场地位得到进一步巩固和  </w:t>
      </w:r>
      <w:r>
        <w:rPr>
          <w:spacing w:val="40"/>
          <w:w w:val="95"/>
        </w:rPr>
        <w:t> </w:t>
      </w:r>
      <w:r>
        <w:rPr>
          <w:spacing w:val="40"/>
          <w:w w:val="95"/>
        </w:rPr>
      </w:r>
      <w:r>
        <w:rPr/>
        <w:t>强化。</w:t>
      </w:r>
    </w:p>
    <w:p>
      <w:pPr>
        <w:pStyle w:val="BodyText"/>
        <w:spacing w:line="307" w:lineRule="auto" w:before="48"/>
        <w:ind w:left="532" w:right="5114"/>
        <w:jc w:val="left"/>
      </w:pPr>
      <w:r>
        <w:rPr/>
        <w:t>1、网站综合排名</w:t>
      </w:r>
      <w:r>
        <w:rPr>
          <w:w w:val="99"/>
        </w:rPr>
        <w:t> </w:t>
      </w:r>
      <w:r>
        <w:rPr/>
        <w:t>中国网站排名（</w:t>
      </w:r>
      <w:hyperlink r:id="rId11">
        <w:r>
          <w:rPr/>
          <w:t>www.chinarank.org.cn</w:t>
        </w:r>
      </w:hyperlink>
      <w:r>
        <w:rPr/>
        <w:t>）数据</w:t>
      </w:r>
    </w:p>
    <w:p>
      <w:pPr>
        <w:spacing w:line="240" w:lineRule="auto" w:before="5"/>
        <w:rPr>
          <w:rFonts w:ascii="宋体" w:hAnsi="宋体" w:cs="宋体" w:eastAsia="宋体" w:hint="default"/>
          <w:sz w:val="13"/>
          <w:szCs w:val="13"/>
        </w:rPr>
      </w:pPr>
    </w:p>
    <w:p>
      <w:pPr>
        <w:spacing w:line="3774" w:lineRule="exact"/>
        <w:ind w:left="1005"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5254625" cy="239649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3" cstate="print"/>
                    <a:stretch>
                      <a:fillRect/>
                    </a:stretch>
                  </pic:blipFill>
                  <pic:spPr>
                    <a:xfrm>
                      <a:off x="0" y="0"/>
                      <a:ext cx="5254625" cy="2396490"/>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73" w:lineRule="auto" w:before="0"/>
        <w:ind w:right="115" w:firstLine="420"/>
        <w:jc w:val="both"/>
      </w:pPr>
      <w:r>
        <w:rPr>
          <w:w w:val="95"/>
        </w:rPr>
        <w:t>根据中国互联网协会主办的中国网站排名的统计，“东方财富网”在全球中文财经门户网站中持续排</w:t>
      </w:r>
      <w:r>
        <w:rPr>
          <w:w w:val="99"/>
        </w:rPr>
        <w:t> </w:t>
      </w:r>
      <w:r>
        <w:rPr/>
        <w:t>名第一。</w:t>
      </w:r>
    </w:p>
    <w:p>
      <w:pPr>
        <w:pStyle w:val="BodyText"/>
        <w:spacing w:line="240" w:lineRule="auto" w:before="46"/>
        <w:ind w:left="532" w:right="0"/>
        <w:jc w:val="left"/>
      </w:pPr>
      <w:r>
        <w:rPr/>
        <w:t>2、用户访问量指标</w:t>
      </w:r>
    </w:p>
    <w:p>
      <w:pPr>
        <w:spacing w:line="240" w:lineRule="auto" w:before="7"/>
        <w:rPr>
          <w:rFonts w:ascii="宋体" w:hAnsi="宋体" w:cs="宋体" w:eastAsia="宋体" w:hint="default"/>
          <w:sz w:val="12"/>
          <w:szCs w:val="12"/>
        </w:rPr>
      </w:pPr>
    </w:p>
    <w:p>
      <w:pPr>
        <w:spacing w:line="4802" w:lineRule="exact"/>
        <w:ind w:left="1290" w:right="0" w:firstLine="0"/>
        <w:rPr>
          <w:rFonts w:ascii="宋体" w:hAnsi="宋体" w:cs="宋体" w:eastAsia="宋体" w:hint="default"/>
          <w:sz w:val="20"/>
          <w:szCs w:val="20"/>
        </w:rPr>
      </w:pPr>
      <w:r>
        <w:rPr>
          <w:rFonts w:ascii="宋体" w:hAnsi="宋体" w:cs="宋体" w:eastAsia="宋体" w:hint="default"/>
          <w:position w:val="-95"/>
          <w:sz w:val="20"/>
          <w:szCs w:val="20"/>
        </w:rPr>
        <w:drawing>
          <wp:inline distT="0" distB="0" distL="0" distR="0">
            <wp:extent cx="4807921" cy="3049524"/>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4" cstate="print"/>
                    <a:stretch>
                      <a:fillRect/>
                    </a:stretch>
                  </pic:blipFill>
                  <pic:spPr>
                    <a:xfrm>
                      <a:off x="0" y="0"/>
                      <a:ext cx="4807921" cy="3049524"/>
                    </a:xfrm>
                    <a:prstGeom prst="rect">
                      <a:avLst/>
                    </a:prstGeom>
                  </pic:spPr>
                </pic:pic>
              </a:graphicData>
            </a:graphic>
          </wp:inline>
        </w:drawing>
      </w:r>
      <w:r>
        <w:rPr>
          <w:rFonts w:ascii="宋体" w:hAnsi="宋体" w:cs="宋体" w:eastAsia="宋体" w:hint="default"/>
          <w:position w:val="-95"/>
          <w:sz w:val="20"/>
          <w:szCs w:val="20"/>
        </w:rPr>
      </w:r>
    </w:p>
    <w:p>
      <w:pPr>
        <w:spacing w:after="0" w:line="4802" w:lineRule="exact"/>
        <w:rPr>
          <w:rFonts w:ascii="宋体" w:hAnsi="宋体" w:cs="宋体" w:eastAsia="宋体" w:hint="default"/>
          <w:sz w:val="20"/>
          <w:szCs w:val="20"/>
        </w:rPr>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BodyText"/>
        <w:spacing w:line="273" w:lineRule="auto" w:before="34"/>
        <w:ind w:right="105" w:firstLine="420"/>
        <w:jc w:val="left"/>
      </w:pPr>
      <w:r>
        <w:rPr/>
        <w:t>根据艾瑞咨询根据艾瑞咨询</w:t>
      </w:r>
      <w:r>
        <w:rPr>
          <w:spacing w:val="-60"/>
        </w:rPr>
        <w:t> </w:t>
      </w:r>
      <w:r>
        <w:rPr/>
        <w:t>iUserTracker</w:t>
      </w:r>
      <w:r>
        <w:rPr>
          <w:spacing w:val="-63"/>
        </w:rPr>
        <w:t> </w:t>
      </w:r>
      <w:r>
        <w:rPr/>
        <w:t>对我国网络用户行为研究的数据，东方财富网在我国财经</w:t>
      </w:r>
      <w:r>
        <w:rPr>
          <w:w w:val="99"/>
        </w:rPr>
        <w:t> </w:t>
      </w:r>
      <w:r>
        <w:rPr/>
        <w:t>类互联网网站中日均覆盖人数领先地位得到进一步的巩固和强化，领先优势进一步加大。</w:t>
      </w:r>
    </w:p>
    <w:p>
      <w:pPr>
        <w:pStyle w:val="BodyText"/>
        <w:spacing w:line="240" w:lineRule="auto" w:before="46"/>
        <w:ind w:left="532" w:right="105"/>
        <w:jc w:val="left"/>
      </w:pPr>
      <w:r>
        <w:rPr/>
        <w:t>3、用户黏性指标</w:t>
      </w:r>
    </w:p>
    <w:p>
      <w:pPr>
        <w:spacing w:line="240" w:lineRule="auto" w:before="2"/>
        <w:rPr>
          <w:rFonts w:ascii="宋体" w:hAnsi="宋体" w:cs="宋体" w:eastAsia="宋体" w:hint="default"/>
          <w:sz w:val="17"/>
          <w:szCs w:val="17"/>
        </w:rPr>
      </w:pPr>
    </w:p>
    <w:p>
      <w:pPr>
        <w:spacing w:line="5040" w:lineRule="exact"/>
        <w:ind w:left="1189"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4983480" cy="3200400"/>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5" cstate="print"/>
                    <a:stretch>
                      <a:fillRect/>
                    </a:stretch>
                  </pic:blipFill>
                  <pic:spPr>
                    <a:xfrm>
                      <a:off x="0" y="0"/>
                      <a:ext cx="4983480" cy="3200400"/>
                    </a:xfrm>
                    <a:prstGeom prst="rect">
                      <a:avLst/>
                    </a:prstGeom>
                  </pic:spPr>
                </pic:pic>
              </a:graphicData>
            </a:graphic>
          </wp:inline>
        </w:drawing>
      </w:r>
      <w:r>
        <w:rPr>
          <w:rFonts w:ascii="宋体" w:hAnsi="宋体" w:cs="宋体" w:eastAsia="宋体" w:hint="default"/>
          <w:position w:val="-100"/>
          <w:sz w:val="20"/>
          <w:szCs w:val="20"/>
        </w:rPr>
      </w:r>
    </w:p>
    <w:p>
      <w:pPr>
        <w:pStyle w:val="BodyText"/>
        <w:spacing w:line="273" w:lineRule="auto" w:before="158"/>
        <w:ind w:right="105" w:firstLine="420"/>
        <w:jc w:val="left"/>
      </w:pPr>
      <w:r>
        <w:rPr/>
        <w:t>根据艾瑞咨询</w:t>
      </w:r>
      <w:r>
        <w:rPr>
          <w:spacing w:val="-60"/>
        </w:rPr>
        <w:t> </w:t>
      </w:r>
      <w:r>
        <w:rPr/>
        <w:t>iUserTracker</w:t>
      </w:r>
      <w:r>
        <w:rPr>
          <w:spacing w:val="-63"/>
        </w:rPr>
        <w:t> </w:t>
      </w:r>
      <w:r>
        <w:rPr/>
        <w:t>数据，“东方财富网”在垂直财经网站中有效浏览时间领先地位得到进</w:t>
      </w:r>
      <w:r>
        <w:rPr>
          <w:w w:val="99"/>
        </w:rPr>
        <w:t> </w:t>
      </w:r>
      <w:r>
        <w:rPr/>
        <w:t>一步的巩固和强化，领先优势进一步加大。</w:t>
      </w:r>
    </w:p>
    <w:p>
      <w:pPr>
        <w:pStyle w:val="BodyText"/>
        <w:spacing w:line="240" w:lineRule="auto" w:before="46"/>
        <w:ind w:left="532" w:right="105"/>
        <w:jc w:val="left"/>
      </w:pPr>
      <w:r>
        <w:rPr/>
        <w:t>（三）公司</w:t>
      </w:r>
      <w:r>
        <w:rPr>
          <w:spacing w:val="-56"/>
        </w:rPr>
        <w:t> </w:t>
      </w:r>
      <w:r>
        <w:rPr/>
        <w:t>2015</w:t>
      </w:r>
      <w:r>
        <w:rPr>
          <w:spacing w:val="-57"/>
        </w:rPr>
        <w:t> </w:t>
      </w:r>
      <w:r>
        <w:rPr/>
        <w:t>年度经营计划</w:t>
      </w:r>
    </w:p>
    <w:p>
      <w:pPr>
        <w:pStyle w:val="BodyText"/>
        <w:spacing w:line="273" w:lineRule="auto" w:before="78"/>
        <w:ind w:right="105" w:firstLine="420"/>
        <w:jc w:val="left"/>
      </w:pPr>
      <w:r>
        <w:rPr/>
        <w:t>2015</w:t>
      </w:r>
      <w:r>
        <w:rPr>
          <w:spacing w:val="-81"/>
        </w:rPr>
        <w:t> </w:t>
      </w:r>
      <w:r>
        <w:rPr/>
        <w:t>年度，公司将紧紧围绕实现一站式互联网金融服务的整体战略定位，积极抓住难得的历史发展机</w:t>
      </w:r>
      <w:r>
        <w:rPr>
          <w:w w:val="99"/>
        </w:rPr>
        <w:t> </w:t>
      </w:r>
      <w:r>
        <w:rPr>
          <w:spacing w:val="-3"/>
        </w:rPr>
        <w:t>遇，继续加大战略性投入，进一步加强公司互联网财经金融服务大平台的优化和完善工作，提升服务质量，</w:t>
      </w:r>
      <w:r>
        <w:rPr>
          <w:w w:val="99"/>
        </w:rPr>
        <w:t> </w:t>
      </w:r>
      <w:r>
        <w:rPr/>
        <w:t>提高用户黏性，巩固和强化公司核心竞争力。公司在实现内生性快速健康发展的同时，将积极寻求外延式</w:t>
      </w:r>
      <w:r>
        <w:rPr>
          <w:w w:val="99"/>
        </w:rPr>
        <w:t> </w:t>
      </w:r>
      <w:r>
        <w:rPr/>
        <w:t>发展机会，积极探索服务链的拓展延伸，为公司实现长期可持续健康发展，夯实基础。</w:t>
      </w:r>
    </w:p>
    <w:p>
      <w:pPr>
        <w:pStyle w:val="BodyText"/>
        <w:spacing w:line="307" w:lineRule="auto" w:before="48"/>
        <w:ind w:left="532" w:right="105"/>
        <w:jc w:val="left"/>
      </w:pPr>
      <w:r>
        <w:rPr/>
        <w:t>（1）全面推进一站式互联网金融服务大平台的构建和完善工作</w:t>
      </w:r>
      <w:r>
        <w:rPr>
          <w:w w:val="99"/>
        </w:rPr>
        <w:t> </w:t>
      </w:r>
      <w:r>
        <w:rPr>
          <w:w w:val="95"/>
        </w:rPr>
        <w:t>公司将进一步加强互联网网站平台、互动社区平台、金融数据终端平台的升级和优化工作，加强互联</w:t>
      </w:r>
      <w:r>
        <w:rPr/>
      </w:r>
    </w:p>
    <w:p>
      <w:pPr>
        <w:pStyle w:val="BodyText"/>
        <w:spacing w:line="253" w:lineRule="exact" w:before="0"/>
        <w:ind w:right="0"/>
        <w:jc w:val="both"/>
      </w:pPr>
      <w:r>
        <w:rPr/>
        <w:t>网金融电子商务平台服务创新和完善工作，继续加强核心数据库的升级和完善工作，进一步提升整个大平</w:t>
      </w:r>
    </w:p>
    <w:p>
      <w:pPr>
        <w:pStyle w:val="BodyText"/>
        <w:spacing w:line="273" w:lineRule="auto" w:before="37"/>
        <w:ind w:right="212"/>
        <w:jc w:val="both"/>
      </w:pPr>
      <w:r>
        <w:rPr>
          <w:w w:val="95"/>
        </w:rPr>
        <w:t>台的数据处理和响应能力，为整个大平台的服务提供强大的数据支持，同时，拓展平台服务范围，提升用</w:t>
      </w:r>
      <w:r>
        <w:rPr>
          <w:spacing w:val="41"/>
          <w:w w:val="95"/>
        </w:rPr>
        <w:t> </w:t>
      </w:r>
      <w:r>
        <w:rPr>
          <w:spacing w:val="41"/>
          <w:w w:val="95"/>
        </w:rPr>
      </w:r>
      <w:r>
        <w:rPr/>
        <w:t>户体验，提高用户粘性，为提供更大范围互联网财经金融服务，打下平台基础。</w:t>
      </w:r>
    </w:p>
    <w:p>
      <w:pPr>
        <w:pStyle w:val="BodyText"/>
        <w:spacing w:line="307" w:lineRule="auto" w:before="48"/>
        <w:ind w:left="532" w:right="105"/>
        <w:jc w:val="left"/>
      </w:pPr>
      <w:r>
        <w:rPr/>
        <w:t>（2）进一步做好互联网金融电子商务服务业务推进工作，力争实现新的突破</w:t>
      </w:r>
      <w:r>
        <w:rPr>
          <w:w w:val="99"/>
        </w:rPr>
        <w:t> </w:t>
      </w:r>
      <w:r>
        <w:rPr>
          <w:w w:val="95"/>
        </w:rPr>
        <w:t>公司将积极抓住互联网金融蓬勃发展的历史机遇，坚持以“用户为中心”，进一步做好基金第三方销</w:t>
      </w:r>
      <w:r>
        <w:rPr/>
      </w:r>
    </w:p>
    <w:p>
      <w:pPr>
        <w:pStyle w:val="BodyText"/>
        <w:spacing w:line="253" w:lineRule="exact" w:before="0"/>
        <w:ind w:right="0"/>
        <w:jc w:val="both"/>
      </w:pPr>
      <w:r>
        <w:rPr/>
        <w:t>售服务业务，力争基金销售规模和效益再上一个台阶，进一步提升市场占有率，进一步巩固和强化行业领</w:t>
      </w:r>
    </w:p>
    <w:p>
      <w:pPr>
        <w:pStyle w:val="BodyText"/>
        <w:spacing w:line="273" w:lineRule="auto" w:before="37"/>
        <w:ind w:right="215"/>
        <w:jc w:val="both"/>
      </w:pPr>
      <w:r>
        <w:rPr>
          <w:w w:val="95"/>
        </w:rPr>
        <w:t>先地位，同时，进一步加强互联网金融服务创新工作，进一步丰富产品线，拓展服务范围，提高市场覆盖</w:t>
      </w:r>
      <w:r>
        <w:rPr>
          <w:spacing w:val="38"/>
          <w:w w:val="95"/>
        </w:rPr>
        <w:t> </w:t>
      </w:r>
      <w:r>
        <w:rPr>
          <w:spacing w:val="38"/>
          <w:w w:val="95"/>
        </w:rPr>
      </w:r>
      <w:r>
        <w:rPr>
          <w:w w:val="95"/>
        </w:rPr>
        <w:t>面，提升服务能力和水平，提升用户体验，为公司未来提供更全面、更完善的互联网金融电子商务服务积</w:t>
      </w:r>
      <w:r>
        <w:rPr>
          <w:spacing w:val="38"/>
          <w:w w:val="95"/>
        </w:rPr>
        <w:t> </w:t>
      </w:r>
      <w:r>
        <w:rPr>
          <w:spacing w:val="38"/>
          <w:w w:val="95"/>
        </w:rPr>
      </w:r>
      <w:r>
        <w:rPr/>
        <w:t>累经验，夯实基础。</w:t>
      </w:r>
    </w:p>
    <w:p>
      <w:pPr>
        <w:pStyle w:val="BodyText"/>
        <w:spacing w:line="290" w:lineRule="auto" w:before="46"/>
        <w:ind w:left="532" w:right="105"/>
        <w:jc w:val="left"/>
      </w:pPr>
      <w:r>
        <w:rPr/>
        <w:t>（</w:t>
      </w:r>
      <w:r>
        <w:rPr>
          <w:rFonts w:ascii="Times New Roman" w:hAnsi="Times New Roman" w:cs="Times New Roman" w:eastAsia="Times New Roman" w:hint="default"/>
        </w:rPr>
        <w:t>3</w:t>
      </w:r>
      <w:r>
        <w:rPr/>
        <w:t>）积极寻求外延式发展机会，加快探索拓展互联网金融服务新业务</w:t>
      </w:r>
      <w:r>
        <w:rPr>
          <w:w w:val="99"/>
        </w:rPr>
        <w:t> </w:t>
      </w:r>
      <w:r>
        <w:rPr>
          <w:w w:val="95"/>
        </w:rPr>
        <w:t>公司将积极寻求外延式发展机会，积极和相关金融机构与企业探索合作与创新，加快探索拓展互联网</w:t>
      </w:r>
      <w:r>
        <w:rPr/>
      </w:r>
    </w:p>
    <w:p>
      <w:pPr>
        <w:pStyle w:val="BodyText"/>
        <w:spacing w:line="273" w:lineRule="auto" w:before="0"/>
        <w:ind w:right="192"/>
        <w:jc w:val="both"/>
      </w:pPr>
      <w:r>
        <w:rPr>
          <w:w w:val="95"/>
        </w:rPr>
        <w:t>金融服务新业务，进一步拓宽公司互联网财经金融服务大平台的服务范围，进一步延伸和完善服务链条，</w:t>
      </w:r>
      <w:r>
        <w:rPr>
          <w:spacing w:val="61"/>
          <w:w w:val="95"/>
        </w:rPr>
        <w:t> </w:t>
      </w:r>
      <w:r>
        <w:rPr>
          <w:spacing w:val="61"/>
          <w:w w:val="95"/>
        </w:rPr>
      </w:r>
      <w:r>
        <w:rPr/>
        <w:t>促进一站式互联网金融服务整体战略目标的实现。</w:t>
      </w:r>
    </w:p>
    <w:p>
      <w:pPr>
        <w:pStyle w:val="BodyText"/>
        <w:spacing w:line="240" w:lineRule="auto" w:before="48"/>
        <w:ind w:left="532" w:right="105"/>
        <w:jc w:val="left"/>
      </w:pPr>
      <w:r>
        <w:rPr/>
        <w:t>公司将加快推进收购宝华世纪证券有限公司后续工作，一旦获得香港监管机构批准并收购成功，公司</w:t>
      </w:r>
    </w:p>
    <w:p>
      <w:pPr>
        <w:spacing w:after="0" w:line="240" w:lineRule="auto"/>
        <w:jc w:val="left"/>
        <w:sectPr>
          <w:pgSz w:w="11910" w:h="16840"/>
          <w:pgMar w:header="776" w:footer="978" w:top="1100" w:bottom="1160" w:left="1020" w:right="920"/>
        </w:sectPr>
      </w:pPr>
    </w:p>
    <w:p>
      <w:pPr>
        <w:spacing w:line="240" w:lineRule="auto" w:before="12"/>
        <w:rPr>
          <w:rFonts w:ascii="宋体" w:hAnsi="宋体" w:cs="宋体" w:eastAsia="宋体" w:hint="default"/>
          <w:sz w:val="20"/>
          <w:szCs w:val="20"/>
        </w:rPr>
      </w:pPr>
    </w:p>
    <w:p>
      <w:pPr>
        <w:pStyle w:val="BodyText"/>
        <w:spacing w:line="273" w:lineRule="auto" w:before="34"/>
        <w:ind w:right="105"/>
        <w:jc w:val="left"/>
      </w:pPr>
      <w:r>
        <w:rPr>
          <w:w w:val="95"/>
        </w:rPr>
        <w:t>将以国家推进“沪港通”和促进中国资本市场国际化为契机，尽快开展相关业务，努力提升公司国际化服</w:t>
      </w:r>
      <w:r>
        <w:rPr>
          <w:spacing w:val="45"/>
          <w:w w:val="95"/>
        </w:rPr>
        <w:t> </w:t>
      </w:r>
      <w:r>
        <w:rPr>
          <w:spacing w:val="45"/>
          <w:w w:val="95"/>
        </w:rPr>
      </w:r>
      <w:r>
        <w:rPr/>
        <w:t>务的能力和水平。</w:t>
      </w:r>
    </w:p>
    <w:p>
      <w:pPr>
        <w:pStyle w:val="BodyText"/>
        <w:spacing w:line="307" w:lineRule="auto" w:before="46"/>
        <w:ind w:left="532" w:right="105"/>
        <w:jc w:val="left"/>
      </w:pPr>
      <w:r>
        <w:rPr/>
        <w:t>（4）进一步做好金融数据服务业务和互联网广告服务业务</w:t>
      </w:r>
      <w:r>
        <w:rPr>
          <w:w w:val="99"/>
        </w:rPr>
        <w:t> </w:t>
      </w:r>
      <w:r>
        <w:rPr>
          <w:w w:val="95"/>
        </w:rPr>
        <w:t>公司将以用户需求为中心，进一步加强个人终端产品的研发和创新，同时将进一步完善机构终端产品</w:t>
      </w:r>
      <w:r>
        <w:rPr/>
      </w:r>
    </w:p>
    <w:p>
      <w:pPr>
        <w:pStyle w:val="BodyText"/>
        <w:spacing w:line="253" w:lineRule="exact" w:before="0"/>
        <w:ind w:right="105"/>
        <w:jc w:val="left"/>
      </w:pPr>
      <w:r>
        <w:rPr/>
        <w:t>和优化数据服务，提升产品质量和服务能力，同时，进一步加大产品的推广力度，扩大用户规模和市场占</w:t>
      </w:r>
    </w:p>
    <w:p>
      <w:pPr>
        <w:pStyle w:val="BodyText"/>
        <w:spacing w:line="240" w:lineRule="auto" w:before="37"/>
        <w:ind w:right="105"/>
        <w:jc w:val="left"/>
      </w:pPr>
      <w:r>
        <w:rPr/>
        <w:t>有率。</w:t>
      </w:r>
    </w:p>
    <w:p>
      <w:pPr>
        <w:pStyle w:val="BodyText"/>
        <w:spacing w:line="273" w:lineRule="auto" w:before="78"/>
        <w:ind w:right="105" w:firstLine="420"/>
        <w:jc w:val="left"/>
      </w:pPr>
      <w:r>
        <w:rPr>
          <w:w w:val="95"/>
        </w:rPr>
        <w:t>公司将继续加强互联网广告服务业务的投入，提升营销水平，加强服务创新，加强落地化服务，进一</w:t>
      </w:r>
      <w:r>
        <w:rPr>
          <w:w w:val="99"/>
        </w:rPr>
        <w:t> </w:t>
      </w:r>
      <w:r>
        <w:rPr/>
        <w:t>步完善绩效考核和激励机制，推动广告业务持续稳健发展。</w:t>
      </w:r>
    </w:p>
    <w:p>
      <w:pPr>
        <w:pStyle w:val="BodyText"/>
        <w:spacing w:line="307" w:lineRule="auto" w:before="46"/>
        <w:ind w:left="638" w:right="105" w:hanging="106"/>
        <w:jc w:val="left"/>
      </w:pPr>
      <w:r>
        <w:rPr/>
        <w:t>（5）进一步加大品牌宣传投入力度，进一步提升大平台影响力和整体价值</w:t>
      </w:r>
      <w:r>
        <w:rPr>
          <w:w w:val="99"/>
        </w:rPr>
        <w:t> </w:t>
      </w:r>
      <w:r>
        <w:rPr>
          <w:w w:val="95"/>
        </w:rPr>
        <w:t>公司将进一步加强品牌宣传的投入力度，进一步增强品牌影响力，进一步提升互联网财经金融服务</w:t>
      </w:r>
      <w:r>
        <w:rPr/>
      </w:r>
    </w:p>
    <w:p>
      <w:pPr>
        <w:pStyle w:val="BodyText"/>
        <w:spacing w:line="253" w:lineRule="exact" w:before="0"/>
        <w:ind w:right="105"/>
        <w:jc w:val="left"/>
      </w:pPr>
      <w:r>
        <w:rPr/>
        <w:t>大平台的整体价值，为公司持续健康发展打下品牌基础。</w:t>
      </w:r>
    </w:p>
    <w:p>
      <w:pPr>
        <w:pStyle w:val="BodyText"/>
        <w:spacing w:line="307" w:lineRule="auto" w:before="78"/>
        <w:ind w:left="532" w:right="105"/>
        <w:jc w:val="left"/>
      </w:pPr>
      <w:r>
        <w:rPr/>
        <w:t>（6）做好募集资金投资项目后期维护和剩余超募资金的管理工作</w:t>
      </w:r>
      <w:r>
        <w:rPr>
          <w:w w:val="99"/>
        </w:rPr>
        <w:t> </w:t>
      </w:r>
      <w:r>
        <w:rPr>
          <w:w w:val="95"/>
        </w:rPr>
        <w:t>公司将继续推进募投项目和超募资金投资项目的后期维护工作，进一步发挥募集资金投资项目整体协</w:t>
      </w:r>
      <w:r>
        <w:rPr/>
      </w:r>
    </w:p>
    <w:p>
      <w:pPr>
        <w:pStyle w:val="BodyText"/>
        <w:spacing w:line="253" w:lineRule="exact" w:before="0"/>
        <w:ind w:right="0"/>
        <w:jc w:val="left"/>
      </w:pPr>
      <w:r>
        <w:rPr>
          <w:spacing w:val="-3"/>
        </w:rPr>
        <w:t>同效应，更好地实现项目建设长远目标。同时，公司将加强剩余超募资金的管理工作，提高资金使用效率。</w:t>
      </w:r>
    </w:p>
    <w:p>
      <w:pPr>
        <w:pStyle w:val="BodyText"/>
        <w:spacing w:line="307" w:lineRule="auto" w:before="78"/>
        <w:ind w:left="532" w:right="105"/>
        <w:jc w:val="left"/>
      </w:pPr>
      <w:r>
        <w:rPr/>
        <w:t>（7）进一步优化内部管理，全面提升企业管理水平</w:t>
      </w:r>
      <w:r>
        <w:rPr>
          <w:w w:val="99"/>
        </w:rPr>
        <w:t> </w:t>
      </w:r>
      <w:r>
        <w:rPr>
          <w:w w:val="95"/>
        </w:rPr>
        <w:t>公司将进一步强化财务管理，充分发挥财务职能作用，进一步加强人力资源管理，建立和完善组织绩</w:t>
      </w:r>
      <w:r>
        <w:rPr/>
      </w:r>
    </w:p>
    <w:p>
      <w:pPr>
        <w:pStyle w:val="BodyText"/>
        <w:spacing w:line="253" w:lineRule="exact" w:before="0"/>
        <w:ind w:right="105"/>
        <w:jc w:val="left"/>
      </w:pPr>
      <w:r>
        <w:rPr/>
        <w:t>效管理框架，进一步完善绩效考核机制和激励机制，积极做好人才储备，进一步加强人才梯队建设，夯实</w:t>
      </w:r>
    </w:p>
    <w:p>
      <w:pPr>
        <w:pStyle w:val="BodyText"/>
        <w:spacing w:line="240" w:lineRule="auto" w:before="37"/>
        <w:ind w:right="105"/>
        <w:jc w:val="left"/>
      </w:pPr>
      <w:r>
        <w:rPr/>
        <w:t>人才基础，同时，进一步加强企业文化建设，全面提升企业管理水平，促进公司长期可持续健康发展。</w:t>
      </w:r>
    </w:p>
    <w:p>
      <w:pPr>
        <w:pStyle w:val="BodyText"/>
        <w:spacing w:line="307" w:lineRule="auto" w:before="75"/>
        <w:ind w:left="532" w:right="105"/>
        <w:jc w:val="left"/>
      </w:pPr>
      <w:r>
        <w:rPr/>
        <w:t>（8）进一步加强投资者关系管理工作</w:t>
      </w:r>
      <w:r>
        <w:rPr>
          <w:w w:val="99"/>
        </w:rPr>
        <w:t> </w:t>
      </w:r>
      <w:r>
        <w:rPr>
          <w:w w:val="95"/>
        </w:rPr>
        <w:t>公司将进一步加强投资者关系管理工作，提升投资者关系管理水平，进一步提高与投资者互动交流的</w:t>
      </w:r>
      <w:r>
        <w:rPr/>
      </w:r>
    </w:p>
    <w:p>
      <w:pPr>
        <w:pStyle w:val="BodyText"/>
        <w:spacing w:line="253" w:lineRule="exact" w:before="0"/>
        <w:ind w:right="105"/>
        <w:jc w:val="left"/>
      </w:pPr>
      <w:r>
        <w:rPr/>
        <w:t>质量和效率，促进公司与投资者之间建立长期、良好、融洽的互动关系，维护公司良好市场形象。</w:t>
      </w:r>
    </w:p>
    <w:p>
      <w:pPr>
        <w:spacing w:line="240" w:lineRule="auto" w:before="0"/>
        <w:rPr>
          <w:rFonts w:ascii="宋体" w:hAnsi="宋体" w:cs="宋体" w:eastAsia="宋体" w:hint="default"/>
          <w:sz w:val="24"/>
          <w:szCs w:val="24"/>
        </w:rPr>
      </w:pPr>
    </w:p>
    <w:p>
      <w:pPr>
        <w:pStyle w:val="Heading4"/>
        <w:spacing w:line="240" w:lineRule="auto"/>
        <w:ind w:right="105"/>
        <w:jc w:val="left"/>
        <w:rPr>
          <w:b w:val="0"/>
          <w:bCs w:val="0"/>
        </w:rPr>
      </w:pP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1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105"/>
        <w:jc w:val="left"/>
        <w:rPr>
          <w:b w:val="0"/>
          <w:bCs w:val="0"/>
        </w:rPr>
      </w:pPr>
      <w:r>
        <w:rPr/>
        <w:t>四、董事会关于报告期会计政策、会计估计变更或重要前期差错更正的说明</w:t>
      </w:r>
      <w:r>
        <w:rPr>
          <w:b w:val="0"/>
          <w:bCs w:val="0"/>
        </w:rPr>
      </w:r>
    </w:p>
    <w:p>
      <w:pPr>
        <w:spacing w:line="240" w:lineRule="auto" w:before="6"/>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105"/>
        <w:jc w:val="left"/>
        <w:rPr>
          <w:b w:val="0"/>
          <w:bCs w:val="0"/>
        </w:rPr>
      </w:pPr>
      <w:r>
        <w:rPr/>
        <w:t>五、公司利润分配及分红派息情况</w:t>
      </w:r>
      <w:r>
        <w:rPr>
          <w:b w:val="0"/>
          <w:bCs w:val="0"/>
        </w:rPr>
      </w:r>
    </w:p>
    <w:p>
      <w:pPr>
        <w:spacing w:line="240" w:lineRule="auto" w:before="6"/>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before="117"/>
        <w:ind w:left="11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73" w:lineRule="auto" w:before="78"/>
        <w:ind w:left="532" w:right="105"/>
        <w:jc w:val="left"/>
      </w:pPr>
      <w:r>
        <w:rPr/>
        <w:t>报告期内，公司严格执行现金分红政策的相关规定，并实施了2013年度权益分派。</w:t>
      </w:r>
      <w:r>
        <w:rPr>
          <w:w w:val="99"/>
        </w:rPr>
        <w:t> </w:t>
      </w:r>
      <w:r>
        <w:rPr>
          <w:w w:val="95"/>
        </w:rPr>
        <w:t>1、以总股本67,200万股为基数，用资本公积金向全体股东每10股转增8股，共转增53,760万股，转增</w:t>
      </w:r>
      <w:r>
        <w:rPr/>
      </w:r>
    </w:p>
    <w:p>
      <w:pPr>
        <w:pStyle w:val="BodyText"/>
        <w:spacing w:line="273" w:lineRule="auto"/>
        <w:ind w:left="532" w:right="105" w:hanging="420"/>
        <w:jc w:val="left"/>
      </w:pPr>
      <w:r>
        <w:rPr/>
        <w:t>后总股本增至120,960万股。</w:t>
      </w:r>
      <w:r>
        <w:rPr>
          <w:w w:val="99"/>
        </w:rPr>
        <w:t> </w:t>
      </w:r>
      <w:r>
        <w:rPr>
          <w:w w:val="95"/>
        </w:rPr>
        <w:t>2、以总股本67,200万股为基数向全体股东每10股派发现金股利人民币0.20元（含税），合计派发现</w:t>
      </w:r>
      <w:r>
        <w:rPr/>
      </w:r>
    </w:p>
    <w:p>
      <w:pPr>
        <w:pStyle w:val="BodyText"/>
        <w:spacing w:line="273" w:lineRule="auto"/>
        <w:ind w:left="532" w:right="5109" w:hanging="420"/>
        <w:jc w:val="left"/>
      </w:pPr>
      <w:r>
        <w:rPr/>
        <w:t>金1,344万元，剩余未分配利润结转至下年度。</w:t>
      </w:r>
      <w:r>
        <w:rPr>
          <w:w w:val="99"/>
        </w:rPr>
        <w:t> </w:t>
      </w:r>
      <w:r>
        <w:rPr/>
        <w:t>2014年5月26日，公司实施完毕上述权益分派。</w:t>
      </w:r>
    </w:p>
    <w:tbl>
      <w:tblPr>
        <w:tblW w:w="0" w:type="auto"/>
        <w:jc w:val="left"/>
        <w:tblInd w:w="109" w:type="dxa"/>
        <w:tblLayout w:type="fixed"/>
        <w:tblCellMar>
          <w:top w:w="0" w:type="dxa"/>
          <w:left w:w="0" w:type="dxa"/>
          <w:bottom w:w="0" w:type="dxa"/>
          <w:right w:w="0" w:type="dxa"/>
        </w:tblCellMar>
        <w:tblLook w:val="01E0"/>
      </w:tblPr>
      <w:tblGrid>
        <w:gridCol w:w="4962"/>
        <w:gridCol w:w="46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0"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76" w:footer="978" w:top="1100" w:bottom="1160" w:left="1020" w:right="9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962"/>
        <w:gridCol w:w="4606"/>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 得到了充分保护：</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12" w:right="0" w:firstLine="0"/>
        <w:jc w:val="left"/>
        <w:rPr>
          <w:rFonts w:ascii="宋体" w:hAnsi="宋体" w:cs="宋体" w:eastAsia="宋体" w:hint="default"/>
          <w:sz w:val="18"/>
          <w:szCs w:val="18"/>
        </w:rPr>
      </w:pPr>
      <w:r>
        <w:rPr/>
        <w:pict>
          <v:shape style="position:absolute;margin-left:298.919495pt;margin-top:-20.188282pt;width:236.1pt;height:19.850pt;mso-position-horizontal-relative:page;mso-position-vertical-relative:paragraph;z-index:-62588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04.950012pt;margin-top:-20.188282pt;width:230.05pt;height:19.850pt;mso-position-horizontal-relative:page;mso-position-vertical-relative:paragraph;z-index:-625864" coordorigin="6099,-404" coordsize="4601,397">
            <v:shape style="position:absolute;left:6099;top:-404;width:4601;height:397" coordorigin="6099,-404" coordsize="4601,397" path="m6099,-404l10700,-404,10700,-7,6099,-7,6099,-404xe" filled="true" fillcolor="#ffffff" stroked="false">
              <v:path arrowok="t"/>
              <v:fill type="solid"/>
            </v:shape>
            <w10:wrap type="none"/>
          </v:group>
        </w:pict>
      </w: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12" w:right="3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1,209,600,000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72,576,000.00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348,009,069.65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23.08%</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72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经立信会计师事务所审计，</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年度实现归属于母公司股东的净利润为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165,723,821.57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元，其中母公司实现净利润为</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根</w:t>
            </w:r>
            <w:r>
              <w:rPr>
                <w:rFonts w:ascii="宋体" w:hAnsi="宋体" w:cs="宋体" w:eastAsia="宋体" w:hint="default"/>
                <w:spacing w:val="-87"/>
                <w:sz w:val="18"/>
                <w:szCs w:val="18"/>
              </w:rPr>
              <w:t>据</w:t>
            </w:r>
            <w:r>
              <w:rPr>
                <w:rFonts w:ascii="宋体" w:hAnsi="宋体" w:cs="宋体" w:eastAsia="宋体" w:hint="default"/>
                <w:spacing w:val="-3"/>
                <w:sz w:val="18"/>
                <w:szCs w:val="18"/>
              </w:rPr>
              <w:t>《</w:t>
            </w:r>
            <w:r>
              <w:rPr>
                <w:rFonts w:ascii="宋体" w:hAnsi="宋体" w:cs="宋体" w:eastAsia="宋体" w:hint="default"/>
                <w:sz w:val="18"/>
                <w:szCs w:val="18"/>
              </w:rPr>
              <w:t>公司章程</w:t>
            </w:r>
            <w:r>
              <w:rPr>
                <w:rFonts w:ascii="宋体" w:hAnsi="宋体" w:cs="宋体" w:eastAsia="宋体" w:hint="default"/>
                <w:spacing w:val="-92"/>
                <w:sz w:val="18"/>
                <w:szCs w:val="18"/>
              </w:rPr>
              <w:t>》</w:t>
            </w:r>
            <w:r>
              <w:rPr>
                <w:rFonts w:ascii="宋体" w:hAnsi="宋体" w:cs="宋体" w:eastAsia="宋体" w:hint="default"/>
                <w:sz w:val="18"/>
                <w:szCs w:val="18"/>
              </w:rPr>
              <w:t>的有关规定</w:t>
            </w:r>
            <w:r>
              <w:rPr>
                <w:rFonts w:ascii="宋体" w:hAnsi="宋体" w:cs="宋体" w:eastAsia="宋体" w:hint="default"/>
                <w:spacing w:val="-89"/>
                <w:sz w:val="18"/>
                <w:szCs w:val="18"/>
              </w:rPr>
              <w:t>，</w:t>
            </w:r>
            <w:r>
              <w:rPr>
                <w:rFonts w:ascii="宋体" w:hAnsi="宋体" w:cs="宋体" w:eastAsia="宋体" w:hint="default"/>
                <w:sz w:val="18"/>
                <w:szCs w:val="18"/>
              </w:rPr>
              <w:t>按照母公司</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年度实现净利润的</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提取法定盈余公积金</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元，加年初未分配利润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205,095,660.10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元，减去</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年上半年分配利润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13,440,000.00</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日，公</w:t>
            </w:r>
          </w:p>
          <w:p>
            <w:pPr>
              <w:pStyle w:val="TableParagraph"/>
              <w:spacing w:line="31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司可供股东分配利润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348,009,069.65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 </w:t>
            </w:r>
            <w:r>
              <w:rPr>
                <w:rFonts w:ascii="宋体" w:hAnsi="宋体" w:cs="宋体" w:eastAsia="宋体" w:hint="default"/>
                <w:spacing w:val="-1"/>
                <w:sz w:val="18"/>
                <w:szCs w:val="18"/>
              </w:rPr>
              <w:t>为了积极抓住机遇，进一步推动公司互联网金融电子商务服务业务的快速健康发展，根据公司整体发展战略和实际经营情</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况，同时给投资者以持续回报，遵照中国证监会和深交所相关规定，拟提出公司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年度资本公积金转增股本及利润分 配预案为：</w:t>
            </w:r>
          </w:p>
          <w:p>
            <w:pPr>
              <w:pStyle w:val="TableParagraph"/>
              <w:spacing w:line="240" w:lineRule="auto" w:before="5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120,960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万股为基数，用资本公积金向全体股东每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股，共转增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24,192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、以总股本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股送红股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股（含税</w:t>
            </w:r>
            <w:r>
              <w:rPr>
                <w:rFonts w:ascii="宋体" w:hAnsi="宋体" w:cs="宋体" w:eastAsia="宋体" w:hint="default"/>
                <w:spacing w:val="-89"/>
                <w:sz w:val="18"/>
                <w:szCs w:val="18"/>
              </w:rPr>
              <w:t>）</w:t>
            </w:r>
            <w:r>
              <w:rPr>
                <w:rFonts w:ascii="宋体" w:hAnsi="宋体" w:cs="宋体" w:eastAsia="宋体" w:hint="default"/>
                <w:sz w:val="18"/>
                <w:szCs w:val="18"/>
              </w:rPr>
              <w:t>，共送红股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p>
            <w:pPr>
              <w:pStyle w:val="TableParagraph"/>
              <w:spacing w:line="240" w:lineRule="auto" w:before="103"/>
              <w:ind w:left="22" w:right="-5"/>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、以总股本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，合计派发现金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以上转增和送股后公司总股本变更为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169,344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pStyle w:val="BodyText"/>
        <w:spacing w:line="240" w:lineRule="auto" w:before="78"/>
        <w:ind w:left="532" w:right="0"/>
        <w:jc w:val="left"/>
      </w:pPr>
      <w:r>
        <w:rPr/>
        <w:t>2014年度权益分派方案为：</w:t>
      </w:r>
    </w:p>
    <w:p>
      <w:pPr>
        <w:pStyle w:val="BodyText"/>
        <w:spacing w:line="240" w:lineRule="auto" w:before="37"/>
        <w:ind w:left="532" w:right="0"/>
        <w:jc w:val="left"/>
      </w:pPr>
      <w:r>
        <w:rPr/>
        <w:t>1、以总股本120,960万股为基数，用资本公积金向全体股东每10股转增2股，共转增24,192万股。</w:t>
      </w:r>
    </w:p>
    <w:p>
      <w:pPr>
        <w:pStyle w:val="BodyText"/>
        <w:spacing w:line="240" w:lineRule="auto" w:before="37"/>
        <w:ind w:left="532" w:right="0"/>
        <w:jc w:val="left"/>
      </w:pPr>
      <w:r>
        <w:rPr/>
        <w:t>2、以总股本120,960万股为基数，向全体股东每10股送红股2股（含税），共送红股24,192万股。</w:t>
      </w:r>
    </w:p>
    <w:p>
      <w:pPr>
        <w:pStyle w:val="BodyText"/>
        <w:spacing w:line="273" w:lineRule="auto" w:before="37"/>
        <w:ind w:right="0" w:firstLine="420"/>
        <w:jc w:val="left"/>
      </w:pPr>
      <w:r>
        <w:rPr>
          <w:w w:val="95"/>
        </w:rPr>
        <w:t>3、以总股本120,960万股为基数，向全体股东每10股派发现金股利人民币0.6元（含税），合计派发</w:t>
      </w:r>
      <w:r>
        <w:rPr>
          <w:spacing w:val="-85"/>
          <w:w w:val="95"/>
        </w:rPr>
        <w:t> </w:t>
      </w:r>
      <w:r>
        <w:rPr>
          <w:spacing w:val="-85"/>
          <w:w w:val="95"/>
        </w:rPr>
      </w:r>
      <w:r>
        <w:rPr>
          <w:w w:val="95"/>
        </w:rPr>
        <w:t>现金7,257.60万元。以上转增和送股后公司总股本变更为169,344万股，剩余未分配利润结转至下年度。</w:t>
      </w:r>
      <w:r>
        <w:rPr/>
      </w:r>
    </w:p>
    <w:p>
      <w:pPr>
        <w:pStyle w:val="BodyText"/>
        <w:spacing w:line="240" w:lineRule="auto"/>
        <w:ind w:left="532" w:right="0"/>
        <w:jc w:val="left"/>
      </w:pPr>
      <w:r>
        <w:rPr/>
        <w:t>2013年度权益分派方案为:</w:t>
      </w:r>
    </w:p>
    <w:p>
      <w:pPr>
        <w:spacing w:after="0" w:line="240" w:lineRule="auto"/>
        <w:jc w:val="left"/>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BodyText"/>
        <w:spacing w:line="273" w:lineRule="auto" w:before="34"/>
        <w:ind w:right="0" w:firstLine="420"/>
        <w:jc w:val="left"/>
      </w:pPr>
      <w:r>
        <w:rPr>
          <w:w w:val="95"/>
        </w:rPr>
        <w:t>1、以总股本67,200万股为基数，用资本公积金向全体股东每10股转增8股，共转增53,760万股，转增</w:t>
      </w:r>
      <w:r>
        <w:rPr>
          <w:w w:val="99"/>
        </w:rPr>
        <w:t> </w:t>
      </w:r>
      <w:r>
        <w:rPr/>
        <w:t>后总股本增至120,960万股。</w:t>
      </w:r>
    </w:p>
    <w:p>
      <w:pPr>
        <w:pStyle w:val="BodyText"/>
        <w:spacing w:line="273" w:lineRule="auto"/>
        <w:ind w:right="0" w:firstLine="420"/>
        <w:jc w:val="left"/>
      </w:pPr>
      <w:r>
        <w:rPr>
          <w:w w:val="95"/>
        </w:rPr>
        <w:t>2、以总股本67,200万股为基数，向全体股东每10股派发现金股利人民币0.20元（含税），合计派发</w:t>
      </w:r>
      <w:r>
        <w:rPr>
          <w:spacing w:val="-85"/>
          <w:w w:val="95"/>
        </w:rPr>
        <w:t> </w:t>
      </w:r>
      <w:r>
        <w:rPr>
          <w:spacing w:val="-85"/>
          <w:w w:val="95"/>
        </w:rPr>
      </w:r>
      <w:r>
        <w:rPr/>
        <w:t>现金1,344.00万元，剩余未分配利润结转至下年度。</w:t>
      </w:r>
    </w:p>
    <w:p>
      <w:pPr>
        <w:pStyle w:val="BodyText"/>
        <w:spacing w:line="240" w:lineRule="auto"/>
        <w:ind w:left="532" w:right="0"/>
        <w:jc w:val="left"/>
      </w:pPr>
      <w:r>
        <w:rPr/>
        <w:t>2012年度权益分派方案为:</w:t>
      </w:r>
    </w:p>
    <w:p>
      <w:pPr>
        <w:pStyle w:val="BodyText"/>
        <w:spacing w:line="273" w:lineRule="auto" w:before="37"/>
        <w:ind w:right="0" w:firstLine="420"/>
        <w:jc w:val="left"/>
      </w:pPr>
      <w:r>
        <w:rPr>
          <w:w w:val="95"/>
        </w:rPr>
        <w:t>1、以总股本33,600万股为基数，用资本公积金向全体股东每10股转增10股，共转增33,600万股，转</w:t>
      </w:r>
      <w:r>
        <w:rPr>
          <w:spacing w:val="-85"/>
          <w:w w:val="95"/>
        </w:rPr>
        <w:t> </w:t>
      </w:r>
      <w:r>
        <w:rPr>
          <w:spacing w:val="-85"/>
          <w:w w:val="95"/>
        </w:rPr>
      </w:r>
      <w:r>
        <w:rPr/>
        <w:t>增后总股本增至67,200万股。</w:t>
      </w:r>
    </w:p>
    <w:p>
      <w:pPr>
        <w:pStyle w:val="BodyText"/>
        <w:spacing w:line="273" w:lineRule="auto"/>
        <w:ind w:right="0" w:firstLine="420"/>
        <w:jc w:val="left"/>
      </w:pPr>
      <w:r>
        <w:rPr>
          <w:w w:val="95"/>
        </w:rPr>
        <w:t>2、以总股本33,600万股为基数，向全体股东每10股派发现金股利人民币1.00元（含税），合计派发</w:t>
      </w:r>
      <w:r>
        <w:rPr>
          <w:spacing w:val="-85"/>
          <w:w w:val="95"/>
        </w:rPr>
        <w:t> </w:t>
      </w:r>
      <w:r>
        <w:rPr>
          <w:spacing w:val="-85"/>
          <w:w w:val="95"/>
        </w:rPr>
      </w:r>
      <w:r>
        <w:rPr/>
        <w:t>现金3,360.00万元，剩余未分配利润结转至下年度。</w:t>
      </w:r>
    </w:p>
    <w:p>
      <w:pPr>
        <w:spacing w:line="240" w:lineRule="auto" w:before="3"/>
        <w:rPr>
          <w:rFonts w:ascii="宋体" w:hAnsi="宋体" w:cs="宋体" w:eastAsia="宋体" w:hint="default"/>
          <w:sz w:val="11"/>
          <w:szCs w:val="11"/>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003"/>
        <w:gridCol w:w="2409"/>
        <w:gridCol w:w="2764"/>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4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8" w:right="28" w:hanging="89"/>
              <w:jc w:val="left"/>
              <w:rPr>
                <w:rFonts w:ascii="宋体" w:hAnsi="宋体" w:cs="宋体" w:eastAsia="宋体" w:hint="default"/>
                <w:sz w:val="18"/>
                <w:szCs w:val="18"/>
              </w:rPr>
            </w:pPr>
            <w:r>
              <w:rPr>
                <w:rFonts w:ascii="宋体" w:hAnsi="宋体" w:cs="宋体" w:eastAsia="宋体" w:hint="default"/>
                <w:sz w:val="18"/>
                <w:szCs w:val="18"/>
              </w:rPr>
              <w:t>分红年度合并报表中归属于上 市公司普通股股东的净利润</w:t>
            </w: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76" w:right="24" w:hanging="449"/>
              <w:jc w:val="left"/>
              <w:rPr>
                <w:rFonts w:ascii="宋体" w:hAnsi="宋体" w:cs="宋体" w:eastAsia="宋体" w:hint="default"/>
                <w:sz w:val="18"/>
                <w:szCs w:val="18"/>
              </w:rPr>
            </w:pPr>
            <w:r>
              <w:rPr>
                <w:rFonts w:ascii="宋体" w:hAnsi="宋体" w:cs="宋体" w:eastAsia="宋体" w:hint="default"/>
                <w:sz w:val="18"/>
                <w:szCs w:val="18"/>
              </w:rPr>
              <w:t>占合并报表中归属于上市公司普通 股股东的净利润的比率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72,576,000.00</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165,723,821.57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43.79%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13,440,000.00</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5,001,337.41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268.73%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33,600,000.00</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37,581,860.98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89.40%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六、内幕信息知情人管理制度的建立和执行情况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before="0"/>
        <w:ind w:left="532" w:right="0"/>
        <w:jc w:val="left"/>
      </w:pPr>
      <w:r>
        <w:rPr/>
        <w:t>（一）</w:t>
      </w:r>
      <w:r>
        <w:rPr>
          <w:spacing w:val="1"/>
        </w:rPr>
        <w:t> </w:t>
      </w:r>
      <w:r>
        <w:rPr/>
        <w:t>内幕知情人登记管理制度建立情况</w:t>
      </w:r>
      <w:r>
        <w:rPr>
          <w:w w:val="99"/>
        </w:rPr>
        <w:t> </w:t>
      </w:r>
      <w:r>
        <w:rPr>
          <w:spacing w:val="-5"/>
          <w:w w:val="95"/>
        </w:rPr>
        <w:t>为规范公司的内幕信息管理，加强内幕信息保密工作，维护信息披露的公平原则，公司专门制订了《内</w:t>
      </w:r>
      <w:r>
        <w:rPr>
          <w:spacing w:val="-5"/>
        </w:rPr>
      </w:r>
    </w:p>
    <w:p>
      <w:pPr>
        <w:pStyle w:val="BodyText"/>
        <w:spacing w:line="273" w:lineRule="auto"/>
        <w:ind w:left="532" w:right="0" w:hanging="420"/>
        <w:jc w:val="left"/>
      </w:pPr>
      <w:r>
        <w:rPr/>
        <w:t>幕信息知情人报备制度》，并经2010年9月6日召开的公司第一届董事会第十三次会议审议通过。</w:t>
      </w:r>
      <w:r>
        <w:rPr>
          <w:w w:val="99"/>
        </w:rPr>
        <w:t> </w:t>
      </w:r>
      <w:r>
        <w:rPr>
          <w:w w:val="95"/>
        </w:rPr>
        <w:t>2012年2月24日，公司对制度进行了修订，并经第二届董事会第十二次会议审议通过，形成了《东方</w:t>
      </w:r>
      <w:r>
        <w:rPr/>
      </w:r>
    </w:p>
    <w:p>
      <w:pPr>
        <w:pStyle w:val="BodyText"/>
        <w:spacing w:line="240" w:lineRule="auto"/>
        <w:ind w:right="0"/>
        <w:jc w:val="left"/>
      </w:pPr>
      <w:r>
        <w:rPr/>
        <w:t>财富信息股份有限公司内幕信息知情人登记管理制度》。</w:t>
      </w:r>
    </w:p>
    <w:p>
      <w:pPr>
        <w:pStyle w:val="BodyText"/>
        <w:spacing w:line="273" w:lineRule="auto" w:before="37"/>
        <w:ind w:left="532" w:right="5436"/>
        <w:jc w:val="left"/>
      </w:pPr>
      <w:r>
        <w:rPr/>
        <w:t>（二）</w:t>
      </w:r>
      <w:r>
        <w:rPr>
          <w:spacing w:val="-7"/>
        </w:rPr>
        <w:t> </w:t>
      </w:r>
      <w:r>
        <w:rPr/>
        <w:t>内幕知情人登记管理制度执行情况</w:t>
      </w:r>
      <w:r>
        <w:rPr>
          <w:w w:val="99"/>
        </w:rPr>
        <w:t> </w:t>
      </w:r>
      <w:r>
        <w:rPr/>
        <w:t>1、公司重大事项的信息保密工作</w:t>
      </w:r>
    </w:p>
    <w:p>
      <w:pPr>
        <w:pStyle w:val="BodyText"/>
        <w:spacing w:line="273" w:lineRule="auto"/>
        <w:ind w:right="112" w:firstLine="420"/>
        <w:jc w:val="both"/>
      </w:pPr>
      <w:r>
        <w:rPr>
          <w:w w:val="95"/>
        </w:rPr>
        <w:t>报告期内，公司按照制度规定，做好重大事项的内幕信息管理，在定期报告等公告披露期间，严格控</w:t>
      </w:r>
      <w:r>
        <w:rPr>
          <w:w w:val="99"/>
        </w:rPr>
        <w:t> </w:t>
      </w:r>
      <w:r>
        <w:rPr>
          <w:w w:val="95"/>
        </w:rPr>
        <w:t>制知情人范围填写《内幕信息知情人档案》，如实、完整记录上述信息在公开前的所有内幕信息知情人名</w:t>
      </w:r>
      <w:r>
        <w:rPr>
          <w:spacing w:val="40"/>
          <w:w w:val="95"/>
        </w:rPr>
        <w:t> </w:t>
      </w:r>
      <w:r>
        <w:rPr>
          <w:spacing w:val="40"/>
          <w:w w:val="95"/>
        </w:rPr>
      </w:r>
      <w:r>
        <w:rPr>
          <w:w w:val="95"/>
        </w:rPr>
        <w:t>单，以及知情人知悉内幕信息的时间、地点、方式等。按照相关法规规定向监管机构报送《内幕信息知情</w:t>
      </w:r>
      <w:r>
        <w:rPr>
          <w:spacing w:val="37"/>
          <w:w w:val="95"/>
        </w:rPr>
        <w:t> </w:t>
      </w:r>
      <w:r>
        <w:rPr>
          <w:spacing w:val="37"/>
          <w:w w:val="95"/>
        </w:rPr>
      </w:r>
      <w:r>
        <w:rPr/>
        <w:t>人档案》。</w:t>
      </w:r>
    </w:p>
    <w:p>
      <w:pPr>
        <w:pStyle w:val="BodyText"/>
        <w:spacing w:line="273" w:lineRule="auto"/>
        <w:ind w:left="532" w:right="0"/>
        <w:jc w:val="left"/>
      </w:pPr>
      <w:r>
        <w:rPr/>
        <w:t>2、内幕信息知情人在敏感期买卖本公司股票情况</w:t>
      </w:r>
      <w:r>
        <w:rPr>
          <w:w w:val="99"/>
        </w:rPr>
        <w:t> </w:t>
      </w:r>
      <w:r>
        <w:rPr>
          <w:w w:val="95"/>
        </w:rPr>
        <w:t>报告期内，公司做好定期报告披露期间买卖公司股票注意事项的通知工作，公司董事、监事和高管及</w:t>
      </w:r>
      <w:r>
        <w:rPr/>
      </w:r>
    </w:p>
    <w:p>
      <w:pPr>
        <w:pStyle w:val="BodyText"/>
        <w:spacing w:line="273" w:lineRule="auto"/>
        <w:ind w:left="532" w:right="0" w:hanging="420"/>
        <w:jc w:val="left"/>
      </w:pPr>
      <w:r>
        <w:rPr/>
        <w:t>其配偶、父母、子女等直系亲属未有在敏感期买卖公司股票的行为发生。</w:t>
      </w:r>
      <w:r>
        <w:rPr>
          <w:w w:val="99"/>
        </w:rPr>
        <w:t> </w:t>
      </w:r>
      <w:r>
        <w:rPr/>
        <w:t>3、公司业绩说明会、路演及接受机构调研等活动的管理落实情况</w:t>
      </w:r>
      <w:r>
        <w:rPr>
          <w:w w:val="99"/>
        </w:rPr>
        <w:t> </w:t>
      </w:r>
      <w:r>
        <w:rPr>
          <w:w w:val="95"/>
        </w:rPr>
        <w:t>公司根据《深交所创业板上市公司信息披露指引》的规定，在业绩说明会、路演及接受机构调研过程</w:t>
      </w:r>
      <w:r>
        <w:rPr/>
      </w:r>
    </w:p>
    <w:p>
      <w:pPr>
        <w:pStyle w:val="BodyText"/>
        <w:spacing w:line="273" w:lineRule="auto"/>
        <w:ind w:right="0"/>
        <w:jc w:val="left"/>
      </w:pPr>
      <w:r>
        <w:rPr>
          <w:w w:val="95"/>
        </w:rPr>
        <w:t>中，严格做好内幕信息管理工作，不披露未公开的信息，同时按照规定，做好投资者关系活动记录，并上</w:t>
      </w:r>
      <w:r>
        <w:rPr>
          <w:spacing w:val="38"/>
          <w:w w:val="95"/>
        </w:rPr>
        <w:t> </w:t>
      </w:r>
      <w:r>
        <w:rPr>
          <w:spacing w:val="38"/>
          <w:w w:val="95"/>
        </w:rPr>
      </w:r>
      <w:r>
        <w:rPr/>
        <w:t>传深交所互动易平台。</w:t>
      </w:r>
    </w:p>
    <w:p>
      <w:pPr>
        <w:pStyle w:val="BodyText"/>
        <w:spacing w:line="273" w:lineRule="auto"/>
        <w:ind w:right="0" w:firstLine="420"/>
        <w:jc w:val="left"/>
      </w:pPr>
      <w:r>
        <w:rPr>
          <w:w w:val="95"/>
        </w:rPr>
        <w:t>4、报告期内，公司严格按照规定，做好内幕信息的管理工作，并督促相关人员做好内幕信息的保密</w:t>
      </w:r>
      <w:r>
        <w:rPr>
          <w:spacing w:val="-85"/>
          <w:w w:val="95"/>
        </w:rPr>
        <w:t> </w:t>
      </w:r>
      <w:r>
        <w:rPr>
          <w:spacing w:val="-85"/>
          <w:w w:val="95"/>
        </w:rPr>
      </w:r>
      <w:r>
        <w:rPr/>
        <w:t>工作，公司及相关人员未发生泄露内幕信息或者涉嫌内幕交易被监管部门采取监管措施及行政处罚的情</w:t>
      </w:r>
      <w:r>
        <w:rPr>
          <w:w w:val="99"/>
        </w:rPr>
        <w:t> </w:t>
      </w:r>
      <w:r>
        <w:rPr/>
        <w:t>况。</w:t>
      </w:r>
    </w:p>
    <w:p>
      <w:pPr>
        <w:spacing w:after="0" w:line="273" w:lineRule="auto"/>
        <w:jc w:val="left"/>
        <w:sectPr>
          <w:pgSz w:w="11910" w:h="16840"/>
          <w:pgMar w:header="776" w:footer="978" w:top="1100" w:bottom="1160" w:left="1020" w:right="1020"/>
        </w:sectPr>
      </w:pPr>
    </w:p>
    <w:p>
      <w:pPr>
        <w:spacing w:line="240" w:lineRule="auto" w:before="10"/>
        <w:rPr>
          <w:rFonts w:ascii="宋体" w:hAnsi="宋体" w:cs="宋体" w:eastAsia="宋体" w:hint="default"/>
          <w:sz w:val="19"/>
          <w:szCs w:val="19"/>
        </w:rPr>
      </w:pPr>
    </w:p>
    <w:p>
      <w:pPr>
        <w:pStyle w:val="Heading4"/>
        <w:spacing w:line="240" w:lineRule="auto" w:before="26"/>
        <w:ind w:right="0"/>
        <w:jc w:val="left"/>
        <w:rPr>
          <w:b w:val="0"/>
          <w:bCs w:val="0"/>
        </w:rPr>
      </w:pPr>
      <w:r>
        <w:rPr/>
        <w:t>七、报告期内接待调研、沟通、采访等活动登记表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94"/>
        <w:gridCol w:w="1908"/>
        <w:gridCol w:w="1276"/>
        <w:gridCol w:w="709"/>
        <w:gridCol w:w="2095"/>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0" w:right="77"/>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20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81"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59"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东方财富信息股份有限 公司会议室</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海通证券等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家机构</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公司经营及发展情况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网上远程方式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广大投资者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6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年年度报告网上说 明会</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上海浦东丽思卡尔顿酒 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楼多功能厅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海通证券等机构投资者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公司经营及发展情况</w:t>
            </w:r>
          </w:p>
        </w:tc>
      </w:tr>
    </w:tbl>
    <w:p>
      <w:pPr>
        <w:spacing w:after="0" w:line="240" w:lineRule="auto"/>
        <w:jc w:val="left"/>
        <w:rPr>
          <w:rFonts w:ascii="宋体" w:hAnsi="宋体" w:cs="宋体" w:eastAsia="宋体" w:hint="default"/>
          <w:sz w:val="18"/>
          <w:szCs w:val="18"/>
        </w:rPr>
        <w:sectPr>
          <w:pgSz w:w="11910" w:h="16840"/>
          <w:pgMar w:header="776"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3713" w:right="3750"/>
        <w:jc w:val="center"/>
        <w:rPr>
          <w:b w:val="0"/>
          <w:bCs w:val="0"/>
        </w:rPr>
      </w:pPr>
      <w:bookmarkStart w:name="_TOC_250005" w:id="5"/>
      <w:r>
        <w:rPr/>
        <w:t>第五节</w:t>
      </w:r>
      <w:r>
        <w:rPr>
          <w:spacing w:val="-7"/>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122"/>
        <w:jc w:val="left"/>
        <w:rPr>
          <w:b w:val="0"/>
          <w:bCs w:val="0"/>
        </w:rPr>
      </w:pPr>
      <w:r>
        <w:rPr/>
        <w:t>一、重大诉讼仲裁事项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本年度公司无重大诉讼、仲裁事项。</w:t>
      </w:r>
    </w:p>
    <w:p>
      <w:pPr>
        <w:spacing w:line="240" w:lineRule="auto" w:before="4"/>
        <w:rPr>
          <w:rFonts w:ascii="宋体" w:hAnsi="宋体" w:cs="宋体" w:eastAsia="宋体" w:hint="default"/>
          <w:sz w:val="19"/>
          <w:szCs w:val="19"/>
        </w:rPr>
      </w:pPr>
    </w:p>
    <w:p>
      <w:pPr>
        <w:pStyle w:val="Heading4"/>
        <w:spacing w:line="240" w:lineRule="auto"/>
        <w:ind w:right="122"/>
        <w:jc w:val="left"/>
        <w:rPr>
          <w:b w:val="0"/>
          <w:bCs w:val="0"/>
        </w:rPr>
      </w:pP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12" w:right="3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4"/>
        <w:spacing w:line="240" w:lineRule="auto"/>
        <w:ind w:right="122"/>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4"/>
        <w:spacing w:line="240" w:lineRule="auto"/>
        <w:ind w:right="122"/>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22"/>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7"/>
        <w:rPr>
          <w:rFonts w:ascii="宋体" w:hAnsi="宋体" w:cs="宋体" w:eastAsia="宋体" w:hint="default"/>
          <w:b/>
          <w:bCs/>
          <w:sz w:val="26"/>
          <w:szCs w:val="26"/>
        </w:rPr>
      </w:pPr>
    </w:p>
    <w:p>
      <w:pPr>
        <w:spacing w:before="0"/>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73" w:lineRule="auto" w:before="75"/>
        <w:ind w:right="152" w:firstLine="420"/>
        <w:jc w:val="both"/>
      </w:pPr>
      <w:r>
        <w:rPr>
          <w:w w:val="95"/>
        </w:rPr>
        <w:t>2014年12月16日，公司第三届董事会第十一次会议审议了《关于全资子公司东方财富（香港）有限公</w:t>
      </w:r>
      <w:r>
        <w:rPr>
          <w:w w:val="99"/>
        </w:rPr>
        <w:t> </w:t>
      </w:r>
      <w:r>
        <w:rPr>
          <w:w w:val="95"/>
        </w:rPr>
        <w:t>司收购宝华世纪证券有限公司的议案》，同意公司全资子公司东方财富（香港）有限公司使用自有资金收</w:t>
      </w:r>
      <w:r>
        <w:rPr>
          <w:spacing w:val="40"/>
          <w:w w:val="95"/>
        </w:rPr>
        <w:t> </w:t>
      </w:r>
      <w:r>
        <w:rPr>
          <w:spacing w:val="40"/>
          <w:w w:val="95"/>
        </w:rPr>
      </w:r>
      <w:r>
        <w:rPr>
          <w:w w:val="95"/>
        </w:rPr>
        <w:t>购宝华世纪证券有限公司（以下简称“宝华世纪”）100%的股权。本次投资不构成《上市公司重大资产重</w:t>
      </w:r>
      <w:r>
        <w:rPr>
          <w:spacing w:val="41"/>
          <w:w w:val="95"/>
        </w:rPr>
        <w:t> </w:t>
      </w:r>
      <w:r>
        <w:rPr>
          <w:spacing w:val="41"/>
          <w:w w:val="95"/>
        </w:rPr>
      </w:r>
      <w:r>
        <w:rPr>
          <w:w w:val="95"/>
        </w:rPr>
        <w:t>组管理办法》规定的重大资产重组，本次收购宝华世纪股权事项尚需取得香港证券及期货事务监察委员会</w:t>
      </w:r>
      <w:r>
        <w:rPr>
          <w:spacing w:val="37"/>
          <w:w w:val="95"/>
        </w:rPr>
        <w:t> </w:t>
      </w:r>
      <w:r>
        <w:rPr>
          <w:spacing w:val="37"/>
          <w:w w:val="95"/>
        </w:rPr>
      </w:r>
      <w:r>
        <w:rPr/>
        <w:t>审批确认。巨潮资讯网 </w:t>
      </w:r>
      <w:hyperlink r:id="rId13">
        <w:r>
          <w:rPr/>
          <w:t>www.cninfo.com.cn</w:t>
        </w:r>
      </w:hyperlink>
      <w:r>
        <w:rPr>
          <w:spacing w:val="-13"/>
        </w:rPr>
        <w:t> </w:t>
      </w:r>
      <w:r>
        <w:rPr/>
        <w:t>公告编号：2014-064</w:t>
      </w:r>
    </w:p>
    <w:p>
      <w:pPr>
        <w:spacing w:line="240" w:lineRule="auto" w:before="9"/>
        <w:rPr>
          <w:rFonts w:ascii="宋体" w:hAnsi="宋体" w:cs="宋体" w:eastAsia="宋体" w:hint="default"/>
          <w:sz w:val="23"/>
          <w:szCs w:val="23"/>
        </w:rPr>
      </w:pPr>
    </w:p>
    <w:p>
      <w:pPr>
        <w:pStyle w:val="Heading5"/>
        <w:spacing w:line="240" w:lineRule="auto"/>
        <w:ind w:right="122"/>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公司报告期未出售资产。</w:t>
      </w:r>
    </w:p>
    <w:p>
      <w:pPr>
        <w:spacing w:line="240" w:lineRule="auto" w:before="1"/>
        <w:rPr>
          <w:rFonts w:ascii="宋体" w:hAnsi="宋体" w:cs="宋体" w:eastAsia="宋体" w:hint="default"/>
          <w:sz w:val="21"/>
          <w:szCs w:val="21"/>
        </w:rPr>
      </w:pPr>
    </w:p>
    <w:p>
      <w:pPr>
        <w:pStyle w:val="Heading5"/>
        <w:spacing w:line="240" w:lineRule="auto"/>
        <w:ind w:right="122"/>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公司报告期未发生企业合并情况。</w:t>
      </w:r>
    </w:p>
    <w:p>
      <w:pPr>
        <w:spacing w:line="240" w:lineRule="auto" w:before="1"/>
        <w:rPr>
          <w:rFonts w:ascii="宋体" w:hAnsi="宋体" w:cs="宋体" w:eastAsia="宋体" w:hint="default"/>
          <w:sz w:val="21"/>
          <w:szCs w:val="21"/>
        </w:rPr>
      </w:pPr>
    </w:p>
    <w:p>
      <w:pPr>
        <w:pStyle w:val="Heading5"/>
        <w:spacing w:line="259" w:lineRule="auto"/>
        <w:ind w:right="122"/>
        <w:jc w:val="left"/>
        <w:rPr>
          <w:b w:val="0"/>
          <w:bCs w:val="0"/>
        </w:rPr>
      </w:pPr>
      <w:r>
        <w:rPr>
          <w:rFonts w:ascii="Times New Roman" w:hAnsi="Times New Roman" w:cs="Times New Roman" w:eastAsia="Times New Roman" w:hint="default"/>
          <w:spacing w:val="3"/>
          <w:w w:val="95"/>
        </w:rPr>
        <w:t>4</w:t>
      </w:r>
      <w:r>
        <w:rPr>
          <w:spacing w:val="3"/>
          <w:w w:val="95"/>
        </w:rPr>
        <w:t>、自资产重组报告书或收购出售资产公告刊登后，该事项的进展情况及对报告期经营成果与财务状况的  </w:t>
      </w:r>
      <w:r>
        <w:rPr>
          <w:spacing w:val="95"/>
          <w:w w:val="95"/>
        </w:rPr>
        <w:t> </w:t>
      </w:r>
      <w:r>
        <w:rPr>
          <w:spacing w:val="95"/>
          <w:w w:val="95"/>
        </w:rPr>
      </w:r>
      <w:r>
        <w:rPr/>
        <w:t>影响</w:t>
      </w:r>
      <w:r>
        <w:rPr>
          <w:b w:val="0"/>
          <w:bCs w:val="0"/>
        </w:rPr>
      </w:r>
    </w:p>
    <w:p>
      <w:pPr>
        <w:spacing w:line="240" w:lineRule="auto" w:before="6"/>
        <w:rPr>
          <w:rFonts w:ascii="宋体" w:hAnsi="宋体" w:cs="宋体" w:eastAsia="宋体" w:hint="default"/>
          <w:b/>
          <w:bCs/>
          <w:sz w:val="26"/>
          <w:szCs w:val="26"/>
        </w:rPr>
      </w:pPr>
    </w:p>
    <w:p>
      <w:pPr>
        <w:spacing w:before="0"/>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26"/>
          <w:pgSz w:w="11910" w:h="16840"/>
          <w:pgMar w:footer="978" w:header="776" w:top="1100" w:bottom="1160" w:left="1020" w:right="980"/>
          <w:pgNumType w:start="30"/>
        </w:sectPr>
      </w:pPr>
    </w:p>
    <w:p>
      <w:pPr>
        <w:spacing w:line="240" w:lineRule="auto" w:before="10"/>
        <w:rPr>
          <w:rFonts w:ascii="宋体" w:hAnsi="宋体" w:cs="宋体" w:eastAsia="宋体" w:hint="default"/>
          <w:sz w:val="19"/>
          <w:szCs w:val="19"/>
        </w:rPr>
      </w:pPr>
    </w:p>
    <w:p>
      <w:pPr>
        <w:pStyle w:val="Heading4"/>
        <w:spacing w:line="240" w:lineRule="auto" w:before="26"/>
        <w:ind w:right="105"/>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73" w:lineRule="auto" w:before="78"/>
        <w:ind w:left="314" w:right="212"/>
        <w:jc w:val="left"/>
      </w:pPr>
      <w:r>
        <w:rPr/>
        <w:t>（一）公司2011年股票期权激励计划</w:t>
      </w:r>
      <w:r>
        <w:rPr>
          <w:w w:val="99"/>
        </w:rPr>
        <w:t> </w:t>
      </w:r>
      <w:r>
        <w:rPr>
          <w:w w:val="95"/>
        </w:rPr>
        <w:t>1、2014年8月21日，公司第三届董事会第六次会议审议通过了《关于注销公司股权激励计划部分已授期</w:t>
      </w:r>
      <w:r>
        <w:rPr>
          <w:spacing w:val="39"/>
          <w:w w:val="95"/>
        </w:rPr>
        <w:t> </w:t>
      </w:r>
      <w:r>
        <w:rPr>
          <w:spacing w:val="39"/>
          <w:w w:val="95"/>
        </w:rPr>
      </w:r>
      <w:r>
        <w:rPr>
          <w:w w:val="95"/>
        </w:rPr>
        <w:t>权的议案》。经过本次注销，首次期权授予的激励对象人数减少至84人，首次授予的股票期权数量减少</w:t>
      </w:r>
      <w:r>
        <w:rPr>
          <w:spacing w:val="38"/>
          <w:w w:val="95"/>
        </w:rPr>
        <w:t> </w:t>
      </w:r>
      <w:r>
        <w:rPr>
          <w:spacing w:val="38"/>
          <w:w w:val="95"/>
        </w:rPr>
      </w:r>
      <w:r>
        <w:rPr/>
        <w:t>至246.24万份，授予预留期权的激励对象人数减少至11人，授予的预留期权数量减少至56.80万份。公</w:t>
      </w:r>
      <w:r>
        <w:rPr>
          <w:w w:val="99"/>
        </w:rPr>
        <w:t> </w:t>
      </w:r>
      <w:r>
        <w:rPr/>
        <w:t>司独立董事发表了相关事项的独立意见，同意上述注销。巨潮资讯网 </w:t>
      </w:r>
      <w:hyperlink r:id="rId13">
        <w:r>
          <w:rPr/>
          <w:t>www.cninfo.com.cn</w:t>
        </w:r>
      </w:hyperlink>
      <w:r>
        <w:rPr>
          <w:spacing w:val="-14"/>
        </w:rPr>
        <w:t> </w:t>
      </w:r>
      <w:r>
        <w:rPr/>
        <w:t>公告编号：</w:t>
      </w:r>
      <w:r>
        <w:rPr>
          <w:w w:val="99"/>
        </w:rPr>
        <w:t> </w:t>
      </w:r>
      <w:r>
        <w:rPr/>
        <w:t>2014-037</w:t>
      </w:r>
    </w:p>
    <w:p>
      <w:pPr>
        <w:pStyle w:val="BodyText"/>
        <w:spacing w:line="273" w:lineRule="auto"/>
        <w:ind w:left="314" w:right="105"/>
        <w:jc w:val="left"/>
      </w:pPr>
      <w:r>
        <w:rPr>
          <w:w w:val="95"/>
        </w:rPr>
        <w:t>2、2014年8月21日，公司第三届监事会第三次会议审议通过了《关于注销公司股权激励计划部分已授期</w:t>
      </w:r>
      <w:r>
        <w:rPr>
          <w:spacing w:val="39"/>
          <w:w w:val="95"/>
        </w:rPr>
        <w:t> </w:t>
      </w:r>
      <w:r>
        <w:rPr>
          <w:spacing w:val="39"/>
          <w:w w:val="95"/>
        </w:rPr>
      </w:r>
      <w:r>
        <w:rPr>
          <w:w w:val="95"/>
        </w:rPr>
        <w:t>权的议案》，认为本次注销符合《管理办法》、《股权激励备忘录》等法律、法规和规范性文件及《股</w:t>
      </w:r>
      <w:r>
        <w:rPr>
          <w:spacing w:val="37"/>
          <w:w w:val="95"/>
        </w:rPr>
        <w:t> </w:t>
      </w:r>
      <w:r>
        <w:rPr>
          <w:spacing w:val="37"/>
          <w:w w:val="95"/>
        </w:rPr>
      </w:r>
      <w:r>
        <w:rPr/>
        <w:t>票期权激励计划》的规定，同意按《股票期权激励计划》的相关规定注销部分已授期权。巨潮资讯网</w:t>
      </w:r>
      <w:hyperlink r:id="rId13">
        <w:r>
          <w:rPr>
            <w:w w:val="99"/>
          </w:rPr>
          <w:t> </w:t>
        </w:r>
        <w:r>
          <w:rPr/>
          <w:t>www.cninfo.com.cn</w:t>
        </w:r>
      </w:hyperlink>
      <w:r>
        <w:rPr>
          <w:spacing w:val="-2"/>
        </w:rPr>
        <w:t> </w:t>
      </w:r>
      <w:r>
        <w:rPr/>
        <w:t>公告编号：2014-038</w:t>
      </w:r>
      <w:r>
        <w:rPr>
          <w:w w:val="99"/>
        </w:rPr>
        <w:t> </w:t>
      </w:r>
      <w:r>
        <w:rPr>
          <w:w w:val="95"/>
        </w:rPr>
        <w:t>3、2014年8月21日，公司第三届董事会第六次会议审议通过了《关于调整公司股权激励计划期权数量和</w:t>
      </w:r>
      <w:r>
        <w:rPr>
          <w:spacing w:val="39"/>
          <w:w w:val="95"/>
        </w:rPr>
        <w:t> </w:t>
      </w:r>
      <w:r>
        <w:rPr>
          <w:spacing w:val="39"/>
          <w:w w:val="95"/>
        </w:rPr>
      </w:r>
      <w:r>
        <w:rPr/>
        <w:t>行权价格的议案》，经此次调整后，首次授予股票期权数量为443.232万份，行权价为6.14元，授予的</w:t>
      </w:r>
      <w:r>
        <w:rPr>
          <w:w w:val="99"/>
        </w:rPr>
        <w:t> </w:t>
      </w:r>
      <w:r>
        <w:rPr>
          <w:w w:val="95"/>
        </w:rPr>
        <w:t>预留股票期权数量为102.24万份，行权价为4.16元。公司独立董事发表了相关事项的独立意见，同意上</w:t>
      </w:r>
      <w:r>
        <w:rPr>
          <w:spacing w:val="38"/>
          <w:w w:val="95"/>
        </w:rPr>
        <w:t> </w:t>
      </w:r>
      <w:r>
        <w:rPr>
          <w:spacing w:val="38"/>
          <w:w w:val="95"/>
        </w:rPr>
      </w:r>
      <w:r>
        <w:rPr/>
        <w:t>述调整。巨潮资讯网 </w:t>
      </w:r>
      <w:hyperlink r:id="rId13">
        <w:r>
          <w:rPr/>
          <w:t>www.cninfo.com.cn</w:t>
        </w:r>
      </w:hyperlink>
      <w:r>
        <w:rPr/>
        <w:t> 公告编号：2014-037</w:t>
      </w:r>
      <w:r>
        <w:rPr>
          <w:w w:val="99"/>
        </w:rPr>
        <w:t> </w:t>
      </w:r>
      <w:r>
        <w:rPr>
          <w:w w:val="95"/>
        </w:rPr>
        <w:t>4、2014年8月21日，公司第三届监事会第三次会议审议通过了《关于调整公司股权激励计划期权数量和</w:t>
      </w:r>
      <w:r>
        <w:rPr>
          <w:spacing w:val="39"/>
          <w:w w:val="95"/>
        </w:rPr>
        <w:t> </w:t>
      </w:r>
      <w:r>
        <w:rPr>
          <w:spacing w:val="39"/>
          <w:w w:val="95"/>
        </w:rPr>
      </w:r>
      <w:r>
        <w:rPr>
          <w:w w:val="95"/>
        </w:rPr>
        <w:t>行权价格的议案》，认为此次调整符合《管理办法》、《股权激励备忘录》等法律、法规和规范性文件</w:t>
      </w:r>
      <w:r>
        <w:rPr>
          <w:spacing w:val="33"/>
          <w:w w:val="95"/>
        </w:rPr>
        <w:t> </w:t>
      </w:r>
      <w:r>
        <w:rPr>
          <w:spacing w:val="33"/>
          <w:w w:val="95"/>
        </w:rPr>
      </w:r>
      <w:r>
        <w:rPr>
          <w:w w:val="95"/>
        </w:rPr>
        <w:t>及《股票期权激励计划》的规定，同意按《股票期权激励计划》的相关规定进行上述调整。巨潮资讯网</w:t>
      </w:r>
      <w:r>
        <w:rPr>
          <w:spacing w:val="37"/>
          <w:w w:val="95"/>
        </w:rPr>
        <w:t> </w:t>
      </w:r>
      <w:r>
        <w:rPr>
          <w:spacing w:val="37"/>
          <w:w w:val="95"/>
        </w:rPr>
      </w:r>
      <w:hyperlink r:id="rId13">
        <w:r>
          <w:rPr/>
          <w:t>www.cninfo.com.cn</w:t>
        </w:r>
      </w:hyperlink>
      <w:r>
        <w:rPr>
          <w:spacing w:val="-7"/>
        </w:rPr>
        <w:t> </w:t>
      </w:r>
      <w:r>
        <w:rPr/>
        <w:t>公告编号：2014-038</w:t>
      </w:r>
    </w:p>
    <w:p>
      <w:pPr>
        <w:pStyle w:val="BodyText"/>
        <w:spacing w:line="273" w:lineRule="auto"/>
        <w:ind w:left="314" w:right="105"/>
        <w:jc w:val="left"/>
      </w:pPr>
      <w:r>
        <w:rPr/>
        <w:t>（二）公司2014年股票期权激励计划</w:t>
      </w:r>
      <w:r>
        <w:rPr>
          <w:w w:val="99"/>
        </w:rPr>
        <w:t> </w:t>
      </w:r>
      <w:r>
        <w:rPr/>
        <w:t>1、2014年9月16日，公司第三届董事会第七次会议审议通过了《关于&lt;东方财富信息股份有限公司2014</w:t>
      </w:r>
      <w:r>
        <w:rPr>
          <w:w w:val="99"/>
        </w:rPr>
        <w:t> </w:t>
      </w:r>
      <w:r>
        <w:rPr/>
        <w:t>年股票期权激励计划（草案）&gt;及其摘要的议案》等相关议案，公司独立董事对《2014年股票期权激励</w:t>
      </w:r>
      <w:r>
        <w:rPr>
          <w:w w:val="99"/>
        </w:rPr>
        <w:t> </w:t>
      </w:r>
      <w:r>
        <w:rPr/>
        <w:t>计划》发表了独立意见； 巨潮资讯网 </w:t>
      </w:r>
      <w:hyperlink r:id="rId13">
        <w:r>
          <w:rPr/>
          <w:t>www.cninfo.com.cn</w:t>
        </w:r>
      </w:hyperlink>
      <w:r>
        <w:rPr>
          <w:spacing w:val="-2"/>
        </w:rPr>
        <w:t> </w:t>
      </w:r>
      <w:r>
        <w:rPr/>
        <w:t>公告编号：2014-045</w:t>
      </w:r>
      <w:r>
        <w:rPr>
          <w:w w:val="99"/>
        </w:rPr>
        <w:t> </w:t>
      </w:r>
      <w:r>
        <w:rPr/>
        <w:t>2、2014年9月16日，公司第三届监事会第四次会议审议通过了《关于&lt;东方财富信息股份有限公司2014</w:t>
      </w:r>
      <w:r>
        <w:rPr>
          <w:w w:val="99"/>
        </w:rPr>
        <w:t> </w:t>
      </w:r>
      <w:r>
        <w:rPr/>
        <w:t>年股票期权激励计划（草案）&gt;及其摘要的议案》等相关议案，且认为激励对象名单符合《2014年股票</w:t>
      </w:r>
      <w:r>
        <w:rPr>
          <w:w w:val="99"/>
        </w:rPr>
        <w:t> </w:t>
      </w:r>
      <w:r>
        <w:rPr/>
        <w:t>期权激励计划》规定的激励对象范围，其作为公司2014年股票期权激励计划激励对象的主体资格合法、</w:t>
      </w:r>
      <w:r>
        <w:rPr>
          <w:w w:val="99"/>
        </w:rPr>
        <w:t> </w:t>
      </w:r>
      <w:r>
        <w:rPr/>
        <w:t>有效；巨潮资讯网 </w:t>
      </w:r>
      <w:hyperlink r:id="rId13">
        <w:r>
          <w:rPr/>
          <w:t>www.cninfo.com.cn</w:t>
        </w:r>
      </w:hyperlink>
      <w:r>
        <w:rPr/>
        <w:t> 公告编号：2014-046</w:t>
      </w:r>
      <w:r>
        <w:rPr>
          <w:w w:val="99"/>
        </w:rPr>
        <w:t> </w:t>
      </w:r>
      <w:r>
        <w:rPr>
          <w:spacing w:val="-4"/>
        </w:rPr>
        <w:t>3、2014年11月12日，公司2014年第二次临时股东大会审议通过了《关于&lt;东方财富信息股份有限公司2014</w:t>
      </w:r>
      <w:r>
        <w:rPr>
          <w:w w:val="99"/>
        </w:rPr>
        <w:t> </w:t>
      </w:r>
      <w:r>
        <w:rPr>
          <w:w w:val="95"/>
        </w:rPr>
        <w:t>年股票期权激励计划（草案）&gt;及其摘要的议案》等相关议案，公司董事会被授权确定股票期权授予日、</w:t>
      </w:r>
      <w:r>
        <w:rPr>
          <w:spacing w:val="45"/>
          <w:w w:val="95"/>
        </w:rPr>
        <w:t> </w:t>
      </w:r>
      <w:r>
        <w:rPr>
          <w:spacing w:val="45"/>
          <w:w w:val="95"/>
        </w:rPr>
      </w:r>
      <w:r>
        <w:rPr/>
        <w:t>在激励对象符合条件时向激励对象授予股票期权并办理授予股票期权所必须的全部事宜；巨潮资讯网</w:t>
      </w:r>
      <w:r>
        <w:rPr>
          <w:w w:val="99"/>
        </w:rPr>
        <w:t> </w:t>
      </w:r>
      <w:hyperlink r:id="rId13">
        <w:r>
          <w:rPr/>
          <w:t>www.cninfo.com.cn</w:t>
        </w:r>
      </w:hyperlink>
      <w:r>
        <w:rPr>
          <w:spacing w:val="-2"/>
        </w:rPr>
        <w:t> </w:t>
      </w:r>
      <w:r>
        <w:rPr/>
        <w:t>公告编号：2014-055</w:t>
      </w:r>
      <w:r>
        <w:rPr>
          <w:w w:val="99"/>
        </w:rPr>
        <w:t> </w:t>
      </w:r>
      <w:r>
        <w:rPr/>
        <w:t>4、2014年11月21日，公司第三届董事会第九次会议审议通过了《关于公司2014年股票期权激励计划激</w:t>
      </w:r>
      <w:r>
        <w:rPr>
          <w:w w:val="99"/>
        </w:rPr>
        <w:t> </w:t>
      </w:r>
      <w:r>
        <w:rPr/>
        <w:t>励对象名单及股票期权数量进行调整的议案》、《关于公司2014年股票期权激励计划首次授予期权相关</w:t>
      </w:r>
      <w:r>
        <w:rPr>
          <w:w w:val="99"/>
        </w:rPr>
        <w:t> </w:t>
      </w:r>
      <w:r>
        <w:rPr/>
        <w:t>事项的议案》。公司董事会认为《2014年股票期权激励计划》规定的授予条件已经成就，同意授予176</w:t>
      </w:r>
      <w:r>
        <w:rPr>
          <w:w w:val="99"/>
        </w:rPr>
        <w:t> </w:t>
      </w:r>
      <w:r>
        <w:rPr/>
        <w:t>名激励对象2,659.00万份股票期权。根据股东大会的授权，公司董事会确定公司2014年股票期权激励计</w:t>
      </w:r>
      <w:r>
        <w:rPr>
          <w:w w:val="99"/>
        </w:rPr>
        <w:t> </w:t>
      </w:r>
      <w:r>
        <w:rPr/>
        <w:t>划首次授予期权的授予日为2014年11月21日，公司独立董事对该事项发表了独立意见；巨潮资讯网</w:t>
      </w:r>
      <w:r>
        <w:rPr>
          <w:w w:val="99"/>
        </w:rPr>
        <w:t> </w:t>
      </w:r>
      <w:hyperlink r:id="rId13">
        <w:r>
          <w:rPr/>
          <w:t>www.cninfo.com.cn</w:t>
        </w:r>
      </w:hyperlink>
      <w:r>
        <w:rPr>
          <w:spacing w:val="-2"/>
        </w:rPr>
        <w:t> </w:t>
      </w:r>
      <w:r>
        <w:rPr/>
        <w:t>公告编号：2014-056</w:t>
      </w:r>
      <w:r>
        <w:rPr>
          <w:w w:val="99"/>
        </w:rPr>
        <w:t> </w:t>
      </w:r>
      <w:r>
        <w:rPr/>
        <w:t>5、2014年11月21日，公司第三届监事会第六次会议审议通过了《关于公司2014年股票期权激励计划激</w:t>
      </w:r>
      <w:r>
        <w:rPr>
          <w:w w:val="99"/>
        </w:rPr>
        <w:t> </w:t>
      </w:r>
      <w:r>
        <w:rPr/>
        <w:t>励对象名单及股票期权数量进行调整的议案》、《关于公司2014年股票期权激励计划首次授予期权相关</w:t>
      </w:r>
      <w:r>
        <w:rPr>
          <w:w w:val="99"/>
        </w:rPr>
        <w:t> </w:t>
      </w:r>
      <w:r>
        <w:rPr/>
        <w:t>事项的议案》，认为本次获授股票期权的激励对象作为公司2014年股票期权激励计划激励对象的主体资</w:t>
      </w:r>
      <w:r>
        <w:rPr>
          <w:w w:val="99"/>
        </w:rPr>
        <w:t> </w:t>
      </w:r>
      <w:r>
        <w:rPr/>
        <w:t>格合法、有效，同意激励对象按照《2014年股票期权激励计划》有关规定获授股票期权。</w:t>
      </w:r>
      <w:r>
        <w:rPr>
          <w:spacing w:val="-8"/>
        </w:rPr>
        <w:t> </w:t>
      </w:r>
      <w:r>
        <w:rPr/>
        <w:t>巨潮资讯网</w:t>
      </w:r>
      <w:r>
        <w:rPr>
          <w:w w:val="99"/>
        </w:rPr>
        <w:t> </w:t>
      </w:r>
      <w:hyperlink r:id="rId13">
        <w:r>
          <w:rPr/>
          <w:t>www.cninfo.com.cn</w:t>
        </w:r>
      </w:hyperlink>
      <w:r>
        <w:rPr>
          <w:spacing w:val="-7"/>
        </w:rPr>
        <w:t> </w:t>
      </w:r>
      <w:r>
        <w:rPr/>
        <w:t>公告编号：2014-057</w:t>
      </w:r>
    </w:p>
    <w:p>
      <w:pPr>
        <w:spacing w:after="0" w:line="273" w:lineRule="auto"/>
        <w:jc w:val="left"/>
        <w:sectPr>
          <w:pgSz w:w="11910" w:h="16840"/>
          <w:pgMar w:header="776" w:footer="978" w:top="1100" w:bottom="1160" w:left="1020" w:right="920"/>
        </w:sectPr>
      </w:pPr>
    </w:p>
    <w:p>
      <w:pPr>
        <w:spacing w:line="240" w:lineRule="auto" w:before="10"/>
        <w:rPr>
          <w:rFonts w:ascii="宋体" w:hAnsi="宋体" w:cs="宋体" w:eastAsia="宋体" w:hint="default"/>
          <w:sz w:val="19"/>
          <w:szCs w:val="19"/>
        </w:rPr>
      </w:pPr>
    </w:p>
    <w:p>
      <w:pPr>
        <w:pStyle w:val="Heading4"/>
        <w:spacing w:line="240" w:lineRule="auto" w:before="26"/>
        <w:ind w:right="105"/>
        <w:jc w:val="left"/>
        <w:rPr>
          <w:b w:val="0"/>
          <w:bCs w:val="0"/>
        </w:rPr>
      </w:pPr>
      <w:r>
        <w:rPr/>
        <w:t>六、重大关联交易</w:t>
      </w:r>
      <w:r>
        <w:rPr>
          <w:b w:val="0"/>
          <w:bCs w:val="0"/>
        </w:rPr>
      </w:r>
    </w:p>
    <w:p>
      <w:pPr>
        <w:spacing w:line="240" w:lineRule="auto" w:before="6"/>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宋体" w:hAnsi="宋体" w:cs="宋体" w:eastAsia="宋体" w:hint="default"/>
          <w:sz w:val="18"/>
          <w:szCs w:val="18"/>
        </w:rPr>
        <w:t>公司报告期不存在重大关联交易。</w:t>
      </w:r>
    </w:p>
    <w:p>
      <w:pPr>
        <w:spacing w:line="240" w:lineRule="auto" w:before="1"/>
        <w:rPr>
          <w:rFonts w:ascii="宋体" w:hAnsi="宋体" w:cs="宋体" w:eastAsia="宋体" w:hint="default"/>
          <w:sz w:val="25"/>
          <w:szCs w:val="25"/>
        </w:rPr>
      </w:pPr>
    </w:p>
    <w:p>
      <w:pPr>
        <w:pStyle w:val="Heading4"/>
        <w:spacing w:line="240" w:lineRule="auto"/>
        <w:ind w:right="105"/>
        <w:jc w:val="left"/>
        <w:rPr>
          <w:b w:val="0"/>
          <w:bCs w:val="0"/>
        </w:rPr>
      </w:pP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05"/>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05"/>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2" w:right="7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公司报告期不存在托管情况。</w:t>
      </w:r>
    </w:p>
    <w:p>
      <w:pPr>
        <w:spacing w:line="240" w:lineRule="auto" w:before="5"/>
        <w:rPr>
          <w:rFonts w:ascii="宋体" w:hAnsi="宋体" w:cs="宋体" w:eastAsia="宋体" w:hint="default"/>
          <w:sz w:val="21"/>
          <w:szCs w:val="21"/>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7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公司报告期不存在承包情况。</w:t>
      </w:r>
    </w:p>
    <w:p>
      <w:pPr>
        <w:spacing w:line="240" w:lineRule="auto" w:before="5"/>
        <w:rPr>
          <w:rFonts w:ascii="宋体" w:hAnsi="宋体" w:cs="宋体" w:eastAsia="宋体" w:hint="default"/>
          <w:sz w:val="21"/>
          <w:szCs w:val="21"/>
        </w:rPr>
      </w:pPr>
    </w:p>
    <w:p>
      <w:pPr>
        <w:pStyle w:val="Heading5"/>
        <w:spacing w:line="240" w:lineRule="auto"/>
        <w:ind w:right="105"/>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公司报告期不存在租赁情况。</w:t>
      </w:r>
    </w:p>
    <w:p>
      <w:pPr>
        <w:spacing w:line="240" w:lineRule="auto" w:before="1"/>
        <w:rPr>
          <w:rFonts w:ascii="宋体" w:hAnsi="宋体" w:cs="宋体" w:eastAsia="宋体" w:hint="default"/>
          <w:sz w:val="21"/>
          <w:szCs w:val="21"/>
        </w:rPr>
      </w:pPr>
    </w:p>
    <w:p>
      <w:pPr>
        <w:pStyle w:val="Heading5"/>
        <w:spacing w:line="240" w:lineRule="auto"/>
        <w:ind w:right="105"/>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
        <w:rPr>
          <w:rFonts w:ascii="宋体" w:hAnsi="宋体" w:cs="宋体" w:eastAsia="宋体" w:hint="default"/>
          <w:b/>
          <w:bCs/>
          <w:sz w:val="23"/>
          <w:szCs w:val="23"/>
        </w:rPr>
      </w:pPr>
    </w:p>
    <w:p>
      <w:pPr>
        <w:spacing w:before="44"/>
        <w:ind w:left="11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2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2"/>
        <w:gridCol w:w="952"/>
        <w:gridCol w:w="678"/>
        <w:gridCol w:w="1701"/>
        <w:gridCol w:w="850"/>
        <w:gridCol w:w="1425"/>
        <w:gridCol w:w="843"/>
        <w:gridCol w:w="851"/>
        <w:gridCol w:w="811"/>
      </w:tblGrid>
      <w:tr>
        <w:trPr>
          <w:trHeight w:val="402" w:hRule="exact"/>
        </w:trPr>
        <w:tc>
          <w:tcPr>
            <w:tcW w:w="974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66"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1" w:right="10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4" w:right="61"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4" w:right="34" w:hanging="449"/>
              <w:jc w:val="left"/>
              <w:rPr>
                <w:rFonts w:ascii="宋体" w:hAnsi="宋体" w:cs="宋体" w:eastAsia="宋体" w:hint="default"/>
                <w:sz w:val="18"/>
                <w:szCs w:val="18"/>
              </w:rPr>
            </w:pPr>
            <w:r>
              <w:rPr>
                <w:rFonts w:ascii="宋体" w:hAnsi="宋体" w:cs="宋体" w:eastAsia="宋体" w:hint="default"/>
                <w:sz w:val="18"/>
                <w:szCs w:val="18"/>
              </w:rPr>
              <w:t>实际发生日期（协议 签署日）</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0" w:right="5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40"/>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74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9" w:right="11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2" w:right="63"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4" w:right="34" w:hanging="449"/>
              <w:jc w:val="left"/>
              <w:rPr>
                <w:rFonts w:ascii="宋体" w:hAnsi="宋体" w:cs="宋体" w:eastAsia="宋体" w:hint="default"/>
                <w:sz w:val="18"/>
                <w:szCs w:val="18"/>
              </w:rPr>
            </w:pPr>
            <w:r>
              <w:rPr>
                <w:rFonts w:ascii="宋体" w:hAnsi="宋体" w:cs="宋体" w:eastAsia="宋体" w:hint="default"/>
                <w:sz w:val="18"/>
                <w:szCs w:val="18"/>
              </w:rPr>
              <w:t>实际发生日期（协议 签署日）</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0" w:right="5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40"/>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7"/>
              <w:jc w:val="left"/>
              <w:rPr>
                <w:rFonts w:ascii="宋体" w:hAnsi="宋体" w:cs="宋体" w:eastAsia="宋体" w:hint="default"/>
                <w:sz w:val="18"/>
                <w:szCs w:val="18"/>
              </w:rPr>
            </w:pPr>
            <w:r>
              <w:rPr>
                <w:rFonts w:ascii="宋体" w:hAnsi="宋体" w:cs="宋体" w:eastAsia="宋体" w:hint="default"/>
                <w:sz w:val="18"/>
                <w:szCs w:val="18"/>
              </w:rPr>
              <w:t>上海天天基金销售 有限公司</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30,000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30,000</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5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714" w:hRule="exact"/>
        </w:trPr>
        <w:tc>
          <w:tcPr>
            <w:tcW w:w="25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5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400" w:hRule="exact"/>
        </w:trPr>
        <w:tc>
          <w:tcPr>
            <w:tcW w:w="974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bl>
    <w:p>
      <w:pPr>
        <w:spacing w:after="0" w:line="240" w:lineRule="auto"/>
        <w:jc w:val="left"/>
        <w:rPr>
          <w:rFonts w:ascii="宋体" w:hAnsi="宋体" w:cs="宋体" w:eastAsia="宋体" w:hint="default"/>
          <w:sz w:val="18"/>
          <w:szCs w:val="18"/>
        </w:rPr>
        <w:sectPr>
          <w:pgSz w:w="11910" w:h="16840"/>
          <w:pgMar w:header="776" w:footer="978" w:top="1100" w:bottom="1160" w:left="1020" w:right="9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580"/>
        <w:gridCol w:w="2351"/>
        <w:gridCol w:w="2306"/>
        <w:gridCol w:w="2505"/>
      </w:tblGrid>
      <w:tr>
        <w:trPr>
          <w:trHeight w:val="714" w:hRule="exact"/>
        </w:trPr>
        <w:tc>
          <w:tcPr>
            <w:tcW w:w="2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2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110"/>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714" w:hRule="exact"/>
        </w:trPr>
        <w:tc>
          <w:tcPr>
            <w:tcW w:w="2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2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402" w:hRule="exact"/>
        </w:trPr>
        <w:tc>
          <w:tcPr>
            <w:tcW w:w="49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w:t>
            </w:r>
          </w:p>
        </w:tc>
      </w:tr>
      <w:tr>
        <w:trPr>
          <w:trHeight w:val="402" w:hRule="exact"/>
        </w:trPr>
        <w:tc>
          <w:tcPr>
            <w:tcW w:w="974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9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9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 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402" w:hRule="exact"/>
        </w:trPr>
        <w:tc>
          <w:tcPr>
            <w:tcW w:w="49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9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402" w:hRule="exact"/>
        </w:trPr>
        <w:tc>
          <w:tcPr>
            <w:tcW w:w="49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9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5"/>
        <w:spacing w:line="240" w:lineRule="auto" w:before="34"/>
        <w:ind w:right="105"/>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5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pStyle w:val="Heading5"/>
        <w:spacing w:line="240" w:lineRule="auto"/>
        <w:ind w:right="105"/>
        <w:jc w:val="left"/>
        <w:rPr>
          <w:b w:val="0"/>
          <w:bCs w:val="0"/>
        </w:rPr>
      </w:pP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5"/>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7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公司报告期不存在委托理财。</w:t>
      </w:r>
    </w:p>
    <w:p>
      <w:pPr>
        <w:spacing w:line="240" w:lineRule="auto" w:before="5"/>
        <w:rPr>
          <w:rFonts w:ascii="宋体" w:hAnsi="宋体" w:cs="宋体" w:eastAsia="宋体" w:hint="default"/>
          <w:sz w:val="21"/>
          <w:szCs w:val="21"/>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7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公司报告期不存在衍生品投资。</w:t>
      </w:r>
    </w:p>
    <w:p>
      <w:pPr>
        <w:spacing w:line="240" w:lineRule="auto" w:before="1"/>
        <w:rPr>
          <w:rFonts w:ascii="宋体" w:hAnsi="宋体" w:cs="宋体" w:eastAsia="宋体" w:hint="default"/>
          <w:sz w:val="21"/>
          <w:szCs w:val="21"/>
        </w:rPr>
      </w:pPr>
    </w:p>
    <w:p>
      <w:pPr>
        <w:pStyle w:val="Heading5"/>
        <w:spacing w:line="240" w:lineRule="auto"/>
        <w:ind w:right="105"/>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7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pStyle w:val="Heading5"/>
        <w:spacing w:line="240" w:lineRule="auto"/>
        <w:ind w:right="105"/>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40" w:lineRule="auto" w:before="0"/>
        <w:ind w:left="112" w:right="7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公司报告期不存在其他重大合同。</w:t>
      </w:r>
    </w:p>
    <w:p>
      <w:pPr>
        <w:spacing w:after="0" w:line="340" w:lineRule="auto"/>
        <w:jc w:val="left"/>
        <w:rPr>
          <w:rFonts w:ascii="宋体" w:hAnsi="宋体" w:cs="宋体" w:eastAsia="宋体" w:hint="default"/>
          <w:sz w:val="18"/>
          <w:szCs w:val="18"/>
        </w:rPr>
        <w:sectPr>
          <w:pgSz w:w="11910" w:h="16840"/>
          <w:pgMar w:header="776" w:footer="978" w:top="1100" w:bottom="1160" w:left="1020" w:right="920"/>
        </w:sectPr>
      </w:pPr>
    </w:p>
    <w:p>
      <w:pPr>
        <w:spacing w:line="240" w:lineRule="auto" w:before="10"/>
        <w:rPr>
          <w:rFonts w:ascii="宋体" w:hAnsi="宋体" w:cs="宋体" w:eastAsia="宋体" w:hint="default"/>
          <w:sz w:val="19"/>
          <w:szCs w:val="19"/>
        </w:rPr>
      </w:pPr>
      <w:r>
        <w:rPr/>
        <w:pict>
          <v:shape style="position:absolute;margin-left:388.799988pt;margin-top:247.300018pt;width:57.65pt;height:269.25pt;mso-position-horizontal-relative:page;mso-position-vertical-relative:page;z-index:-6258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pStyle w:val="Heading4"/>
        <w:spacing w:line="240" w:lineRule="auto" w:before="26"/>
        <w:ind w:right="122"/>
        <w:jc w:val="left"/>
        <w:rPr>
          <w:b w:val="0"/>
          <w:bCs w:val="0"/>
        </w:rPr>
      </w:pP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22"/>
        <w:jc w:val="left"/>
        <w:rPr>
          <w:b w:val="0"/>
          <w:bCs w:val="0"/>
        </w:rPr>
      </w:pPr>
      <w:r>
        <w:rPr>
          <w:rFonts w:ascii="Times New Roman" w:hAnsi="Times New Roman" w:cs="Times New Roman" w:eastAsia="Times New Roman" w:hint="default"/>
        </w:rPr>
        <w:t>1</w:t>
      </w:r>
      <w:r>
        <w:rPr/>
        <w:t>、公司或持股</w:t>
      </w:r>
      <w:r>
        <w:rPr>
          <w:spacing w:val="-68"/>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4"/>
        <w:rPr>
          <w:rFonts w:ascii="宋体" w:hAnsi="宋体" w:cs="宋体" w:eastAsia="宋体" w:hint="default"/>
          <w:b/>
          <w:bCs/>
          <w:sz w:val="26"/>
          <w:szCs w:val="26"/>
        </w:rPr>
      </w:pPr>
    </w:p>
    <w:p>
      <w:pPr>
        <w:spacing w:before="0"/>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701"/>
        <w:gridCol w:w="807"/>
        <w:gridCol w:w="4253"/>
        <w:gridCol w:w="1036"/>
        <w:gridCol w:w="992"/>
        <w:gridCol w:w="877"/>
      </w:tblGrid>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8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5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29"/>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07" w:type="dxa"/>
            <w:tcBorders>
              <w:top w:val="single" w:sz="4" w:space="0" w:color="000000"/>
              <w:left w:val="single" w:sz="4" w:space="0" w:color="000000"/>
              <w:bottom w:val="single" w:sz="4" w:space="0" w:color="000000"/>
              <w:right w:val="single" w:sz="4" w:space="0" w:color="000000"/>
            </w:tcBorders>
          </w:tcPr>
          <w:p>
            <w:pPr/>
          </w:p>
        </w:tc>
        <w:tc>
          <w:tcPr>
            <w:tcW w:w="4253"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4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807" w:type="dxa"/>
            <w:tcBorders>
              <w:top w:val="single" w:sz="4" w:space="0" w:color="000000"/>
              <w:left w:val="single" w:sz="4" w:space="0" w:color="000000"/>
              <w:bottom w:val="single" w:sz="4" w:space="0" w:color="000000"/>
              <w:right w:val="single" w:sz="4" w:space="0" w:color="000000"/>
            </w:tcBorders>
          </w:tcPr>
          <w:p>
            <w:pPr/>
          </w:p>
        </w:tc>
        <w:tc>
          <w:tcPr>
            <w:tcW w:w="4253"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807" w:type="dxa"/>
            <w:tcBorders>
              <w:top w:val="single" w:sz="4" w:space="0" w:color="000000"/>
              <w:left w:val="single" w:sz="4" w:space="0" w:color="000000"/>
              <w:bottom w:val="single" w:sz="4" w:space="0" w:color="000000"/>
              <w:right w:val="single" w:sz="4" w:space="0" w:color="000000"/>
            </w:tcBorders>
          </w:tcPr>
          <w:p>
            <w:pPr/>
          </w:p>
        </w:tc>
        <w:tc>
          <w:tcPr>
            <w:tcW w:w="4253"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2" w:right="-11"/>
              <w:jc w:val="left"/>
              <w:rPr>
                <w:rFonts w:ascii="宋体" w:hAnsi="宋体" w:cs="宋体" w:eastAsia="宋体" w:hint="default"/>
                <w:sz w:val="18"/>
                <w:szCs w:val="18"/>
              </w:rPr>
            </w:pPr>
            <w:r>
              <w:rPr>
                <w:rFonts w:ascii="宋体" w:hAnsi="宋体" w:cs="宋体" w:eastAsia="宋体" w:hint="default"/>
                <w:sz w:val="18"/>
                <w:szCs w:val="18"/>
              </w:rPr>
              <w:t>为避免同业竞争，保护公司及其他股东的利益，本公 司控股股东、实际控制人其实先生出具了避免同业竞 </w:t>
            </w:r>
            <w:r>
              <w:rPr>
                <w:rFonts w:ascii="宋体" w:hAnsi="宋体" w:cs="宋体" w:eastAsia="宋体" w:hint="default"/>
                <w:spacing w:val="-3"/>
                <w:sz w:val="18"/>
                <w:szCs w:val="18"/>
              </w:rPr>
              <w:t>争的承诺。</w:t>
            </w:r>
            <w:r>
              <w:rPr>
                <w:rFonts w:ascii="Times New Roman" w:hAnsi="Times New Roman" w:cs="Times New Roman" w:eastAsia="Times New Roman" w:hint="default"/>
                <w:spacing w:val="-3"/>
                <w:sz w:val="18"/>
                <w:szCs w:val="18"/>
              </w:rPr>
              <w:t>2009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5"/>
                <w:sz w:val="18"/>
                <w:szCs w:val="18"/>
              </w:rPr>
              <w:t>日，本公司控股股东、实际</w:t>
            </w:r>
            <w:r>
              <w:rPr>
                <w:rFonts w:ascii="宋体" w:hAnsi="宋体" w:cs="宋体" w:eastAsia="宋体" w:hint="default"/>
                <w:sz w:val="18"/>
                <w:szCs w:val="18"/>
              </w:rPr>
              <w:t> </w:t>
            </w:r>
            <w:r>
              <w:rPr>
                <w:rFonts w:ascii="宋体" w:hAnsi="宋体" w:cs="宋体" w:eastAsia="宋体" w:hint="default"/>
                <w:spacing w:val="-4"/>
                <w:sz w:val="18"/>
                <w:szCs w:val="18"/>
              </w:rPr>
              <w:t>控制人其实先生出具了《关于避免同业竞争承诺函》，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承诺如下：（</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）本人所控制的除东方财富以外的公司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分公司、合营或联营公司及其他任何类型的企业现时 不存在从事与东方财富有相同或类似业务的情形，与 </w:t>
            </w:r>
            <w:r>
              <w:rPr>
                <w:rFonts w:ascii="宋体" w:hAnsi="宋体" w:cs="宋体" w:eastAsia="宋体" w:hint="default"/>
                <w:spacing w:val="-4"/>
                <w:sz w:val="18"/>
                <w:szCs w:val="18"/>
              </w:rPr>
              <w:t>东方财富之间不存在同业竞争。（</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）在作为东方财富</w:t>
            </w:r>
            <w:r>
              <w:rPr>
                <w:rFonts w:ascii="宋体" w:hAnsi="宋体" w:cs="宋体" w:eastAsia="宋体" w:hint="default"/>
                <w:spacing w:val="-85"/>
                <w:sz w:val="18"/>
                <w:szCs w:val="18"/>
              </w:rPr>
              <w:t> </w:t>
            </w:r>
            <w:r>
              <w:rPr>
                <w:rFonts w:ascii="宋体" w:hAnsi="宋体" w:cs="宋体" w:eastAsia="宋体" w:hint="default"/>
                <w:sz w:val="18"/>
                <w:szCs w:val="18"/>
              </w:rPr>
              <w:t>实际控制人期间，将不设立从事与东方财富有相同或 </w:t>
            </w:r>
            <w:r>
              <w:rPr>
                <w:rFonts w:ascii="宋体" w:hAnsi="宋体" w:cs="宋体" w:eastAsia="宋体" w:hint="default"/>
                <w:spacing w:val="-4"/>
                <w:sz w:val="18"/>
                <w:szCs w:val="18"/>
              </w:rPr>
              <w:t>类似业务的公司。（</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）承诺不利用东方财富实际控制</w:t>
            </w:r>
            <w:r>
              <w:rPr>
                <w:rFonts w:ascii="宋体" w:hAnsi="宋体" w:cs="宋体" w:eastAsia="宋体" w:hint="default"/>
                <w:spacing w:val="-85"/>
                <w:sz w:val="18"/>
                <w:szCs w:val="18"/>
              </w:rPr>
              <w:t> </w:t>
            </w:r>
            <w:r>
              <w:rPr>
                <w:rFonts w:ascii="宋体" w:hAnsi="宋体" w:cs="宋体" w:eastAsia="宋体" w:hint="default"/>
                <w:sz w:val="18"/>
                <w:szCs w:val="18"/>
              </w:rPr>
              <w:t>人地位，损害东方财富及东方财富其他股东的利益。 如违反上述承诺，本人愿意承担由此产生的全部责任</w:t>
            </w:r>
            <w:r>
              <w:rPr>
                <w:rFonts w:ascii="宋体" w:hAnsi="宋体" w:cs="宋体" w:eastAsia="宋体" w:hint="default"/>
                <w:sz w:val="18"/>
                <w:szCs w:val="18"/>
              </w:rPr>
              <w:t> 充分赔偿或补偿由此给东方财富造成的所有直接或间 接损失。上述承诺一经签署立即生效，且上述承诺在 本人对东方财富拥有由资本因素或非资本因素形成的 直接或间接的控制权或对东方财富存在重大影响期间 持续有效，且不可变更或撤销。</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9999-12-31</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2"/>
              <w:jc w:val="left"/>
              <w:rPr>
                <w:rFonts w:ascii="宋体" w:hAnsi="宋体" w:cs="宋体" w:eastAsia="宋体" w:hint="default"/>
                <w:sz w:val="18"/>
                <w:szCs w:val="18"/>
              </w:rPr>
            </w:pPr>
            <w:r>
              <w:rPr>
                <w:rFonts w:ascii="宋体" w:hAnsi="宋体" w:cs="宋体" w:eastAsia="宋体" w:hint="default"/>
                <w:sz w:val="18"/>
                <w:szCs w:val="18"/>
              </w:rPr>
              <w:t>其实、陶 </w:t>
            </w:r>
            <w:r>
              <w:rPr>
                <w:rFonts w:ascii="宋体" w:hAnsi="宋体" w:cs="宋体" w:eastAsia="宋体" w:hint="default"/>
                <w:spacing w:val="-15"/>
                <w:sz w:val="18"/>
                <w:szCs w:val="18"/>
              </w:rPr>
              <w:t>涛、程磊</w:t>
            </w:r>
            <w:r>
              <w:rPr>
                <w:rFonts w:ascii="宋体" w:hAnsi="宋体" w:cs="宋体" w:eastAsia="宋体" w:hint="default"/>
                <w:sz w:val="18"/>
                <w:szCs w:val="18"/>
              </w:rPr>
              <w:t> 史佳、鲍 一青、曹 薇、陆威</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78"/>
              <w:jc w:val="both"/>
              <w:rPr>
                <w:rFonts w:ascii="宋体" w:hAnsi="宋体" w:cs="宋体" w:eastAsia="宋体" w:hint="default"/>
                <w:sz w:val="18"/>
                <w:szCs w:val="18"/>
              </w:rPr>
            </w:pPr>
            <w:r>
              <w:rPr>
                <w:rFonts w:ascii="宋体" w:hAnsi="宋体" w:cs="宋体" w:eastAsia="宋体" w:hint="default"/>
                <w:sz w:val="18"/>
                <w:szCs w:val="18"/>
              </w:rPr>
              <w:t>在任职期间每年转让的股份不超过其所持有公司股份 总数的百分之二十五，在离职后半年内，不转让其所 持有的公司股份。</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2017-07-21</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9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46"/>
              <w:jc w:val="both"/>
              <w:rPr>
                <w:rFonts w:ascii="宋体" w:hAnsi="宋体" w:cs="宋体" w:eastAsia="宋体" w:hint="default"/>
                <w:sz w:val="18"/>
                <w:szCs w:val="18"/>
              </w:rPr>
            </w:pPr>
            <w:r>
              <w:rPr>
                <w:rFonts w:ascii="宋体" w:hAnsi="宋体" w:cs="宋体" w:eastAsia="宋体" w:hint="default"/>
                <w:sz w:val="18"/>
                <w:szCs w:val="18"/>
              </w:rPr>
              <w:t>未完成履行的具体原 因及下一步计划（如 有）</w:t>
            </w:r>
          </w:p>
        </w:tc>
        <w:tc>
          <w:tcPr>
            <w:tcW w:w="79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5"/>
        <w:spacing w:line="256" w:lineRule="auto" w:before="34"/>
        <w:ind w:right="122"/>
        <w:jc w:val="left"/>
        <w:rPr>
          <w:b w:val="0"/>
          <w:bCs w:val="0"/>
        </w:rPr>
      </w:pPr>
      <w:r>
        <w:rPr/>
        <w:pict>
          <v:shape style="position:absolute;margin-left:176.1595pt;margin-top:-166.645828pt;width:218.5pt;height:82.05pt;mso-position-horizontal-relative:page;mso-position-vertical-relative:paragraph;z-index:-625816" type="#_x0000_t202" filled="false" stroked="false">
            <v:textbox inset="0,0,0,0">
              <w:txbxContent>
                <w:p>
                  <w:pPr>
                    <w:spacing w:line="240" w:lineRule="auto" w:before="0"/>
                    <w:rPr>
                      <w:rFonts w:ascii="宋体" w:hAnsi="宋体" w:cs="宋体" w:eastAsia="宋体"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82.25pt;margin-top:-436.345825pt;width:264.2pt;height:351.75pt;mso-position-horizontal-relative:page;mso-position-vertical-relative:paragraph;z-index:-625792" coordorigin="3645,-8727" coordsize="5284,7035">
            <v:group style="position:absolute;left:7898;top:-8727;width:1031;height:5389" coordorigin="7898,-8727" coordsize="1031,5389">
              <v:shape style="position:absolute;left:7898;top:-8727;width:1031;height:5389" coordorigin="7898,-8727" coordsize="1031,5389" path="m7898,-8727l8929,-8727,8929,-3338,7898,-3338,7898,-8727xe" filled="true" fillcolor="#ffffff" stroked="false">
                <v:path arrowok="t"/>
                <v:fill type="solid"/>
              </v:shape>
            </v:group>
            <v:group style="position:absolute;left:3645;top:-3333;width:4248;height:1641" coordorigin="3645,-3333" coordsize="4248,1641">
              <v:shape style="position:absolute;left:3645;top:-3333;width:4248;height:1641" coordorigin="3645,-3333" coordsize="4248,1641" path="m3645,-3333l7893,-3333,7893,-1692,3645,-1692,3645,-3333xe" filled="true" fillcolor="#ffffff" stroked="false">
                <v:path arrowok="t"/>
                <v:fill type="solid"/>
              </v:shape>
            </v:group>
            <w10:wrap type="none"/>
          </v:group>
        </w:pict>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10"/>
        <w:rPr>
          <w:rFonts w:ascii="宋体" w:hAnsi="宋体" w:cs="宋体" w:eastAsia="宋体" w:hint="default"/>
          <w:b/>
          <w:bCs/>
          <w:sz w:val="26"/>
          <w:szCs w:val="26"/>
        </w:rPr>
      </w:pPr>
    </w:p>
    <w:p>
      <w:pPr>
        <w:spacing w:before="0"/>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76" w:footer="978" w:top="1100" w:bottom="1160" w:left="1020" w:right="980"/>
        </w:sectPr>
      </w:pPr>
    </w:p>
    <w:p>
      <w:pPr>
        <w:spacing w:line="240" w:lineRule="auto" w:before="10"/>
        <w:rPr>
          <w:rFonts w:ascii="宋体" w:hAnsi="宋体" w:cs="宋体" w:eastAsia="宋体" w:hint="default"/>
          <w:sz w:val="19"/>
          <w:szCs w:val="19"/>
        </w:rPr>
      </w:pPr>
    </w:p>
    <w:p>
      <w:pPr>
        <w:pStyle w:val="Heading4"/>
        <w:spacing w:line="240" w:lineRule="auto" w:before="26"/>
        <w:ind w:right="122"/>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12" w:right="122"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tabs>
                <w:tab w:pos="653"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姚辉</w:t>
              <w:tab/>
              <w:t>李新民</w:t>
            </w:r>
          </w:p>
        </w:tc>
      </w:tr>
    </w:tbl>
    <w:p>
      <w:pPr>
        <w:spacing w:before="52"/>
        <w:ind w:left="112" w:right="122"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5"/>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十、上市公司及其董事、监事、高级管理人员、公司股东、实际控制人和收购人处罚及整改</w:t>
      </w:r>
      <w:r>
        <w:rPr>
          <w:spacing w:val="-97"/>
        </w:rPr>
        <w:t> </w:t>
      </w:r>
      <w:r>
        <w:rPr>
          <w:spacing w:val="-97"/>
        </w:rPr>
      </w:r>
      <w:r>
        <w:rPr/>
        <w:t>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4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上市公司及其子公司是否被列入环保部门公布的污染严重企业名单</w:t>
      </w:r>
    </w:p>
    <w:p>
      <w:pPr>
        <w:spacing w:line="340" w:lineRule="auto" w:before="39"/>
        <w:ind w:left="11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338" w:lineRule="auto" w:before="41"/>
        <w:ind w:left="11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before="43"/>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9"/>
          <w:szCs w:val="19"/>
        </w:rPr>
      </w:pPr>
    </w:p>
    <w:p>
      <w:pPr>
        <w:pStyle w:val="Heading4"/>
        <w:spacing w:line="240" w:lineRule="auto"/>
        <w:ind w:right="122"/>
        <w:jc w:val="left"/>
        <w:rPr>
          <w:b w:val="0"/>
          <w:bCs w:val="0"/>
        </w:rPr>
      </w:pPr>
      <w:r>
        <w:rPr/>
        <w:t>十一、公司股东及其一致行动人在报告期提出或实施股份增持计划的情况</w:t>
      </w:r>
      <w:r>
        <w:rPr>
          <w:b w:val="0"/>
          <w:bCs w:val="0"/>
        </w:rPr>
      </w:r>
    </w:p>
    <w:p>
      <w:pPr>
        <w:spacing w:line="240" w:lineRule="auto" w:before="12"/>
        <w:rPr>
          <w:rFonts w:ascii="宋体" w:hAnsi="宋体" w:cs="宋体" w:eastAsia="宋体" w:hint="default"/>
          <w:b/>
          <w:bCs/>
          <w:sz w:val="21"/>
          <w:szCs w:val="21"/>
        </w:rPr>
      </w:pPr>
    </w:p>
    <w:p>
      <w:pPr>
        <w:spacing w:line="340" w:lineRule="auto" w:before="0"/>
        <w:ind w:left="112" w:right="4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公司股东及其一致行动人在报告期内未提出或实施股份增持计划。</w:t>
      </w:r>
    </w:p>
    <w:p>
      <w:pPr>
        <w:spacing w:line="240" w:lineRule="auto" w:before="9"/>
        <w:rPr>
          <w:rFonts w:ascii="宋体" w:hAnsi="宋体" w:cs="宋体" w:eastAsia="宋体" w:hint="default"/>
          <w:sz w:val="14"/>
          <w:szCs w:val="14"/>
        </w:rPr>
      </w:pPr>
    </w:p>
    <w:p>
      <w:pPr>
        <w:pStyle w:val="Heading4"/>
        <w:spacing w:line="240" w:lineRule="auto"/>
        <w:ind w:right="122"/>
        <w:jc w:val="left"/>
        <w:rPr>
          <w:b w:val="0"/>
          <w:bCs w:val="0"/>
        </w:rPr>
      </w:pPr>
      <w:r>
        <w:rPr/>
        <w:t>十二、董事、监事、高级管理人员、持股</w:t>
      </w:r>
      <w:r>
        <w:rPr>
          <w:spacing w:val="-69"/>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7"/>
        <w:rPr>
          <w:rFonts w:ascii="宋体" w:hAnsi="宋体" w:cs="宋体" w:eastAsia="宋体" w:hint="default"/>
          <w:b/>
          <w:bCs/>
          <w:sz w:val="20"/>
          <w:szCs w:val="20"/>
        </w:rPr>
      </w:pPr>
    </w:p>
    <w:p>
      <w:pPr>
        <w:spacing w:before="0"/>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9"/>
          <w:szCs w:val="19"/>
        </w:rPr>
      </w:pPr>
    </w:p>
    <w:p>
      <w:pPr>
        <w:pStyle w:val="Heading4"/>
        <w:spacing w:line="240" w:lineRule="auto"/>
        <w:ind w:right="122"/>
        <w:jc w:val="left"/>
        <w:rPr>
          <w:b w:val="0"/>
          <w:bCs w:val="0"/>
        </w:rPr>
      </w:pPr>
      <w:r>
        <w:rPr/>
        <w:t>十三、年度报告披露后面临暂停上市和终止上市情况</w:t>
      </w:r>
      <w:r>
        <w:rPr>
          <w:b w:val="0"/>
          <w:bCs w:val="0"/>
        </w:rPr>
      </w:r>
    </w:p>
    <w:p>
      <w:pPr>
        <w:spacing w:line="240" w:lineRule="auto" w:before="12"/>
        <w:rPr>
          <w:rFonts w:ascii="宋体" w:hAnsi="宋体" w:cs="宋体" w:eastAsia="宋体" w:hint="default"/>
          <w:b/>
          <w:bCs/>
          <w:sz w:val="21"/>
          <w:szCs w:val="21"/>
        </w:rPr>
      </w:pPr>
    </w:p>
    <w:p>
      <w:pPr>
        <w:spacing w:before="0"/>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9"/>
          <w:szCs w:val="19"/>
        </w:rPr>
      </w:pPr>
    </w:p>
    <w:p>
      <w:pPr>
        <w:pStyle w:val="Heading4"/>
        <w:spacing w:line="240" w:lineRule="auto"/>
        <w:ind w:right="122"/>
        <w:jc w:val="left"/>
        <w:rPr>
          <w:b w:val="0"/>
          <w:bCs w:val="0"/>
        </w:rPr>
      </w:pPr>
      <w:r>
        <w:rPr/>
        <w:t>十四、其他重大事项的说明</w:t>
      </w:r>
      <w:r>
        <w:rPr>
          <w:b w:val="0"/>
          <w:bCs w:val="0"/>
        </w:rPr>
      </w:r>
    </w:p>
    <w:p>
      <w:pPr>
        <w:spacing w:line="240" w:lineRule="auto" w:before="12"/>
        <w:rPr>
          <w:rFonts w:ascii="宋体" w:hAnsi="宋体" w:cs="宋体" w:eastAsia="宋体" w:hint="default"/>
          <w:b/>
          <w:bCs/>
          <w:sz w:val="21"/>
          <w:szCs w:val="21"/>
        </w:rPr>
      </w:pPr>
    </w:p>
    <w:p>
      <w:pPr>
        <w:spacing w:line="338" w:lineRule="auto" w:before="0"/>
        <w:ind w:left="11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公司报告期不存在需要说明的其他重大事项。</w:t>
      </w:r>
    </w:p>
    <w:p>
      <w:pPr>
        <w:spacing w:line="240" w:lineRule="auto" w:before="0"/>
        <w:rPr>
          <w:rFonts w:ascii="宋体" w:hAnsi="宋体" w:cs="宋体" w:eastAsia="宋体" w:hint="default"/>
          <w:sz w:val="15"/>
          <w:szCs w:val="15"/>
        </w:rPr>
      </w:pPr>
    </w:p>
    <w:p>
      <w:pPr>
        <w:pStyle w:val="Heading4"/>
        <w:spacing w:line="240" w:lineRule="auto"/>
        <w:ind w:right="122"/>
        <w:jc w:val="left"/>
        <w:rPr>
          <w:b w:val="0"/>
          <w:bCs w:val="0"/>
        </w:rPr>
      </w:pPr>
      <w:r>
        <w:rPr/>
        <w:t>十五、控股子公司重要事项</w:t>
      </w:r>
      <w:r>
        <w:rPr>
          <w:b w:val="0"/>
          <w:bCs w:val="0"/>
        </w:rPr>
      </w:r>
    </w:p>
    <w:p>
      <w:pPr>
        <w:spacing w:line="240" w:lineRule="auto" w:before="9"/>
        <w:rPr>
          <w:rFonts w:ascii="宋体" w:hAnsi="宋体" w:cs="宋体" w:eastAsia="宋体" w:hint="default"/>
          <w:b/>
          <w:bCs/>
          <w:sz w:val="21"/>
          <w:szCs w:val="21"/>
        </w:rPr>
      </w:pPr>
    </w:p>
    <w:p>
      <w:pPr>
        <w:spacing w:before="0"/>
        <w:ind w:left="112"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before="103"/>
        <w:ind w:left="112" w:right="122" w:firstLine="0"/>
        <w:jc w:val="left"/>
        <w:rPr>
          <w:rFonts w:ascii="宋体" w:hAnsi="宋体" w:cs="宋体" w:eastAsia="宋体" w:hint="default"/>
          <w:sz w:val="18"/>
          <w:szCs w:val="18"/>
        </w:rPr>
      </w:pPr>
      <w:r>
        <w:rPr>
          <w:rFonts w:ascii="宋体" w:hAnsi="宋体" w:cs="宋体" w:eastAsia="宋体" w:hint="default"/>
          <w:sz w:val="18"/>
          <w:szCs w:val="18"/>
        </w:rPr>
        <w:t>详见本章节（第五节重要事项）四、资产交易事项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、收购资产情况。</w:t>
      </w:r>
    </w:p>
    <w:p>
      <w:pPr>
        <w:spacing w:after="0"/>
        <w:jc w:val="left"/>
        <w:rPr>
          <w:rFonts w:ascii="宋体" w:hAnsi="宋体" w:cs="宋体" w:eastAsia="宋体" w:hint="default"/>
          <w:sz w:val="18"/>
          <w:szCs w:val="18"/>
        </w:rPr>
        <w:sectPr>
          <w:pgSz w:w="11910" w:h="16840"/>
          <w:pgMar w:header="776" w:footer="978" w:top="1100" w:bottom="1160" w:left="10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2928" w:right="0"/>
        <w:jc w:val="left"/>
        <w:rPr>
          <w:b w:val="0"/>
          <w:bCs w:val="0"/>
        </w:rPr>
      </w:pPr>
      <w:bookmarkStart w:name="_TOC_250004" w:id="6"/>
      <w:r>
        <w:rPr/>
        <w:t>第六节</w:t>
      </w:r>
      <w:r>
        <w:rPr>
          <w:spacing w:val="-13"/>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1"/>
        <w:gridCol w:w="993"/>
        <w:gridCol w:w="708"/>
        <w:gridCol w:w="567"/>
        <w:gridCol w:w="709"/>
        <w:gridCol w:w="992"/>
        <w:gridCol w:w="851"/>
        <w:gridCol w:w="992"/>
        <w:gridCol w:w="1134"/>
        <w:gridCol w:w="917"/>
      </w:tblGrid>
      <w:tr>
        <w:trPr>
          <w:trHeight w:val="402" w:hRule="exact"/>
        </w:trPr>
        <w:tc>
          <w:tcPr>
            <w:tcW w:w="1701" w:type="dxa"/>
            <w:vMerge w:val="restart"/>
            <w:tcBorders>
              <w:top w:val="single" w:sz="4" w:space="0" w:color="000000"/>
              <w:left w:val="single" w:sz="4" w:space="0" w:color="000000"/>
              <w:right w:val="single" w:sz="4" w:space="0" w:color="000000"/>
            </w:tcBorders>
            <w:shd w:val="clear" w:color="auto" w:fill="D3D3D3"/>
          </w:tcPr>
          <w:p>
            <w:pP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701" w:type="dxa"/>
            <w:vMerge/>
            <w:tcBorders>
              <w:left w:val="single" w:sz="4" w:space="0" w:color="000000"/>
              <w:bottom w:val="single" w:sz="4" w:space="0" w:color="000000"/>
              <w:right w:val="single" w:sz="4" w:space="0" w:color="000000"/>
            </w:tcBorders>
            <w:shd w:val="clear" w:color="auto" w:fill="D3D3D3"/>
          </w:tcPr>
          <w:p>
            <w:pPr/>
          </w:p>
        </w:tc>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8" w:right="9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158,138,570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w:t>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130,478,147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4,959,114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135,437,261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293,575,831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Times New Roman" w:hAnsi="Times New Roman" w:cs="Times New Roman" w:eastAsia="Times New Roman" w:hint="default"/>
                <w:sz w:val="18"/>
                <w:szCs w:val="18"/>
              </w:rPr>
            </w:pPr>
            <w:r>
              <w:rPr>
                <w:rFonts w:ascii="Times New Roman"/>
                <w:sz w:val="18"/>
              </w:rPr>
              <w:t>158,138,570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23.53%</w:t>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130,478,147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4,959,114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center"/>
              <w:rPr>
                <w:rFonts w:ascii="Times New Roman" w:hAnsi="Times New Roman" w:cs="Times New Roman" w:eastAsia="Times New Roman" w:hint="default"/>
                <w:sz w:val="18"/>
                <w:szCs w:val="18"/>
              </w:rPr>
            </w:pPr>
            <w:r>
              <w:rPr>
                <w:rFonts w:ascii="Times New Roman"/>
                <w:sz w:val="18"/>
              </w:rPr>
              <w:t>135,437,261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293,575,831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24.27%</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158,138,570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w:t>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130,478,147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4,959,114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135,437,261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293,575,831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Times New Roman" w:hAnsi="Times New Roman" w:cs="Times New Roman" w:eastAsia="Times New Roman" w:hint="default"/>
                <w:sz w:val="18"/>
                <w:szCs w:val="18"/>
              </w:rPr>
            </w:pPr>
            <w:r>
              <w:rPr>
                <w:rFonts w:ascii="Times New Roman"/>
                <w:sz w:val="18"/>
              </w:rPr>
              <w:t>513,861,430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76.47%</w:t>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407,121,853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-4,959,114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center"/>
              <w:rPr>
                <w:rFonts w:ascii="Times New Roman" w:hAnsi="Times New Roman" w:cs="Times New Roman" w:eastAsia="Times New Roman" w:hint="default"/>
                <w:sz w:val="18"/>
                <w:szCs w:val="18"/>
              </w:rPr>
            </w:pPr>
            <w:r>
              <w:rPr>
                <w:rFonts w:ascii="Times New Roman"/>
                <w:sz w:val="18"/>
              </w:rPr>
              <w:t>402,162,739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916,024,169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75.73%</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513,861,430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76.47%</w:t>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407,121,853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-4,959,114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402,162,739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916,024,169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75.73%</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Times New Roman" w:hAnsi="Times New Roman" w:cs="Times New Roman" w:eastAsia="Times New Roman" w:hint="default"/>
                <w:sz w:val="18"/>
                <w:szCs w:val="18"/>
              </w:rPr>
            </w:pPr>
            <w:r>
              <w:rPr>
                <w:rFonts w:ascii="Times New Roman"/>
                <w:sz w:val="18"/>
              </w:rPr>
              <w:t>672,000,000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537,600,000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center"/>
              <w:rPr>
                <w:rFonts w:ascii="Times New Roman" w:hAnsi="Times New Roman" w:cs="Times New Roman" w:eastAsia="Times New Roman" w:hint="default"/>
                <w:sz w:val="18"/>
                <w:szCs w:val="18"/>
              </w:rPr>
            </w:pPr>
            <w:r>
              <w:rPr>
                <w:rFonts w:ascii="Times New Roman"/>
                <w:sz w:val="18"/>
              </w:rPr>
              <w:t>537,600,000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1,209,600,000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40" w:lineRule="auto" w:before="78"/>
        <w:ind w:left="532" w:right="0"/>
        <w:jc w:val="left"/>
      </w:pPr>
      <w:r>
        <w:rPr/>
        <w:t>报告期内，公司实施了</w:t>
      </w:r>
      <w:r>
        <w:rPr>
          <w:rFonts w:ascii="Times New Roman" w:hAnsi="Times New Roman" w:cs="Times New Roman" w:eastAsia="Times New Roman" w:hint="default"/>
        </w:rPr>
        <w:t>2013</w:t>
      </w:r>
      <w:r>
        <w:rPr/>
        <w:t>年度权益分派，以总股本</w:t>
      </w:r>
      <w:r>
        <w:rPr>
          <w:rFonts w:ascii="Times New Roman" w:hAnsi="Times New Roman" w:cs="Times New Roman" w:eastAsia="Times New Roman" w:hint="default"/>
        </w:rPr>
        <w:t>67,200</w:t>
      </w:r>
      <w:r>
        <w:rPr/>
        <w:t>万股为基数，用资本公积金向全体股东每</w:t>
      </w:r>
    </w:p>
    <w:p>
      <w:pPr>
        <w:pStyle w:val="BodyText"/>
        <w:spacing w:line="240" w:lineRule="auto" w:before="21"/>
        <w:ind w:right="0"/>
        <w:jc w:val="left"/>
      </w:pP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股，共转增</w:t>
      </w:r>
      <w:r>
        <w:rPr>
          <w:rFonts w:ascii="Times New Roman" w:hAnsi="Times New Roman" w:cs="Times New Roman" w:eastAsia="Times New Roman" w:hint="default"/>
        </w:rPr>
        <w:t>53,760</w:t>
      </w:r>
      <w:r>
        <w:rPr/>
        <w:t>万股，转增后总股本增至</w:t>
      </w:r>
      <w:r>
        <w:rPr>
          <w:rFonts w:ascii="Times New Roman" w:hAnsi="Times New Roman" w:cs="Times New Roman" w:eastAsia="Times New Roman" w:hint="default"/>
        </w:rPr>
        <w:t>120,960</w:t>
      </w:r>
      <w:r>
        <w:rPr/>
        <w:t>万股。</w:t>
      </w:r>
    </w:p>
    <w:p>
      <w:pPr>
        <w:spacing w:line="240" w:lineRule="auto" w:before="7"/>
        <w:rPr>
          <w:rFonts w:ascii="宋体" w:hAnsi="宋体" w:cs="宋体" w:eastAsia="宋体" w:hint="default"/>
          <w:sz w:val="30"/>
          <w:szCs w:val="30"/>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40" w:lineRule="auto" w:before="78"/>
        <w:ind w:left="532"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2013</w:t>
      </w:r>
      <w:r>
        <w:rPr/>
        <w:t>年度股东大会审议通过</w:t>
      </w:r>
      <w:r>
        <w:rPr>
          <w:rFonts w:ascii="Times New Roman" w:hAnsi="Times New Roman" w:cs="Times New Roman" w:eastAsia="Times New Roman" w:hint="default"/>
        </w:rPr>
        <w:t>2013</w:t>
      </w:r>
      <w:r>
        <w:rPr/>
        <w:t>年度权益分派方案。</w:t>
      </w:r>
    </w:p>
    <w:p>
      <w:pPr>
        <w:spacing w:line="240" w:lineRule="auto" w:before="7"/>
        <w:rPr>
          <w:rFonts w:ascii="宋体" w:hAnsi="宋体" w:cs="宋体" w:eastAsia="宋体" w:hint="default"/>
          <w:sz w:val="30"/>
          <w:szCs w:val="30"/>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40" w:lineRule="auto" w:before="78"/>
        <w:ind w:left="532"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日，公司已完成了</w:t>
      </w:r>
      <w:r>
        <w:rPr>
          <w:rFonts w:ascii="Times New Roman" w:hAnsi="Times New Roman" w:cs="Times New Roman" w:eastAsia="Times New Roman" w:hint="default"/>
        </w:rPr>
        <w:t>2013</w:t>
      </w:r>
      <w:r>
        <w:rPr/>
        <w:t>年度权益分派。</w:t>
      </w:r>
    </w:p>
    <w:p>
      <w:pPr>
        <w:spacing w:line="240" w:lineRule="auto" w:before="7"/>
        <w:rPr>
          <w:rFonts w:ascii="宋体" w:hAnsi="宋体" w:cs="宋体" w:eastAsia="宋体" w:hint="default"/>
          <w:sz w:val="30"/>
          <w:szCs w:val="30"/>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73" w:lineRule="auto" w:before="78"/>
        <w:ind w:right="0" w:firstLine="420"/>
        <w:jc w:val="left"/>
      </w:pPr>
      <w:r>
        <w:rPr>
          <w:w w:val="95"/>
        </w:rPr>
        <w:t>本次股份变动使得近一期每股收益和稀释每股收益、归属于公司普通股股东的每股净资产下降，具体</w:t>
      </w:r>
      <w:r>
        <w:rPr>
          <w:w w:val="99"/>
        </w:rPr>
        <w:t> </w:t>
      </w:r>
      <w:r>
        <w:rPr/>
        <w:t>详见“第三节主要会计数据和财务指标”。</w:t>
      </w:r>
    </w:p>
    <w:p>
      <w:pPr>
        <w:spacing w:line="240" w:lineRule="auto" w:before="7"/>
        <w:rPr>
          <w:rFonts w:ascii="宋体" w:hAnsi="宋体" w:cs="宋体" w:eastAsia="宋体" w:hint="default"/>
          <w:sz w:val="29"/>
          <w:szCs w:val="2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left="372"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spacing w:before="44"/>
        <w:ind w:left="3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37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369" w:type="dxa"/>
        <w:tblLayout w:type="fixed"/>
        <w:tblCellMar>
          <w:top w:w="0" w:type="dxa"/>
          <w:left w:w="0" w:type="dxa"/>
          <w:bottom w:w="0" w:type="dxa"/>
          <w:right w:w="0" w:type="dxa"/>
        </w:tblCellMar>
        <w:tblLook w:val="01E0"/>
      </w:tblPr>
      <w:tblGrid>
        <w:gridCol w:w="851"/>
        <w:gridCol w:w="1276"/>
        <w:gridCol w:w="1559"/>
        <w:gridCol w:w="1784"/>
        <w:gridCol w:w="1193"/>
        <w:gridCol w:w="1417"/>
        <w:gridCol w:w="1491"/>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1"/>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4"/>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0"/>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141,302,464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113,041,971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254,344,435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8,017,464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6,413,971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14,431,435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4,794,348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3,835,479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8,629,827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404,098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323,278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727,376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1,580,196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1,264,157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2,844,353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廖双辉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10"/>
                <w:sz w:val="18"/>
                <w:szCs w:val="18"/>
              </w:rPr>
              <w:t>董监高限售股、离</w:t>
            </w:r>
            <w:r>
              <w:rPr>
                <w:rFonts w:ascii="宋体" w:hAnsi="宋体" w:cs="宋体" w:eastAsia="宋体" w:hint="default"/>
                <w:sz w:val="18"/>
                <w:szCs w:val="18"/>
              </w:rPr>
              <w:t> 职后半年内限售</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12,595,435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12,595,435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158,138,570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137,477,261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293,575,831</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4"/>
        <w:spacing w:line="240" w:lineRule="auto" w:before="26"/>
        <w:ind w:left="372"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372"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4"/>
        <w:rPr>
          <w:rFonts w:ascii="宋体" w:hAnsi="宋体" w:cs="宋体" w:eastAsia="宋体" w:hint="default"/>
          <w:b/>
          <w:bCs/>
          <w:sz w:val="26"/>
          <w:szCs w:val="26"/>
        </w:rPr>
      </w:pPr>
    </w:p>
    <w:p>
      <w:pPr>
        <w:spacing w:before="0"/>
        <w:ind w:left="3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left="372"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宋体" w:hAnsi="宋体" w:cs="宋体" w:eastAsia="宋体" w:hint="default"/>
          <w:b/>
          <w:bCs/>
          <w:sz w:val="26"/>
          <w:szCs w:val="26"/>
        </w:rPr>
      </w:pPr>
    </w:p>
    <w:p>
      <w:pPr>
        <w:spacing w:before="0"/>
        <w:ind w:left="3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73" w:lineRule="auto" w:before="78"/>
        <w:ind w:left="372" w:right="0" w:firstLine="420"/>
        <w:jc w:val="left"/>
      </w:pPr>
      <w:r>
        <w:rPr>
          <w:w w:val="95"/>
        </w:rPr>
        <w:t>报告期内，公司实施了2013年度权益分派，以总股本67,200万股为基数，用资本公积金向全体股东每</w:t>
      </w:r>
      <w:r>
        <w:rPr>
          <w:w w:val="99"/>
        </w:rPr>
        <w:t> </w:t>
      </w:r>
      <w:r>
        <w:rPr/>
        <w:t>10股转增8股，共转增53,760万股，转增后总股本增至120,960万股。</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ind w:left="372"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372"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6"/>
          <w:szCs w:val="26"/>
        </w:rPr>
      </w:pPr>
    </w:p>
    <w:p>
      <w:pPr>
        <w:spacing w:before="0"/>
        <w:ind w:left="0" w:right="37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071"/>
        <w:gridCol w:w="790"/>
        <w:gridCol w:w="400"/>
        <w:gridCol w:w="653"/>
        <w:gridCol w:w="729"/>
        <w:gridCol w:w="405"/>
        <w:gridCol w:w="1134"/>
        <w:gridCol w:w="1276"/>
        <w:gridCol w:w="824"/>
        <w:gridCol w:w="408"/>
        <w:gridCol w:w="814"/>
        <w:gridCol w:w="633"/>
      </w:tblGrid>
      <w:tr>
        <w:trPr>
          <w:trHeight w:val="402" w:hRule="exact"/>
        </w:trPr>
        <w:tc>
          <w:tcPr>
            <w:tcW w:w="28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7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42,455</w:t>
            </w:r>
          </w:p>
        </w:tc>
        <w:tc>
          <w:tcPr>
            <w:tcW w:w="36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47,382</w:t>
            </w:r>
          </w:p>
        </w:tc>
      </w:tr>
      <w:tr>
        <w:trPr>
          <w:trHeight w:val="402" w:hRule="exact"/>
        </w:trPr>
        <w:tc>
          <w:tcPr>
            <w:tcW w:w="10137"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402" w:hRule="exact"/>
        </w:trPr>
        <w:tc>
          <w:tcPr>
            <w:tcW w:w="20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7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230" w:right="51"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292"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11" w:right="11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93" w:right="91"/>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3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69" w:right="70"/>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4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2" w:hRule="exact"/>
        </w:trPr>
        <w:tc>
          <w:tcPr>
            <w:tcW w:w="2071" w:type="dxa"/>
            <w:vMerge/>
            <w:tcBorders>
              <w:left w:val="single" w:sz="4" w:space="0" w:color="000000"/>
              <w:bottom w:val="single" w:sz="4" w:space="0" w:color="000000"/>
              <w:right w:val="single" w:sz="4" w:space="0" w:color="000000"/>
            </w:tcBorders>
            <w:shd w:val="clear" w:color="auto" w:fill="D3D3D3"/>
          </w:tcPr>
          <w:p>
            <w:pPr/>
          </w:p>
        </w:tc>
        <w:tc>
          <w:tcPr>
            <w:tcW w:w="1190" w:type="dxa"/>
            <w:gridSpan w:val="2"/>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1134" w:type="dxa"/>
            <w:gridSpan w:val="2"/>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232" w:type="dxa"/>
            <w:gridSpan w:val="2"/>
            <w:vMerge/>
            <w:tcBorders>
              <w:left w:val="single" w:sz="4" w:space="0" w:color="000000"/>
              <w:bottom w:val="single" w:sz="4" w:space="0" w:color="000000"/>
              <w:right w:val="single" w:sz="4" w:space="0" w:color="000000"/>
            </w:tcBorders>
            <w:shd w:val="clear" w:color="auto" w:fill="D3D3D3"/>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0"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28.04%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339,125,915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 w:right="0"/>
              <w:jc w:val="left"/>
              <w:rPr>
                <w:rFonts w:ascii="Times New Roman" w:hAnsi="Times New Roman" w:cs="Times New Roman" w:eastAsia="Times New Roman" w:hint="default"/>
                <w:sz w:val="18"/>
                <w:szCs w:val="18"/>
              </w:rPr>
            </w:pPr>
            <w:r>
              <w:rPr>
                <w:rFonts w:ascii="Times New Roman"/>
                <w:sz w:val="18"/>
              </w:rPr>
              <w:t>150,722,629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254,344,435</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84,781,480</w:t>
            </w:r>
          </w:p>
        </w:tc>
        <w:tc>
          <w:tcPr>
            <w:tcW w:w="814"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6" w:footer="978" w:top="1100" w:bottom="1160" w:left="760" w:right="76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071"/>
        <w:gridCol w:w="1190"/>
        <w:gridCol w:w="653"/>
        <w:gridCol w:w="447"/>
        <w:gridCol w:w="687"/>
        <w:gridCol w:w="1134"/>
        <w:gridCol w:w="940"/>
        <w:gridCol w:w="336"/>
        <w:gridCol w:w="1051"/>
        <w:gridCol w:w="181"/>
        <w:gridCol w:w="814"/>
        <w:gridCol w:w="633"/>
      </w:tblGrid>
      <w:tr>
        <w:trPr>
          <w:trHeight w:val="40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沈友根</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3.43%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41,472,000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18,432,000</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41,472,000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陆丽丽</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0" w:right="0"/>
              <w:jc w:val="left"/>
              <w:rPr>
                <w:rFonts w:ascii="Times New Roman" w:hAnsi="Times New Roman" w:cs="Times New Roman" w:eastAsia="Times New Roman" w:hint="default"/>
                <w:sz w:val="18"/>
                <w:szCs w:val="18"/>
              </w:rPr>
            </w:pPr>
            <w:r>
              <w:rPr>
                <w:rFonts w:ascii="Times New Roman"/>
                <w:sz w:val="18"/>
              </w:rPr>
              <w:t>40,629,600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18,057,600</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9" w:right="0"/>
              <w:jc w:val="left"/>
              <w:rPr>
                <w:rFonts w:ascii="Times New Roman" w:hAnsi="Times New Roman" w:cs="Times New Roman" w:eastAsia="Times New Roman" w:hint="default"/>
                <w:sz w:val="18"/>
                <w:szCs w:val="18"/>
              </w:rPr>
            </w:pPr>
            <w:r>
              <w:rPr>
                <w:rFonts w:ascii="Times New Roman"/>
                <w:sz w:val="18"/>
              </w:rPr>
              <w:t>40,629,600</w:t>
            </w:r>
          </w:p>
        </w:tc>
        <w:tc>
          <w:tcPr>
            <w:tcW w:w="814"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全国社保基金一一七组合</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1.53%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18,516,683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17,516,781</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18,516,683</w:t>
            </w:r>
          </w:p>
        </w:tc>
        <w:tc>
          <w:tcPr>
            <w:tcW w:w="814"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全国社保基金一一三组合</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0" w:right="0"/>
              <w:jc w:val="left"/>
              <w:rPr>
                <w:rFonts w:ascii="Times New Roman" w:hAnsi="Times New Roman" w:cs="Times New Roman" w:eastAsia="Times New Roman" w:hint="default"/>
                <w:sz w:val="18"/>
                <w:szCs w:val="18"/>
              </w:rPr>
            </w:pPr>
            <w:r>
              <w:rPr>
                <w:rFonts w:ascii="Times New Roman"/>
                <w:sz w:val="18"/>
              </w:rPr>
              <w:t>18,004,242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18,004,242</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9" w:right="0"/>
              <w:jc w:val="left"/>
              <w:rPr>
                <w:rFonts w:ascii="Times New Roman" w:hAnsi="Times New Roman" w:cs="Times New Roman" w:eastAsia="Times New Roman" w:hint="default"/>
                <w:sz w:val="18"/>
                <w:szCs w:val="18"/>
              </w:rPr>
            </w:pPr>
            <w:r>
              <w:rPr>
                <w:rFonts w:ascii="Times New Roman"/>
                <w:sz w:val="18"/>
              </w:rPr>
              <w:t>18,004,242</w:t>
            </w:r>
          </w:p>
        </w:tc>
        <w:tc>
          <w:tcPr>
            <w:tcW w:w="814"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1.43%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17,302,588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6,612,636</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3" w:right="0"/>
              <w:jc w:val="left"/>
              <w:rPr>
                <w:rFonts w:ascii="Times New Roman" w:hAnsi="Times New Roman" w:cs="Times New Roman" w:eastAsia="Times New Roman" w:hint="default"/>
                <w:sz w:val="18"/>
                <w:szCs w:val="18"/>
              </w:rPr>
            </w:pPr>
            <w:r>
              <w:rPr>
                <w:rFonts w:ascii="Times New Roman"/>
                <w:sz w:val="18"/>
              </w:rPr>
              <w:t>14,431,435</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7" w:right="0"/>
              <w:jc w:val="left"/>
              <w:rPr>
                <w:rFonts w:ascii="Times New Roman" w:hAnsi="Times New Roman" w:cs="Times New Roman" w:eastAsia="Times New Roman" w:hint="default"/>
                <w:sz w:val="18"/>
                <w:szCs w:val="18"/>
              </w:rPr>
            </w:pPr>
            <w:r>
              <w:rPr>
                <w:rFonts w:ascii="Times New Roman"/>
                <w:sz w:val="18"/>
              </w:rPr>
              <w:t>2,871,153</w:t>
            </w:r>
          </w:p>
        </w:tc>
        <w:tc>
          <w:tcPr>
            <w:tcW w:w="814"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0" w:right="0"/>
              <w:jc w:val="left"/>
              <w:rPr>
                <w:rFonts w:ascii="Times New Roman" w:hAnsi="Times New Roman" w:cs="Times New Roman" w:eastAsia="Times New Roman" w:hint="default"/>
                <w:sz w:val="18"/>
                <w:szCs w:val="18"/>
              </w:rPr>
            </w:pPr>
            <w:r>
              <w:rPr>
                <w:rFonts w:ascii="Times New Roman"/>
                <w:sz w:val="18"/>
              </w:rPr>
              <w:t>16,093,913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6,763,961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3" w:right="0"/>
              <w:jc w:val="left"/>
              <w:rPr>
                <w:rFonts w:ascii="Times New Roman" w:hAnsi="Times New Roman" w:cs="Times New Roman" w:eastAsia="Times New Roman" w:hint="default"/>
                <w:sz w:val="18"/>
                <w:szCs w:val="18"/>
              </w:rPr>
            </w:pPr>
            <w:r>
              <w:rPr>
                <w:rFonts w:ascii="Times New Roman"/>
                <w:sz w:val="18"/>
              </w:rPr>
              <w:t>12,595,435</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7" w:right="0"/>
              <w:jc w:val="left"/>
              <w:rPr>
                <w:rFonts w:ascii="Times New Roman" w:hAnsi="Times New Roman" w:cs="Times New Roman" w:eastAsia="Times New Roman" w:hint="default"/>
                <w:sz w:val="18"/>
                <w:szCs w:val="18"/>
              </w:rPr>
            </w:pPr>
            <w:r>
              <w:rPr>
                <w:rFonts w:ascii="Times New Roman"/>
                <w:sz w:val="18"/>
              </w:rPr>
              <w:t>3,498,478</w:t>
            </w:r>
          </w:p>
        </w:tc>
        <w:tc>
          <w:tcPr>
            <w:tcW w:w="814"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融通新蓝筹证券投资基金</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13,000,000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13,000,000</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13,000,000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交通银行－易方达科讯股 票型证券投资基金</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11,698,032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10,902,422</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11,698,032</w:t>
            </w:r>
          </w:p>
        </w:tc>
        <w:tc>
          <w:tcPr>
            <w:tcW w:w="814"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0.87%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10,506,436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4,113,972</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2" w:right="0"/>
              <w:jc w:val="left"/>
              <w:rPr>
                <w:rFonts w:ascii="Times New Roman" w:hAnsi="Times New Roman" w:cs="Times New Roman" w:eastAsia="Times New Roman" w:hint="default"/>
                <w:sz w:val="18"/>
                <w:szCs w:val="18"/>
              </w:rPr>
            </w:pPr>
            <w:r>
              <w:rPr>
                <w:rFonts w:ascii="Times New Roman"/>
                <w:sz w:val="18"/>
              </w:rPr>
              <w:t>8,629,827</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7" w:right="0"/>
              <w:jc w:val="left"/>
              <w:rPr>
                <w:rFonts w:ascii="Times New Roman" w:hAnsi="Times New Roman" w:cs="Times New Roman" w:eastAsia="Times New Roman" w:hint="default"/>
                <w:sz w:val="18"/>
                <w:szCs w:val="18"/>
              </w:rPr>
            </w:pPr>
            <w:r>
              <w:rPr>
                <w:rFonts w:ascii="Times New Roman"/>
                <w:sz w:val="18"/>
              </w:rPr>
              <w:t>1,876,609</w:t>
            </w:r>
          </w:p>
        </w:tc>
        <w:tc>
          <w:tcPr>
            <w:tcW w:w="814" w:type="dxa"/>
            <w:tcBorders>
              <w:top w:val="single" w:sz="4" w:space="0" w:color="000000"/>
              <w:left w:val="single" w:sz="4" w:space="0" w:color="000000"/>
              <w:bottom w:val="single" w:sz="4" w:space="0" w:color="000000"/>
              <w:right w:val="single" w:sz="4" w:space="0" w:color="000000"/>
            </w:tcBorders>
          </w:tcPr>
          <w:p>
            <w:pPr/>
          </w:p>
        </w:tc>
        <w:tc>
          <w:tcPr>
            <w:tcW w:w="63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7"/>
                <w:sz w:val="18"/>
                <w:szCs w:val="18"/>
              </w:rPr>
              <w:t>名股东的情况（如有）（参见注</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w:t>
            </w:r>
          </w:p>
        </w:tc>
        <w:tc>
          <w:tcPr>
            <w:tcW w:w="687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32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87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2"/>
              <w:jc w:val="both"/>
              <w:rPr>
                <w:rFonts w:ascii="宋体" w:hAnsi="宋体" w:cs="宋体" w:eastAsia="宋体" w:hint="default"/>
                <w:sz w:val="18"/>
                <w:szCs w:val="18"/>
              </w:rPr>
            </w:pPr>
            <w:r>
              <w:rPr>
                <w:rFonts w:ascii="宋体" w:hAnsi="宋体" w:cs="宋体" w:eastAsia="宋体" w:hint="default"/>
                <w:spacing w:val="-1"/>
                <w:sz w:val="18"/>
                <w:szCs w:val="18"/>
              </w:rPr>
              <w:t>其实先生与沈友根先生系父子关系，与陆丽丽女士系夫妻关系，三人合计持有股份占公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司总股本的</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34.82%</w:t>
            </w:r>
            <w:r>
              <w:rPr>
                <w:rFonts w:ascii="宋体" w:hAnsi="宋体" w:cs="宋体" w:eastAsia="宋体" w:hint="default"/>
                <w:spacing w:val="-3"/>
                <w:sz w:val="18"/>
                <w:szCs w:val="18"/>
              </w:rPr>
              <w:t>。除此之外，公司未知上述其他股东之间是否存在关联关系，也未知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是否属于一致行动人。</w:t>
            </w:r>
          </w:p>
        </w:tc>
      </w:tr>
      <w:tr>
        <w:trPr>
          <w:trHeight w:val="402" w:hRule="exact"/>
        </w:trPr>
        <w:tc>
          <w:tcPr>
            <w:tcW w:w="10137"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4361"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6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01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4361" w:type="dxa"/>
            <w:gridSpan w:val="4"/>
            <w:vMerge/>
            <w:tcBorders>
              <w:left w:val="single" w:sz="4" w:space="0" w:color="000000"/>
              <w:bottom w:val="single" w:sz="4" w:space="0" w:color="000000"/>
              <w:right w:val="single" w:sz="4" w:space="0" w:color="000000"/>
            </w:tcBorders>
            <w:shd w:val="clear" w:color="auto" w:fill="D3D3D3"/>
          </w:tcPr>
          <w:p>
            <w:pPr/>
          </w:p>
        </w:tc>
        <w:tc>
          <w:tcPr>
            <w:tcW w:w="2761" w:type="dxa"/>
            <w:gridSpan w:val="3"/>
            <w:vMerge/>
            <w:tcBorders>
              <w:left w:val="single" w:sz="4" w:space="0" w:color="000000"/>
              <w:bottom w:val="single" w:sz="4" w:space="0" w:color="000000"/>
              <w:right w:val="single" w:sz="4" w:space="0" w:color="000000"/>
            </w:tcBorders>
            <w:shd w:val="clear" w:color="auto" w:fill="D3D3D3"/>
          </w:tcPr>
          <w:p>
            <w:pPr/>
          </w:p>
        </w:tc>
        <w:tc>
          <w:tcPr>
            <w:tcW w:w="13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4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2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84,781,480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5" w:right="0"/>
              <w:jc w:val="left"/>
              <w:rPr>
                <w:rFonts w:ascii="Times New Roman" w:hAnsi="Times New Roman" w:cs="Times New Roman" w:eastAsia="Times New Roman" w:hint="default"/>
                <w:sz w:val="18"/>
                <w:szCs w:val="18"/>
              </w:rPr>
            </w:pPr>
            <w:r>
              <w:rPr>
                <w:rFonts w:ascii="Times New Roman"/>
                <w:sz w:val="18"/>
              </w:rPr>
              <w:t>84,781,480</w:t>
            </w:r>
          </w:p>
        </w:tc>
      </w:tr>
      <w:tr>
        <w:trPr>
          <w:trHeight w:val="402" w:hRule="exact"/>
        </w:trPr>
        <w:tc>
          <w:tcPr>
            <w:tcW w:w="4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沈友根</w:t>
            </w:r>
          </w:p>
        </w:tc>
        <w:tc>
          <w:tcPr>
            <w:tcW w:w="2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41,472,000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5" w:right="0"/>
              <w:jc w:val="left"/>
              <w:rPr>
                <w:rFonts w:ascii="Times New Roman" w:hAnsi="Times New Roman" w:cs="Times New Roman" w:eastAsia="Times New Roman" w:hint="default"/>
                <w:sz w:val="18"/>
                <w:szCs w:val="18"/>
              </w:rPr>
            </w:pPr>
            <w:r>
              <w:rPr>
                <w:rFonts w:ascii="Times New Roman"/>
                <w:sz w:val="18"/>
              </w:rPr>
              <w:t>41,472,000</w:t>
            </w:r>
          </w:p>
        </w:tc>
      </w:tr>
      <w:tr>
        <w:trPr>
          <w:trHeight w:val="402" w:hRule="exact"/>
        </w:trPr>
        <w:tc>
          <w:tcPr>
            <w:tcW w:w="4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陆丽丽</w:t>
            </w:r>
          </w:p>
        </w:tc>
        <w:tc>
          <w:tcPr>
            <w:tcW w:w="2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40,629,600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5" w:right="0"/>
              <w:jc w:val="left"/>
              <w:rPr>
                <w:rFonts w:ascii="Times New Roman" w:hAnsi="Times New Roman" w:cs="Times New Roman" w:eastAsia="Times New Roman" w:hint="default"/>
                <w:sz w:val="18"/>
                <w:szCs w:val="18"/>
              </w:rPr>
            </w:pPr>
            <w:r>
              <w:rPr>
                <w:rFonts w:ascii="Times New Roman"/>
                <w:sz w:val="18"/>
              </w:rPr>
              <w:t>40,629,600</w:t>
            </w:r>
          </w:p>
        </w:tc>
      </w:tr>
      <w:tr>
        <w:trPr>
          <w:trHeight w:val="402" w:hRule="exact"/>
        </w:trPr>
        <w:tc>
          <w:tcPr>
            <w:tcW w:w="4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全国社保基金一一七组合</w:t>
            </w:r>
          </w:p>
        </w:tc>
        <w:tc>
          <w:tcPr>
            <w:tcW w:w="2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18,516,683</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5" w:right="0"/>
              <w:jc w:val="left"/>
              <w:rPr>
                <w:rFonts w:ascii="Times New Roman" w:hAnsi="Times New Roman" w:cs="Times New Roman" w:eastAsia="Times New Roman" w:hint="default"/>
                <w:sz w:val="18"/>
                <w:szCs w:val="18"/>
              </w:rPr>
            </w:pPr>
            <w:r>
              <w:rPr>
                <w:rFonts w:ascii="Times New Roman"/>
                <w:sz w:val="18"/>
              </w:rPr>
              <w:t>18,516,683</w:t>
            </w:r>
          </w:p>
        </w:tc>
      </w:tr>
      <w:tr>
        <w:trPr>
          <w:trHeight w:val="402" w:hRule="exact"/>
        </w:trPr>
        <w:tc>
          <w:tcPr>
            <w:tcW w:w="4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全国社保基金一一三组合</w:t>
            </w:r>
          </w:p>
        </w:tc>
        <w:tc>
          <w:tcPr>
            <w:tcW w:w="2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18,004,242</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5" w:right="0"/>
              <w:jc w:val="left"/>
              <w:rPr>
                <w:rFonts w:ascii="Times New Roman" w:hAnsi="Times New Roman" w:cs="Times New Roman" w:eastAsia="Times New Roman" w:hint="default"/>
                <w:sz w:val="18"/>
                <w:szCs w:val="18"/>
              </w:rPr>
            </w:pPr>
            <w:r>
              <w:rPr>
                <w:rFonts w:ascii="Times New Roman"/>
                <w:sz w:val="18"/>
              </w:rPr>
              <w:t>18,004,242</w:t>
            </w:r>
          </w:p>
        </w:tc>
      </w:tr>
      <w:tr>
        <w:trPr>
          <w:trHeight w:val="402" w:hRule="exact"/>
        </w:trPr>
        <w:tc>
          <w:tcPr>
            <w:tcW w:w="4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融通新蓝筹证券投资基金</w:t>
            </w:r>
          </w:p>
        </w:tc>
        <w:tc>
          <w:tcPr>
            <w:tcW w:w="2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13,000,000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5" w:right="0"/>
              <w:jc w:val="left"/>
              <w:rPr>
                <w:rFonts w:ascii="Times New Roman" w:hAnsi="Times New Roman" w:cs="Times New Roman" w:eastAsia="Times New Roman" w:hint="default"/>
                <w:sz w:val="18"/>
                <w:szCs w:val="18"/>
              </w:rPr>
            </w:pPr>
            <w:r>
              <w:rPr>
                <w:rFonts w:ascii="Times New Roman"/>
                <w:sz w:val="18"/>
              </w:rPr>
              <w:t>13,000,000</w:t>
            </w:r>
          </w:p>
        </w:tc>
      </w:tr>
      <w:tr>
        <w:trPr>
          <w:trHeight w:val="402" w:hRule="exact"/>
        </w:trPr>
        <w:tc>
          <w:tcPr>
            <w:tcW w:w="4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交通银行－易方达科讯股票型证券投资基金</w:t>
            </w:r>
          </w:p>
        </w:tc>
        <w:tc>
          <w:tcPr>
            <w:tcW w:w="2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11,698,032</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2" w:right="0"/>
              <w:jc w:val="left"/>
              <w:rPr>
                <w:rFonts w:ascii="Times New Roman" w:hAnsi="Times New Roman" w:cs="Times New Roman" w:eastAsia="Times New Roman" w:hint="default"/>
                <w:sz w:val="18"/>
                <w:szCs w:val="18"/>
              </w:rPr>
            </w:pPr>
            <w:r>
              <w:rPr>
                <w:rFonts w:ascii="Times New Roman"/>
                <w:sz w:val="18"/>
              </w:rPr>
              <w:t>11,698,032</w:t>
            </w:r>
          </w:p>
        </w:tc>
      </w:tr>
      <w:tr>
        <w:trPr>
          <w:trHeight w:val="402" w:hRule="exact"/>
        </w:trPr>
        <w:tc>
          <w:tcPr>
            <w:tcW w:w="4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李谕霖</w:t>
            </w:r>
          </w:p>
        </w:tc>
        <w:tc>
          <w:tcPr>
            <w:tcW w:w="2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10,152,488</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5" w:right="0"/>
              <w:jc w:val="left"/>
              <w:rPr>
                <w:rFonts w:ascii="Times New Roman" w:hAnsi="Times New Roman" w:cs="Times New Roman" w:eastAsia="Times New Roman" w:hint="default"/>
                <w:sz w:val="18"/>
                <w:szCs w:val="18"/>
              </w:rPr>
            </w:pPr>
            <w:r>
              <w:rPr>
                <w:rFonts w:ascii="Times New Roman"/>
                <w:sz w:val="18"/>
              </w:rPr>
              <w:t>10,152,488</w:t>
            </w:r>
          </w:p>
        </w:tc>
      </w:tr>
      <w:tr>
        <w:trPr>
          <w:trHeight w:val="402" w:hRule="exact"/>
        </w:trPr>
        <w:tc>
          <w:tcPr>
            <w:tcW w:w="4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中国工商银行－汇添富成长焦点股票型证券投资基金</w:t>
            </w:r>
          </w:p>
        </w:tc>
        <w:tc>
          <w:tcPr>
            <w:tcW w:w="2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9,999,952</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4" w:right="0"/>
              <w:jc w:val="left"/>
              <w:rPr>
                <w:rFonts w:ascii="Times New Roman" w:hAnsi="Times New Roman" w:cs="Times New Roman" w:eastAsia="Times New Roman" w:hint="default"/>
                <w:sz w:val="18"/>
                <w:szCs w:val="18"/>
              </w:rPr>
            </w:pPr>
            <w:r>
              <w:rPr>
                <w:rFonts w:ascii="Times New Roman"/>
                <w:sz w:val="18"/>
              </w:rPr>
              <w:t>9,999,952</w:t>
            </w:r>
          </w:p>
        </w:tc>
      </w:tr>
      <w:tr>
        <w:trPr>
          <w:trHeight w:val="402" w:hRule="exact"/>
        </w:trPr>
        <w:tc>
          <w:tcPr>
            <w:tcW w:w="4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东吴基金－农业银行－东吴鼎利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号资产管理计划</w:t>
            </w:r>
          </w:p>
        </w:tc>
        <w:tc>
          <w:tcPr>
            <w:tcW w:w="2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9,038,265</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4" w:right="0"/>
              <w:jc w:val="left"/>
              <w:rPr>
                <w:rFonts w:ascii="Times New Roman" w:hAnsi="Times New Roman" w:cs="Times New Roman" w:eastAsia="Times New Roman" w:hint="default"/>
                <w:sz w:val="18"/>
                <w:szCs w:val="18"/>
              </w:rPr>
            </w:pPr>
            <w:r>
              <w:rPr>
                <w:rFonts w:ascii="Times New Roman"/>
                <w:sz w:val="18"/>
              </w:rPr>
              <w:t>9,038,265</w:t>
            </w:r>
          </w:p>
        </w:tc>
      </w:tr>
      <w:tr>
        <w:trPr>
          <w:trHeight w:val="1026" w:hRule="exact"/>
        </w:trPr>
        <w:tc>
          <w:tcPr>
            <w:tcW w:w="436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w:t>
            </w:r>
          </w:p>
          <w:p>
            <w:pPr>
              <w:pStyle w:val="TableParagraph"/>
              <w:spacing w:line="300" w:lineRule="auto" w:before="63"/>
              <w:ind w:left="23" w:right="97"/>
              <w:jc w:val="left"/>
              <w:rPr>
                <w:rFonts w:ascii="宋体" w:hAnsi="宋体" w:cs="宋体" w:eastAsia="宋体" w:hint="default"/>
                <w:sz w:val="18"/>
                <w:szCs w:val="18"/>
              </w:rPr>
            </w:pPr>
            <w:r>
              <w:rPr>
                <w:rFonts w:ascii="宋体" w:hAnsi="宋体" w:cs="宋体" w:eastAsia="宋体" w:hint="default"/>
                <w:sz w:val="18"/>
                <w:szCs w:val="18"/>
              </w:rPr>
              <w:t>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名股东之间关联关系或一致行动的说 明</w:t>
            </w:r>
          </w:p>
        </w:tc>
        <w:tc>
          <w:tcPr>
            <w:tcW w:w="5776"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both"/>
              <w:rPr>
                <w:rFonts w:ascii="宋体" w:hAnsi="宋体" w:cs="宋体" w:eastAsia="宋体" w:hint="default"/>
                <w:sz w:val="18"/>
                <w:szCs w:val="18"/>
              </w:rPr>
            </w:pPr>
            <w:r>
              <w:rPr>
                <w:rFonts w:ascii="宋体" w:hAnsi="宋体" w:cs="宋体" w:eastAsia="宋体" w:hint="default"/>
                <w:spacing w:val="-2"/>
                <w:sz w:val="18"/>
                <w:szCs w:val="18"/>
              </w:rPr>
              <w:t>其实先生与沈友根先生系父子关系，与陆丽丽女士系夫妻关系，三人合计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持有股份占公司总股本的</w:t>
            </w:r>
            <w:r>
              <w:rPr>
                <w:rFonts w:ascii="宋体" w:hAnsi="宋体" w:cs="宋体" w:eastAsia="宋体" w:hint="default"/>
                <w:spacing w:val="-42"/>
                <w:sz w:val="18"/>
                <w:szCs w:val="18"/>
              </w:rPr>
              <w:t> </w:t>
            </w:r>
            <w:r>
              <w:rPr>
                <w:rFonts w:ascii="宋体" w:hAnsi="宋体" w:cs="宋体" w:eastAsia="宋体" w:hint="default"/>
                <w:spacing w:val="-4"/>
                <w:sz w:val="18"/>
                <w:szCs w:val="18"/>
              </w:rPr>
              <w:t>34.82%。除此之外，公司未知上述其他股东之间</w:t>
            </w:r>
            <w:r>
              <w:rPr>
                <w:rFonts w:ascii="宋体" w:hAnsi="宋体" w:cs="宋体" w:eastAsia="宋体" w:hint="default"/>
                <w:sz w:val="18"/>
                <w:szCs w:val="18"/>
              </w:rPr>
              <w:t> 是否存在关联关系，也未知是否属于一致行动人。</w:t>
            </w:r>
          </w:p>
        </w:tc>
      </w:tr>
      <w:tr>
        <w:trPr>
          <w:trHeight w:val="1026" w:hRule="exact"/>
        </w:trPr>
        <w:tc>
          <w:tcPr>
            <w:tcW w:w="436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577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自然人股东李谕霖除通过普通证券账户持有</w:t>
            </w:r>
            <w:r>
              <w:rPr>
                <w:rFonts w:ascii="宋体" w:hAnsi="宋体" w:cs="宋体" w:eastAsia="宋体" w:hint="default"/>
                <w:spacing w:val="-45"/>
                <w:sz w:val="18"/>
                <w:szCs w:val="18"/>
              </w:rPr>
              <w:t> </w:t>
            </w:r>
            <w:r>
              <w:rPr>
                <w:rFonts w:ascii="宋体" w:hAnsi="宋体" w:cs="宋体" w:eastAsia="宋体" w:hint="default"/>
                <w:sz w:val="18"/>
                <w:szCs w:val="18"/>
              </w:rPr>
              <w:t>266,200</w:t>
            </w:r>
            <w:r>
              <w:rPr>
                <w:rFonts w:ascii="宋体" w:hAnsi="宋体" w:cs="宋体" w:eastAsia="宋体" w:hint="default"/>
                <w:spacing w:val="-46"/>
                <w:sz w:val="18"/>
                <w:szCs w:val="18"/>
              </w:rPr>
              <w:t> </w:t>
            </w:r>
            <w:r>
              <w:rPr>
                <w:rFonts w:ascii="宋体" w:hAnsi="宋体" w:cs="宋体" w:eastAsia="宋体" w:hint="default"/>
                <w:spacing w:val="-5"/>
                <w:sz w:val="18"/>
                <w:szCs w:val="18"/>
              </w:rPr>
              <w:t>股外，还通过方正证</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券股份有限公司客户信用交易担保证券账户持有</w:t>
            </w:r>
            <w:r>
              <w:rPr>
                <w:rFonts w:ascii="宋体" w:hAnsi="宋体" w:cs="宋体" w:eastAsia="宋体" w:hint="default"/>
                <w:spacing w:val="-47"/>
                <w:sz w:val="18"/>
                <w:szCs w:val="18"/>
              </w:rPr>
              <w:t> </w:t>
            </w:r>
            <w:r>
              <w:rPr>
                <w:rFonts w:ascii="宋体" w:hAnsi="宋体" w:cs="宋体" w:eastAsia="宋体" w:hint="default"/>
                <w:sz w:val="18"/>
                <w:szCs w:val="18"/>
              </w:rPr>
              <w:t>9,886,288</w:t>
            </w:r>
            <w:r>
              <w:rPr>
                <w:rFonts w:ascii="宋体" w:hAnsi="宋体" w:cs="宋体" w:eastAsia="宋体" w:hint="default"/>
                <w:spacing w:val="-48"/>
                <w:sz w:val="18"/>
                <w:szCs w:val="18"/>
              </w:rPr>
              <w:t> </w:t>
            </w:r>
            <w:r>
              <w:rPr>
                <w:rFonts w:ascii="宋体" w:hAnsi="宋体" w:cs="宋体" w:eastAsia="宋体" w:hint="default"/>
                <w:spacing w:val="-7"/>
                <w:sz w:val="18"/>
                <w:szCs w:val="18"/>
              </w:rPr>
              <w:t>股，实际合计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宋体" w:hAnsi="宋体" w:cs="宋体" w:eastAsia="宋体" w:hint="default"/>
                <w:sz w:val="18"/>
                <w:szCs w:val="18"/>
              </w:rPr>
              <w:t>10,152,488</w:t>
            </w:r>
            <w:r>
              <w:rPr>
                <w:rFonts w:ascii="宋体" w:hAnsi="宋体" w:cs="宋体" w:eastAsia="宋体" w:hint="default"/>
                <w:spacing w:val="-48"/>
                <w:sz w:val="18"/>
                <w:szCs w:val="18"/>
              </w:rPr>
              <w:t> </w:t>
            </w:r>
            <w:r>
              <w:rPr>
                <w:rFonts w:ascii="宋体" w:hAnsi="宋体" w:cs="宋体" w:eastAsia="宋体" w:hint="default"/>
                <w:sz w:val="18"/>
                <w:szCs w:val="18"/>
              </w:rPr>
              <w:t>股。</w:t>
            </w:r>
          </w:p>
        </w:tc>
      </w:tr>
    </w:tbl>
    <w:p>
      <w:pPr>
        <w:spacing w:before="50"/>
        <w:ind w:left="372" w:right="0" w:firstLine="0"/>
        <w:jc w:val="left"/>
        <w:rPr>
          <w:rFonts w:ascii="宋体" w:hAnsi="宋体" w:cs="宋体" w:eastAsia="宋体" w:hint="default"/>
          <w:sz w:val="18"/>
          <w:szCs w:val="18"/>
        </w:rPr>
      </w:pPr>
      <w:r>
        <w:rPr>
          <w:rFonts w:ascii="宋体" w:hAnsi="宋体" w:cs="宋体" w:eastAsia="宋体" w:hint="default"/>
          <w:sz w:val="18"/>
          <w:szCs w:val="18"/>
        </w:rPr>
        <w:t>公司股东在报告期内是否进行约定购回交易</w:t>
      </w:r>
    </w:p>
    <w:p>
      <w:pPr>
        <w:spacing w:before="117"/>
        <w:ind w:left="3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76" w:footer="978" w:top="1100" w:bottom="1160" w:left="760" w:right="760"/>
        </w:sectPr>
      </w:pPr>
    </w:p>
    <w:p>
      <w:pPr>
        <w:spacing w:line="240" w:lineRule="auto" w:before="1"/>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公司股东在报告期内未进行约定购回交易。</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东方财富信息股份有限公司董事长</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公司报告期控股股东未发生变更。</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东方财富信息股份有限公司董事长</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9"/>
        <w:rPr>
          <w:rFonts w:ascii="宋体" w:hAnsi="宋体" w:cs="宋体" w:eastAsia="宋体" w:hint="default"/>
          <w:sz w:val="17"/>
          <w:szCs w:val="17"/>
        </w:rPr>
      </w:pPr>
    </w:p>
    <w:p>
      <w:pPr>
        <w:spacing w:line="3962" w:lineRule="exact"/>
        <w:ind w:left="114"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5234096" cy="2516124"/>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7" cstate="print"/>
                    <a:stretch>
                      <a:fillRect/>
                    </a:stretch>
                  </pic:blipFill>
                  <pic:spPr>
                    <a:xfrm>
                      <a:off x="0" y="0"/>
                      <a:ext cx="5234096" cy="2516124"/>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10"/>
        <w:rPr>
          <w:rFonts w:ascii="宋体" w:hAnsi="宋体" w:cs="宋体" w:eastAsia="宋体" w:hint="default"/>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5</w:t>
      </w:r>
      <w:r>
        <w:rPr/>
        <w:t>、前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名限售条件股东持股数量及限售条件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417"/>
        <w:gridCol w:w="1559"/>
        <w:gridCol w:w="276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92" w:right="49"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3" w:right="54" w:hanging="180"/>
              <w:jc w:val="left"/>
              <w:rPr>
                <w:rFonts w:ascii="宋体" w:hAnsi="宋体" w:cs="宋体" w:eastAsia="宋体" w:hint="default"/>
                <w:sz w:val="18"/>
                <w:szCs w:val="18"/>
              </w:rPr>
            </w:pPr>
            <w:r>
              <w:rPr>
                <w:rFonts w:ascii="宋体" w:hAnsi="宋体" w:cs="宋体" w:eastAsia="宋体" w:hint="default"/>
                <w:sz w:val="18"/>
                <w:szCs w:val="18"/>
              </w:rPr>
              <w:t>新增可上市交易股 份数量（股）</w:t>
            </w:r>
          </w:p>
        </w:tc>
        <w:tc>
          <w:tcPr>
            <w:tcW w:w="2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254,344,435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14,431,435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8,629,827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727,376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2,844,353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12,595,435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2,970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bl>
    <w:p>
      <w:pPr>
        <w:spacing w:after="0" w:line="240" w:lineRule="auto"/>
        <w:jc w:val="left"/>
        <w:rPr>
          <w:rFonts w:ascii="宋体" w:hAnsi="宋体" w:cs="宋体" w:eastAsia="宋体" w:hint="default"/>
          <w:sz w:val="18"/>
          <w:szCs w:val="18"/>
        </w:rPr>
        <w:sectPr>
          <w:footerReference w:type="default" r:id="rId28"/>
          <w:pgSz w:w="11910" w:h="16840"/>
          <w:pgMar w:footer="978" w:header="776" w:top="1100" w:bottom="1160" w:left="1020" w:right="1020"/>
          <w:pgNumType w:start="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1"/>
        <w:spacing w:line="240" w:lineRule="auto"/>
        <w:ind w:left="2304" w:right="0"/>
        <w:jc w:val="left"/>
        <w:rPr>
          <w:b w:val="0"/>
          <w:bCs w:val="0"/>
        </w:rPr>
      </w:pPr>
      <w:bookmarkStart w:name="_TOC_250003" w:id="7"/>
      <w:r>
        <w:rPr/>
        <w:t>第七节</w:t>
      </w:r>
      <w:r>
        <w:rPr>
          <w:spacing w:val="-17"/>
        </w:rPr>
        <w:t> </w:t>
      </w:r>
      <w:r>
        <w:rPr/>
        <w:t>董事、监事、高级管理人员和员工情况</w:t>
      </w:r>
      <w:bookmarkEnd w:id="7"/>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left="772" w:right="0"/>
        <w:jc w:val="left"/>
        <w:rPr>
          <w:b w:val="0"/>
          <w:bCs w:val="0"/>
        </w:rPr>
      </w:pPr>
      <w:r>
        <w:rPr/>
        <w:t>一、董事、监事和高级管理人员持股变动</w:t>
      </w:r>
      <w:r>
        <w:rPr>
          <w:b w:val="0"/>
          <w:bCs w:val="0"/>
        </w:rPr>
      </w:r>
    </w:p>
    <w:p>
      <w:pPr>
        <w:spacing w:line="240" w:lineRule="auto" w:before="12"/>
        <w:rPr>
          <w:rFonts w:ascii="宋体" w:hAnsi="宋体" w:cs="宋体" w:eastAsia="宋体" w:hint="default"/>
          <w:b/>
          <w:bCs/>
          <w:sz w:val="19"/>
          <w:szCs w:val="19"/>
        </w:rPr>
      </w:pPr>
    </w:p>
    <w:p>
      <w:pPr>
        <w:pStyle w:val="Heading5"/>
        <w:spacing w:line="240" w:lineRule="auto"/>
        <w:ind w:left="772" w:right="0"/>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5"/>
        <w:rPr>
          <w:rFonts w:ascii="宋体" w:hAnsi="宋体" w:cs="宋体" w:eastAsia="宋体" w:hint="default"/>
          <w:b/>
          <w:bCs/>
          <w:sz w:val="9"/>
          <w:szCs w:val="9"/>
        </w:rPr>
      </w:pPr>
    </w:p>
    <w:p>
      <w:pPr>
        <w:spacing w:before="44"/>
        <w:ind w:left="0" w:right="77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43"/>
        <w:gridCol w:w="1276"/>
        <w:gridCol w:w="482"/>
        <w:gridCol w:w="425"/>
        <w:gridCol w:w="426"/>
        <w:gridCol w:w="992"/>
        <w:gridCol w:w="992"/>
        <w:gridCol w:w="782"/>
        <w:gridCol w:w="1021"/>
        <w:gridCol w:w="851"/>
        <w:gridCol w:w="708"/>
        <w:gridCol w:w="754"/>
        <w:gridCol w:w="795"/>
        <w:gridCol w:w="811"/>
      </w:tblGrid>
      <w:tr>
        <w:trPr>
          <w:trHeight w:val="1962" w:hRule="exact"/>
        </w:trPr>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5"/>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8"/>
              <w:jc w:val="right"/>
              <w:rPr>
                <w:rFonts w:ascii="宋体" w:hAnsi="宋体" w:cs="宋体" w:eastAsia="宋体" w:hint="default"/>
                <w:sz w:val="18"/>
                <w:szCs w:val="18"/>
              </w:rPr>
            </w:pPr>
            <w:r>
              <w:rPr>
                <w:rFonts w:ascii="宋体" w:hAnsi="宋体" w:cs="宋体" w:eastAsia="宋体" w:hint="default"/>
                <w:sz w:val="18"/>
                <w:szCs w:val="18"/>
              </w:rPr>
              <w:t>期初持股数</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1" w:right="39" w:hanging="180"/>
              <w:jc w:val="left"/>
              <w:rPr>
                <w:rFonts w:ascii="宋体" w:hAnsi="宋体" w:cs="宋体" w:eastAsia="宋体" w:hint="default"/>
                <w:sz w:val="18"/>
                <w:szCs w:val="18"/>
              </w:rPr>
            </w:pPr>
            <w:r>
              <w:rPr>
                <w:rFonts w:ascii="宋体" w:hAnsi="宋体" w:cs="宋体" w:eastAsia="宋体" w:hint="default"/>
                <w:sz w:val="18"/>
                <w:szCs w:val="18"/>
              </w:rPr>
              <w:t>本期增持股 份数量</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本期减持 股份数量</w:t>
            </w:r>
          </w:p>
        </w:tc>
        <w:tc>
          <w:tcPr>
            <w:tcW w:w="1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4"/>
              <w:jc w:val="right"/>
              <w:rPr>
                <w:rFonts w:ascii="宋体" w:hAnsi="宋体" w:cs="宋体" w:eastAsia="宋体" w:hint="default"/>
                <w:sz w:val="18"/>
                <w:szCs w:val="18"/>
              </w:rPr>
            </w:pPr>
            <w:r>
              <w:rPr>
                <w:rFonts w:ascii="宋体" w:hAnsi="宋体" w:cs="宋体" w:eastAsia="宋体" w:hint="default"/>
                <w:sz w:val="18"/>
                <w:szCs w:val="18"/>
              </w:rPr>
              <w:t>期末持股数</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60"/>
              <w:jc w:val="both"/>
              <w:rPr>
                <w:rFonts w:ascii="宋体" w:hAnsi="宋体" w:cs="宋体" w:eastAsia="宋体" w:hint="default"/>
                <w:sz w:val="18"/>
                <w:szCs w:val="18"/>
              </w:rPr>
            </w:pPr>
            <w:r>
              <w:rPr>
                <w:rFonts w:ascii="宋体" w:hAnsi="宋体" w:cs="宋体" w:eastAsia="宋体" w:hint="default"/>
                <w:sz w:val="18"/>
                <w:szCs w:val="18"/>
              </w:rPr>
              <w:t>期初持有 的股权激 励获授予 限制性股 票数量</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9" w:right="77"/>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7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3" w:right="99"/>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0"/>
              <w:jc w:val="both"/>
              <w:rPr>
                <w:rFonts w:ascii="宋体" w:hAnsi="宋体" w:cs="宋体" w:eastAsia="宋体" w:hint="default"/>
                <w:sz w:val="18"/>
                <w:szCs w:val="18"/>
              </w:rPr>
            </w:pPr>
            <w:r>
              <w:rPr>
                <w:rFonts w:ascii="宋体" w:hAnsi="宋体" w:cs="宋体" w:eastAsia="宋体" w:hint="default"/>
                <w:sz w:val="18"/>
                <w:szCs w:val="18"/>
              </w:rPr>
              <w:t>期末持有 的股权激 励获授予 限制性股 票数量</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9" w:right="39" w:hanging="180"/>
              <w:jc w:val="left"/>
              <w:rPr>
                <w:rFonts w:ascii="宋体" w:hAnsi="宋体" w:cs="宋体" w:eastAsia="宋体" w:hint="default"/>
                <w:sz w:val="18"/>
                <w:szCs w:val="18"/>
              </w:rPr>
            </w:pPr>
            <w:r>
              <w:rPr>
                <w:rFonts w:ascii="宋体" w:hAnsi="宋体" w:cs="宋体" w:eastAsia="宋体" w:hint="default"/>
                <w:sz w:val="18"/>
                <w:szCs w:val="18"/>
              </w:rPr>
              <w:t>增减变动 原因</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188,403,286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150,722,629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339,125,915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
              <w:jc w:val="center"/>
              <w:rPr>
                <w:rFonts w:ascii="宋体" w:hAnsi="宋体" w:cs="宋体" w:eastAsia="宋体" w:hint="default"/>
                <w:sz w:val="18"/>
                <w:szCs w:val="18"/>
              </w:rPr>
            </w:pPr>
            <w:r>
              <w:rPr>
                <w:rFonts w:ascii="宋体" w:hAnsi="宋体" w:cs="宋体" w:eastAsia="宋体" w:hint="default"/>
                <w:sz w:val="18"/>
                <w:szCs w:val="18"/>
              </w:rPr>
              <w:t>权益分派</w:t>
            </w:r>
          </w:p>
        </w:tc>
      </w:tr>
      <w:tr>
        <w:trPr>
          <w:trHeight w:val="714"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6"/>
                <w:sz w:val="18"/>
                <w:szCs w:val="18"/>
              </w:rPr>
              <w:t>副董事长、总经</w:t>
            </w:r>
            <w:r>
              <w:rPr>
                <w:rFonts w:ascii="宋体" w:hAnsi="宋体" w:cs="宋体" w:eastAsia="宋体" w:hint="default"/>
                <w:sz w:val="18"/>
                <w:szCs w:val="18"/>
              </w:rPr>
              <w:t> 理</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6,392,464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5,113,972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10,506,436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6"/>
              <w:jc w:val="left"/>
              <w:rPr>
                <w:rFonts w:ascii="宋体" w:hAnsi="宋体" w:cs="宋体" w:eastAsia="宋体" w:hint="default"/>
                <w:sz w:val="18"/>
                <w:szCs w:val="18"/>
              </w:rPr>
            </w:pPr>
            <w:r>
              <w:rPr>
                <w:rFonts w:ascii="宋体" w:hAnsi="宋体" w:cs="宋体" w:eastAsia="宋体" w:hint="default"/>
                <w:sz w:val="18"/>
                <w:szCs w:val="18"/>
              </w:rPr>
              <w:t>权益分 派、出售</w:t>
            </w:r>
          </w:p>
        </w:tc>
      </w:tr>
      <w:tr>
        <w:trPr>
          <w:trHeight w:val="1026"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副董事长、副总</w:t>
            </w:r>
            <w:r>
              <w:rPr>
                <w:rFonts w:ascii="宋体" w:hAnsi="宋体" w:cs="宋体" w:eastAsia="宋体" w:hint="default"/>
                <w:sz w:val="18"/>
                <w:szCs w:val="18"/>
              </w:rPr>
              <w:t> 经理、财务总 </w:t>
            </w:r>
            <w:r>
              <w:rPr>
                <w:rFonts w:ascii="宋体" w:hAnsi="宋体" w:cs="宋体" w:eastAsia="宋体" w:hint="default"/>
                <w:spacing w:val="-6"/>
                <w:sz w:val="18"/>
                <w:szCs w:val="18"/>
              </w:rPr>
              <w:t>监、董事会秘书</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538,798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431,038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969,836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3"/>
              <w:jc w:val="center"/>
              <w:rPr>
                <w:rFonts w:ascii="宋体" w:hAnsi="宋体" w:cs="宋体" w:eastAsia="宋体" w:hint="default"/>
                <w:sz w:val="18"/>
                <w:szCs w:val="18"/>
              </w:rPr>
            </w:pPr>
            <w:r>
              <w:rPr>
                <w:rFonts w:ascii="宋体" w:hAnsi="宋体" w:cs="宋体" w:eastAsia="宋体" w:hint="default"/>
                <w:sz w:val="18"/>
                <w:szCs w:val="18"/>
              </w:rPr>
              <w:t>权益分派</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2,106,928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1,685,543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3,792,471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
              <w:jc w:val="center"/>
              <w:rPr>
                <w:rFonts w:ascii="宋体" w:hAnsi="宋体" w:cs="宋体" w:eastAsia="宋体" w:hint="default"/>
                <w:sz w:val="18"/>
                <w:szCs w:val="18"/>
              </w:rPr>
            </w:pPr>
            <w:r>
              <w:rPr>
                <w:rFonts w:ascii="宋体" w:hAnsi="宋体" w:cs="宋体" w:eastAsia="宋体" w:hint="default"/>
                <w:sz w:val="18"/>
                <w:szCs w:val="18"/>
              </w:rPr>
              <w:t>权益分派</w:t>
            </w:r>
          </w:p>
        </w:tc>
      </w:tr>
      <w:tr>
        <w:trPr>
          <w:trHeight w:val="714"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9,329,952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7,463,961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16,093,913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权益分 派、出售</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曹薇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
              <w:jc w:val="center"/>
              <w:rPr>
                <w:rFonts w:ascii="宋体" w:hAnsi="宋体" w:cs="宋体" w:eastAsia="宋体" w:hint="default"/>
                <w:sz w:val="18"/>
                <w:szCs w:val="18"/>
              </w:rPr>
            </w:pPr>
            <w:r>
              <w:rPr>
                <w:rFonts w:ascii="宋体" w:hAnsi="宋体" w:cs="宋体" w:eastAsia="宋体" w:hint="default"/>
                <w:sz w:val="18"/>
                <w:szCs w:val="18"/>
              </w:rPr>
              <w:t>权益分派</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59</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颜学海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李增泉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10,689,952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8,551,961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1,939,325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17,302,588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6"/>
              <w:jc w:val="left"/>
              <w:rPr>
                <w:rFonts w:ascii="宋体" w:hAnsi="宋体" w:cs="宋体" w:eastAsia="宋体" w:hint="default"/>
                <w:sz w:val="18"/>
                <w:szCs w:val="18"/>
              </w:rPr>
            </w:pPr>
            <w:r>
              <w:rPr>
                <w:rFonts w:ascii="宋体" w:hAnsi="宋体" w:cs="宋体" w:eastAsia="宋体" w:hint="default"/>
                <w:sz w:val="18"/>
                <w:szCs w:val="18"/>
              </w:rPr>
              <w:t>权益分 派、出售</w:t>
            </w: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叶露</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37</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张赛美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59</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李智平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59</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吕长江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沈国权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毛芸飞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217,463,580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173,970,864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3,639,325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387,795,119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76" w:footer="978" w:top="1100" w:bottom="1160" w:left="360" w:right="36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2</w:t>
      </w:r>
      <w:r>
        <w:rPr/>
        <w:t>、持有股票期权情况</w:t>
      </w:r>
      <w:r>
        <w:rPr>
          <w:b w:val="0"/>
          <w:bCs w:val="0"/>
        </w:rPr>
      </w:r>
    </w:p>
    <w:p>
      <w:pPr>
        <w:spacing w:before="166"/>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0" w:right="101" w:firstLine="0"/>
        <w:jc w:val="right"/>
        <w:rPr>
          <w:rFonts w:ascii="宋体" w:hAnsi="宋体" w:cs="宋体" w:eastAsia="宋体" w:hint="default"/>
          <w:sz w:val="18"/>
          <w:szCs w:val="18"/>
        </w:rPr>
      </w:pPr>
      <w:r>
        <w:rPr/>
        <w:pict>
          <v:shape style="position:absolute;margin-left:56.459999pt;margin-top:-18.618275pt;width:484.05pt;height:167.9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1536"/>
                    <w:gridCol w:w="590"/>
                    <w:gridCol w:w="1276"/>
                    <w:gridCol w:w="1417"/>
                    <w:gridCol w:w="1418"/>
                    <w:gridCol w:w="1381"/>
                    <w:gridCol w:w="1197"/>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0" w:right="10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4" w:right="-18" w:firstLine="69"/>
                          <w:jc w:val="left"/>
                          <w:rPr>
                            <w:rFonts w:ascii="宋体" w:hAnsi="宋体" w:cs="宋体" w:eastAsia="宋体" w:hint="default"/>
                            <w:sz w:val="18"/>
                            <w:szCs w:val="18"/>
                          </w:rPr>
                        </w:pPr>
                        <w:r>
                          <w:rPr>
                            <w:rFonts w:ascii="宋体" w:hAnsi="宋体" w:cs="宋体" w:eastAsia="宋体" w:hint="default"/>
                            <w:sz w:val="18"/>
                            <w:szCs w:val="18"/>
                          </w:rPr>
                          <w:t>期初持有股票 期权数量（份）</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2" w:right="72"/>
                          <w:jc w:val="left"/>
                          <w:rPr>
                            <w:rFonts w:ascii="宋体" w:hAnsi="宋体" w:cs="宋体" w:eastAsia="宋体" w:hint="default"/>
                            <w:sz w:val="18"/>
                            <w:szCs w:val="18"/>
                          </w:rPr>
                        </w:pPr>
                        <w:r>
                          <w:rPr>
                            <w:rFonts w:ascii="宋体" w:hAnsi="宋体" w:cs="宋体" w:eastAsia="宋体" w:hint="default"/>
                            <w:sz w:val="18"/>
                            <w:szCs w:val="18"/>
                          </w:rPr>
                          <w:t>本期获授予股票 期权数量（份）</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4" w:right="72"/>
                          <w:jc w:val="left"/>
                          <w:rPr>
                            <w:rFonts w:ascii="宋体" w:hAnsi="宋体" w:cs="宋体" w:eastAsia="宋体" w:hint="default"/>
                            <w:sz w:val="18"/>
                            <w:szCs w:val="18"/>
                          </w:rPr>
                        </w:pPr>
                        <w:r>
                          <w:rPr>
                            <w:rFonts w:ascii="宋体" w:hAnsi="宋体" w:cs="宋体" w:eastAsia="宋体" w:hint="default"/>
                            <w:sz w:val="18"/>
                            <w:szCs w:val="18"/>
                          </w:rPr>
                          <w:t>本期已行权股票 期权数量（份）</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5" w:right="53"/>
                          <w:jc w:val="left"/>
                          <w:rPr>
                            <w:rFonts w:ascii="宋体" w:hAnsi="宋体" w:cs="宋体" w:eastAsia="宋体" w:hint="default"/>
                            <w:sz w:val="18"/>
                            <w:szCs w:val="18"/>
                          </w:rPr>
                        </w:pPr>
                        <w:r>
                          <w:rPr>
                            <w:rFonts w:ascii="宋体" w:hAnsi="宋体" w:cs="宋体" w:eastAsia="宋体" w:hint="default"/>
                            <w:sz w:val="18"/>
                            <w:szCs w:val="18"/>
                          </w:rPr>
                          <w:t>本期注销的股票 期权数量（份）</w:t>
                        </w:r>
                      </w:p>
                    </w:tc>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53" w:firstLine="28"/>
                          <w:jc w:val="left"/>
                          <w:rPr>
                            <w:rFonts w:ascii="宋体" w:hAnsi="宋体" w:cs="宋体" w:eastAsia="宋体" w:hint="default"/>
                            <w:sz w:val="18"/>
                            <w:szCs w:val="18"/>
                          </w:rPr>
                        </w:pPr>
                        <w:r>
                          <w:rPr>
                            <w:rFonts w:ascii="宋体" w:hAnsi="宋体" w:cs="宋体" w:eastAsia="宋体" w:hint="default"/>
                            <w:sz w:val="18"/>
                            <w:szCs w:val="18"/>
                          </w:rPr>
                          <w:t>期末持有股票 </w:t>
                        </w:r>
                        <w:r>
                          <w:rPr>
                            <w:rFonts w:ascii="宋体" w:hAnsi="宋体" w:cs="宋体" w:eastAsia="宋体" w:hint="default"/>
                            <w:spacing w:val="-5"/>
                            <w:sz w:val="18"/>
                            <w:szCs w:val="18"/>
                          </w:rPr>
                          <w:t>期权数量（份</w:t>
                        </w:r>
                      </w:p>
                    </w:tc>
                  </w:tr>
                  <w:tr>
                    <w:trPr>
                      <w:trHeight w:val="359" w:hRule="exact"/>
                    </w:trPr>
                    <w:tc>
                      <w:tcPr>
                        <w:tcW w:w="851" w:type="dxa"/>
                        <w:tcBorders>
                          <w:top w:val="single" w:sz="4" w:space="0" w:color="000000"/>
                          <w:left w:val="single" w:sz="4" w:space="0" w:color="000000"/>
                          <w:bottom w:val="nil" w:sz="6" w:space="0" w:color="auto"/>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副董事长、副总经</w:t>
                        </w:r>
                      </w:p>
                    </w:tc>
                    <w:tc>
                      <w:tcPr>
                        <w:tcW w:w="590"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381" w:type="dxa"/>
                        <w:tcBorders>
                          <w:top w:val="single" w:sz="4" w:space="0" w:color="000000"/>
                          <w:left w:val="single" w:sz="4" w:space="0" w:color="000000"/>
                          <w:bottom w:val="nil" w:sz="6" w:space="0" w:color="auto"/>
                          <w:right w:val="single" w:sz="4" w:space="0" w:color="000000"/>
                        </w:tcBorders>
                      </w:tcPr>
                      <w:p>
                        <w:pPr/>
                      </w:p>
                    </w:tc>
                    <w:tc>
                      <w:tcPr>
                        <w:tcW w:w="119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理、财务总监、董</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2,216,000</w:t>
                        </w:r>
                      </w:p>
                    </w:tc>
                  </w:tr>
                  <w:tr>
                    <w:trPr>
                      <w:trHeight w:val="352" w:hRule="exact"/>
                    </w:trPr>
                    <w:tc>
                      <w:tcPr>
                        <w:tcW w:w="851" w:type="dxa"/>
                        <w:tcBorders>
                          <w:top w:val="nil" w:sz="6" w:space="0" w:color="auto"/>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事会秘书</w:t>
                        </w:r>
                      </w:p>
                    </w:tc>
                    <w:tc>
                      <w:tcPr>
                        <w:tcW w:w="590"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381" w:type="dxa"/>
                        <w:tcBorders>
                          <w:top w:val="nil" w:sz="6" w:space="0" w:color="auto"/>
                          <w:left w:val="single" w:sz="4" w:space="0" w:color="000000"/>
                          <w:bottom w:val="single" w:sz="4" w:space="0" w:color="000000"/>
                          <w:right w:val="single" w:sz="4" w:space="0" w:color="000000"/>
                        </w:tcBorders>
                      </w:tcPr>
                      <w:p>
                        <w:pPr/>
                      </w:p>
                    </w:tc>
                    <w:tc>
                      <w:tcPr>
                        <w:tcW w:w="119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1,216,000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曹薇</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1,203,200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28"/>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5,175,200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before="34"/>
        <w:ind w:right="0"/>
        <w:jc w:val="left"/>
        <w:rPr>
          <w:b w:val="0"/>
          <w:bCs w:val="0"/>
        </w:rPr>
      </w:pPr>
      <w:r>
        <w:rPr/>
        <w:t>二、任职情况</w:t>
      </w:r>
      <w:r>
        <w:rPr>
          <w:b w:val="0"/>
          <w:bCs w:val="0"/>
        </w:rPr>
      </w:r>
    </w:p>
    <w:p>
      <w:pPr>
        <w:spacing w:line="240" w:lineRule="auto" w:before="10"/>
        <w:rPr>
          <w:rFonts w:ascii="宋体" w:hAnsi="宋体" w:cs="宋体" w:eastAsia="宋体" w:hint="default"/>
          <w:b/>
          <w:bCs/>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Heading5"/>
        <w:spacing w:line="240" w:lineRule="auto" w:before="78"/>
        <w:ind w:left="532" w:right="0"/>
        <w:jc w:val="left"/>
        <w:rPr>
          <w:b w:val="0"/>
          <w:bCs w:val="0"/>
        </w:rPr>
      </w:pPr>
      <w:r>
        <w:rPr/>
        <w:t>1、董事会成员</w:t>
      </w:r>
      <w:r>
        <w:rPr>
          <w:b w:val="0"/>
          <w:bCs w:val="0"/>
        </w:rPr>
      </w:r>
    </w:p>
    <w:p>
      <w:pPr>
        <w:pStyle w:val="BodyText"/>
        <w:spacing w:line="273" w:lineRule="auto" w:before="37"/>
        <w:ind w:right="192" w:firstLine="482"/>
        <w:jc w:val="both"/>
      </w:pPr>
      <w:r>
        <w:rPr>
          <w:rFonts w:ascii="宋体" w:hAnsi="宋体" w:cs="宋体" w:eastAsia="宋体" w:hint="default"/>
          <w:b/>
          <w:bCs/>
        </w:rPr>
        <w:t>其实</w:t>
      </w:r>
      <w:r>
        <w:rPr/>
        <w:t>，男</w:t>
      </w:r>
      <w:r>
        <w:rPr>
          <w:spacing w:val="2"/>
        </w:rPr>
        <w:t> </w:t>
      </w:r>
      <w:r>
        <w:rPr/>
        <w:t>，1970年10月生，中国国籍，无永久境外居留权，本科和研究生分别毕业于上海交通大学</w:t>
      </w:r>
      <w:r>
        <w:rPr>
          <w:w w:val="99"/>
        </w:rPr>
        <w:t> </w:t>
      </w:r>
      <w:r>
        <w:rPr>
          <w:spacing w:val="2"/>
          <w:w w:val="95"/>
        </w:rPr>
        <w:t>和复旦大学,现任本公司董事长。其实先生目前担任全国青年企业家协会副会长、上海市青联副主席、上</w:t>
      </w:r>
      <w:r>
        <w:rPr>
          <w:spacing w:val="47"/>
          <w:w w:val="95"/>
        </w:rPr>
        <w:t> </w:t>
      </w:r>
      <w:r>
        <w:rPr>
          <w:spacing w:val="47"/>
          <w:w w:val="95"/>
        </w:rPr>
      </w:r>
      <w:r>
        <w:rPr/>
        <w:t>海市政协委员、上海市信息化青年人才协会会长等社会职务。</w:t>
      </w:r>
    </w:p>
    <w:p>
      <w:pPr>
        <w:pStyle w:val="BodyText"/>
        <w:spacing w:line="273" w:lineRule="auto"/>
        <w:ind w:right="187" w:firstLine="482"/>
        <w:jc w:val="both"/>
      </w:pPr>
      <w:r>
        <w:rPr>
          <w:rFonts w:ascii="宋体" w:hAnsi="宋体" w:cs="宋体" w:eastAsia="宋体" w:hint="default"/>
          <w:b/>
          <w:bCs/>
          <w:spacing w:val="-2"/>
        </w:rPr>
        <w:t>陶涛</w:t>
      </w:r>
      <w:r>
        <w:rPr>
          <w:spacing w:val="-2"/>
        </w:rPr>
        <w:t>，男，1967年12月生，中国国籍，无永久境外居留权，大学本科。曾任职于上海兰生集团有限公</w:t>
      </w:r>
      <w:r>
        <w:rPr>
          <w:w w:val="99"/>
        </w:rPr>
        <w:t> </w:t>
      </w:r>
      <w:r>
        <w:rPr>
          <w:w w:val="95"/>
        </w:rPr>
        <w:t>司企宣部、公共事务部、总经理办公室，期间担任东视财经特约记者，负责东方电视台、北京电视台、深</w:t>
      </w:r>
      <w:r>
        <w:rPr>
          <w:spacing w:val="42"/>
          <w:w w:val="95"/>
        </w:rPr>
        <w:t> </w:t>
      </w:r>
      <w:r>
        <w:rPr>
          <w:spacing w:val="42"/>
          <w:w w:val="95"/>
        </w:rPr>
      </w:r>
      <w:r>
        <w:rPr/>
        <w:t>圳电视台联合制作的《证券无限三地通》节目的上海地区采编工作。现任本公司副董事长、总经理。</w:t>
      </w:r>
    </w:p>
    <w:p>
      <w:pPr>
        <w:pStyle w:val="BodyText"/>
        <w:spacing w:line="273" w:lineRule="auto"/>
        <w:ind w:right="0" w:firstLine="482"/>
        <w:jc w:val="left"/>
      </w:pPr>
      <w:r>
        <w:rPr>
          <w:rFonts w:ascii="宋体" w:hAnsi="宋体" w:cs="宋体" w:eastAsia="宋体" w:hint="default"/>
          <w:b/>
          <w:bCs/>
        </w:rPr>
        <w:t>陆威</w:t>
      </w:r>
      <w:r>
        <w:rPr/>
        <w:t>，男 ，1971</w:t>
      </w:r>
      <w:r>
        <w:rPr>
          <w:spacing w:val="-20"/>
        </w:rPr>
        <w:t> </w:t>
      </w:r>
      <w:r>
        <w:rPr/>
        <w:t>年10月生，中国国籍，无永久境外居留权，复旦大学高级工商管理硕士（EMBA），</w:t>
      </w:r>
      <w:r>
        <w:rPr>
          <w:w w:val="99"/>
        </w:rPr>
        <w:t> </w:t>
      </w:r>
      <w:r>
        <w:rPr/>
        <w:t>高级会计师。曾任中国外运江苏集团出纳，海运、陆运结算，空运公司财务经理，中外运集装箱运输有限</w:t>
      </w:r>
      <w:r>
        <w:rPr>
          <w:w w:val="99"/>
        </w:rPr>
        <w:t> </w:t>
      </w:r>
      <w:r>
        <w:rPr/>
        <w:t>公司财务部资金计划科经理、财务部总经理助理、副总经理、总经理。陆威先生有十多年大型中央集团企</w:t>
      </w:r>
      <w:r>
        <w:rPr>
          <w:w w:val="99"/>
        </w:rPr>
        <w:t> </w:t>
      </w:r>
      <w:r>
        <w:rPr/>
        <w:t>业财务管理经验以及公司上市经验，是中国会计学会会员、中国总会计师协会会员、上海市总会计师工作</w:t>
      </w:r>
      <w:r>
        <w:rPr>
          <w:w w:val="99"/>
        </w:rPr>
        <w:t> </w:t>
      </w:r>
      <w:r>
        <w:rPr/>
        <w:t>研究会会员，复旦大学MPACC社会导师，上海市软件行业协会副会长。现任本公司副董事长、副总经理、</w:t>
      </w:r>
      <w:r>
        <w:rPr>
          <w:w w:val="99"/>
        </w:rPr>
        <w:t> </w:t>
      </w:r>
      <w:r>
        <w:rPr/>
        <w:t>财务总监、董事会秘书及上海天洋热熔粘接材料股份有限公司独立董事。</w:t>
      </w:r>
    </w:p>
    <w:p>
      <w:pPr>
        <w:pStyle w:val="BodyText"/>
        <w:spacing w:line="273" w:lineRule="auto"/>
        <w:ind w:right="190" w:firstLine="482"/>
        <w:jc w:val="both"/>
      </w:pPr>
      <w:r>
        <w:rPr>
          <w:rFonts w:ascii="宋体" w:hAnsi="宋体" w:cs="宋体" w:eastAsia="宋体" w:hint="default"/>
          <w:b/>
          <w:bCs/>
        </w:rPr>
        <w:t>程磊</w:t>
      </w:r>
      <w:r>
        <w:rPr/>
        <w:t>，男，1977年2月生，中国国籍，无永久境外居留权，复旦大学计算机软件专业本科学历，复旦</w:t>
      </w:r>
      <w:r>
        <w:rPr>
          <w:w w:val="99"/>
        </w:rPr>
        <w:t> </w:t>
      </w:r>
      <w:r>
        <w:rPr>
          <w:w w:val="95"/>
        </w:rPr>
        <w:t>大学软件工程硕士。曾任上海美宁计算机网络有限公司技术部开发组成员、项目经理，环球外汇网副总经</w:t>
      </w:r>
      <w:r>
        <w:rPr>
          <w:spacing w:val="43"/>
          <w:w w:val="95"/>
        </w:rPr>
        <w:t> </w:t>
      </w:r>
      <w:r>
        <w:rPr>
          <w:spacing w:val="43"/>
          <w:w w:val="95"/>
        </w:rPr>
      </w:r>
      <w:r>
        <w:rPr/>
        <w:t>理兼技术总监，本公司研发中心总监</w:t>
      </w:r>
      <w:r>
        <w:rPr>
          <w:spacing w:val="-18"/>
        </w:rPr>
        <w:t> </w:t>
      </w:r>
      <w:r>
        <w:rPr/>
        <w:t>。现任本公司董事、副总经理。</w:t>
      </w:r>
    </w:p>
    <w:p>
      <w:pPr>
        <w:pStyle w:val="BodyText"/>
        <w:spacing w:line="273" w:lineRule="auto"/>
        <w:ind w:right="190" w:firstLine="472"/>
        <w:jc w:val="both"/>
      </w:pPr>
      <w:r>
        <w:rPr>
          <w:rFonts w:ascii="宋体" w:hAnsi="宋体" w:cs="宋体" w:eastAsia="宋体" w:hint="default"/>
          <w:b/>
          <w:bCs/>
        </w:rPr>
        <w:t>史佳</w:t>
      </w:r>
      <w:r>
        <w:rPr/>
        <w:t>，男，1977年6月生，中国国籍，无永久境外居留权，复旦大学计算机及应用专业本科学历。曾</w:t>
      </w:r>
      <w:r>
        <w:rPr>
          <w:w w:val="99"/>
        </w:rPr>
        <w:t> </w:t>
      </w:r>
      <w:r>
        <w:rPr>
          <w:w w:val="95"/>
        </w:rPr>
        <w:t>任上海美宁计算机软件有限公司高级软件工程师、项目经理、产品经理，本公司董事、副总经理。现任本</w:t>
      </w:r>
      <w:r>
        <w:rPr>
          <w:spacing w:val="43"/>
          <w:w w:val="95"/>
        </w:rPr>
        <w:t> </w:t>
      </w:r>
      <w:r>
        <w:rPr>
          <w:spacing w:val="43"/>
          <w:w w:val="95"/>
        </w:rPr>
      </w:r>
      <w:r>
        <w:rPr/>
        <w:t>公司董事、副总经理。</w:t>
      </w:r>
    </w:p>
    <w:p>
      <w:pPr>
        <w:pStyle w:val="BodyText"/>
        <w:spacing w:line="273" w:lineRule="auto"/>
        <w:ind w:right="190" w:firstLine="472"/>
        <w:jc w:val="both"/>
      </w:pPr>
      <w:r>
        <w:rPr>
          <w:rFonts w:ascii="宋体" w:hAnsi="宋体" w:cs="宋体" w:eastAsia="宋体" w:hint="default"/>
          <w:b/>
          <w:bCs/>
          <w:spacing w:val="-3"/>
        </w:rPr>
        <w:t>曹薇</w:t>
      </w:r>
      <w:r>
        <w:rPr>
          <w:spacing w:val="-3"/>
        </w:rPr>
        <w:t>，女，1964 </w:t>
      </w:r>
      <w:r>
        <w:rPr/>
        <w:t>年 1</w:t>
      </w:r>
      <w:r>
        <w:rPr>
          <w:spacing w:val="-60"/>
        </w:rPr>
        <w:t> </w:t>
      </w:r>
      <w:r>
        <w:rPr/>
        <w:t>月生，中国国籍，无永久境外居留权，法学学士。曾任职于共青团上海市委研</w:t>
      </w:r>
      <w:r>
        <w:rPr>
          <w:w w:val="99"/>
        </w:rPr>
        <w:t> </w:t>
      </w:r>
      <w:r>
        <w:rPr>
          <w:w w:val="95"/>
        </w:rPr>
        <w:t>究室、权益部，金马房产服务(上海)有限公司业务部经理、上海望春花(集团)股份有限公司行政人事总监</w:t>
      </w:r>
      <w:r>
        <w:rPr>
          <w:spacing w:val="43"/>
          <w:w w:val="95"/>
        </w:rPr>
        <w:t> </w:t>
      </w:r>
      <w:r>
        <w:rPr>
          <w:spacing w:val="43"/>
          <w:w w:val="95"/>
        </w:rPr>
      </w:r>
      <w:r>
        <w:rPr/>
        <w:t>等。现任本公司董事、办公室主任。</w:t>
      </w:r>
    </w:p>
    <w:p>
      <w:pPr>
        <w:pStyle w:val="BodyText"/>
        <w:spacing w:line="273" w:lineRule="auto"/>
        <w:ind w:right="192" w:firstLine="422"/>
        <w:jc w:val="both"/>
      </w:pPr>
      <w:r>
        <w:rPr>
          <w:rFonts w:ascii="宋体" w:hAnsi="宋体" w:cs="宋体" w:eastAsia="宋体" w:hint="default"/>
          <w:b/>
          <w:bCs/>
        </w:rPr>
        <w:t>颜学海</w:t>
      </w:r>
      <w:r>
        <w:rPr/>
        <w:t>，男，1970 年 2</w:t>
      </w:r>
      <w:r>
        <w:rPr>
          <w:spacing w:val="-41"/>
        </w:rPr>
        <w:t> </w:t>
      </w:r>
      <w:r>
        <w:rPr/>
        <w:t>月生，中国国籍，无永久境外居留权，法律硕士。曾任首届中国科技金融促</w:t>
      </w:r>
      <w:r>
        <w:rPr>
          <w:w w:val="99"/>
        </w:rPr>
        <w:t> </w:t>
      </w:r>
      <w:r>
        <w:rPr>
          <w:w w:val="95"/>
        </w:rPr>
        <w:t>进会风险投资专业委员会委员、上海市股份公司联合会副理事长、上海市国资委法律专家团成员，现任海</w:t>
      </w:r>
      <w:r>
        <w:rPr>
          <w:spacing w:val="40"/>
          <w:w w:val="95"/>
        </w:rPr>
        <w:t> </w:t>
      </w:r>
      <w:r>
        <w:rPr>
          <w:spacing w:val="40"/>
          <w:w w:val="95"/>
        </w:rPr>
      </w:r>
      <w:r>
        <w:rPr>
          <w:w w:val="95"/>
        </w:rPr>
        <w:t>华永泰律师事务所主任、首席合伙人、上海仲裁委员会仲裁员、上海交通大学法学院客座教授、华东政法</w:t>
      </w:r>
      <w:r>
        <w:rPr>
          <w:spacing w:val="39"/>
          <w:w w:val="95"/>
        </w:rPr>
        <w:t> </w:t>
      </w:r>
      <w:r>
        <w:rPr>
          <w:spacing w:val="39"/>
          <w:w w:val="95"/>
        </w:rPr>
      </w:r>
      <w:r>
        <w:rPr/>
        <w:t>大学客座教授、复旦大学法学院研究生实务导师及东方财富独立董事。</w:t>
      </w:r>
    </w:p>
    <w:p>
      <w:pPr>
        <w:pStyle w:val="BodyText"/>
        <w:spacing w:line="273" w:lineRule="auto"/>
        <w:ind w:right="192" w:firstLine="480"/>
        <w:jc w:val="both"/>
      </w:pPr>
      <w:r>
        <w:rPr>
          <w:rFonts w:ascii="宋体" w:hAnsi="宋体" w:cs="宋体" w:eastAsia="宋体" w:hint="default"/>
          <w:b/>
          <w:bCs/>
        </w:rPr>
        <w:t>江泊</w:t>
      </w:r>
      <w:r>
        <w:rPr/>
        <w:t>，男，1956年2月生，中国国籍，无永久境外居留权，博士学位。曾就职于江苏省广电厅、中国</w:t>
      </w:r>
      <w:r>
        <w:rPr>
          <w:w w:val="99"/>
        </w:rPr>
        <w:t> </w:t>
      </w:r>
      <w:r>
        <w:rPr>
          <w:w w:val="95"/>
        </w:rPr>
        <w:t>唱片总公司江苏公司。现任上海电影艺术职业学院院长、中国文化娱乐网总裁、中国文化报文化教育发展</w:t>
      </w:r>
      <w:r>
        <w:rPr/>
      </w:r>
    </w:p>
    <w:p>
      <w:pPr>
        <w:spacing w:after="0" w:line="273" w:lineRule="auto"/>
        <w:jc w:val="both"/>
        <w:sectPr>
          <w:pgSz w:w="11910" w:h="16840"/>
          <w:pgMar w:header="776" w:footer="978" w:top="1100" w:bottom="1160" w:left="1020" w:right="940"/>
        </w:sectPr>
      </w:pPr>
    </w:p>
    <w:p>
      <w:pPr>
        <w:spacing w:line="240" w:lineRule="auto" w:before="12"/>
        <w:rPr>
          <w:rFonts w:ascii="宋体" w:hAnsi="宋体" w:cs="宋体" w:eastAsia="宋体" w:hint="default"/>
          <w:sz w:val="20"/>
          <w:szCs w:val="20"/>
        </w:rPr>
      </w:pPr>
    </w:p>
    <w:p>
      <w:pPr>
        <w:pStyle w:val="BodyText"/>
        <w:spacing w:line="273" w:lineRule="auto" w:before="34"/>
        <w:ind w:left="592" w:right="205" w:hanging="480"/>
        <w:jc w:val="left"/>
      </w:pPr>
      <w:r>
        <w:rPr/>
        <w:t>中心主任、巨石文化公司总裁、中国美术学院上海设计学院副董事长、新文化及东方财富独立董事。</w:t>
      </w:r>
      <w:r>
        <w:rPr>
          <w:w w:val="99"/>
        </w:rPr>
        <w:t> </w:t>
      </w:r>
      <w:r>
        <w:rPr>
          <w:rFonts w:ascii="宋体" w:hAnsi="宋体" w:cs="宋体" w:eastAsia="宋体" w:hint="default"/>
          <w:b/>
          <w:bCs/>
          <w:spacing w:val="-2"/>
        </w:rPr>
        <w:t>李增泉</w:t>
      </w:r>
      <w:r>
        <w:rPr>
          <w:spacing w:val="-2"/>
        </w:rPr>
        <w:t>，男，1974年11月生，中国国籍，无永久境外居留权，博士学位。曾任上海财经大学会计学院</w:t>
      </w:r>
    </w:p>
    <w:p>
      <w:pPr>
        <w:pStyle w:val="BodyText"/>
        <w:spacing w:line="273" w:lineRule="auto"/>
        <w:ind w:right="105"/>
        <w:jc w:val="left"/>
      </w:pPr>
      <w:r>
        <w:rPr/>
        <w:t>副教授、硕士生导师，香港城市大学会计系高级研究员、高级访问学者，国资委徐汇区财务咨询专家，获</w:t>
      </w:r>
      <w:r>
        <w:rPr>
          <w:w w:val="99"/>
        </w:rPr>
        <w:t> </w:t>
      </w:r>
      <w:r>
        <w:rPr>
          <w:spacing w:val="-3"/>
        </w:rPr>
        <w:t>上海市“曙光学者”称号。现任上海财经大学会计学院副院长，《经济研究》等多家权威期刊匿名审稿人、</w:t>
      </w:r>
    </w:p>
    <w:p>
      <w:pPr>
        <w:pStyle w:val="BodyText"/>
        <w:spacing w:line="273" w:lineRule="auto"/>
        <w:ind w:left="532" w:right="105" w:hanging="420"/>
        <w:jc w:val="left"/>
      </w:pPr>
      <w:r>
        <w:rPr/>
        <w:t>&lt;China Journal of Accounting</w:t>
      </w:r>
      <w:r>
        <w:rPr>
          <w:spacing w:val="-20"/>
        </w:rPr>
        <w:t> </w:t>
      </w:r>
      <w:r>
        <w:rPr/>
        <w:t>Research&gt;编委、申能股份、华东电脑、氯碱化工及东方财富独立董事。</w:t>
      </w:r>
      <w:r>
        <w:rPr>
          <w:w w:val="99"/>
        </w:rPr>
        <w:t> </w:t>
      </w:r>
      <w:r>
        <w:rPr>
          <w:rFonts w:ascii="宋体" w:hAnsi="宋体" w:cs="宋体" w:eastAsia="宋体" w:hint="default"/>
          <w:b/>
          <w:bCs/>
        </w:rPr>
        <w:t>2、监事会成员</w:t>
      </w:r>
      <w:r>
        <w:rPr>
          <w:rFonts w:ascii="宋体" w:hAnsi="宋体" w:cs="宋体" w:eastAsia="宋体" w:hint="default"/>
          <w:b/>
          <w:bCs/>
          <w:w w:val="99"/>
        </w:rPr>
        <w:t> </w:t>
      </w:r>
      <w:r>
        <w:rPr/>
        <w:t>鲍一青，男，1976年9月生，中国国籍，无永久境外居留权，大专学历。曾任上海世基投资顾问有限</w:t>
      </w:r>
    </w:p>
    <w:p>
      <w:pPr>
        <w:pStyle w:val="BodyText"/>
        <w:spacing w:line="273" w:lineRule="auto"/>
        <w:ind w:left="532" w:right="105" w:hanging="420"/>
        <w:jc w:val="left"/>
      </w:pPr>
      <w:r>
        <w:rPr/>
        <w:t>公司部门经理，上海益邦投资咨询有限公司副总经理。现任本公司内容部副总监、监事会主席。</w:t>
      </w:r>
      <w:r>
        <w:rPr>
          <w:w w:val="99"/>
        </w:rPr>
        <w:t> </w:t>
      </w:r>
      <w:r>
        <w:rPr>
          <w:w w:val="95"/>
        </w:rPr>
        <w:t>叶露，女，1978年12月生，中国国籍，无永久境外居留权，大学本科。2007年8月加入本公司，现任</w:t>
      </w:r>
      <w:r>
        <w:rPr/>
      </w:r>
    </w:p>
    <w:p>
      <w:pPr>
        <w:pStyle w:val="BodyText"/>
        <w:spacing w:line="273" w:lineRule="auto"/>
        <w:ind w:left="532" w:right="105" w:hanging="420"/>
        <w:jc w:val="left"/>
      </w:pPr>
      <w:r>
        <w:rPr/>
        <w:t>本公司财务部经理、监事。</w:t>
      </w:r>
      <w:r>
        <w:rPr>
          <w:w w:val="99"/>
        </w:rPr>
        <w:t> </w:t>
      </w:r>
      <w:r>
        <w:rPr>
          <w:w w:val="95"/>
        </w:rPr>
        <w:t>蔡玮，女,1987年10月生,中国国籍,无永久境外居留权,大学本科。2011年7月加入本公司，现任本公</w:t>
      </w:r>
      <w:r>
        <w:rPr/>
      </w:r>
    </w:p>
    <w:p>
      <w:pPr>
        <w:pStyle w:val="BodyText"/>
        <w:spacing w:line="240" w:lineRule="auto"/>
        <w:ind w:right="105"/>
        <w:jc w:val="left"/>
      </w:pPr>
      <w:r>
        <w:rPr/>
        <w:t>司职工监事。</w:t>
      </w:r>
    </w:p>
    <w:p>
      <w:pPr>
        <w:spacing w:line="273" w:lineRule="auto" w:before="37"/>
        <w:ind w:left="532" w:right="4479" w:firstLine="0"/>
        <w:jc w:val="left"/>
        <w:rPr>
          <w:rFonts w:ascii="宋体" w:hAnsi="宋体" w:cs="宋体" w:eastAsia="宋体" w:hint="default"/>
          <w:sz w:val="21"/>
          <w:szCs w:val="21"/>
        </w:rPr>
      </w:pPr>
      <w:r>
        <w:rPr>
          <w:rFonts w:ascii="宋体" w:hAnsi="宋体" w:cs="宋体" w:eastAsia="宋体" w:hint="default"/>
          <w:b/>
          <w:bCs/>
          <w:sz w:val="21"/>
          <w:szCs w:val="21"/>
        </w:rPr>
        <w:t>3、高级管理人员</w:t>
      </w:r>
      <w:r>
        <w:rPr>
          <w:rFonts w:ascii="宋体" w:hAnsi="宋体" w:cs="宋体" w:eastAsia="宋体" w:hint="default"/>
          <w:b/>
          <w:bCs/>
          <w:w w:val="99"/>
          <w:sz w:val="21"/>
          <w:szCs w:val="21"/>
        </w:rPr>
        <w:t> </w:t>
      </w:r>
      <w:r>
        <w:rPr>
          <w:rFonts w:ascii="宋体" w:hAnsi="宋体" w:cs="宋体" w:eastAsia="宋体" w:hint="default"/>
          <w:sz w:val="21"/>
          <w:szCs w:val="21"/>
        </w:rPr>
        <w:t>陶涛，总经理，简历详见本节之“1、董事会成员”。</w:t>
      </w:r>
    </w:p>
    <w:p>
      <w:pPr>
        <w:pStyle w:val="BodyText"/>
        <w:spacing w:line="273" w:lineRule="auto"/>
        <w:ind w:left="532" w:right="105"/>
        <w:jc w:val="left"/>
      </w:pPr>
      <w:r>
        <w:rPr>
          <w:w w:val="95"/>
        </w:rPr>
        <w:t>陆威，副总经理、财务总监、董事会秘书，简历详见本节之“1、董事会成员”。</w:t>
      </w:r>
      <w:r>
        <w:rPr>
          <w:spacing w:val="55"/>
          <w:w w:val="95"/>
        </w:rPr>
        <w:t> </w:t>
      </w:r>
      <w:r>
        <w:rPr>
          <w:spacing w:val="55"/>
          <w:w w:val="95"/>
        </w:rPr>
      </w:r>
      <w:r>
        <w:rPr/>
        <w:t>程磊，副总经理，简历详见本节之“1、董事会成员”。</w:t>
      </w:r>
      <w:r>
        <w:rPr>
          <w:w w:val="99"/>
        </w:rPr>
        <w:t> </w:t>
      </w:r>
      <w:r>
        <w:rPr/>
        <w:t>史佳，副总经理，简历详见本节之“1、董事会成员”。</w:t>
      </w:r>
    </w:p>
    <w:p>
      <w:pPr>
        <w:spacing w:before="71"/>
        <w:ind w:left="112" w:right="105"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7"/>
        <w:ind w:left="112" w:right="8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在其他单位任职情况</w:t>
      </w:r>
    </w:p>
    <w:p>
      <w:pPr>
        <w:spacing w:before="39"/>
        <w:ind w:left="11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350"/>
        <w:gridCol w:w="1276"/>
        <w:gridCol w:w="14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8" w:right="106"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上海东睿资产管理有限公司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上海东方财富置业有限公司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上海东鑫互联网金融服务有限公司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上海长盛电子商务有限公司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3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7"/>
        <w:rPr>
          <w:rFonts w:ascii="宋体" w:hAnsi="宋体" w:cs="宋体" w:eastAsia="宋体" w:hint="default"/>
          <w:sz w:val="13"/>
          <w:szCs w:val="13"/>
        </w:rPr>
      </w:pPr>
    </w:p>
    <w:p>
      <w:pPr>
        <w:pStyle w:val="Heading4"/>
        <w:spacing w:line="240" w:lineRule="auto" w:before="26"/>
        <w:ind w:right="105"/>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21"/>
          <w:szCs w:val="21"/>
        </w:rPr>
      </w:pPr>
    </w:p>
    <w:tbl>
      <w:tblPr>
        <w:tblW w:w="0" w:type="auto"/>
        <w:jc w:val="left"/>
        <w:tblInd w:w="109" w:type="dxa"/>
        <w:tblLayout w:type="fixed"/>
        <w:tblCellMar>
          <w:top w:w="0" w:type="dxa"/>
          <w:left w:w="0" w:type="dxa"/>
          <w:bottom w:w="0" w:type="dxa"/>
          <w:right w:w="0" w:type="dxa"/>
        </w:tblCellMar>
        <w:tblLook w:val="01E0"/>
      </w:tblPr>
      <w:tblGrid>
        <w:gridCol w:w="3969"/>
        <w:gridCol w:w="5599"/>
      </w:tblGrid>
      <w:tr>
        <w:trPr>
          <w:trHeight w:val="714"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9"/>
              <w:jc w:val="left"/>
              <w:rPr>
                <w:rFonts w:ascii="宋体" w:hAnsi="宋体" w:cs="宋体" w:eastAsia="宋体" w:hint="default"/>
                <w:sz w:val="18"/>
                <w:szCs w:val="18"/>
              </w:rPr>
            </w:pPr>
            <w:r>
              <w:rPr>
                <w:rFonts w:ascii="宋体" w:hAnsi="宋体" w:cs="宋体" w:eastAsia="宋体" w:hint="default"/>
                <w:sz w:val="18"/>
                <w:szCs w:val="18"/>
              </w:rPr>
              <w:t>根据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年度经营情况，按照有关业绩考核规定，经董事会薪酬与考 核委员会审核，公司董事、监事、高级管理人员从公司获得的报酬。</w:t>
            </w:r>
          </w:p>
        </w:tc>
      </w:tr>
      <w:tr>
        <w:trPr>
          <w:trHeight w:val="67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董事、监事和高级管理人员的报酬按照公司董事会专门委员会《薪酬与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考核委员会议事规则》等规定，结合其经营绩效、工作能力、岗位职级</w:t>
            </w:r>
          </w:p>
        </w:tc>
      </w:tr>
    </w:tbl>
    <w:p>
      <w:pPr>
        <w:spacing w:after="0" w:line="316" w:lineRule="auto"/>
        <w:jc w:val="left"/>
        <w:rPr>
          <w:rFonts w:ascii="宋体" w:hAnsi="宋体" w:cs="宋体" w:eastAsia="宋体" w:hint="default"/>
          <w:sz w:val="18"/>
          <w:szCs w:val="18"/>
        </w:rPr>
        <w:sectPr>
          <w:pgSz w:w="11910" w:h="16840"/>
          <w:pgMar w:header="776" w:footer="978" w:top="1100" w:bottom="1160" w:left="1020" w:right="92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969"/>
        <w:gridCol w:w="5599"/>
      </w:tblGrid>
      <w:tr>
        <w:trPr>
          <w:trHeight w:val="36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等考核确定并发放。</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董事、监事和高级管理人员的报酬按照规定进行了发放。</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27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51"/>
        <w:gridCol w:w="2410"/>
        <w:gridCol w:w="992"/>
        <w:gridCol w:w="850"/>
        <w:gridCol w:w="993"/>
        <w:gridCol w:w="1080"/>
        <w:gridCol w:w="1329"/>
        <w:gridCol w:w="1063"/>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从公司获得 的报酬总额</w:t>
            </w:r>
          </w:p>
        </w:tc>
        <w:tc>
          <w:tcPr>
            <w:tcW w:w="1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0" w:right="27" w:hanging="180"/>
              <w:jc w:val="left"/>
              <w:rPr>
                <w:rFonts w:ascii="宋体" w:hAnsi="宋体" w:cs="宋体" w:eastAsia="宋体" w:hint="default"/>
                <w:sz w:val="18"/>
                <w:szCs w:val="18"/>
              </w:rPr>
            </w:pPr>
            <w:r>
              <w:rPr>
                <w:rFonts w:ascii="宋体" w:hAnsi="宋体" w:cs="宋体" w:eastAsia="宋体" w:hint="default"/>
                <w:sz w:val="18"/>
                <w:szCs w:val="18"/>
              </w:rPr>
              <w:t>从股东单位获得 的报酬总额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5"/>
              <w:jc w:val="left"/>
              <w:rPr>
                <w:rFonts w:ascii="宋体" w:hAnsi="宋体" w:cs="宋体" w:eastAsia="宋体" w:hint="default"/>
                <w:sz w:val="18"/>
                <w:szCs w:val="18"/>
              </w:rPr>
            </w:pPr>
            <w:r>
              <w:rPr>
                <w:rFonts w:ascii="宋体" w:hAnsi="宋体" w:cs="宋体" w:eastAsia="宋体" w:hint="default"/>
                <w:sz w:val="18"/>
                <w:szCs w:val="18"/>
              </w:rPr>
              <w:t>报告期末实 际所得报酬</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34"/>
              <w:jc w:val="left"/>
              <w:rPr>
                <w:rFonts w:ascii="宋体" w:hAnsi="宋体" w:cs="宋体" w:eastAsia="宋体" w:hint="default"/>
                <w:sz w:val="18"/>
                <w:szCs w:val="18"/>
              </w:rPr>
            </w:pPr>
            <w:r>
              <w:rPr>
                <w:rFonts w:ascii="宋体" w:hAnsi="宋体" w:cs="宋体" w:eastAsia="宋体" w:hint="default"/>
                <w:sz w:val="18"/>
                <w:szCs w:val="18"/>
              </w:rPr>
              <w:t>副董事长、副总经理、财务总 监、董事会秘书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45.50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37.60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颜学海</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李增泉</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35.06</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35.06</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叶露</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14.56</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14.56</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11.38</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11.38</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308.70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308.70</w:t>
            </w:r>
          </w:p>
        </w:tc>
      </w:tr>
    </w:tbl>
    <w:p>
      <w:pPr>
        <w:spacing w:line="240" w:lineRule="auto" w:before="6"/>
        <w:rPr>
          <w:rFonts w:ascii="宋体" w:hAnsi="宋体" w:cs="宋体" w:eastAsia="宋体" w:hint="default"/>
          <w:sz w:val="13"/>
          <w:szCs w:val="13"/>
        </w:rPr>
      </w:pPr>
    </w:p>
    <w:p>
      <w:pPr>
        <w:pStyle w:val="Heading4"/>
        <w:spacing w:line="240" w:lineRule="auto" w:before="26"/>
        <w:ind w:right="0"/>
        <w:jc w:val="left"/>
        <w:rPr>
          <w:b w:val="0"/>
          <w:bCs w:val="0"/>
        </w:rPr>
      </w:pPr>
      <w:r>
        <w:rPr/>
        <w:t>四、公司董事、监事、高级管理人员变动情况</w:t>
      </w:r>
      <w:r>
        <w:rPr>
          <w:b w:val="0"/>
          <w:bCs w:val="0"/>
        </w:rPr>
      </w:r>
    </w:p>
    <w:p>
      <w:pPr>
        <w:spacing w:line="240" w:lineRule="auto" w:before="2"/>
        <w:rPr>
          <w:rFonts w:ascii="宋体" w:hAnsi="宋体" w:cs="宋体" w:eastAsia="宋体" w:hint="default"/>
          <w:b/>
          <w:bCs/>
          <w:sz w:val="21"/>
          <w:szCs w:val="21"/>
        </w:rPr>
      </w:pPr>
    </w:p>
    <w:tbl>
      <w:tblPr>
        <w:tblW w:w="0" w:type="auto"/>
        <w:jc w:val="left"/>
        <w:tblInd w:w="109" w:type="dxa"/>
        <w:tblLayout w:type="fixed"/>
        <w:tblCellMar>
          <w:top w:w="0" w:type="dxa"/>
          <w:left w:w="0" w:type="dxa"/>
          <w:bottom w:w="0" w:type="dxa"/>
          <w:right w:w="0" w:type="dxa"/>
        </w:tblCellMar>
        <w:tblLook w:val="01E0"/>
      </w:tblPr>
      <w:tblGrid>
        <w:gridCol w:w="709"/>
        <w:gridCol w:w="1428"/>
        <w:gridCol w:w="709"/>
        <w:gridCol w:w="1559"/>
        <w:gridCol w:w="5386"/>
      </w:tblGrid>
      <w:tr>
        <w:trPr>
          <w:trHeight w:val="401"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69"/>
              <w:jc w:val="right"/>
              <w:rPr>
                <w:rFonts w:ascii="宋体" w:hAnsi="宋体" w:cs="宋体" w:eastAsia="宋体" w:hint="default"/>
                <w:sz w:val="18"/>
                <w:szCs w:val="18"/>
              </w:rPr>
            </w:pPr>
            <w:r>
              <w:rPr>
                <w:rFonts w:ascii="宋体" w:hAnsi="宋体" w:cs="宋体" w:eastAsia="宋体" w:hint="default"/>
                <w:sz w:val="18"/>
                <w:szCs w:val="18"/>
              </w:rPr>
              <w:t>类型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5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3"/>
              <w:jc w:val="right"/>
              <w:rPr>
                <w:rFonts w:ascii="宋体" w:hAnsi="宋体" w:cs="宋体" w:eastAsia="宋体" w:hint="default"/>
                <w:sz w:val="18"/>
                <w:szCs w:val="18"/>
              </w:rPr>
            </w:pPr>
            <w:r>
              <w:rPr>
                <w:rFonts w:ascii="宋体" w:hAnsi="宋体" w:cs="宋体" w:eastAsia="宋体" w:hint="default"/>
                <w:sz w:val="18"/>
                <w:szCs w:val="18"/>
              </w:rPr>
              <w:t>被选举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年第一次临时股东大会选举为董事，董事会选举为董事长</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3"/>
              <w:jc w:val="right"/>
              <w:rPr>
                <w:rFonts w:ascii="宋体" w:hAnsi="宋体" w:cs="宋体" w:eastAsia="宋体" w:hint="default"/>
                <w:sz w:val="18"/>
                <w:szCs w:val="18"/>
              </w:rPr>
            </w:pPr>
            <w:r>
              <w:rPr>
                <w:rFonts w:ascii="宋体" w:hAnsi="宋体" w:cs="宋体" w:eastAsia="宋体" w:hint="default"/>
                <w:sz w:val="18"/>
                <w:szCs w:val="18"/>
              </w:rPr>
              <w:t>被选举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年第一次临时股东大会选举为董事，董事会选举为副董事长</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3"/>
              <w:jc w:val="right"/>
              <w:rPr>
                <w:rFonts w:ascii="宋体" w:hAnsi="宋体" w:cs="宋体" w:eastAsia="宋体" w:hint="default"/>
                <w:sz w:val="18"/>
                <w:szCs w:val="18"/>
              </w:rPr>
            </w:pPr>
            <w:r>
              <w:rPr>
                <w:rFonts w:ascii="宋体" w:hAnsi="宋体" w:cs="宋体" w:eastAsia="宋体" w:hint="default"/>
                <w:sz w:val="18"/>
                <w:szCs w:val="18"/>
              </w:rPr>
              <w:t>被选举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年第一次临时股东大会选举为董事，董事会选举为副董事长</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3"/>
              <w:jc w:val="right"/>
              <w:rPr>
                <w:rFonts w:ascii="宋体" w:hAnsi="宋体" w:cs="宋体" w:eastAsia="宋体" w:hint="default"/>
                <w:sz w:val="18"/>
                <w:szCs w:val="18"/>
              </w:rPr>
            </w:pPr>
            <w:r>
              <w:rPr>
                <w:rFonts w:ascii="宋体" w:hAnsi="宋体" w:cs="宋体" w:eastAsia="宋体" w:hint="default"/>
                <w:sz w:val="18"/>
                <w:szCs w:val="18"/>
              </w:rPr>
              <w:t>被选举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年第一次临时股东大会选举为董事</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3"/>
              <w:jc w:val="right"/>
              <w:rPr>
                <w:rFonts w:ascii="宋体" w:hAnsi="宋体" w:cs="宋体" w:eastAsia="宋体" w:hint="default"/>
                <w:sz w:val="18"/>
                <w:szCs w:val="18"/>
              </w:rPr>
            </w:pPr>
            <w:r>
              <w:rPr>
                <w:rFonts w:ascii="宋体" w:hAnsi="宋体" w:cs="宋体" w:eastAsia="宋体" w:hint="default"/>
                <w:sz w:val="18"/>
                <w:szCs w:val="18"/>
              </w:rPr>
              <w:t>被选举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年第一次临时股东大会选举为董事</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曹薇</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3"/>
              <w:jc w:val="right"/>
              <w:rPr>
                <w:rFonts w:ascii="宋体" w:hAnsi="宋体" w:cs="宋体" w:eastAsia="宋体" w:hint="default"/>
                <w:sz w:val="18"/>
                <w:szCs w:val="18"/>
              </w:rPr>
            </w:pPr>
            <w:r>
              <w:rPr>
                <w:rFonts w:ascii="宋体" w:hAnsi="宋体" w:cs="宋体" w:eastAsia="宋体" w:hint="default"/>
                <w:sz w:val="18"/>
                <w:szCs w:val="18"/>
              </w:rPr>
              <w:t>被选举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年第一次临时股东大会选举为董事</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江泊</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3"/>
              <w:jc w:val="right"/>
              <w:rPr>
                <w:rFonts w:ascii="宋体" w:hAnsi="宋体" w:cs="宋体" w:eastAsia="宋体" w:hint="default"/>
                <w:sz w:val="18"/>
                <w:szCs w:val="18"/>
              </w:rPr>
            </w:pPr>
            <w:r>
              <w:rPr>
                <w:rFonts w:ascii="宋体" w:hAnsi="宋体" w:cs="宋体" w:eastAsia="宋体" w:hint="default"/>
                <w:sz w:val="18"/>
                <w:szCs w:val="18"/>
              </w:rPr>
              <w:t>被选举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年第一次临时股东大会选举为董事</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颜学海</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3"/>
              <w:jc w:val="right"/>
              <w:rPr>
                <w:rFonts w:ascii="宋体" w:hAnsi="宋体" w:cs="宋体" w:eastAsia="宋体" w:hint="default"/>
                <w:sz w:val="18"/>
                <w:szCs w:val="18"/>
              </w:rPr>
            </w:pPr>
            <w:r>
              <w:rPr>
                <w:rFonts w:ascii="宋体" w:hAnsi="宋体" w:cs="宋体" w:eastAsia="宋体" w:hint="default"/>
                <w:sz w:val="18"/>
                <w:szCs w:val="18"/>
              </w:rPr>
              <w:t>被选举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年第一次临时股东大会选举为董事</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李增泉</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3"/>
              <w:jc w:val="right"/>
              <w:rPr>
                <w:rFonts w:ascii="宋体" w:hAnsi="宋体" w:cs="宋体" w:eastAsia="宋体" w:hint="default"/>
                <w:sz w:val="18"/>
                <w:szCs w:val="18"/>
              </w:rPr>
            </w:pPr>
            <w:r>
              <w:rPr>
                <w:rFonts w:ascii="宋体" w:hAnsi="宋体" w:cs="宋体" w:eastAsia="宋体" w:hint="default"/>
                <w:sz w:val="18"/>
                <w:szCs w:val="18"/>
              </w:rPr>
              <w:t>被选举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年第一次临时股东大会选举为董事</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3"/>
              <w:jc w:val="right"/>
              <w:rPr>
                <w:rFonts w:ascii="宋体" w:hAnsi="宋体" w:cs="宋体" w:eastAsia="宋体" w:hint="default"/>
                <w:sz w:val="18"/>
                <w:szCs w:val="18"/>
              </w:rPr>
            </w:pPr>
            <w:r>
              <w:rPr>
                <w:rFonts w:ascii="宋体" w:hAnsi="宋体" w:cs="宋体" w:eastAsia="宋体" w:hint="default"/>
                <w:sz w:val="18"/>
                <w:szCs w:val="18"/>
              </w:rPr>
              <w:t>被选举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年第一次临时股东大会选举为监事，监事会选举为监事会主席</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叶露</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3"/>
              <w:jc w:val="right"/>
              <w:rPr>
                <w:rFonts w:ascii="宋体" w:hAnsi="宋体" w:cs="宋体" w:eastAsia="宋体" w:hint="default"/>
                <w:sz w:val="18"/>
                <w:szCs w:val="18"/>
              </w:rPr>
            </w:pPr>
            <w:r>
              <w:rPr>
                <w:rFonts w:ascii="宋体" w:hAnsi="宋体" w:cs="宋体" w:eastAsia="宋体" w:hint="default"/>
                <w:sz w:val="18"/>
                <w:szCs w:val="18"/>
              </w:rPr>
              <w:t>被选举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年第一次临时股东大会选举监事</w:t>
            </w:r>
          </w:p>
        </w:tc>
      </w:tr>
      <w:tr>
        <w:trPr>
          <w:trHeight w:val="40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蔡玮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3"/>
              <w:jc w:val="right"/>
              <w:rPr>
                <w:rFonts w:ascii="宋体" w:hAnsi="宋体" w:cs="宋体" w:eastAsia="宋体" w:hint="default"/>
                <w:sz w:val="18"/>
                <w:szCs w:val="18"/>
              </w:rPr>
            </w:pPr>
            <w:r>
              <w:rPr>
                <w:rFonts w:ascii="宋体" w:hAnsi="宋体" w:cs="宋体" w:eastAsia="宋体" w:hint="default"/>
                <w:sz w:val="18"/>
                <w:szCs w:val="18"/>
              </w:rPr>
              <w:t>被选举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年第一次职工代表大会选举为职工监事</w:t>
            </w:r>
          </w:p>
        </w:tc>
      </w:tr>
    </w:tbl>
    <w:p>
      <w:pPr>
        <w:spacing w:after="0" w:line="240" w:lineRule="auto"/>
        <w:jc w:val="left"/>
        <w:rPr>
          <w:rFonts w:ascii="宋体" w:hAnsi="宋体" w:cs="宋体" w:eastAsia="宋体" w:hint="default"/>
          <w:sz w:val="18"/>
          <w:szCs w:val="18"/>
        </w:rPr>
        <w:sectPr>
          <w:pgSz w:w="11910" w:h="16840"/>
          <w:pgMar w:header="776" w:footer="978" w:top="1100" w:bottom="1160" w:left="1020" w:right="860"/>
        </w:sectPr>
      </w:pPr>
    </w:p>
    <w:p>
      <w:pPr>
        <w:spacing w:line="240" w:lineRule="auto" w:before="8"/>
        <w:rPr>
          <w:rFonts w:ascii="宋体" w:hAnsi="宋体" w:cs="宋体" w:eastAsia="宋体" w:hint="default"/>
          <w:b/>
          <w:bCs/>
          <w:sz w:val="24"/>
          <w:szCs w:val="24"/>
        </w:rPr>
      </w:pPr>
    </w:p>
    <w:tbl>
      <w:tblPr>
        <w:tblW w:w="0" w:type="auto"/>
        <w:jc w:val="left"/>
        <w:tblInd w:w="129" w:type="dxa"/>
        <w:tblLayout w:type="fixed"/>
        <w:tblCellMar>
          <w:top w:w="0" w:type="dxa"/>
          <w:left w:w="0" w:type="dxa"/>
          <w:bottom w:w="0" w:type="dxa"/>
          <w:right w:w="0" w:type="dxa"/>
        </w:tblCellMar>
        <w:tblLook w:val="01E0"/>
      </w:tblPr>
      <w:tblGrid>
        <w:gridCol w:w="709"/>
        <w:gridCol w:w="1428"/>
        <w:gridCol w:w="709"/>
        <w:gridCol w:w="1559"/>
        <w:gridCol w:w="5386"/>
      </w:tblGrid>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张赛美</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133"/>
              <w:jc w:val="left"/>
              <w:rPr>
                <w:rFonts w:ascii="宋体" w:hAnsi="宋体" w:cs="宋体" w:eastAsia="宋体" w:hint="default"/>
                <w:sz w:val="18"/>
                <w:szCs w:val="18"/>
              </w:rPr>
            </w:pPr>
            <w:r>
              <w:rPr>
                <w:rFonts w:ascii="宋体" w:hAnsi="宋体" w:cs="宋体" w:eastAsia="宋体" w:hint="default"/>
                <w:sz w:val="18"/>
                <w:szCs w:val="18"/>
              </w:rPr>
              <w:t>任期满 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李智平</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3"/>
              <w:jc w:val="left"/>
              <w:rPr>
                <w:rFonts w:ascii="宋体" w:hAnsi="宋体" w:cs="宋体" w:eastAsia="宋体" w:hint="default"/>
                <w:sz w:val="18"/>
                <w:szCs w:val="18"/>
              </w:rPr>
            </w:pPr>
            <w:r>
              <w:rPr>
                <w:rFonts w:ascii="宋体" w:hAnsi="宋体" w:cs="宋体" w:eastAsia="宋体" w:hint="default"/>
                <w:sz w:val="18"/>
                <w:szCs w:val="18"/>
              </w:rPr>
              <w:t>任期满 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吕长江</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133"/>
              <w:jc w:val="left"/>
              <w:rPr>
                <w:rFonts w:ascii="宋体" w:hAnsi="宋体" w:cs="宋体" w:eastAsia="宋体" w:hint="default"/>
                <w:sz w:val="18"/>
                <w:szCs w:val="18"/>
              </w:rPr>
            </w:pPr>
            <w:r>
              <w:rPr>
                <w:rFonts w:ascii="宋体" w:hAnsi="宋体" w:cs="宋体" w:eastAsia="宋体" w:hint="default"/>
                <w:sz w:val="18"/>
                <w:szCs w:val="18"/>
              </w:rPr>
              <w:t>任期满 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毛芸飞</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3"/>
              <w:jc w:val="left"/>
              <w:rPr>
                <w:rFonts w:ascii="宋体" w:hAnsi="宋体" w:cs="宋体" w:eastAsia="宋体" w:hint="default"/>
                <w:sz w:val="18"/>
                <w:szCs w:val="18"/>
              </w:rPr>
            </w:pPr>
            <w:r>
              <w:rPr>
                <w:rFonts w:ascii="宋体" w:hAnsi="宋体" w:cs="宋体" w:eastAsia="宋体" w:hint="default"/>
                <w:sz w:val="18"/>
                <w:szCs w:val="18"/>
              </w:rPr>
              <w:t>任期满 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9"/>
                <w:sz w:val="18"/>
                <w:szCs w:val="18"/>
              </w:rPr>
              <w:t>副总经理、财务总</w:t>
            </w:r>
            <w:r>
              <w:rPr>
                <w:rFonts w:ascii="宋体" w:hAnsi="宋体" w:cs="宋体" w:eastAsia="宋体" w:hint="default"/>
                <w:sz w:val="18"/>
                <w:szCs w:val="18"/>
              </w:rPr>
              <w:t> 监、董事会秘书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bl>
    <w:p>
      <w:pPr>
        <w:pStyle w:val="Heading4"/>
        <w:spacing w:line="240" w:lineRule="auto" w:before="83"/>
        <w:ind w:left="132" w:right="0"/>
        <w:jc w:val="left"/>
        <w:rPr>
          <w:b w:val="0"/>
          <w:bCs w:val="0"/>
        </w:rPr>
      </w:pPr>
      <w:r>
        <w:rPr/>
        <w:t>五、报告期核心技术团队或关键技术人员变动情况（非董事、监事、高级管理人员）</w:t>
      </w:r>
      <w:r>
        <w:rPr>
          <w:b w:val="0"/>
          <w:bCs w:val="0"/>
        </w:rPr>
      </w:r>
    </w:p>
    <w:p>
      <w:pPr>
        <w:spacing w:before="166"/>
        <w:ind w:left="13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pStyle w:val="Heading4"/>
        <w:spacing w:line="240" w:lineRule="auto"/>
        <w:ind w:left="132" w:right="0"/>
        <w:jc w:val="left"/>
        <w:rPr>
          <w:b w:val="0"/>
          <w:bCs w:val="0"/>
        </w:rPr>
      </w:pPr>
      <w:r>
        <w:rPr/>
        <w:t>六、公司员工情况</w:t>
      </w:r>
      <w:r>
        <w:rPr>
          <w:b w:val="0"/>
          <w:bCs w:val="0"/>
        </w:rPr>
      </w:r>
    </w:p>
    <w:p>
      <w:pPr>
        <w:spacing w:line="240" w:lineRule="auto" w:before="12"/>
        <w:rPr>
          <w:rFonts w:ascii="宋体" w:hAnsi="宋体" w:cs="宋体" w:eastAsia="宋体" w:hint="default"/>
          <w:b/>
          <w:bCs/>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日，公司员工（含全资子公司）的专业结构、受教育程度情况如下：</w:t>
      </w: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395"/>
        <w:gridCol w:w="2062"/>
        <w:gridCol w:w="1395"/>
        <w:gridCol w:w="2015"/>
      </w:tblGrid>
      <w:tr>
        <w:trPr>
          <w:trHeight w:val="644" w:hRule="exact"/>
        </w:trPr>
        <w:tc>
          <w:tcPr>
            <w:tcW w:w="139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56"/>
              <w:ind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06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56"/>
              <w:ind w:right="46"/>
              <w:jc w:val="center"/>
              <w:rPr>
                <w:rFonts w:ascii="宋体" w:hAnsi="宋体" w:cs="宋体" w:eastAsia="宋体" w:hint="default"/>
                <w:sz w:val="20"/>
                <w:szCs w:val="20"/>
              </w:rPr>
            </w:pPr>
            <w:r>
              <w:rPr>
                <w:rFonts w:ascii="宋体" w:hAnsi="宋体" w:cs="宋体" w:eastAsia="宋体" w:hint="default"/>
                <w:b/>
                <w:bCs/>
                <w:sz w:val="20"/>
                <w:szCs w:val="20"/>
              </w:rPr>
              <w:t>细分类别</w:t>
            </w:r>
            <w:r>
              <w:rPr>
                <w:rFonts w:ascii="宋体" w:hAnsi="宋体" w:cs="宋体" w:eastAsia="宋体" w:hint="default"/>
                <w:sz w:val="20"/>
                <w:szCs w:val="20"/>
              </w:rPr>
            </w:r>
          </w:p>
        </w:tc>
        <w:tc>
          <w:tcPr>
            <w:tcW w:w="139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56"/>
              <w:ind w:right="1"/>
              <w:jc w:val="center"/>
              <w:rPr>
                <w:rFonts w:ascii="宋体" w:hAnsi="宋体" w:cs="宋体" w:eastAsia="宋体" w:hint="default"/>
                <w:sz w:val="20"/>
                <w:szCs w:val="20"/>
              </w:rPr>
            </w:pPr>
            <w:r>
              <w:rPr>
                <w:rFonts w:ascii="宋体" w:hAnsi="宋体" w:cs="宋体" w:eastAsia="宋体" w:hint="default"/>
                <w:b/>
                <w:bCs/>
                <w:sz w:val="20"/>
                <w:szCs w:val="20"/>
              </w:rPr>
              <w:t>员工数量</w:t>
            </w:r>
            <w:r>
              <w:rPr>
                <w:rFonts w:ascii="宋体" w:hAnsi="宋体" w:cs="宋体" w:eastAsia="宋体" w:hint="default"/>
                <w:sz w:val="20"/>
                <w:szCs w:val="20"/>
              </w:rPr>
            </w:r>
          </w:p>
        </w:tc>
        <w:tc>
          <w:tcPr>
            <w:tcW w:w="201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56"/>
              <w:ind w:left="2" w:right="0"/>
              <w:jc w:val="center"/>
              <w:rPr>
                <w:rFonts w:ascii="宋体" w:hAnsi="宋体" w:cs="宋体" w:eastAsia="宋体" w:hint="default"/>
                <w:sz w:val="20"/>
                <w:szCs w:val="20"/>
              </w:rPr>
            </w:pPr>
            <w:r>
              <w:rPr>
                <w:rFonts w:ascii="宋体" w:hAnsi="宋体" w:cs="宋体" w:eastAsia="宋体" w:hint="default"/>
                <w:b/>
                <w:bCs/>
                <w:sz w:val="20"/>
                <w:szCs w:val="20"/>
              </w:rPr>
              <w:t>百分比(%)</w:t>
            </w:r>
            <w:r>
              <w:rPr>
                <w:rFonts w:ascii="宋体" w:hAnsi="宋体" w:cs="宋体" w:eastAsia="宋体" w:hint="default"/>
                <w:sz w:val="20"/>
                <w:szCs w:val="20"/>
              </w:rPr>
            </w:r>
          </w:p>
        </w:tc>
      </w:tr>
      <w:tr>
        <w:trPr>
          <w:trHeight w:val="322" w:hRule="exact"/>
        </w:trPr>
        <w:tc>
          <w:tcPr>
            <w:tcW w:w="13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41" w:right="0"/>
              <w:jc w:val="left"/>
              <w:rPr>
                <w:rFonts w:ascii="宋体" w:hAnsi="宋体" w:cs="宋体" w:eastAsia="宋体" w:hint="default"/>
                <w:sz w:val="20"/>
                <w:szCs w:val="20"/>
              </w:rPr>
            </w:pPr>
            <w:r>
              <w:rPr>
                <w:rFonts w:ascii="宋体" w:hAnsi="宋体" w:cs="宋体" w:eastAsia="宋体" w:hint="default"/>
                <w:b/>
                <w:bCs/>
                <w:sz w:val="20"/>
                <w:szCs w:val="20"/>
              </w:rPr>
              <w:t>年龄构成</w:t>
            </w:r>
            <w:r>
              <w:rPr>
                <w:rFonts w:ascii="宋体" w:hAnsi="宋体" w:cs="宋体" w:eastAsia="宋体" w:hint="default"/>
                <w:sz w:val="20"/>
                <w:szCs w:val="20"/>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0"/>
                <w:szCs w:val="20"/>
              </w:rPr>
            </w:pPr>
            <w:r>
              <w:rPr>
                <w:rFonts w:ascii="Arial" w:hAnsi="Arial" w:cs="Arial" w:eastAsia="Arial" w:hint="default"/>
                <w:sz w:val="20"/>
                <w:szCs w:val="20"/>
              </w:rPr>
              <w:t>30</w:t>
            </w:r>
            <w:r>
              <w:rPr>
                <w:rFonts w:ascii="Arial" w:hAnsi="Arial" w:cs="Arial" w:eastAsia="Arial" w:hint="default"/>
                <w:spacing w:val="-11"/>
                <w:sz w:val="20"/>
                <w:szCs w:val="20"/>
              </w:rPr>
              <w:t> </w:t>
            </w:r>
            <w:r>
              <w:rPr>
                <w:rFonts w:ascii="宋体" w:hAnsi="宋体" w:cs="宋体" w:eastAsia="宋体" w:hint="default"/>
                <w:sz w:val="20"/>
                <w:szCs w:val="20"/>
              </w:rPr>
              <w:t>岁及以下</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Arial" w:hAnsi="Arial" w:cs="Arial" w:eastAsia="Arial" w:hint="default"/>
                <w:sz w:val="20"/>
                <w:szCs w:val="20"/>
              </w:rPr>
            </w:pPr>
            <w:r>
              <w:rPr>
                <w:rFonts w:ascii="Arial"/>
                <w:sz w:val="20"/>
              </w:rPr>
              <w:t>1055</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20"/>
                <w:szCs w:val="20"/>
              </w:rPr>
            </w:pPr>
            <w:r>
              <w:rPr>
                <w:rFonts w:ascii="Arial"/>
                <w:sz w:val="20"/>
              </w:rPr>
              <w:t>82.04</w:t>
            </w:r>
          </w:p>
        </w:tc>
      </w:tr>
      <w:tr>
        <w:trPr>
          <w:trHeight w:val="322" w:hRule="exact"/>
        </w:trPr>
        <w:tc>
          <w:tcPr>
            <w:tcW w:w="1395" w:type="dxa"/>
            <w:vMerge/>
            <w:tcBorders>
              <w:left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0"/>
                <w:szCs w:val="20"/>
              </w:rPr>
            </w:pP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岁至</w:t>
            </w:r>
            <w:r>
              <w:rPr>
                <w:rFonts w:ascii="宋体" w:hAnsi="宋体" w:cs="宋体" w:eastAsia="宋体" w:hint="default"/>
                <w:spacing w:val="-53"/>
                <w:sz w:val="20"/>
                <w:szCs w:val="20"/>
              </w:rPr>
              <w:t> </w:t>
            </w:r>
            <w:r>
              <w:rPr>
                <w:rFonts w:ascii="Arial" w:hAnsi="Arial" w:cs="Arial" w:eastAsia="Arial" w:hint="default"/>
                <w:sz w:val="20"/>
                <w:szCs w:val="20"/>
              </w:rPr>
              <w:t>40</w:t>
            </w:r>
            <w:r>
              <w:rPr>
                <w:rFonts w:ascii="Arial" w:hAnsi="Arial" w:cs="Arial" w:eastAsia="Arial" w:hint="default"/>
                <w:spacing w:val="-9"/>
                <w:sz w:val="20"/>
                <w:szCs w:val="20"/>
              </w:rPr>
              <w:t> </w:t>
            </w:r>
            <w:r>
              <w:rPr>
                <w:rFonts w:ascii="宋体" w:hAnsi="宋体" w:cs="宋体" w:eastAsia="宋体" w:hint="default"/>
                <w:sz w:val="20"/>
                <w:szCs w:val="20"/>
              </w:rPr>
              <w:t>岁</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Arial" w:hAnsi="Arial" w:cs="Arial" w:eastAsia="Arial" w:hint="default"/>
                <w:sz w:val="20"/>
                <w:szCs w:val="20"/>
              </w:rPr>
            </w:pPr>
            <w:r>
              <w:rPr>
                <w:rFonts w:ascii="Arial"/>
                <w:sz w:val="20"/>
              </w:rPr>
              <w:t>188</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20"/>
                <w:szCs w:val="20"/>
              </w:rPr>
            </w:pPr>
            <w:r>
              <w:rPr>
                <w:rFonts w:ascii="Arial"/>
                <w:sz w:val="20"/>
              </w:rPr>
              <w:t>14.62</w:t>
            </w:r>
          </w:p>
        </w:tc>
      </w:tr>
      <w:tr>
        <w:trPr>
          <w:trHeight w:val="322" w:hRule="exact"/>
        </w:trPr>
        <w:tc>
          <w:tcPr>
            <w:tcW w:w="1395" w:type="dxa"/>
            <w:vMerge/>
            <w:tcBorders>
              <w:left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0"/>
                <w:szCs w:val="20"/>
              </w:rPr>
            </w:pPr>
            <w:r>
              <w:rPr>
                <w:rFonts w:ascii="Arial" w:hAnsi="Arial" w:cs="Arial" w:eastAsia="Arial" w:hint="default"/>
                <w:sz w:val="20"/>
                <w:szCs w:val="20"/>
              </w:rPr>
              <w:t>41</w:t>
            </w:r>
            <w:r>
              <w:rPr>
                <w:rFonts w:ascii="Arial" w:hAnsi="Arial" w:cs="Arial" w:eastAsia="Arial" w:hint="default"/>
                <w:spacing w:val="-6"/>
                <w:sz w:val="20"/>
                <w:szCs w:val="20"/>
              </w:rPr>
              <w:t> </w:t>
            </w:r>
            <w:r>
              <w:rPr>
                <w:rFonts w:ascii="宋体" w:hAnsi="宋体" w:cs="宋体" w:eastAsia="宋体" w:hint="default"/>
                <w:sz w:val="20"/>
                <w:szCs w:val="20"/>
              </w:rPr>
              <w:t>岁至</w:t>
            </w:r>
            <w:r>
              <w:rPr>
                <w:rFonts w:ascii="宋体" w:hAnsi="宋体" w:cs="宋体" w:eastAsia="宋体" w:hint="default"/>
                <w:spacing w:val="-53"/>
                <w:sz w:val="20"/>
                <w:szCs w:val="20"/>
              </w:rPr>
              <w:t> </w:t>
            </w:r>
            <w:r>
              <w:rPr>
                <w:rFonts w:ascii="Arial" w:hAnsi="Arial" w:cs="Arial" w:eastAsia="Arial" w:hint="default"/>
                <w:sz w:val="20"/>
                <w:szCs w:val="20"/>
              </w:rPr>
              <w:t>50</w:t>
            </w:r>
            <w:r>
              <w:rPr>
                <w:rFonts w:ascii="Arial" w:hAnsi="Arial" w:cs="Arial" w:eastAsia="Arial" w:hint="default"/>
                <w:spacing w:val="-9"/>
                <w:sz w:val="20"/>
                <w:szCs w:val="20"/>
              </w:rPr>
              <w:t> </w:t>
            </w:r>
            <w:r>
              <w:rPr>
                <w:rFonts w:ascii="宋体" w:hAnsi="宋体" w:cs="宋体" w:eastAsia="宋体" w:hint="default"/>
                <w:sz w:val="20"/>
                <w:szCs w:val="20"/>
              </w:rPr>
              <w:t>岁</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Arial" w:hAnsi="Arial" w:cs="Arial" w:eastAsia="Arial" w:hint="default"/>
                <w:sz w:val="20"/>
                <w:szCs w:val="20"/>
              </w:rPr>
            </w:pPr>
            <w:r>
              <w:rPr>
                <w:rFonts w:ascii="Arial"/>
                <w:sz w:val="20"/>
              </w:rPr>
              <w:t>25</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20"/>
                <w:szCs w:val="20"/>
              </w:rPr>
            </w:pPr>
            <w:r>
              <w:rPr>
                <w:rFonts w:ascii="Arial"/>
                <w:sz w:val="20"/>
              </w:rPr>
              <w:t>1.94</w:t>
            </w:r>
          </w:p>
        </w:tc>
      </w:tr>
      <w:tr>
        <w:trPr>
          <w:trHeight w:val="322" w:hRule="exact"/>
        </w:trPr>
        <w:tc>
          <w:tcPr>
            <w:tcW w:w="1395" w:type="dxa"/>
            <w:vMerge/>
            <w:tcBorders>
              <w:left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0"/>
                <w:szCs w:val="20"/>
              </w:rPr>
            </w:pPr>
            <w:r>
              <w:rPr>
                <w:rFonts w:ascii="Arial" w:hAnsi="Arial" w:cs="Arial" w:eastAsia="Arial" w:hint="default"/>
                <w:sz w:val="20"/>
                <w:szCs w:val="20"/>
              </w:rPr>
              <w:t>51</w:t>
            </w:r>
            <w:r>
              <w:rPr>
                <w:rFonts w:ascii="Arial" w:hAnsi="Arial" w:cs="Arial" w:eastAsia="Arial" w:hint="default"/>
                <w:spacing w:val="-6"/>
                <w:sz w:val="20"/>
                <w:szCs w:val="20"/>
              </w:rPr>
              <w:t> </w:t>
            </w:r>
            <w:r>
              <w:rPr>
                <w:rFonts w:ascii="宋体" w:hAnsi="宋体" w:cs="宋体" w:eastAsia="宋体" w:hint="default"/>
                <w:sz w:val="20"/>
                <w:szCs w:val="20"/>
              </w:rPr>
              <w:t>岁至</w:t>
            </w:r>
            <w:r>
              <w:rPr>
                <w:rFonts w:ascii="宋体" w:hAnsi="宋体" w:cs="宋体" w:eastAsia="宋体" w:hint="default"/>
                <w:spacing w:val="-53"/>
                <w:sz w:val="20"/>
                <w:szCs w:val="20"/>
              </w:rPr>
              <w:t> </w:t>
            </w:r>
            <w:r>
              <w:rPr>
                <w:rFonts w:ascii="Arial" w:hAnsi="Arial" w:cs="Arial" w:eastAsia="Arial" w:hint="default"/>
                <w:sz w:val="20"/>
                <w:szCs w:val="20"/>
              </w:rPr>
              <w:t>60</w:t>
            </w:r>
            <w:r>
              <w:rPr>
                <w:rFonts w:ascii="Arial" w:hAnsi="Arial" w:cs="Arial" w:eastAsia="Arial" w:hint="default"/>
                <w:spacing w:val="-9"/>
                <w:sz w:val="20"/>
                <w:szCs w:val="20"/>
              </w:rPr>
              <w:t> </w:t>
            </w:r>
            <w:r>
              <w:rPr>
                <w:rFonts w:ascii="宋体" w:hAnsi="宋体" w:cs="宋体" w:eastAsia="宋体" w:hint="default"/>
                <w:sz w:val="20"/>
                <w:szCs w:val="20"/>
              </w:rPr>
              <w:t>岁</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Arial" w:hAnsi="Arial" w:cs="Arial" w:eastAsia="Arial" w:hint="default"/>
                <w:sz w:val="20"/>
                <w:szCs w:val="20"/>
              </w:rPr>
            </w:pPr>
            <w:r>
              <w:rPr>
                <w:rFonts w:ascii="Arial"/>
                <w:sz w:val="20"/>
              </w:rPr>
              <w:t>18</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Arial" w:hAnsi="Arial" w:cs="Arial" w:eastAsia="Arial" w:hint="default"/>
                <w:sz w:val="20"/>
                <w:szCs w:val="20"/>
              </w:rPr>
            </w:pPr>
            <w:r>
              <w:rPr>
                <w:rFonts w:ascii="Arial"/>
                <w:sz w:val="20"/>
              </w:rPr>
              <w:t>1.40</w:t>
            </w:r>
          </w:p>
        </w:tc>
      </w:tr>
      <w:tr>
        <w:trPr>
          <w:trHeight w:val="322" w:hRule="exact"/>
        </w:trPr>
        <w:tc>
          <w:tcPr>
            <w:tcW w:w="1395" w:type="dxa"/>
            <w:vMerge/>
            <w:tcBorders>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Arial" w:hAnsi="Arial" w:cs="Arial" w:eastAsia="Arial" w:hint="default"/>
                <w:sz w:val="20"/>
                <w:szCs w:val="20"/>
              </w:rPr>
            </w:pPr>
            <w:r>
              <w:rPr>
                <w:rFonts w:ascii="Arial"/>
                <w:b/>
                <w:sz w:val="20"/>
              </w:rPr>
              <w:t>1286</w:t>
            </w:r>
            <w:r>
              <w:rPr>
                <w:rFonts w:ascii="Arial"/>
                <w:sz w:val="20"/>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Arial" w:hAnsi="Arial" w:cs="Arial" w:eastAsia="Arial" w:hint="default"/>
                <w:sz w:val="20"/>
                <w:szCs w:val="20"/>
              </w:rPr>
            </w:pPr>
            <w:r>
              <w:rPr>
                <w:rFonts w:ascii="Arial"/>
                <w:b/>
                <w:sz w:val="20"/>
              </w:rPr>
              <w:t>100.00</w:t>
            </w:r>
            <w:r>
              <w:rPr>
                <w:rFonts w:ascii="Arial"/>
                <w:sz w:val="20"/>
              </w:rPr>
            </w:r>
          </w:p>
        </w:tc>
      </w:tr>
      <w:tr>
        <w:trPr>
          <w:trHeight w:val="322" w:hRule="exact"/>
        </w:trPr>
        <w:tc>
          <w:tcPr>
            <w:tcW w:w="13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20"/>
                <w:szCs w:val="20"/>
              </w:rPr>
            </w:pPr>
            <w:r>
              <w:rPr>
                <w:rFonts w:ascii="宋体" w:hAnsi="宋体" w:cs="宋体" w:eastAsia="宋体" w:hint="default"/>
                <w:b/>
                <w:bCs/>
                <w:sz w:val="20"/>
                <w:szCs w:val="20"/>
              </w:rPr>
              <w:t>学历构成</w:t>
            </w:r>
            <w:r>
              <w:rPr>
                <w:rFonts w:ascii="宋体" w:hAnsi="宋体" w:cs="宋体" w:eastAsia="宋体" w:hint="default"/>
                <w:sz w:val="20"/>
                <w:szCs w:val="20"/>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本科及以上</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Arial" w:hAnsi="Arial" w:cs="Arial" w:eastAsia="Arial" w:hint="default"/>
                <w:sz w:val="20"/>
                <w:szCs w:val="20"/>
              </w:rPr>
            </w:pPr>
            <w:r>
              <w:rPr>
                <w:rFonts w:ascii="Arial"/>
                <w:sz w:val="20"/>
              </w:rPr>
              <w:t>678</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Arial" w:hAnsi="Arial" w:cs="Arial" w:eastAsia="Arial" w:hint="default"/>
                <w:sz w:val="20"/>
                <w:szCs w:val="20"/>
              </w:rPr>
            </w:pPr>
            <w:r>
              <w:rPr>
                <w:rFonts w:ascii="Arial"/>
                <w:sz w:val="20"/>
              </w:rPr>
              <w:t>52.72</w:t>
            </w:r>
          </w:p>
        </w:tc>
      </w:tr>
      <w:tr>
        <w:trPr>
          <w:trHeight w:val="322" w:hRule="exact"/>
        </w:trPr>
        <w:tc>
          <w:tcPr>
            <w:tcW w:w="1395" w:type="dxa"/>
            <w:vMerge/>
            <w:tcBorders>
              <w:left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大专</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Arial" w:hAnsi="Arial" w:cs="Arial" w:eastAsia="Arial" w:hint="default"/>
                <w:sz w:val="20"/>
                <w:szCs w:val="20"/>
              </w:rPr>
            </w:pPr>
            <w:r>
              <w:rPr>
                <w:rFonts w:ascii="Arial"/>
                <w:sz w:val="20"/>
              </w:rPr>
              <w:t>420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20"/>
                <w:szCs w:val="20"/>
              </w:rPr>
            </w:pPr>
            <w:r>
              <w:rPr>
                <w:rFonts w:ascii="Arial"/>
                <w:sz w:val="20"/>
              </w:rPr>
              <w:t>32.66</w:t>
            </w:r>
          </w:p>
        </w:tc>
      </w:tr>
      <w:tr>
        <w:trPr>
          <w:trHeight w:val="322" w:hRule="exact"/>
        </w:trPr>
        <w:tc>
          <w:tcPr>
            <w:tcW w:w="1395" w:type="dxa"/>
            <w:vMerge/>
            <w:tcBorders>
              <w:left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中专</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Arial" w:hAnsi="Arial" w:cs="Arial" w:eastAsia="Arial" w:hint="default"/>
                <w:sz w:val="20"/>
                <w:szCs w:val="20"/>
              </w:rPr>
            </w:pPr>
            <w:r>
              <w:rPr>
                <w:rFonts w:ascii="Arial"/>
                <w:sz w:val="20"/>
              </w:rPr>
              <w:t>82</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20"/>
                <w:szCs w:val="20"/>
              </w:rPr>
            </w:pPr>
            <w:r>
              <w:rPr>
                <w:rFonts w:ascii="Arial"/>
                <w:sz w:val="20"/>
              </w:rPr>
              <w:t>6.38</w:t>
            </w:r>
          </w:p>
        </w:tc>
      </w:tr>
      <w:tr>
        <w:trPr>
          <w:trHeight w:val="322" w:hRule="exact"/>
        </w:trPr>
        <w:tc>
          <w:tcPr>
            <w:tcW w:w="1395" w:type="dxa"/>
            <w:vMerge/>
            <w:tcBorders>
              <w:left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sz w:val="20"/>
                <w:szCs w:val="20"/>
              </w:rPr>
              <w:t>高中</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Arial" w:hAnsi="Arial" w:cs="Arial" w:eastAsia="Arial" w:hint="default"/>
                <w:sz w:val="20"/>
                <w:szCs w:val="20"/>
              </w:rPr>
            </w:pPr>
            <w:r>
              <w:rPr>
                <w:rFonts w:ascii="Arial"/>
                <w:sz w:val="20"/>
              </w:rPr>
              <w:t>80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20"/>
                <w:szCs w:val="20"/>
              </w:rPr>
            </w:pPr>
            <w:r>
              <w:rPr>
                <w:rFonts w:ascii="Arial"/>
                <w:sz w:val="20"/>
              </w:rPr>
              <w:t>6.22</w:t>
            </w:r>
          </w:p>
        </w:tc>
      </w:tr>
      <w:tr>
        <w:trPr>
          <w:trHeight w:val="322" w:hRule="exact"/>
        </w:trPr>
        <w:tc>
          <w:tcPr>
            <w:tcW w:w="1395" w:type="dxa"/>
            <w:vMerge/>
            <w:tcBorders>
              <w:left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初中及以下</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Arial" w:hAnsi="Arial" w:cs="Arial" w:eastAsia="Arial" w:hint="default"/>
                <w:sz w:val="20"/>
                <w:szCs w:val="20"/>
              </w:rPr>
            </w:pPr>
            <w:r>
              <w:rPr>
                <w:rFonts w:ascii="Arial"/>
                <w:sz w:val="20"/>
              </w:rPr>
              <w:t>26</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Arial" w:hAnsi="Arial" w:cs="Arial" w:eastAsia="Arial" w:hint="default"/>
                <w:sz w:val="20"/>
                <w:szCs w:val="20"/>
              </w:rPr>
            </w:pPr>
            <w:r>
              <w:rPr>
                <w:rFonts w:ascii="Arial"/>
                <w:sz w:val="20"/>
              </w:rPr>
              <w:t>2.02</w:t>
            </w:r>
          </w:p>
        </w:tc>
      </w:tr>
      <w:tr>
        <w:trPr>
          <w:trHeight w:val="322" w:hRule="exact"/>
        </w:trPr>
        <w:tc>
          <w:tcPr>
            <w:tcW w:w="1395" w:type="dxa"/>
            <w:vMerge/>
            <w:tcBorders>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Arial" w:hAnsi="Arial" w:cs="Arial" w:eastAsia="Arial" w:hint="default"/>
                <w:sz w:val="20"/>
                <w:szCs w:val="20"/>
              </w:rPr>
            </w:pPr>
            <w:r>
              <w:rPr>
                <w:rFonts w:ascii="Arial"/>
                <w:b/>
                <w:sz w:val="20"/>
              </w:rPr>
              <w:t>1286</w:t>
            </w:r>
            <w:r>
              <w:rPr>
                <w:rFonts w:ascii="Arial"/>
                <w:sz w:val="20"/>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Arial" w:hAnsi="Arial" w:cs="Arial" w:eastAsia="Arial" w:hint="default"/>
                <w:sz w:val="20"/>
                <w:szCs w:val="20"/>
              </w:rPr>
            </w:pPr>
            <w:r>
              <w:rPr>
                <w:rFonts w:ascii="Arial"/>
                <w:b/>
                <w:sz w:val="20"/>
              </w:rPr>
              <w:t>100.00</w:t>
            </w:r>
            <w:r>
              <w:rPr>
                <w:rFonts w:ascii="Arial"/>
                <w:sz w:val="20"/>
              </w:rPr>
            </w:r>
          </w:p>
        </w:tc>
      </w:tr>
      <w:tr>
        <w:trPr>
          <w:trHeight w:val="322" w:hRule="exact"/>
        </w:trPr>
        <w:tc>
          <w:tcPr>
            <w:tcW w:w="13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292" w:right="0"/>
              <w:jc w:val="left"/>
              <w:rPr>
                <w:rFonts w:ascii="宋体" w:hAnsi="宋体" w:cs="宋体" w:eastAsia="宋体" w:hint="default"/>
                <w:sz w:val="20"/>
                <w:szCs w:val="20"/>
              </w:rPr>
            </w:pPr>
            <w:r>
              <w:rPr>
                <w:rFonts w:ascii="宋体" w:hAnsi="宋体" w:cs="宋体" w:eastAsia="宋体" w:hint="default"/>
                <w:b/>
                <w:bCs/>
                <w:sz w:val="20"/>
                <w:szCs w:val="20"/>
              </w:rPr>
              <w:t>专业构成</w:t>
            </w:r>
            <w:r>
              <w:rPr>
                <w:rFonts w:ascii="宋体" w:hAnsi="宋体" w:cs="宋体" w:eastAsia="宋体" w:hint="default"/>
                <w:sz w:val="20"/>
                <w:szCs w:val="20"/>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行政管理人员</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Arial" w:hAnsi="Arial" w:cs="Arial" w:eastAsia="Arial" w:hint="default"/>
                <w:sz w:val="20"/>
                <w:szCs w:val="20"/>
              </w:rPr>
            </w:pPr>
            <w:r>
              <w:rPr>
                <w:rFonts w:ascii="Arial"/>
                <w:sz w:val="20"/>
              </w:rPr>
              <w:t>68</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Arial" w:hAnsi="Arial" w:cs="Arial" w:eastAsia="Arial" w:hint="default"/>
                <w:sz w:val="20"/>
                <w:szCs w:val="20"/>
              </w:rPr>
            </w:pPr>
            <w:r>
              <w:rPr>
                <w:rFonts w:ascii="Arial"/>
                <w:sz w:val="20"/>
              </w:rPr>
              <w:t>5.29</w:t>
            </w:r>
          </w:p>
        </w:tc>
      </w:tr>
      <w:tr>
        <w:trPr>
          <w:trHeight w:val="322" w:hRule="exact"/>
        </w:trPr>
        <w:tc>
          <w:tcPr>
            <w:tcW w:w="1395" w:type="dxa"/>
            <w:vMerge/>
            <w:tcBorders>
              <w:left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财务管理人员</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Arial" w:hAnsi="Arial" w:cs="Arial" w:eastAsia="Arial" w:hint="default"/>
                <w:sz w:val="20"/>
                <w:szCs w:val="20"/>
              </w:rPr>
            </w:pPr>
            <w:r>
              <w:rPr>
                <w:rFonts w:ascii="Arial"/>
                <w:sz w:val="20"/>
              </w:rPr>
              <w:t>15</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20"/>
                <w:szCs w:val="20"/>
              </w:rPr>
            </w:pPr>
            <w:r>
              <w:rPr>
                <w:rFonts w:ascii="Arial"/>
                <w:sz w:val="20"/>
              </w:rPr>
              <w:t>1.17</w:t>
            </w:r>
          </w:p>
        </w:tc>
      </w:tr>
      <w:tr>
        <w:trPr>
          <w:trHeight w:val="322" w:hRule="exact"/>
        </w:trPr>
        <w:tc>
          <w:tcPr>
            <w:tcW w:w="1395" w:type="dxa"/>
            <w:vMerge/>
            <w:tcBorders>
              <w:left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研发技术人员</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Arial" w:hAnsi="Arial" w:cs="Arial" w:eastAsia="Arial" w:hint="default"/>
                <w:sz w:val="20"/>
                <w:szCs w:val="20"/>
              </w:rPr>
            </w:pPr>
            <w:r>
              <w:rPr>
                <w:rFonts w:ascii="Arial"/>
                <w:sz w:val="20"/>
              </w:rPr>
              <w:t>768</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20"/>
                <w:szCs w:val="20"/>
              </w:rPr>
            </w:pPr>
            <w:r>
              <w:rPr>
                <w:rFonts w:ascii="Arial"/>
                <w:sz w:val="20"/>
              </w:rPr>
              <w:t>59.72</w:t>
            </w:r>
          </w:p>
        </w:tc>
      </w:tr>
      <w:tr>
        <w:trPr>
          <w:trHeight w:val="322" w:hRule="exact"/>
        </w:trPr>
        <w:tc>
          <w:tcPr>
            <w:tcW w:w="1395" w:type="dxa"/>
            <w:vMerge/>
            <w:tcBorders>
              <w:left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sz w:val="20"/>
                <w:szCs w:val="20"/>
              </w:rPr>
              <w:t>内容管理人员</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Arial" w:hAnsi="Arial" w:cs="Arial" w:eastAsia="Arial" w:hint="default"/>
                <w:sz w:val="20"/>
                <w:szCs w:val="20"/>
              </w:rPr>
            </w:pPr>
            <w:r>
              <w:rPr>
                <w:rFonts w:ascii="Arial"/>
                <w:sz w:val="20"/>
              </w:rPr>
              <w:t>120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Arial" w:hAnsi="Arial" w:cs="Arial" w:eastAsia="Arial" w:hint="default"/>
                <w:sz w:val="20"/>
                <w:szCs w:val="20"/>
              </w:rPr>
            </w:pPr>
            <w:r>
              <w:rPr>
                <w:rFonts w:ascii="Arial"/>
                <w:sz w:val="20"/>
              </w:rPr>
              <w:t>9.33</w:t>
            </w:r>
          </w:p>
        </w:tc>
      </w:tr>
      <w:tr>
        <w:trPr>
          <w:trHeight w:val="322" w:hRule="exact"/>
        </w:trPr>
        <w:tc>
          <w:tcPr>
            <w:tcW w:w="1395" w:type="dxa"/>
            <w:vMerge/>
            <w:tcBorders>
              <w:left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市场营销人员</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Arial" w:hAnsi="Arial" w:cs="Arial" w:eastAsia="Arial" w:hint="default"/>
                <w:sz w:val="20"/>
                <w:szCs w:val="20"/>
              </w:rPr>
            </w:pPr>
            <w:r>
              <w:rPr>
                <w:rFonts w:ascii="Arial"/>
                <w:sz w:val="20"/>
              </w:rPr>
              <w:t>277</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Arial" w:hAnsi="Arial" w:cs="Arial" w:eastAsia="Arial" w:hint="default"/>
                <w:sz w:val="20"/>
                <w:szCs w:val="20"/>
              </w:rPr>
            </w:pPr>
            <w:r>
              <w:rPr>
                <w:rFonts w:ascii="Arial"/>
                <w:sz w:val="20"/>
              </w:rPr>
              <w:t>21.54</w:t>
            </w:r>
          </w:p>
        </w:tc>
      </w:tr>
      <w:tr>
        <w:trPr>
          <w:trHeight w:val="322" w:hRule="exact"/>
        </w:trPr>
        <w:tc>
          <w:tcPr>
            <w:tcW w:w="1395" w:type="dxa"/>
            <w:vMerge/>
            <w:tcBorders>
              <w:left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其他人员</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Arial" w:hAnsi="Arial" w:cs="Arial" w:eastAsia="Arial" w:hint="default"/>
                <w:sz w:val="20"/>
                <w:szCs w:val="20"/>
              </w:rPr>
            </w:pPr>
            <w:r>
              <w:rPr>
                <w:rFonts w:ascii="Arial"/>
                <w:sz w:val="20"/>
              </w:rPr>
              <w:t>38</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Arial" w:hAnsi="Arial" w:cs="Arial" w:eastAsia="Arial" w:hint="default"/>
                <w:sz w:val="20"/>
                <w:szCs w:val="20"/>
              </w:rPr>
            </w:pPr>
            <w:r>
              <w:rPr>
                <w:rFonts w:ascii="Arial"/>
                <w:sz w:val="20"/>
              </w:rPr>
              <w:t>2.95</w:t>
            </w:r>
          </w:p>
        </w:tc>
      </w:tr>
      <w:tr>
        <w:trPr>
          <w:trHeight w:val="322" w:hRule="exact"/>
        </w:trPr>
        <w:tc>
          <w:tcPr>
            <w:tcW w:w="1395" w:type="dxa"/>
            <w:vMerge/>
            <w:tcBorders>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Arial" w:hAnsi="Arial" w:cs="Arial" w:eastAsia="Arial" w:hint="default"/>
                <w:sz w:val="20"/>
                <w:szCs w:val="20"/>
              </w:rPr>
            </w:pPr>
            <w:r>
              <w:rPr>
                <w:rFonts w:ascii="Arial"/>
                <w:b/>
                <w:sz w:val="20"/>
              </w:rPr>
              <w:t>1286</w:t>
            </w:r>
            <w:r>
              <w:rPr>
                <w:rFonts w:ascii="Arial"/>
                <w:sz w:val="20"/>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Arial" w:hAnsi="Arial" w:cs="Arial" w:eastAsia="Arial" w:hint="default"/>
                <w:sz w:val="20"/>
                <w:szCs w:val="20"/>
              </w:rPr>
            </w:pPr>
            <w:r>
              <w:rPr>
                <w:rFonts w:ascii="Arial"/>
                <w:b/>
                <w:sz w:val="20"/>
              </w:rPr>
              <w:t>100.00</w:t>
            </w:r>
            <w:r>
              <w:rPr>
                <w:rFonts w:ascii="Arial"/>
                <w:sz w:val="20"/>
              </w:rPr>
            </w:r>
          </w:p>
        </w:tc>
      </w:tr>
    </w:tbl>
    <w:p>
      <w:pPr>
        <w:spacing w:after="0" w:line="240" w:lineRule="auto"/>
        <w:jc w:val="center"/>
        <w:rPr>
          <w:rFonts w:ascii="Arial" w:hAnsi="Arial" w:cs="Arial" w:eastAsia="Arial" w:hint="default"/>
          <w:sz w:val="20"/>
          <w:szCs w:val="20"/>
        </w:rPr>
        <w:sectPr>
          <w:pgSz w:w="11910" w:h="16840"/>
          <w:pgMar w:header="776" w:footer="978" w:top="1100" w:bottom="1160" w:left="100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1"/>
        <w:spacing w:line="240" w:lineRule="auto"/>
        <w:ind w:right="2743"/>
        <w:jc w:val="center"/>
        <w:rPr>
          <w:b w:val="0"/>
          <w:bCs w:val="0"/>
        </w:rPr>
      </w:pPr>
      <w:bookmarkStart w:name="_TOC_250002" w:id="8"/>
      <w:r>
        <w:rPr/>
        <w:t>第八节</w:t>
      </w:r>
      <w:r>
        <w:rPr>
          <w:spacing w:val="-7"/>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t>一、公司治理的基本状况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0" w:firstLine="480"/>
        <w:jc w:val="both"/>
      </w:pPr>
      <w:r>
        <w:rPr>
          <w:spacing w:val="-2"/>
        </w:rPr>
        <w:t>报告期内，公司严格按照《公司法》、《证券法》、《上市公司治理准则》、《深圳证券交易所创业</w:t>
      </w:r>
      <w:r>
        <w:rPr>
          <w:w w:val="99"/>
        </w:rPr>
        <w:t> </w:t>
      </w:r>
      <w:r>
        <w:rPr>
          <w:w w:val="95"/>
        </w:rPr>
        <w:t>板股票上市规则》、《深圳证券交易所创业板上市公司规范运作指引》等有关法律、法规、规范性文件和</w:t>
      </w:r>
      <w:r>
        <w:rPr>
          <w:spacing w:val="43"/>
          <w:w w:val="95"/>
        </w:rPr>
        <w:t> </w:t>
      </w:r>
      <w:r>
        <w:rPr>
          <w:spacing w:val="43"/>
          <w:w w:val="95"/>
        </w:rPr>
      </w:r>
      <w:r>
        <w:rPr>
          <w:w w:val="95"/>
        </w:rPr>
        <w:t>监管机构的要求，不断完善公司法人治理结构，提高规范运作水平。截至报告期末，公司治理的实际状况</w:t>
      </w:r>
      <w:r>
        <w:rPr>
          <w:spacing w:val="42"/>
          <w:w w:val="95"/>
        </w:rPr>
        <w:t> </w:t>
      </w:r>
      <w:r>
        <w:rPr>
          <w:spacing w:val="42"/>
          <w:w w:val="95"/>
        </w:rPr>
      </w:r>
      <w:r>
        <w:rPr/>
        <w:t>符合《上市公司治理准则》和《深圳证券交易所创业板上市公司规范运作指引》的要求。</w:t>
      </w:r>
    </w:p>
    <w:p>
      <w:pPr>
        <w:pStyle w:val="BodyText"/>
        <w:spacing w:line="273" w:lineRule="auto"/>
        <w:ind w:left="705" w:right="0" w:hanging="593"/>
        <w:jc w:val="left"/>
      </w:pPr>
      <w:r>
        <w:rPr/>
        <w:t>（一）股东与股东大会</w:t>
      </w:r>
      <w:r>
        <w:rPr>
          <w:w w:val="99"/>
        </w:rPr>
        <w:t> </w:t>
      </w:r>
      <w:r>
        <w:rPr/>
        <w:t>公司严格按照《创业板上市公司规范运作指引》、《股东大会议事规则》等规定的要求，召集召</w:t>
      </w:r>
    </w:p>
    <w:p>
      <w:pPr>
        <w:pStyle w:val="BodyText"/>
        <w:spacing w:line="273" w:lineRule="auto"/>
        <w:ind w:left="225" w:right="293"/>
        <w:jc w:val="left"/>
      </w:pPr>
      <w:r>
        <w:rPr>
          <w:spacing w:val="2"/>
        </w:rPr>
        <w:t>开股东大会，尽可能为股东参加股东大会提供便利，尤其是中小股东，使其充分行使自己的权利。不</w:t>
      </w:r>
      <w:r>
        <w:rPr>
          <w:w w:val="99"/>
        </w:rPr>
        <w:t> </w:t>
      </w:r>
      <w:r>
        <w:rPr/>
        <w:t>存在损害股东，特别是中小股东利益的情况。</w:t>
      </w:r>
    </w:p>
    <w:p>
      <w:pPr>
        <w:pStyle w:val="BodyText"/>
        <w:spacing w:line="273" w:lineRule="auto" w:before="82"/>
        <w:ind w:left="705" w:right="0" w:hanging="593"/>
        <w:jc w:val="left"/>
      </w:pPr>
      <w:r>
        <w:rPr/>
        <w:t>（二）公司与控股股东</w:t>
      </w:r>
      <w:r>
        <w:rPr>
          <w:w w:val="99"/>
        </w:rPr>
        <w:t> </w:t>
      </w:r>
      <w:r>
        <w:rPr/>
        <w:t>公司控股股东严格规范自己的行为，没有采取任何其它方式直接或间接地干预公司的决策及依法</w:t>
      </w:r>
    </w:p>
    <w:p>
      <w:pPr>
        <w:pStyle w:val="BodyText"/>
        <w:spacing w:line="273" w:lineRule="auto"/>
        <w:ind w:left="225" w:right="293"/>
        <w:jc w:val="left"/>
      </w:pPr>
      <w:r>
        <w:rPr>
          <w:spacing w:val="2"/>
        </w:rPr>
        <w:t>开展的生产经营活动，没有损害公司及其它股东的利益；公司与控股股东在业务、人员、资产、机构</w:t>
      </w:r>
      <w:r>
        <w:rPr>
          <w:w w:val="99"/>
        </w:rPr>
        <w:t> </w:t>
      </w:r>
      <w:r>
        <w:rPr/>
        <w:t>和财务方面做到相互独立；公司也没有为控股股东及其下属企业提供担保。</w:t>
      </w:r>
    </w:p>
    <w:p>
      <w:pPr>
        <w:pStyle w:val="BodyText"/>
        <w:spacing w:line="240" w:lineRule="auto" w:before="79"/>
        <w:ind w:right="0"/>
        <w:jc w:val="left"/>
      </w:pPr>
      <w:r>
        <w:rPr/>
        <w:t>（三）董事与董事会</w:t>
      </w:r>
    </w:p>
    <w:p>
      <w:pPr>
        <w:pStyle w:val="BodyText"/>
        <w:spacing w:line="273" w:lineRule="auto" w:before="37"/>
        <w:ind w:right="107" w:firstLine="480"/>
        <w:jc w:val="both"/>
      </w:pPr>
      <w:r>
        <w:rPr/>
        <w:t>公司于2014年1月22日完成了董事会换届工作，公司董事会设董事 9 </w:t>
      </w:r>
      <w:r>
        <w:rPr>
          <w:spacing w:val="-4"/>
        </w:rPr>
        <w:t>名，其中独立董事</w:t>
      </w:r>
      <w:r>
        <w:rPr>
          <w:spacing w:val="-36"/>
        </w:rPr>
        <w:t> </w:t>
      </w:r>
      <w:r>
        <w:rPr>
          <w:spacing w:val="-5"/>
        </w:rPr>
        <w:t>3名，董事会</w:t>
      </w:r>
      <w:r>
        <w:rPr>
          <w:w w:val="99"/>
        </w:rPr>
        <w:t> </w:t>
      </w:r>
      <w:r>
        <w:rPr>
          <w:w w:val="95"/>
        </w:rPr>
        <w:t>的人数及人员构成符合法律、法规和《公司章程》的要求。各位董事能够依据《公司法》、《创业板上市</w:t>
      </w:r>
      <w:r>
        <w:rPr>
          <w:spacing w:val="40"/>
          <w:w w:val="95"/>
        </w:rPr>
        <w:t> </w:t>
      </w:r>
      <w:r>
        <w:rPr>
          <w:spacing w:val="40"/>
          <w:w w:val="95"/>
        </w:rPr>
      </w:r>
      <w:r>
        <w:rPr>
          <w:w w:val="95"/>
        </w:rPr>
        <w:t>公司规范运作指引》、《公司章程》、《董事会议事规则》等相关法律、法规及制度开展工作，按时参加</w:t>
      </w:r>
      <w:r>
        <w:rPr>
          <w:spacing w:val="44"/>
          <w:w w:val="95"/>
        </w:rPr>
        <w:t> </w:t>
      </w:r>
      <w:r>
        <w:rPr>
          <w:spacing w:val="44"/>
          <w:w w:val="95"/>
        </w:rPr>
      </w:r>
      <w:r>
        <w:rPr>
          <w:w w:val="95"/>
        </w:rPr>
        <w:t>会议，勤勉尽责地履行职责和义务。独立董事能够不受公司控股股东、实际控制人以及其它与公司存在利</w:t>
      </w:r>
      <w:r>
        <w:rPr>
          <w:spacing w:val="40"/>
          <w:w w:val="95"/>
        </w:rPr>
        <w:t> </w:t>
      </w:r>
      <w:r>
        <w:rPr>
          <w:spacing w:val="40"/>
          <w:w w:val="95"/>
        </w:rPr>
      </w:r>
      <w:r>
        <w:rPr/>
        <w:t>害关系的单位或个人的影响，独立履行职责，对公司的重大事项均能发表独立意见。</w:t>
      </w:r>
    </w:p>
    <w:p>
      <w:pPr>
        <w:pStyle w:val="BodyText"/>
        <w:spacing w:line="240" w:lineRule="auto"/>
        <w:ind w:right="0"/>
        <w:jc w:val="left"/>
      </w:pPr>
      <w:r>
        <w:rPr/>
        <w:t>（四）监事与监事会</w:t>
      </w:r>
    </w:p>
    <w:p>
      <w:pPr>
        <w:pStyle w:val="BodyText"/>
        <w:spacing w:line="273" w:lineRule="auto" w:before="37"/>
        <w:ind w:right="0" w:firstLine="420"/>
        <w:jc w:val="left"/>
      </w:pPr>
      <w:r>
        <w:rPr/>
        <w:t>公司于2014年1月22日完成了监事会换届工作，公司监事会设监事 3名， 其中职工监事 1</w:t>
      </w:r>
      <w:r>
        <w:rPr>
          <w:spacing w:val="-17"/>
        </w:rPr>
        <w:t> </w:t>
      </w:r>
      <w:r>
        <w:rPr/>
        <w:t>名，公司</w:t>
      </w:r>
      <w:r>
        <w:rPr>
          <w:w w:val="99"/>
        </w:rPr>
        <w:t> </w:t>
      </w:r>
      <w:r>
        <w:rPr>
          <w:w w:val="95"/>
        </w:rPr>
        <w:t>监事会的人数、成员构成及监事的任职资格符合相关法律、法规的要求。监事会能够严格按照《监事会议</w:t>
      </w:r>
      <w:r>
        <w:rPr>
          <w:spacing w:val="37"/>
          <w:w w:val="95"/>
        </w:rPr>
        <w:t> </w:t>
      </w:r>
      <w:r>
        <w:rPr>
          <w:spacing w:val="37"/>
          <w:w w:val="95"/>
        </w:rPr>
      </w:r>
      <w:r>
        <w:rPr>
          <w:w w:val="95"/>
        </w:rPr>
        <w:t>事规则》的要求召集、召开监事会，表决程序符合法律、法规的要求，全体监事能够认真履行职责，监督</w:t>
      </w:r>
      <w:r>
        <w:rPr>
          <w:spacing w:val="37"/>
          <w:w w:val="95"/>
        </w:rPr>
        <w:t> </w:t>
      </w:r>
      <w:r>
        <w:rPr>
          <w:spacing w:val="37"/>
          <w:w w:val="95"/>
        </w:rPr>
      </w:r>
      <w:r>
        <w:rPr/>
        <w:t>公司重大事项、财务状况及董事、高级管理人员履职情况等。</w:t>
      </w:r>
    </w:p>
    <w:p>
      <w:pPr>
        <w:pStyle w:val="BodyText"/>
        <w:spacing w:line="273" w:lineRule="auto" w:before="82"/>
        <w:ind w:left="532" w:right="0" w:hanging="420"/>
        <w:jc w:val="left"/>
      </w:pPr>
      <w:r>
        <w:rPr/>
        <w:t>（五）绩效评价与激励约束机制</w:t>
      </w:r>
      <w:r>
        <w:rPr>
          <w:w w:val="99"/>
        </w:rPr>
        <w:t> </w:t>
      </w:r>
      <w:r>
        <w:rPr>
          <w:w w:val="95"/>
        </w:rPr>
        <w:t>公司建立了较为完善的绩效考评体系，员工的收入能较好地与工作绩效挂钩；高级管理人员的聘任能</w:t>
      </w:r>
      <w:r>
        <w:rPr/>
      </w:r>
    </w:p>
    <w:p>
      <w:pPr>
        <w:pStyle w:val="BodyText"/>
        <w:spacing w:line="240" w:lineRule="auto"/>
        <w:ind w:right="0"/>
        <w:jc w:val="left"/>
      </w:pPr>
      <w:r>
        <w:rPr/>
        <w:t>够做到公开、透明，符合法律、法规和制度的规定。</w:t>
      </w:r>
    </w:p>
    <w:p>
      <w:pPr>
        <w:pStyle w:val="BodyText"/>
        <w:spacing w:line="273" w:lineRule="auto" w:before="109"/>
        <w:ind w:left="532" w:right="0" w:hanging="420"/>
        <w:jc w:val="left"/>
      </w:pPr>
      <w:r>
        <w:rPr/>
        <w:t>（六）关于信息披露与透明度</w:t>
      </w:r>
      <w:r>
        <w:rPr>
          <w:w w:val="99"/>
        </w:rPr>
        <w:t> </w:t>
      </w:r>
      <w:r>
        <w:rPr>
          <w:w w:val="95"/>
        </w:rPr>
        <w:t>公司严格按照有关法律法规以及《信息披露制度》、《投资者关系管理制度》、《内幕信息知情人登</w:t>
      </w:r>
      <w:r>
        <w:rPr/>
      </w:r>
    </w:p>
    <w:p>
      <w:pPr>
        <w:pStyle w:val="BodyText"/>
        <w:spacing w:line="273" w:lineRule="auto"/>
        <w:ind w:right="0"/>
        <w:jc w:val="left"/>
      </w:pPr>
      <w:r>
        <w:rPr>
          <w:w w:val="95"/>
        </w:rPr>
        <w:t>记管理制度》等的要求，真实、准确、完整、及时、公平地披露有关信息；并指定公司董事会秘书负责信</w:t>
      </w:r>
      <w:r>
        <w:rPr>
          <w:spacing w:val="38"/>
          <w:w w:val="95"/>
        </w:rPr>
        <w:t> </w:t>
      </w:r>
      <w:r>
        <w:rPr>
          <w:spacing w:val="38"/>
          <w:w w:val="95"/>
        </w:rPr>
      </w:r>
      <w:r>
        <w:rPr>
          <w:w w:val="95"/>
        </w:rPr>
        <w:t>息披露工作，协调公司与投资者的关系，接待股东来访，回答投资者咨询；并指定《中国证券报》、《上</w:t>
      </w:r>
      <w:r>
        <w:rPr>
          <w:spacing w:val="41"/>
          <w:w w:val="95"/>
        </w:rPr>
        <w:t> </w:t>
      </w:r>
      <w:r>
        <w:rPr>
          <w:spacing w:val="41"/>
          <w:w w:val="95"/>
        </w:rPr>
      </w:r>
      <w:r>
        <w:rPr/>
        <w:t>海证券报》、《证券时报》、巨潮网（</w:t>
      </w:r>
      <w:hyperlink r:id="rId13">
        <w:r>
          <w:rPr/>
          <w:t>www.cninfo.com.cn</w:t>
        </w:r>
      </w:hyperlink>
      <w:r>
        <w:rPr/>
        <w:t>）等为公司信息披露的指定报纸和网站，确保</w:t>
      </w:r>
      <w:r>
        <w:rPr>
          <w:w w:val="99"/>
        </w:rPr>
        <w:t> </w:t>
      </w:r>
      <w:r>
        <w:rPr/>
        <w:t>公司所有股东能够以平等的机会获得信息。</w:t>
      </w:r>
    </w:p>
    <w:p>
      <w:pPr>
        <w:pStyle w:val="BodyText"/>
        <w:spacing w:line="273" w:lineRule="auto" w:before="79"/>
        <w:ind w:left="518" w:right="0" w:hanging="406"/>
        <w:jc w:val="left"/>
      </w:pPr>
      <w:r>
        <w:rPr/>
        <w:t>（七）相关利益者</w:t>
      </w:r>
      <w:r>
        <w:rPr>
          <w:w w:val="99"/>
        </w:rPr>
        <w:t> </w:t>
      </w:r>
      <w:r>
        <w:rPr>
          <w:w w:val="95"/>
        </w:rPr>
        <w:t>公司充分尊重利益相关者的合法权利，与利益相关者积极合作，努力实现各利益相关者共赢，共同推</w:t>
      </w:r>
      <w:r>
        <w:rPr/>
      </w:r>
    </w:p>
    <w:p>
      <w:pPr>
        <w:pStyle w:val="BodyText"/>
        <w:spacing w:line="240" w:lineRule="auto"/>
        <w:ind w:right="0"/>
        <w:jc w:val="left"/>
      </w:pPr>
      <w:r>
        <w:rPr/>
        <w:t>动公司持续健康发展。</w:t>
      </w:r>
    </w:p>
    <w:p>
      <w:pPr>
        <w:pStyle w:val="BodyText"/>
        <w:spacing w:line="273" w:lineRule="auto" w:before="37"/>
        <w:ind w:left="412" w:right="106" w:hanging="300"/>
        <w:jc w:val="left"/>
      </w:pPr>
      <w:r>
        <w:rPr/>
        <w:t>（八）公司内部控制建立健全情况</w:t>
      </w:r>
      <w:r>
        <w:rPr>
          <w:w w:val="99"/>
        </w:rPr>
        <w:t> </w:t>
      </w:r>
      <w:r>
        <w:rPr>
          <w:spacing w:val="2"/>
        </w:rPr>
        <w:t>公司严格按照相关法律、法规、规范性文件及相关监管部门的要求，不断完善内控制度及相关流程，</w:t>
      </w:r>
    </w:p>
    <w:p>
      <w:pPr>
        <w:spacing w:after="0" w:line="273" w:lineRule="auto"/>
        <w:jc w:val="left"/>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BodyText"/>
        <w:spacing w:line="240" w:lineRule="auto" w:before="34"/>
        <w:ind w:right="0"/>
        <w:jc w:val="left"/>
      </w:pPr>
      <w:r>
        <w:rPr/>
        <w:t>不断完善公司法人治理结构，提高公司规范运作水平，切实维护股东利益。</w:t>
      </w:r>
    </w:p>
    <w:p>
      <w:pPr>
        <w:spacing w:before="101"/>
        <w:ind w:left="112"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410"/>
        <w:gridCol w:w="1559"/>
        <w:gridCol w:w="2977"/>
        <w:gridCol w:w="2622"/>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二〇一三年年度股东大会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公告 编号：</w:t>
            </w:r>
            <w:r>
              <w:rPr>
                <w:rFonts w:ascii="Times New Roman" w:hAnsi="Times New Roman" w:cs="Times New Roman" w:eastAsia="Times New Roman" w:hint="default"/>
                <w:sz w:val="18"/>
                <w:szCs w:val="18"/>
              </w:rPr>
              <w:t>2014-031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4"/>
        <w:rPr>
          <w:rFonts w:ascii="宋体" w:hAnsi="宋体" w:cs="宋体" w:eastAsia="宋体" w:hint="default"/>
          <w:b/>
          <w:bCs/>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94"/>
        <w:gridCol w:w="1701"/>
        <w:gridCol w:w="3402"/>
        <w:gridCol w:w="1771"/>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0" w:right="70" w:hanging="452"/>
              <w:jc w:val="left"/>
              <w:rPr>
                <w:rFonts w:ascii="宋体" w:hAnsi="宋体" w:cs="宋体" w:eastAsia="宋体" w:hint="default"/>
                <w:sz w:val="18"/>
                <w:szCs w:val="18"/>
              </w:rPr>
            </w:pPr>
            <w:r>
              <w:rPr>
                <w:rFonts w:ascii="宋体" w:hAnsi="宋体" w:cs="宋体" w:eastAsia="宋体" w:hint="default"/>
                <w:sz w:val="18"/>
                <w:szCs w:val="18"/>
              </w:rPr>
              <w:t>会议决议刊登的信息 披露日期</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二〇一四年第一次临时股东大会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公告编号</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2014-010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二〇一四年第二次临时股东大会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公告编号</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2014-055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line="240" w:lineRule="auto" w:before="13"/>
        <w:rPr>
          <w:rFonts w:ascii="宋体" w:hAnsi="宋体" w:cs="宋体" w:eastAsia="宋体" w:hint="default"/>
          <w:b/>
          <w:bCs/>
          <w:sz w:val="17"/>
          <w:szCs w:val="17"/>
        </w:rPr>
      </w:pPr>
    </w:p>
    <w:p>
      <w:pPr>
        <w:pStyle w:val="Heading4"/>
        <w:spacing w:line="240" w:lineRule="auto" w:before="26"/>
        <w:ind w:right="0"/>
        <w:jc w:val="left"/>
        <w:rPr>
          <w:b w:val="0"/>
          <w:bCs w:val="0"/>
        </w:rPr>
      </w:pPr>
      <w:r>
        <w:rPr/>
        <w:pict>
          <v:shape style="position:absolute;margin-left:440.399994pt;margin-top:-83.303879pt;width:94.6pt;height:35.25pt;mso-position-horizontal-relative:page;mso-position-vertical-relative:paragraph;z-index:-625744"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40.399994pt;margin-top:-47.603882pt;width:94.6pt;height:35.450pt;mso-position-horizontal-relative:page;mso-position-vertical-relative:paragraph;z-index:-625720"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46.700012pt;margin-top:-83.303879pt;width:88.3pt;height:71.150pt;mso-position-horizontal-relative:page;mso-position-vertical-relative:paragraph;z-index:-625696" coordorigin="8934,-1666" coordsize="1766,1423">
            <v:group style="position:absolute;left:8934;top:-1666;width:1766;height:709" coordorigin="8934,-1666" coordsize="1766,709">
              <v:shape style="position:absolute;left:8934;top:-1666;width:1766;height:709" coordorigin="8934,-1666" coordsize="1766,709" path="m8934,-1666l10700,-1666,10700,-957,8934,-957,8934,-1666xe" filled="true" fillcolor="#ffffff" stroked="false">
                <v:path arrowok="t"/>
                <v:fill type="solid"/>
              </v:shape>
            </v:group>
            <v:group style="position:absolute;left:8934;top:-952;width:1766;height:709" coordorigin="8934,-952" coordsize="1766,709">
              <v:shape style="position:absolute;left:8934;top:-952;width:1766;height:709" coordorigin="8934,-952" coordsize="1766,709" path="m8934,-952l10700,-952,10700,-243,8934,-243,8934,-952xe" filled="true" fillcolor="#ffffff" stroked="false">
                <v:path arrowok="t"/>
                <v:fill type="solid"/>
              </v:shape>
            </v:group>
            <w10:wrap type="none"/>
          </v:group>
        </w:pict>
      </w:r>
      <w:r>
        <w:rPr/>
        <w:t>三、报告期董事会召开情况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410"/>
        <w:gridCol w:w="1701"/>
        <w:gridCol w:w="2977"/>
        <w:gridCol w:w="2480"/>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第二届董事会第二十三次会议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公告 编号：</w:t>
            </w:r>
            <w:r>
              <w:rPr>
                <w:rFonts w:ascii="Times New Roman" w:hAnsi="Times New Roman" w:cs="Times New Roman" w:eastAsia="Times New Roman" w:hint="default"/>
                <w:sz w:val="18"/>
                <w:szCs w:val="18"/>
              </w:rPr>
              <w:t>2014-001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第三届董事会第一次会议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公告 编号：</w:t>
            </w:r>
            <w:r>
              <w:rPr>
                <w:rFonts w:ascii="Times New Roman" w:hAnsi="Times New Roman" w:cs="Times New Roman" w:eastAsia="Times New Roman" w:hint="default"/>
                <w:sz w:val="18"/>
                <w:szCs w:val="18"/>
              </w:rPr>
              <w:t>2014-011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第三届董事会第二次会议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公告 编号：</w:t>
            </w:r>
            <w:r>
              <w:rPr>
                <w:rFonts w:ascii="Times New Roman" w:hAnsi="Times New Roman" w:cs="Times New Roman" w:eastAsia="Times New Roman" w:hint="default"/>
                <w:sz w:val="18"/>
                <w:szCs w:val="18"/>
              </w:rPr>
              <w:t>2014-014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第三届董事会第三次会议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公告 编号：</w:t>
            </w:r>
            <w:r>
              <w:rPr>
                <w:rFonts w:ascii="Times New Roman" w:hAnsi="Times New Roman" w:cs="Times New Roman" w:eastAsia="Times New Roman" w:hint="default"/>
                <w:sz w:val="18"/>
                <w:szCs w:val="18"/>
              </w:rPr>
              <w:t>2014-019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第三届董事会第四次会议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公告 编号：</w:t>
            </w:r>
            <w:r>
              <w:rPr>
                <w:rFonts w:ascii="Times New Roman" w:hAnsi="Times New Roman" w:cs="Times New Roman" w:eastAsia="Times New Roman" w:hint="default"/>
                <w:sz w:val="18"/>
                <w:szCs w:val="18"/>
              </w:rPr>
              <w:t>2014-021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第三届董事会第五次会议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公告 编号：</w:t>
            </w:r>
            <w:r>
              <w:rPr>
                <w:rFonts w:ascii="Times New Roman" w:hAnsi="Times New Roman" w:cs="Times New Roman" w:eastAsia="Times New Roman" w:hint="default"/>
                <w:sz w:val="18"/>
                <w:szCs w:val="18"/>
              </w:rPr>
              <w:t>2014-034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第三届董事会第六次会议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公告 编号：</w:t>
            </w:r>
            <w:r>
              <w:rPr>
                <w:rFonts w:ascii="Times New Roman" w:hAnsi="Times New Roman" w:cs="Times New Roman" w:eastAsia="Times New Roman" w:hint="default"/>
                <w:sz w:val="18"/>
                <w:szCs w:val="18"/>
              </w:rPr>
              <w:t>2014-037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第三届董事会第七次会议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公告 编号：</w:t>
            </w:r>
            <w:r>
              <w:rPr>
                <w:rFonts w:ascii="Times New Roman" w:hAnsi="Times New Roman" w:cs="Times New Roman" w:eastAsia="Times New Roman" w:hint="default"/>
                <w:sz w:val="18"/>
                <w:szCs w:val="18"/>
              </w:rPr>
              <w:t>2014-045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76" w:footer="978" w:top="1100" w:bottom="1160" w:left="1020" w:right="102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2410"/>
        <w:gridCol w:w="1701"/>
        <w:gridCol w:w="2977"/>
        <w:gridCol w:w="2480"/>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第三届董事会第八次会议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公告 编号：</w:t>
            </w:r>
            <w:r>
              <w:rPr>
                <w:rFonts w:ascii="Times New Roman" w:hAnsi="Times New Roman" w:cs="Times New Roman" w:eastAsia="Times New Roman" w:hint="default"/>
                <w:sz w:val="18"/>
                <w:szCs w:val="18"/>
              </w:rPr>
              <w:t>2014-050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第三届董事会第九次会议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公告 编号：</w:t>
            </w:r>
            <w:r>
              <w:rPr>
                <w:rFonts w:ascii="Times New Roman" w:hAnsi="Times New Roman" w:cs="Times New Roman" w:eastAsia="Times New Roman" w:hint="default"/>
                <w:sz w:val="18"/>
                <w:szCs w:val="18"/>
              </w:rPr>
              <w:t>2014-056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第三届董事会第十次会议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公告 编号：</w:t>
            </w:r>
            <w:r>
              <w:rPr>
                <w:rFonts w:ascii="Times New Roman" w:hAnsi="Times New Roman" w:cs="Times New Roman" w:eastAsia="Times New Roman" w:hint="default"/>
                <w:sz w:val="18"/>
                <w:szCs w:val="18"/>
              </w:rPr>
              <w:t>2014-059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第三届董事会第十一次会议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公告 编号：</w:t>
            </w:r>
            <w:r>
              <w:rPr>
                <w:rFonts w:ascii="Times New Roman" w:hAnsi="Times New Roman" w:cs="Times New Roman" w:eastAsia="Times New Roman" w:hint="default"/>
                <w:sz w:val="18"/>
                <w:szCs w:val="18"/>
              </w:rPr>
              <w:t>2014-063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r>
        <w:rPr/>
        <w:t>四、年度报告重大差错责任追究制度的建立与执行情况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2" w:firstLine="420"/>
        <w:jc w:val="both"/>
      </w:pPr>
      <w:r>
        <w:rPr>
          <w:w w:val="95"/>
        </w:rPr>
        <w:t>为了提高公司的规范运作水平，增强信息披露的真实性、准确性、完整性和及时性，提高年报信息披</w:t>
      </w:r>
      <w:r>
        <w:rPr>
          <w:w w:val="99"/>
        </w:rPr>
        <w:t> </w:t>
      </w:r>
      <w:r>
        <w:rPr>
          <w:w w:val="95"/>
        </w:rPr>
        <w:t>露的质量和透明度，2010年9月6日，公司第一届董事会第十三次会议审议通过了《东方财富信息股份有限</w:t>
      </w:r>
      <w:r>
        <w:rPr>
          <w:spacing w:val="37"/>
          <w:w w:val="95"/>
        </w:rPr>
        <w:t> </w:t>
      </w:r>
      <w:r>
        <w:rPr>
          <w:spacing w:val="37"/>
          <w:w w:val="95"/>
        </w:rPr>
      </w:r>
      <w:r>
        <w:rPr>
          <w:w w:val="95"/>
        </w:rPr>
        <w:t>公司年报信息披露重大差错责任追究制度》，制度明确年报信息披露的相关责任人和问责规定。报告期内</w:t>
      </w:r>
      <w:r>
        <w:rPr>
          <w:spacing w:val="37"/>
          <w:w w:val="95"/>
        </w:rPr>
        <w:t> </w:t>
      </w:r>
      <w:r>
        <w:rPr>
          <w:spacing w:val="37"/>
          <w:w w:val="95"/>
        </w:rPr>
      </w:r>
      <w:r>
        <w:rPr/>
        <w:t>公司，未发生重大会计差错更正、重大遗漏信息补充以及业绩预告、快报修正等情况。</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t>五、监事会工作情况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5"/>
        <w:ind w:left="112" w:right="6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公司监事会对报告期内的监督事项无异议。</w:t>
      </w:r>
    </w:p>
    <w:p>
      <w:pPr>
        <w:spacing w:after="0" w:line="340" w:lineRule="auto"/>
        <w:jc w:val="left"/>
        <w:rPr>
          <w:rFonts w:ascii="宋体" w:hAnsi="宋体" w:cs="宋体" w:eastAsia="宋体" w:hint="default"/>
          <w:sz w:val="18"/>
          <w:szCs w:val="18"/>
        </w:rPr>
        <w:sectPr>
          <w:pgSz w:w="11910" w:h="16840"/>
          <w:pgMar w:header="776"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3713" w:right="3850"/>
        <w:jc w:val="center"/>
        <w:rPr>
          <w:b w:val="0"/>
          <w:bCs w:val="0"/>
        </w:rPr>
      </w:pPr>
      <w:bookmarkStart w:name="_TOC_250001" w:id="9"/>
      <w:r>
        <w:rPr/>
        <w:t>第九节</w:t>
      </w:r>
      <w:r>
        <w:rPr>
          <w:spacing w:val="-7"/>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w:t>
            </w:r>
            <w:r>
              <w:rPr>
                <w:rFonts w:ascii="宋体" w:hAnsi="宋体" w:cs="宋体" w:eastAsia="宋体" w:hint="default"/>
                <w:spacing w:val="1"/>
                <w:sz w:val="18"/>
                <w:szCs w:val="18"/>
              </w:rPr>
              <w:t> </w:t>
            </w:r>
            <w:r>
              <w:rPr>
                <w:rFonts w:ascii="宋体" w:hAnsi="宋体" w:cs="宋体" w:eastAsia="宋体" w:hint="default"/>
                <w:sz w:val="18"/>
                <w:szCs w:val="18"/>
              </w:rPr>
              <w:t>（特殊普通合伙）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110352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653" w:val="left" w:leader="none"/>
              </w:tabs>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姚辉</w:t>
              <w:tab/>
              <w:t>李新民</w:t>
            </w:r>
          </w:p>
        </w:tc>
      </w:tr>
    </w:tbl>
    <w:p>
      <w:pPr>
        <w:spacing w:before="20"/>
        <w:ind w:left="3713" w:right="3848" w:firstLine="0"/>
        <w:jc w:val="center"/>
        <w:rPr>
          <w:rFonts w:ascii="宋体" w:hAnsi="宋体" w:cs="宋体" w:eastAsia="宋体" w:hint="default"/>
          <w:sz w:val="36"/>
          <w:szCs w:val="36"/>
        </w:rPr>
      </w:pPr>
      <w:r>
        <w:rPr>
          <w:rFonts w:ascii="宋体" w:hAnsi="宋体" w:cs="宋体" w:eastAsia="宋体" w:hint="default"/>
          <w:b/>
          <w:bCs/>
          <w:sz w:val="36"/>
          <w:szCs w:val="36"/>
        </w:rPr>
        <w:t>审计报告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1910" w:h="16840"/>
          <w:pgMar w:header="776" w:footer="978" w:top="1100" w:bottom="1160" w:left="1020" w:right="880"/>
        </w:sectPr>
      </w:pPr>
    </w:p>
    <w:p>
      <w:pPr>
        <w:spacing w:line="240" w:lineRule="auto" w:before="2"/>
        <w:rPr>
          <w:rFonts w:ascii="宋体" w:hAnsi="宋体" w:cs="宋体" w:eastAsia="宋体" w:hint="default"/>
          <w:b/>
          <w:bCs/>
          <w:sz w:val="34"/>
          <w:szCs w:val="34"/>
        </w:rPr>
      </w:pPr>
    </w:p>
    <w:p>
      <w:pPr>
        <w:pStyle w:val="Heading2"/>
        <w:spacing w:line="240" w:lineRule="auto"/>
        <w:ind w:right="-3"/>
        <w:jc w:val="left"/>
        <w:rPr>
          <w:b w:val="0"/>
          <w:bCs w:val="0"/>
        </w:rPr>
      </w:pPr>
      <w:r>
        <w:rPr>
          <w:spacing w:val="-1"/>
        </w:rPr>
        <w:t>东方财富信息股份有限公司全体股东：</w:t>
      </w:r>
      <w:r>
        <w:rPr>
          <w:b w:val="0"/>
          <w:bCs w:val="0"/>
          <w:spacing w:val="-1"/>
        </w:rPr>
      </w:r>
    </w:p>
    <w:p>
      <w:pPr>
        <w:pStyle w:val="BodyText"/>
        <w:spacing w:line="240" w:lineRule="auto" w:before="34"/>
        <w:ind w:right="0"/>
        <w:jc w:val="left"/>
      </w:pPr>
      <w:r>
        <w:rPr/>
        <w:br w:type="column"/>
      </w:r>
      <w:r>
        <w:rPr/>
        <w:t>信会师报字[2015]第110352号</w:t>
      </w:r>
    </w:p>
    <w:p>
      <w:pPr>
        <w:spacing w:after="0" w:line="240" w:lineRule="auto"/>
        <w:jc w:val="left"/>
        <w:sectPr>
          <w:type w:val="continuous"/>
          <w:pgSz w:w="11910" w:h="16840"/>
          <w:pgMar w:top="880" w:bottom="280" w:left="1020" w:right="880"/>
          <w:cols w:num="2" w:equalWidth="0">
            <w:col w:w="4892" w:space="2018"/>
            <w:col w:w="3100"/>
          </w:cols>
        </w:sectPr>
      </w:pPr>
    </w:p>
    <w:p>
      <w:pPr>
        <w:spacing w:line="240" w:lineRule="auto" w:before="8"/>
        <w:rPr>
          <w:rFonts w:ascii="宋体" w:hAnsi="宋体" w:cs="宋体" w:eastAsia="宋体" w:hint="default"/>
          <w:sz w:val="18"/>
          <w:szCs w:val="18"/>
        </w:rPr>
      </w:pPr>
    </w:p>
    <w:p>
      <w:pPr>
        <w:pStyle w:val="Heading3"/>
        <w:spacing w:line="400" w:lineRule="auto" w:before="14"/>
        <w:ind w:right="250" w:firstLine="561"/>
        <w:jc w:val="both"/>
      </w:pPr>
      <w:r>
        <w:rPr>
          <w:spacing w:val="2"/>
        </w:rPr>
        <w:t>我们审计了后附的东方财富信息股份有限公司（以下简称贵公司）财务报</w:t>
      </w:r>
      <w:r>
        <w:rPr>
          <w:w w:val="100"/>
        </w:rPr>
        <w:t> </w:t>
      </w:r>
      <w:r>
        <w:rPr/>
        <w:t>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2014</w:t>
      </w:r>
      <w:r>
        <w:rPr/>
        <w:t>年度的合并及公司利</w:t>
      </w:r>
      <w:r>
        <w:rPr>
          <w:spacing w:val="-35"/>
        </w:rPr>
        <w:t> </w:t>
      </w:r>
      <w:r>
        <w:rPr>
          <w:spacing w:val="-35"/>
        </w:rPr>
      </w:r>
      <w:r>
        <w:rPr>
          <w:spacing w:val="2"/>
        </w:rPr>
        <w:t>润表、合并及公司现金流量表、合并及公司所有者权益变动表以及财务报表附</w:t>
      </w:r>
      <w:r>
        <w:rPr>
          <w:spacing w:val="-99"/>
        </w:rPr>
        <w:t> </w:t>
      </w:r>
      <w:r>
        <w:rPr>
          <w:spacing w:val="-99"/>
        </w:rPr>
      </w:r>
      <w:r>
        <w:rPr/>
        <w:t>注。</w:t>
      </w:r>
    </w:p>
    <w:p>
      <w:pPr>
        <w:spacing w:line="408" w:lineRule="auto" w:before="226"/>
        <w:ind w:left="674" w:right="0" w:firstLine="158"/>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pacing w:val="-3"/>
          <w:sz w:val="28"/>
          <w:szCs w:val="28"/>
        </w:rPr>
        <w:t>编制和公允列报财务报表是贵公司管理层的责任。这种责任包括：（</w:t>
      </w:r>
      <w:r>
        <w:rPr>
          <w:rFonts w:ascii="Times New Roman" w:hAnsi="Times New Roman" w:cs="Times New Roman" w:eastAsia="Times New Roman" w:hint="default"/>
          <w:spacing w:val="-3"/>
          <w:sz w:val="28"/>
          <w:szCs w:val="28"/>
        </w:rPr>
        <w:t>1</w:t>
      </w:r>
      <w:r>
        <w:rPr>
          <w:rFonts w:ascii="宋体" w:hAnsi="宋体" w:cs="宋体" w:eastAsia="宋体" w:hint="default"/>
          <w:spacing w:val="-3"/>
          <w:sz w:val="28"/>
          <w:szCs w:val="28"/>
        </w:rPr>
        <w:t>）按</w:t>
      </w:r>
    </w:p>
    <w:p>
      <w:pPr>
        <w:pStyle w:val="Heading3"/>
        <w:spacing w:line="386" w:lineRule="auto" w:before="19"/>
        <w:ind w:right="0"/>
        <w:jc w:val="left"/>
      </w:pPr>
      <w:r>
        <w:rPr>
          <w:spacing w:val="-3"/>
        </w:rPr>
        <w:t>照企业会计准则的规定编制财务报表，并使其实现公允反映；（</w:t>
      </w:r>
      <w:r>
        <w:rPr>
          <w:rFonts w:ascii="Times New Roman" w:hAnsi="Times New Roman" w:cs="Times New Roman" w:eastAsia="Times New Roman" w:hint="default"/>
          <w:spacing w:val="-3"/>
        </w:rPr>
        <w:t>2</w:t>
      </w:r>
      <w:r>
        <w:rPr>
          <w:spacing w:val="-3"/>
        </w:rPr>
        <w:t>）设计、执行</w:t>
      </w:r>
      <w:r>
        <w:rPr>
          <w:spacing w:val="-73"/>
        </w:rPr>
        <w:t> </w:t>
      </w:r>
      <w:r>
        <w:rPr>
          <w:spacing w:val="-73"/>
        </w:rPr>
      </w:r>
      <w:r>
        <w:rPr>
          <w:spacing w:val="-3"/>
        </w:rPr>
        <w:t>和维护必要的内部控制，以使财务报表不存在由于舞弊或错误导致的重大错报。</w:t>
      </w:r>
    </w:p>
    <w:p>
      <w:pPr>
        <w:spacing w:line="408" w:lineRule="auto" w:before="242"/>
        <w:ind w:left="674" w:right="0" w:firstLine="158"/>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w w:val="99"/>
          <w:sz w:val="28"/>
          <w:szCs w:val="28"/>
        </w:rPr>
        <w:t> </w:t>
      </w:r>
      <w:r>
        <w:rPr>
          <w:rFonts w:ascii="宋体" w:hAnsi="宋体" w:cs="宋体" w:eastAsia="宋体" w:hint="default"/>
          <w:spacing w:val="2"/>
          <w:sz w:val="28"/>
          <w:szCs w:val="28"/>
        </w:rPr>
        <w:t>我们的责任是在执行审计工作的基础上对财务报表发表审计意见。我们按</w:t>
      </w:r>
    </w:p>
    <w:p>
      <w:pPr>
        <w:pStyle w:val="Heading3"/>
        <w:spacing w:line="408" w:lineRule="auto"/>
        <w:ind w:right="0"/>
        <w:jc w:val="left"/>
      </w:pPr>
      <w:r>
        <w:rPr>
          <w:spacing w:val="2"/>
        </w:rPr>
        <w:t>照中国注册会计师审计准则的规定执行了审计工作。中国注册会计师审计准则</w:t>
      </w:r>
      <w:r>
        <w:rPr>
          <w:spacing w:val="-99"/>
        </w:rPr>
        <w:t> </w:t>
      </w:r>
      <w:r>
        <w:rPr>
          <w:spacing w:val="-99"/>
        </w:rPr>
      </w:r>
      <w:r>
        <w:rPr>
          <w:spacing w:val="2"/>
        </w:rPr>
        <w:t>要求我们遵守中国注册会计师职业道德守则，计划和执行审计工作以对财务报</w:t>
      </w:r>
    </w:p>
    <w:p>
      <w:pPr>
        <w:spacing w:after="0" w:line="408" w:lineRule="auto"/>
        <w:jc w:val="left"/>
        <w:sectPr>
          <w:type w:val="continuous"/>
          <w:pgSz w:w="11910" w:h="16840"/>
          <w:pgMar w:top="880" w:bottom="280" w:left="1020" w:right="880"/>
        </w:sectPr>
      </w:pPr>
    </w:p>
    <w:p>
      <w:pPr>
        <w:spacing w:line="240" w:lineRule="auto" w:before="0"/>
        <w:rPr>
          <w:rFonts w:ascii="宋体" w:hAnsi="宋体" w:cs="宋体" w:eastAsia="宋体" w:hint="default"/>
          <w:sz w:val="20"/>
          <w:szCs w:val="20"/>
        </w:rPr>
      </w:pPr>
    </w:p>
    <w:p>
      <w:pPr>
        <w:pStyle w:val="Heading3"/>
        <w:spacing w:line="408" w:lineRule="auto" w:before="146"/>
        <w:ind w:left="674" w:right="0" w:hanging="562"/>
        <w:jc w:val="left"/>
      </w:pPr>
      <w:r>
        <w:rPr/>
        <w:t>表是否不存在重大错报获取合理保证。</w:t>
      </w:r>
      <w:r>
        <w:rPr>
          <w:w w:val="100"/>
        </w:rPr>
        <w:t> </w:t>
      </w:r>
      <w:r>
        <w:rPr>
          <w:spacing w:val="-3"/>
        </w:rPr>
        <w:t>审计工作涉及实施审计程序，以获取有关财务报表金额和披露的审计证据。</w:t>
      </w:r>
    </w:p>
    <w:p>
      <w:pPr>
        <w:pStyle w:val="Heading3"/>
        <w:spacing w:line="408" w:lineRule="auto"/>
        <w:ind w:right="254"/>
        <w:jc w:val="both"/>
      </w:pPr>
      <w:r>
        <w:rPr>
          <w:spacing w:val="2"/>
        </w:rPr>
        <w:t>选择的审计程序取决于注册会计师的判断，包括对由于舞弊或错误导致的财务</w:t>
      </w:r>
      <w:r>
        <w:rPr>
          <w:spacing w:val="-99"/>
        </w:rPr>
        <w:t> </w:t>
      </w:r>
      <w:r>
        <w:rPr>
          <w:spacing w:val="-99"/>
        </w:rPr>
      </w:r>
      <w:r>
        <w:rPr>
          <w:spacing w:val="2"/>
        </w:rPr>
        <w:t>报表重大错报风险的评估。在进行风险评估时，注册会计师考虑与财务报表编</w:t>
      </w:r>
      <w:r>
        <w:rPr>
          <w:spacing w:val="-99"/>
        </w:rPr>
        <w:t> </w:t>
      </w:r>
      <w:r>
        <w:rPr>
          <w:spacing w:val="-99"/>
        </w:rPr>
      </w:r>
      <w:r>
        <w:rPr>
          <w:spacing w:val="2"/>
        </w:rPr>
        <w:t>制和公允列报相关的内部控制，以设计恰当的审计程序，但目的并非对内部控</w:t>
      </w:r>
      <w:r>
        <w:rPr>
          <w:spacing w:val="-99"/>
        </w:rPr>
        <w:t> </w:t>
      </w:r>
      <w:r>
        <w:rPr>
          <w:spacing w:val="-99"/>
        </w:rPr>
      </w:r>
      <w:r>
        <w:rPr>
          <w:spacing w:val="2"/>
        </w:rPr>
        <w:t>制的有效性发表意见。审计工作还包括评价管理层选用会计政策的恰当性和作</w:t>
      </w:r>
      <w:r>
        <w:rPr>
          <w:spacing w:val="-99"/>
        </w:rPr>
        <w:t> </w:t>
      </w:r>
      <w:r>
        <w:rPr>
          <w:spacing w:val="-99"/>
        </w:rPr>
      </w:r>
      <w:r>
        <w:rPr/>
        <w:t>出会计估计的合理性，以及评价财务报表的总体列报。</w:t>
      </w:r>
    </w:p>
    <w:p>
      <w:pPr>
        <w:pStyle w:val="Heading3"/>
        <w:spacing w:line="408" w:lineRule="auto"/>
        <w:ind w:right="0" w:firstLine="561"/>
        <w:jc w:val="left"/>
      </w:pPr>
      <w:r>
        <w:rPr>
          <w:spacing w:val="2"/>
        </w:rPr>
        <w:t>我们相信，我们获取的审计证据是充分、适当的，为发表审计意见提供了</w:t>
      </w:r>
      <w:r>
        <w:rPr>
          <w:w w:val="100"/>
        </w:rPr>
        <w:t> </w:t>
      </w:r>
      <w:r>
        <w:rPr/>
        <w:t>基础。</w:t>
      </w:r>
    </w:p>
    <w:p>
      <w:pPr>
        <w:pStyle w:val="Heading3"/>
        <w:spacing w:line="408" w:lineRule="auto" w:before="217"/>
        <w:ind w:left="674" w:right="0" w:firstLine="158"/>
        <w:jc w:val="left"/>
      </w:pPr>
      <w:r>
        <w:rPr>
          <w:rFonts w:ascii="宋体" w:hAnsi="宋体" w:cs="宋体" w:eastAsia="宋体" w:hint="default"/>
          <w:b/>
          <w:bCs/>
        </w:rPr>
        <w:t>三、审计意见</w:t>
      </w:r>
      <w:r>
        <w:rPr>
          <w:rFonts w:ascii="宋体" w:hAnsi="宋体" w:cs="宋体" w:eastAsia="宋体" w:hint="default"/>
          <w:b/>
          <w:bCs/>
          <w:w w:val="99"/>
        </w:rPr>
        <w:t> </w:t>
      </w:r>
      <w:r>
        <w:rPr>
          <w:spacing w:val="-3"/>
        </w:rPr>
        <w:t>我们认为，贵公司财务报表在所有重大方面按照企业会计准则的规定编制，</w:t>
      </w:r>
    </w:p>
    <w:p>
      <w:pPr>
        <w:pStyle w:val="Heading3"/>
        <w:spacing w:line="386" w:lineRule="auto"/>
        <w:ind w:right="252"/>
        <w:jc w:val="both"/>
      </w:pPr>
      <w:r>
        <w:rPr/>
        <w:t>公允反映了贵公司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2014</w:t>
      </w:r>
      <w:r>
        <w:rPr/>
        <w:t>年度的合并</w:t>
      </w:r>
      <w:r>
        <w:rPr>
          <w:spacing w:val="-36"/>
        </w:rPr>
        <w:t> </w:t>
      </w:r>
      <w:r>
        <w:rPr>
          <w:spacing w:val="-36"/>
        </w:rPr>
      </w:r>
      <w:r>
        <w:rPr/>
        <w:t>及公司经营成果和现金流量。</w:t>
      </w: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26"/>
          <w:szCs w:val="26"/>
        </w:rPr>
      </w:pPr>
    </w:p>
    <w:p>
      <w:pPr>
        <w:pStyle w:val="Heading2"/>
        <w:tabs>
          <w:tab w:pos="6273" w:val="left" w:leader="none"/>
        </w:tabs>
        <w:spacing w:line="240" w:lineRule="auto"/>
        <w:ind w:right="0"/>
        <w:jc w:val="both"/>
        <w:rPr>
          <w:b w:val="0"/>
          <w:bCs w:val="0"/>
        </w:rPr>
      </w:pPr>
      <w:r>
        <w:rPr>
          <w:spacing w:val="-1"/>
        </w:rPr>
        <w:t>立信会计师事务所</w:t>
        <w:tab/>
        <w:t>中国注册会计师：姚辉</w:t>
      </w:r>
      <w:r>
        <w:rPr>
          <w:b w:val="0"/>
          <w:bCs w:val="0"/>
          <w:spacing w:val="-1"/>
        </w:rPr>
      </w:r>
    </w:p>
    <w:p>
      <w:pPr>
        <w:spacing w:line="240" w:lineRule="auto" w:before="9"/>
        <w:rPr>
          <w:rFonts w:ascii="宋体" w:hAnsi="宋体" w:cs="宋体" w:eastAsia="宋体" w:hint="default"/>
          <w:b/>
          <w:bCs/>
          <w:sz w:val="19"/>
          <w:szCs w:val="19"/>
        </w:rPr>
      </w:pPr>
    </w:p>
    <w:p>
      <w:pPr>
        <w:pStyle w:val="Heading2"/>
        <w:spacing w:line="240" w:lineRule="auto"/>
        <w:ind w:right="0"/>
        <w:jc w:val="both"/>
        <w:rPr>
          <w:b w:val="0"/>
          <w:bCs w:val="0"/>
        </w:rPr>
      </w:pPr>
      <w:r>
        <w:rPr/>
        <w:t>（特殊普通合伙）</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left="6273" w:right="0"/>
        <w:jc w:val="left"/>
        <w:rPr>
          <w:b w:val="0"/>
          <w:bCs w:val="0"/>
        </w:rPr>
      </w:pPr>
      <w:r>
        <w:rPr/>
        <w:t>中国注册会计师：李新民</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2"/>
        <w:spacing w:line="240" w:lineRule="auto"/>
        <w:ind w:left="5438" w:right="0"/>
        <w:jc w:val="left"/>
        <w:rPr>
          <w:b w:val="0"/>
          <w:bCs w:val="0"/>
        </w:rPr>
      </w:pPr>
      <w:r>
        <w:rPr/>
        <w:t>中国</w:t>
      </w:r>
      <w:r>
        <w:rPr>
          <w:rFonts w:ascii="Times New Roman" w:hAnsi="Times New Roman" w:cs="Times New Roman" w:eastAsia="Times New Roman" w:hint="default"/>
        </w:rPr>
        <w:t>·</w:t>
      </w:r>
      <w:r>
        <w:rPr/>
        <w:t>上海</w:t>
      </w:r>
      <w:r>
        <w:rPr>
          <w:spacing w:val="-14"/>
        </w:rPr>
        <w:t> </w:t>
      </w:r>
      <w:r>
        <w:rPr/>
        <w:t>二〇一五年二月十二日</w:t>
      </w:r>
      <w:r>
        <w:rPr>
          <w:b w:val="0"/>
          <w:bCs w:val="0"/>
        </w:rPr>
      </w:r>
    </w:p>
    <w:p>
      <w:pPr>
        <w:spacing w:after="0" w:line="240" w:lineRule="auto"/>
        <w:jc w:val="left"/>
        <w:sectPr>
          <w:footerReference w:type="default" r:id="rId29"/>
          <w:pgSz w:w="11910" w:h="16840"/>
          <w:pgMar w:footer="978" w:header="776" w:top="1100" w:bottom="1160" w:left="1020" w:right="880"/>
          <w:pgNumType w:start="50"/>
        </w:sectPr>
      </w:pPr>
    </w:p>
    <w:p>
      <w:pPr>
        <w:spacing w:line="240" w:lineRule="auto" w:before="10"/>
        <w:rPr>
          <w:rFonts w:ascii="宋体" w:hAnsi="宋体" w:cs="宋体" w:eastAsia="宋体" w:hint="default"/>
          <w:b/>
          <w:bCs/>
          <w:sz w:val="19"/>
          <w:szCs w:val="19"/>
        </w:rPr>
      </w:pPr>
    </w:p>
    <w:p>
      <w:pPr>
        <w:pStyle w:val="Heading4"/>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76" w:footer="978" w:top="1100" w:bottom="1160" w:left="1020" w:right="102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编制单位：东方财富信息股份有限公司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1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880" w:bottom="280" w:left="1020" w:right="1020"/>
          <w:cols w:num="3" w:equalWidth="0">
            <w:col w:w="3173" w:space="904"/>
            <w:col w:w="1599" w:space="3242"/>
            <w:col w:w="9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4,028,492,765.76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1,746,259,555.95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5,705,945.07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130,656.22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103,973,294.49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49,190,109.27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20,582,565.24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7,809,903.97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14,370,767.27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15,988,578.68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1,556,989,021.19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209,371,845.25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220,295,702.13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5,950,410,061.15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2,228,750,649.34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880" w:bottom="28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48,481,119.22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51,847,286.09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130,497,913.04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133,690,035.63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4,731,868.08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4,731,868.08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11,361,946.48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12,803,959.79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9,091,090.87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958,598.47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232,363,937.69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204,031,748.06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6,182,773,998.84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2,432,782,397.40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52"/>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51,004,796.57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29,715,054.46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137,252,963.04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97,472,800.37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2"/>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11,011,867.40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6,829,098.00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46,779,816.70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4,480,967.65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6"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859,097.97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675,121.07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4,051,570,322.77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598,874,803.34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4,298,478,864.45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738,047,844.89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4,587,666.67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5,560,000.00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4,587,666.67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5,560,000.00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4,303,066,531.12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743,607,844.89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1,209,600,000.00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672,000,000.00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292,695,462.76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791,982,903.84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2,528.00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58,056,660.66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40,684,059.60</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6"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319,352,816.30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184,441,595.79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1,879,707,467.72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1,689,108,559.23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65,993.28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1,879,707,467.72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1,689,174,552.51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6,182,773,998.84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2,432,782,397.40</w:t>
            </w:r>
          </w:p>
        </w:tc>
      </w:tr>
    </w:tbl>
    <w:p>
      <w:pPr>
        <w:spacing w:line="240" w:lineRule="auto" w:before="1"/>
        <w:rPr>
          <w:rFonts w:ascii="Times New Roman" w:hAnsi="Times New Roman" w:cs="Times New Roman" w:eastAsia="Times New Roman" w:hint="default"/>
          <w:sz w:val="23"/>
          <w:szCs w:val="23"/>
        </w:rPr>
      </w:pPr>
    </w:p>
    <w:p>
      <w:pPr>
        <w:tabs>
          <w:tab w:pos="3511" w:val="left" w:leader="none"/>
          <w:tab w:pos="7739" w:val="left" w:leader="none"/>
        </w:tabs>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法定代表人：其实</w:t>
        <w:tab/>
        <w:t>主管会计工作负责人：陆威</w:t>
        <w:tab/>
        <w:t>会计机构负责人：叶露</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852,565,500.55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889,489,837.12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357,583,672.63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53,954,348.74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17,415,882.52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5,938,574.29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14,290,100.59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14,675,316.13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513,729,962.81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249,949,072.38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295,702.13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1,755,880,821.23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1,414,007,148.66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412,951,933.55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365,502,000.00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46,652,533.95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49,720,981.46</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6"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1,948,728.75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1,576,170.44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8,125,610.65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8,671,712.91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7,785,770.31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958,598.47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477,464,577.21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426,429,463.28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2,233,345,398.44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1,840,436,611.94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24,445,875.39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26,783,861.31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35,582,357.93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32,137,644.59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4,711,666.80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3,644,904.00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38,020,620.32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4,307,670.25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216,594,414.47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57,198,304.46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319,354,934.91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124,072,384.61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6"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4,587,666.67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5,560,000.00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4,587,666.67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5,560,000.00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323,942,601.58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129,632,384.61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1,209,600,000.00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672,000,000.00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293,737,066.55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793,024,507.63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58,056,660.66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40,684,059.60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348,009,069.65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205,095,660.10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1,909,402,796.86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1,710,804,227.33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2,233,345,398.44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1,840,436,611.94</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4"/>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969"/>
        <w:gridCol w:w="2835"/>
        <w:gridCol w:w="2764"/>
      </w:tblGrid>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612,007,004.55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248,474,867.84</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612,007,004.55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248,474,867.84</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418,120,619.89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251,861,240.19</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148,569,133.68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89,735,083.82</w:t>
            </w:r>
          </w:p>
        </w:tc>
      </w:tr>
      <w:tr>
        <w:trPr>
          <w:trHeight w:val="400"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6"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3969"/>
        <w:gridCol w:w="2835"/>
        <w:gridCol w:w="2764"/>
      </w:tblGrid>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23,815,725.77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6,273,698.37</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115,249,744.46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110,894,625.98</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183,892,483.26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84,464,034.61</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-59,693,215.78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-41,863,667.30</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6,286,748.50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2,357,464.71</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193,886,384.66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-3,386,372.35</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4,880,225.76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8,915,082.23</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1,508.46</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1,512,810.02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551,868.61</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20,510.02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41,868.61</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197,253,800.40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4,976,841.27</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31,584,938.56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-20,889.96</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165,668,861.84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4,997,731.23</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165,723,821.57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5,001,337.41</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-54,959.73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-3,606.18</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2,528.00</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2,528.00</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（一）以后不能重分类进损益的其他综合收益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20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 资产的变动</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 进损益的其他综合收益中享有的份额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2,528.00</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 类进损益的其他综合收益中享有的份额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6"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3969"/>
        <w:gridCol w:w="2835"/>
        <w:gridCol w:w="2764"/>
      </w:tblGrid>
      <w:tr>
        <w:trPr>
          <w:trHeight w:val="714"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 金融资产损益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2,528.00</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165,671,389.84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4,997,731.23</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165,726,349.57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5,001,337.41</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-54,959.73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-3,606.18</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0.1370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0.0041</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0.1370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0.0041</w:t>
            </w:r>
          </w:p>
        </w:tc>
      </w:tr>
    </w:tbl>
    <w:p>
      <w:pPr>
        <w:spacing w:line="240" w:lineRule="auto" w:before="3"/>
        <w:rPr>
          <w:rFonts w:ascii="Times New Roman" w:hAnsi="Times New Roman" w:cs="Times New Roman" w:eastAsia="Times New Roman" w:hint="default"/>
          <w:sz w:val="23"/>
          <w:szCs w:val="23"/>
        </w:rPr>
      </w:pPr>
    </w:p>
    <w:p>
      <w:pPr>
        <w:tabs>
          <w:tab w:pos="3511" w:val="left" w:leader="none"/>
          <w:tab w:pos="7739" w:val="left" w:leader="none"/>
        </w:tabs>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法定代表人：其实</w:t>
        <w:tab/>
        <w:t>主管会计工作负责人：陆威</w:t>
        <w:tab/>
        <w:t>会计机构负责人：叶露</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969"/>
        <w:gridCol w:w="2835"/>
        <w:gridCol w:w="2764"/>
      </w:tblGrid>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456,877,360.39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202,346,954.46</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97,880,512.59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97,809,540.29</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1,803,601.64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1,849,240.11</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50,766,941.00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62,012,568.61</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148,113,270.64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60,780,136.02</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-37,834,427.91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-35,984,046.99</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3,125,018.88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1,144,440.18</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6,979,238.54</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200,001,682.09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14,735,076.24</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3,704,042.76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5,466,012.23</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1,508.46</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1,496,448.60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491,868.61</w:t>
            </w:r>
          </w:p>
        </w:tc>
      </w:tr>
      <w:tr>
        <w:trPr>
          <w:trHeight w:val="400"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4,148.60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41,868.61</w:t>
            </w:r>
          </w:p>
        </w:tc>
      </w:tr>
    </w:tbl>
    <w:p>
      <w:pPr>
        <w:spacing w:after="0" w:line="240" w:lineRule="auto"/>
        <w:jc w:val="right"/>
        <w:rPr>
          <w:rFonts w:ascii="Times New Roman" w:hAnsi="Times New Roman" w:cs="Times New Roman" w:eastAsia="Times New Roman" w:hint="default"/>
          <w:sz w:val="18"/>
          <w:szCs w:val="18"/>
        </w:rPr>
        <w:sectPr>
          <w:pgSz w:w="11910" w:h="16840"/>
          <w:pgMar w:header="776"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969"/>
        <w:gridCol w:w="2835"/>
        <w:gridCol w:w="2764"/>
      </w:tblGrid>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202,209,276.25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19,709,219.86</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28,483,265.64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-3,823.27</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173,726,010.61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19,713,043.13</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61" w:right="0"/>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（一）以后不能重分类进损益的其他综合收益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 资产的变动</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20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 进损益的其他综合收益中享有的份额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20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 类进损益的其他综合收益中享有的份额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20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 金融资产损益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173,726,010.61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19,713,043.13</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659,323,319.98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285,465,785.20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6"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2,158,150,889.14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541,606,563.00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1,547,018.65</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67,236,825.67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59,242,510.19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2,886,258,053.44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886,314,858.39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167,857,181.74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68,421,224.58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164,709,628.50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115,401,461.30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58,216,122.78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11,664,077.92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132,557,495.74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214,750,550.33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523,340,428.76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410,237,314.13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2,362,917,624.68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476,077,544.26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200,002,000.00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12,935,116.83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26,668,362.22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88,211,033.55</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0"/>
          <w:pgSz w:w="11910" w:h="16840"/>
          <w:pgMar w:footer="978" w:header="776" w:top="1100" w:bottom="1160" w:left="1020" w:right="1020"/>
          <w:pgNumType w:start="6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261,146,150.38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226,668,362.22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-61,144,150.38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-226,658,462.22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23,345.88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57,117.59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13,463,345.88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33,657,117.59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-13,223,345.88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-29,897,117.59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-741,629.76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-3,016.00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2,287,808,498.66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219,518,948.45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1,746,390,212.17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1,526,871,263.72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4,034,198,710.83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1,746,390,212.17</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5"/>
        <w:spacing w:line="240" w:lineRule="auto" w:before="180"/>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183,486,990.72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165,908,574.18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1,547,018.65</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214,180,574.57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107,664,251.26</w:t>
            </w:r>
          </w:p>
        </w:tc>
      </w:tr>
    </w:tbl>
    <w:p>
      <w:pPr>
        <w:spacing w:after="0" w:line="240" w:lineRule="auto"/>
        <w:jc w:val="right"/>
        <w:rPr>
          <w:rFonts w:ascii="Times New Roman" w:hAnsi="Times New Roman" w:cs="Times New Roman" w:eastAsia="Times New Roman" w:hint="default"/>
          <w:sz w:val="18"/>
          <w:szCs w:val="18"/>
        </w:rPr>
        <w:sectPr>
          <w:pgSz w:w="11910" w:h="16840"/>
          <w:pgMar w:header="776"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399,214,583.94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273,572,825.44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112,009,294.52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76,413,540.11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90,266,647.78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68,910,967.29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28,943,269.02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3,739,199.91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338,104,944.78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292,065,615.97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569,324,156.10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441,129,323.28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-170,109,572.16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-167,556,497.84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7,829,238.54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210,331,238.54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12,378,565.76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21,124,448.39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50,799,933.55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63,178,499.31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271,124,448.39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147,152,739.23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-271,114,548.39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23,345.88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57,117.59</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13,463,345.88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33,657,117.59</w:t>
            </w:r>
          </w:p>
        </w:tc>
      </w:tr>
    </w:tbl>
    <w:p>
      <w:pPr>
        <w:spacing w:after="0" w:line="240" w:lineRule="auto"/>
        <w:jc w:val="right"/>
        <w:rPr>
          <w:rFonts w:ascii="Times New Roman" w:hAnsi="Times New Roman" w:cs="Times New Roman" w:eastAsia="Times New Roman" w:hint="default"/>
          <w:sz w:val="18"/>
          <w:szCs w:val="18"/>
        </w:rPr>
        <w:sectPr>
          <w:pgSz w:w="11910" w:h="16840"/>
          <w:pgMar w:header="776"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4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-13,223,345.88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-29,897,117.59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-744,157.76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-3,016.00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-36,924,336.57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-468,571,179.82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889,489,837.12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1,358,061,016.94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852,565,500.55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889,489,837.12</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5"/>
        <w:spacing w:line="240" w:lineRule="auto" w:before="180"/>
        <w:ind w:left="412"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4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4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211"/>
        <w:gridCol w:w="937"/>
        <w:gridCol w:w="531"/>
        <w:gridCol w:w="531"/>
        <w:gridCol w:w="531"/>
        <w:gridCol w:w="740"/>
        <w:gridCol w:w="665"/>
        <w:gridCol w:w="741"/>
        <w:gridCol w:w="665"/>
        <w:gridCol w:w="664"/>
        <w:gridCol w:w="665"/>
        <w:gridCol w:w="665"/>
        <w:gridCol w:w="893"/>
        <w:gridCol w:w="811"/>
      </w:tblGrid>
      <w:tr>
        <w:trPr>
          <w:trHeight w:val="402" w:hRule="exact"/>
        </w:trPr>
        <w:tc>
          <w:tcPr>
            <w:tcW w:w="12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039"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211" w:type="dxa"/>
            <w:vMerge/>
            <w:tcBorders>
              <w:left w:val="single" w:sz="4" w:space="0" w:color="000000"/>
              <w:right w:val="single" w:sz="4" w:space="0" w:color="000000"/>
            </w:tcBorders>
            <w:shd w:val="clear" w:color="auto" w:fill="D3D3D3"/>
          </w:tcPr>
          <w:p>
            <w:pPr/>
          </w:p>
        </w:tc>
        <w:tc>
          <w:tcPr>
            <w:tcW w:w="7335"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261" w:right="79"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29" w:right="3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211" w:type="dxa"/>
            <w:vMerge/>
            <w:tcBorders>
              <w:left w:val="single" w:sz="4" w:space="0" w:color="000000"/>
              <w:right w:val="single" w:sz="4" w:space="0" w:color="000000"/>
            </w:tcBorders>
            <w:shd w:val="clear" w:color="auto" w:fill="D3D3D3"/>
          </w:tcPr>
          <w:p>
            <w:pPr/>
          </w:p>
        </w:tc>
        <w:tc>
          <w:tcPr>
            <w:tcW w:w="9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74" w:right="94"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56"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95" w:right="93"/>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4"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55"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893" w:type="dxa"/>
            <w:vMerge/>
            <w:tcBorders>
              <w:left w:val="single" w:sz="4" w:space="0" w:color="000000"/>
              <w:right w:val="single" w:sz="4" w:space="0" w:color="000000"/>
            </w:tcBorders>
            <w:shd w:val="clear" w:color="auto" w:fill="D3D3D3"/>
          </w:tcPr>
          <w:p>
            <w:pPr/>
          </w:p>
        </w:tc>
        <w:tc>
          <w:tcPr>
            <w:tcW w:w="811" w:type="dxa"/>
            <w:vMerge/>
            <w:tcBorders>
              <w:left w:val="single" w:sz="4" w:space="0" w:color="000000"/>
              <w:right w:val="single" w:sz="4" w:space="0" w:color="000000"/>
            </w:tcBorders>
            <w:shd w:val="clear" w:color="auto" w:fill="D3D3D3"/>
          </w:tcPr>
          <w:p>
            <w:pPr/>
          </w:p>
        </w:tc>
      </w:tr>
      <w:tr>
        <w:trPr>
          <w:trHeight w:val="714" w:hRule="exact"/>
        </w:trPr>
        <w:tc>
          <w:tcPr>
            <w:tcW w:w="1211" w:type="dxa"/>
            <w:vMerge/>
            <w:tcBorders>
              <w:left w:val="single" w:sz="4" w:space="0" w:color="000000"/>
              <w:bottom w:val="single" w:sz="4" w:space="0" w:color="000000"/>
              <w:right w:val="single" w:sz="4" w:space="0" w:color="000000"/>
            </w:tcBorders>
            <w:shd w:val="clear" w:color="auto" w:fill="D3D3D3"/>
          </w:tcPr>
          <w:p>
            <w:pPr/>
          </w:p>
        </w:tc>
        <w:tc>
          <w:tcPr>
            <w:tcW w:w="937" w:type="dxa"/>
            <w:vMerge/>
            <w:tcBorders>
              <w:left w:val="single" w:sz="4" w:space="0" w:color="000000"/>
              <w:bottom w:val="single" w:sz="4" w:space="0" w:color="000000"/>
              <w:right w:val="single" w:sz="4" w:space="0" w:color="000000"/>
            </w:tcBorders>
            <w:shd w:val="clear" w:color="auto" w:fill="D3D3D3"/>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0" w:right="80"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9" w:right="7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0"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41"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c>
          <w:tcPr>
            <w:tcW w:w="81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95"/>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4" w:right="0"/>
              <w:jc w:val="left"/>
              <w:rPr>
                <w:rFonts w:ascii="Times New Roman" w:hAnsi="Times New Roman" w:cs="Times New Roman" w:eastAsia="Times New Roman" w:hint="default"/>
                <w:sz w:val="18"/>
                <w:szCs w:val="18"/>
              </w:rPr>
            </w:pPr>
            <w:r>
              <w:rPr>
                <w:rFonts w:ascii="Times New Roman"/>
                <w:sz w:val="18"/>
              </w:rPr>
              <w:t>672,000,00</w:t>
            </w:r>
          </w:p>
          <w:p>
            <w:pPr>
              <w:pStyle w:val="TableParagraph"/>
              <w:spacing w:line="240" w:lineRule="auto" w:before="105"/>
              <w:ind w:left="589" w:right="0"/>
              <w:jc w:val="lef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 w:right="0"/>
              <w:jc w:val="center"/>
              <w:rPr>
                <w:rFonts w:ascii="Times New Roman" w:hAnsi="Times New Roman" w:cs="Times New Roman" w:eastAsia="Times New Roman" w:hint="default"/>
                <w:sz w:val="18"/>
                <w:szCs w:val="18"/>
              </w:rPr>
            </w:pPr>
            <w:r>
              <w:rPr>
                <w:rFonts w:ascii="Times New Roman"/>
                <w:sz w:val="18"/>
              </w:rPr>
              <w:t>791,982,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903.84</w:t>
            </w: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40,684,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059.60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184,441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,595.79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65,993.28</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center"/>
              <w:rPr>
                <w:rFonts w:ascii="Times New Roman" w:hAnsi="Times New Roman" w:cs="Times New Roman" w:eastAsia="Times New Roman" w:hint="default"/>
                <w:sz w:val="18"/>
                <w:szCs w:val="18"/>
              </w:rPr>
            </w:pPr>
            <w:r>
              <w:rPr>
                <w:rFonts w:ascii="Times New Roman"/>
                <w:sz w:val="18"/>
              </w:rPr>
              <w:t>1,689,174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,552.51</w:t>
            </w: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9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95"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 w:right="0"/>
              <w:jc w:val="left"/>
              <w:rPr>
                <w:rFonts w:ascii="Times New Roman" w:hAnsi="Times New Roman" w:cs="Times New Roman" w:eastAsia="Times New Roman" w:hint="default"/>
                <w:sz w:val="18"/>
                <w:szCs w:val="18"/>
              </w:rPr>
            </w:pPr>
            <w:r>
              <w:rPr>
                <w:rFonts w:ascii="Times New Roman"/>
                <w:sz w:val="18"/>
              </w:rPr>
              <w:t>672,000,00</w:t>
            </w:r>
          </w:p>
          <w:p>
            <w:pPr>
              <w:pStyle w:val="TableParagraph"/>
              <w:spacing w:line="240" w:lineRule="auto" w:before="105"/>
              <w:ind w:left="589" w:right="0"/>
              <w:jc w:val="lef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 w:right="0"/>
              <w:jc w:val="center"/>
              <w:rPr>
                <w:rFonts w:ascii="Times New Roman" w:hAnsi="Times New Roman" w:cs="Times New Roman" w:eastAsia="Times New Roman" w:hint="default"/>
                <w:sz w:val="18"/>
                <w:szCs w:val="18"/>
              </w:rPr>
            </w:pPr>
            <w:r>
              <w:rPr>
                <w:rFonts w:ascii="Times New Roman"/>
                <w:sz w:val="18"/>
              </w:rPr>
              <w:t>791,982,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903.84</w:t>
            </w: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40,684,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059.60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184,441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,595.79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65,993.28</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center"/>
              <w:rPr>
                <w:rFonts w:ascii="Times New Roman" w:hAnsi="Times New Roman" w:cs="Times New Roman" w:eastAsia="Times New Roman" w:hint="default"/>
                <w:sz w:val="18"/>
                <w:szCs w:val="18"/>
              </w:rPr>
            </w:pPr>
            <w:r>
              <w:rPr>
                <w:rFonts w:ascii="Times New Roman"/>
                <w:sz w:val="18"/>
              </w:rPr>
              <w:t>1,689,174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,552.51</w:t>
            </w:r>
          </w:p>
        </w:tc>
      </w:tr>
      <w:tr>
        <w:trPr>
          <w:trHeight w:val="1338"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23" w:right="95"/>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537,600,00</w:t>
            </w:r>
          </w:p>
          <w:p>
            <w:pPr>
              <w:pStyle w:val="TableParagraph"/>
              <w:spacing w:line="240" w:lineRule="auto" w:before="105"/>
              <w:ind w:left="589" w:right="0"/>
              <w:jc w:val="lef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-499,287</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,441.08</w:t>
            </w: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17,372,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601.06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134,911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,220.51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-65,993.28</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190,532,9</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15.21</w:t>
            </w: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165,723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,821.57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-54,959.73</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165,671,3</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89.84</w:t>
            </w:r>
          </w:p>
        </w:tc>
      </w:tr>
      <w:tr>
        <w:trPr>
          <w:trHeight w:val="1024"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95"/>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38,312,5</w:t>
            </w:r>
          </w:p>
          <w:p>
            <w:pPr>
              <w:pStyle w:val="TableParagraph"/>
              <w:spacing w:line="240" w:lineRule="auto" w:before="105"/>
              <w:ind w:left="303" w:right="0"/>
              <w:jc w:val="left"/>
              <w:rPr>
                <w:rFonts w:ascii="Times New Roman" w:hAnsi="Times New Roman" w:cs="Times New Roman" w:eastAsia="Times New Roman" w:hint="default"/>
                <w:sz w:val="18"/>
                <w:szCs w:val="18"/>
              </w:rPr>
            </w:pPr>
            <w:r>
              <w:rPr>
                <w:rFonts w:ascii="Times New Roman"/>
                <w:sz w:val="18"/>
              </w:rPr>
              <w:t>58.92</w:t>
            </w: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-11,033.55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38,301,52</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5.37</w:t>
            </w:r>
          </w:p>
        </w:tc>
      </w:tr>
    </w:tbl>
    <w:p>
      <w:pPr>
        <w:spacing w:after="0" w:line="240" w:lineRule="auto"/>
        <w:jc w:val="left"/>
        <w:rPr>
          <w:rFonts w:ascii="Times New Roman" w:hAnsi="Times New Roman" w:cs="Times New Roman" w:eastAsia="Times New Roman" w:hint="default"/>
          <w:sz w:val="18"/>
          <w:szCs w:val="18"/>
        </w:rPr>
        <w:sectPr>
          <w:pgSz w:w="11910" w:h="16840"/>
          <w:pgMar w:header="776" w:footer="978" w:top="1100" w:bottom="1160" w:left="720" w:right="70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211"/>
        <w:gridCol w:w="937"/>
        <w:gridCol w:w="531"/>
        <w:gridCol w:w="531"/>
        <w:gridCol w:w="531"/>
        <w:gridCol w:w="740"/>
        <w:gridCol w:w="665"/>
        <w:gridCol w:w="741"/>
        <w:gridCol w:w="665"/>
        <w:gridCol w:w="664"/>
        <w:gridCol w:w="665"/>
        <w:gridCol w:w="665"/>
        <w:gridCol w:w="893"/>
        <w:gridCol w:w="811"/>
      </w:tblGrid>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-11,033.55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-11,033.5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具持有者投入 资本</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入所有者权益 的金额</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38,312,5</w:t>
            </w:r>
          </w:p>
          <w:p>
            <w:pPr>
              <w:pStyle w:val="TableParagraph"/>
              <w:spacing w:line="240" w:lineRule="auto" w:before="105"/>
              <w:ind w:left="303" w:right="0"/>
              <w:jc w:val="left"/>
              <w:rPr>
                <w:rFonts w:ascii="Times New Roman" w:hAnsi="Times New Roman" w:cs="Times New Roman" w:eastAsia="Times New Roman" w:hint="default"/>
                <w:sz w:val="18"/>
                <w:szCs w:val="18"/>
              </w:rPr>
            </w:pPr>
            <w:r>
              <w:rPr>
                <w:rFonts w:ascii="Times New Roman"/>
                <w:sz w:val="18"/>
              </w:rPr>
              <w:t>58.92</w:t>
            </w: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38,312,55</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8.92</w:t>
            </w:r>
          </w:p>
        </w:tc>
      </w:tr>
      <w:tr>
        <w:trPr>
          <w:trHeight w:val="402"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95"/>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17,372,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601.06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-30,812,</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601.06</w:t>
            </w: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-13,440,0</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积</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17,372,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601.06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-17,372,</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601.06</w:t>
            </w: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险准备</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3" w:right="95"/>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-13,440,</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000.00</w:t>
            </w: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-13,440,0</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 w:right="0"/>
              <w:jc w:val="left"/>
              <w:rPr>
                <w:rFonts w:ascii="Times New Roman" w:hAnsi="Times New Roman" w:cs="Times New Roman" w:eastAsia="Times New Roman" w:hint="default"/>
                <w:sz w:val="18"/>
                <w:szCs w:val="18"/>
              </w:rPr>
            </w:pPr>
            <w:r>
              <w:rPr>
                <w:rFonts w:ascii="Times New Roman"/>
                <w:sz w:val="18"/>
              </w:rPr>
              <w:t>537,600,00</w:t>
            </w:r>
          </w:p>
          <w:p>
            <w:pPr>
              <w:pStyle w:val="TableParagraph"/>
              <w:spacing w:line="240" w:lineRule="auto" w:before="105"/>
              <w:ind w:left="589" w:right="0"/>
              <w:jc w:val="lef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-537,600</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增资本（或股 本）</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537,600,00</w:t>
            </w:r>
          </w:p>
          <w:p>
            <w:pPr>
              <w:pStyle w:val="TableParagraph"/>
              <w:spacing w:line="240" w:lineRule="auto" w:before="105"/>
              <w:ind w:left="589" w:right="0"/>
              <w:jc w:val="lef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-537,600</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增资本（或股 本）</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补亏损</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95"/>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93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95"/>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1,209,600,0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 w:right="0"/>
              <w:jc w:val="center"/>
              <w:rPr>
                <w:rFonts w:ascii="Times New Roman" w:hAnsi="Times New Roman" w:cs="Times New Roman" w:eastAsia="Times New Roman" w:hint="default"/>
                <w:sz w:val="18"/>
                <w:szCs w:val="18"/>
              </w:rPr>
            </w:pPr>
            <w:r>
              <w:rPr>
                <w:rFonts w:ascii="Times New Roman"/>
                <w:sz w:val="18"/>
              </w:rPr>
              <w:t>292,695,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462.76</w:t>
            </w:r>
          </w:p>
        </w:tc>
        <w:tc>
          <w:tcPr>
            <w:tcW w:w="665"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2,528.00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58,056,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660.66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319,352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,816.30</w:t>
            </w:r>
          </w:p>
        </w:tc>
        <w:tc>
          <w:tcPr>
            <w:tcW w:w="89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center"/>
              <w:rPr>
                <w:rFonts w:ascii="Times New Roman" w:hAnsi="Times New Roman" w:cs="Times New Roman" w:eastAsia="Times New Roman" w:hint="default"/>
                <w:sz w:val="18"/>
                <w:szCs w:val="18"/>
              </w:rPr>
            </w:pPr>
            <w:r>
              <w:rPr>
                <w:rFonts w:ascii="Times New Roman"/>
                <w:sz w:val="18"/>
              </w:rPr>
              <w:t>1,879,707</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,467.72</w:t>
            </w:r>
          </w:p>
        </w:tc>
      </w:tr>
    </w:tbl>
    <w:p>
      <w:pPr>
        <w:spacing w:before="51"/>
        <w:ind w:left="4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4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76" w:footer="978" w:top="1100" w:bottom="1160" w:left="720" w:right="70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851"/>
        <w:gridCol w:w="689"/>
        <w:gridCol w:w="531"/>
        <w:gridCol w:w="531"/>
        <w:gridCol w:w="531"/>
        <w:gridCol w:w="761"/>
        <w:gridCol w:w="665"/>
        <w:gridCol w:w="665"/>
        <w:gridCol w:w="665"/>
        <w:gridCol w:w="892"/>
        <w:gridCol w:w="665"/>
        <w:gridCol w:w="1134"/>
        <w:gridCol w:w="880"/>
        <w:gridCol w:w="735"/>
      </w:tblGrid>
      <w:tr>
        <w:trPr>
          <w:trHeight w:val="402" w:hRule="exact"/>
        </w:trPr>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344"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851" w:type="dxa"/>
            <w:vMerge/>
            <w:tcBorders>
              <w:left w:val="single" w:sz="4" w:space="0" w:color="000000"/>
              <w:right w:val="single" w:sz="4" w:space="0" w:color="000000"/>
            </w:tcBorders>
            <w:shd w:val="clear" w:color="auto" w:fill="D3D3D3"/>
          </w:tcPr>
          <w:p>
            <w:pPr/>
          </w:p>
        </w:tc>
        <w:tc>
          <w:tcPr>
            <w:tcW w:w="772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7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6" w:lineRule="auto"/>
              <w:ind w:left="91" w:right="9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851" w:type="dxa"/>
            <w:vMerge/>
            <w:tcBorders>
              <w:left w:val="single" w:sz="4" w:space="0" w:color="000000"/>
              <w:right w:val="single" w:sz="4" w:space="0" w:color="000000"/>
            </w:tcBorders>
            <w:shd w:val="clear" w:color="auto" w:fill="D3D3D3"/>
          </w:tcPr>
          <w:p>
            <w:pPr/>
          </w:p>
        </w:tc>
        <w:tc>
          <w:tcPr>
            <w:tcW w:w="6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84" w:right="10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47" w:right="5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58"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80" w:type="dxa"/>
            <w:vMerge/>
            <w:tcBorders>
              <w:left w:val="single" w:sz="4" w:space="0" w:color="000000"/>
              <w:right w:val="single" w:sz="4" w:space="0" w:color="000000"/>
            </w:tcBorders>
            <w:shd w:val="clear" w:color="auto" w:fill="D3D3D3"/>
          </w:tcPr>
          <w:p>
            <w:pPr/>
          </w:p>
        </w:tc>
        <w:tc>
          <w:tcPr>
            <w:tcW w:w="735" w:type="dxa"/>
            <w:vMerge/>
            <w:tcBorders>
              <w:left w:val="single" w:sz="4" w:space="0" w:color="000000"/>
              <w:right w:val="single" w:sz="4" w:space="0" w:color="000000"/>
            </w:tcBorders>
            <w:shd w:val="clear" w:color="auto" w:fill="D3D3D3"/>
          </w:tcPr>
          <w:p>
            <w:pPr/>
          </w:p>
        </w:tc>
      </w:tr>
      <w:tr>
        <w:trPr>
          <w:trHeight w:val="715"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689" w:type="dxa"/>
            <w:vMerge/>
            <w:tcBorders>
              <w:left w:val="single" w:sz="4" w:space="0" w:color="000000"/>
              <w:bottom w:val="single" w:sz="4" w:space="0" w:color="000000"/>
              <w:right w:val="single" w:sz="4" w:space="0" w:color="000000"/>
            </w:tcBorders>
            <w:shd w:val="clear" w:color="auto" w:fill="D3D3D3"/>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0" w:right="80"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0" w:right="7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61"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892"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880" w:type="dxa"/>
            <w:vMerge/>
            <w:tcBorders>
              <w:left w:val="single" w:sz="4" w:space="0" w:color="000000"/>
              <w:bottom w:val="single" w:sz="4" w:space="0" w:color="000000"/>
              <w:right w:val="single" w:sz="4" w:space="0" w:color="000000"/>
            </w:tcBorders>
            <w:shd w:val="clear" w:color="auto" w:fill="D3D3D3"/>
          </w:tcPr>
          <w:p>
            <w:pPr/>
          </w:p>
        </w:tc>
        <w:tc>
          <w:tcPr>
            <w:tcW w:w="735"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96"/>
              <w:jc w:val="left"/>
              <w:rPr>
                <w:rFonts w:ascii="宋体" w:hAnsi="宋体" w:cs="宋体" w:eastAsia="宋体" w:hint="default"/>
                <w:sz w:val="18"/>
                <w:szCs w:val="18"/>
              </w:rPr>
            </w:pPr>
            <w:r>
              <w:rPr>
                <w:rFonts w:ascii="宋体" w:hAnsi="宋体" w:cs="宋体" w:eastAsia="宋体" w:hint="default"/>
                <w:sz w:val="18"/>
                <w:szCs w:val="18"/>
              </w:rPr>
              <w:t>一、上年 期末余额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1,129,76</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0,796.76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38,712,755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215,011,562.6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69,599.46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1,719,55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4,714.20</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96" w:firstLine="360"/>
              <w:jc w:val="both"/>
              <w:rPr>
                <w:rFonts w:ascii="宋体" w:hAnsi="宋体" w:cs="宋体" w:eastAsia="宋体" w:hint="default"/>
                <w:sz w:val="18"/>
                <w:szCs w:val="18"/>
              </w:rPr>
            </w:pPr>
            <w:r>
              <w:rPr>
                <w:rFonts w:ascii="宋体" w:hAnsi="宋体" w:cs="宋体" w:eastAsia="宋体" w:hint="default"/>
                <w:sz w:val="18"/>
                <w:szCs w:val="18"/>
              </w:rPr>
              <w:t>加： 会计政策 变更</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3" w:right="96"/>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96"/>
              <w:jc w:val="both"/>
              <w:rPr>
                <w:rFonts w:ascii="宋体" w:hAnsi="宋体" w:cs="宋体" w:eastAsia="宋体" w:hint="default"/>
                <w:sz w:val="18"/>
                <w:szCs w:val="18"/>
              </w:rPr>
            </w:pPr>
            <w:r>
              <w:rPr>
                <w:rFonts w:ascii="宋体" w:hAnsi="宋体" w:cs="宋体" w:eastAsia="宋体" w:hint="default"/>
                <w:sz w:val="18"/>
                <w:szCs w:val="18"/>
              </w:rPr>
              <w:t>同一控制 下企业合 并</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二、本年 期初余额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9" w:right="0"/>
              <w:jc w:val="left"/>
              <w:rPr>
                <w:rFonts w:ascii="Times New Roman" w:hAnsi="Times New Roman" w:cs="Times New Roman" w:eastAsia="Times New Roman" w:hint="default"/>
                <w:sz w:val="18"/>
                <w:szCs w:val="18"/>
              </w:rPr>
            </w:pPr>
            <w:r>
              <w:rPr>
                <w:rFonts w:ascii="Times New Roman"/>
                <w:sz w:val="18"/>
              </w:rPr>
              <w:t>1,129,76</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0,796.76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38,712,755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215,011,562.6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69,599.46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1,719,55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4,714.20</w:t>
            </w:r>
          </w:p>
        </w:tc>
      </w:tr>
      <w:tr>
        <w:trPr>
          <w:trHeight w:val="1650"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3" w:right="96"/>
              <w:jc w:val="both"/>
              <w:rPr>
                <w:rFonts w:ascii="宋体" w:hAnsi="宋体" w:cs="宋体" w:eastAsia="宋体" w:hint="default"/>
                <w:sz w:val="18"/>
                <w:szCs w:val="18"/>
              </w:rPr>
            </w:pPr>
            <w:r>
              <w:rPr>
                <w:rFonts w:ascii="宋体" w:hAnsi="宋体" w:cs="宋体" w:eastAsia="宋体" w:hint="default"/>
                <w:sz w:val="18"/>
                <w:szCs w:val="18"/>
              </w:rPr>
              <w:t>三、本期 增减变动 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4" w:right="0"/>
              <w:jc w:val="center"/>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7" w:right="0"/>
              <w:jc w:val="center"/>
              <w:rPr>
                <w:rFonts w:ascii="Times New Roman" w:hAnsi="Times New Roman" w:cs="Times New Roman" w:eastAsia="Times New Roman" w:hint="default"/>
                <w:sz w:val="18"/>
                <w:szCs w:val="18"/>
              </w:rPr>
            </w:pPr>
            <w:r>
              <w:rPr>
                <w:rFonts w:ascii="Times New Roman"/>
                <w:sz w:val="18"/>
              </w:rPr>
              <w:t>-337,777,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892.92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1,971,304.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-30,569,966.9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-3,606.18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83" w:right="0"/>
              <w:jc w:val="center"/>
              <w:rPr>
                <w:rFonts w:ascii="Times New Roman" w:hAnsi="Times New Roman" w:cs="Times New Roman" w:eastAsia="Times New Roman" w:hint="default"/>
                <w:sz w:val="18"/>
                <w:szCs w:val="18"/>
              </w:rPr>
            </w:pPr>
            <w:r>
              <w:rPr>
                <w:rFonts w:ascii="Times New Roman"/>
                <w:sz w:val="18"/>
              </w:rPr>
              <w:t>-30,380,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161.69</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96"/>
              <w:jc w:val="both"/>
              <w:rPr>
                <w:rFonts w:ascii="宋体" w:hAnsi="宋体" w:cs="宋体" w:eastAsia="宋体" w:hint="default"/>
                <w:sz w:val="18"/>
                <w:szCs w:val="18"/>
              </w:rPr>
            </w:pPr>
            <w:r>
              <w:rPr>
                <w:rFonts w:ascii="宋体" w:hAnsi="宋体" w:cs="宋体" w:eastAsia="宋体" w:hint="default"/>
                <w:sz w:val="18"/>
                <w:szCs w:val="18"/>
              </w:rPr>
              <w:t>（一）综 合收益总 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5,001,337.41</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-3,606.18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4,997,73</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1.23</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96"/>
              <w:jc w:val="both"/>
              <w:rPr>
                <w:rFonts w:ascii="宋体" w:hAnsi="宋体" w:cs="宋体" w:eastAsia="宋体" w:hint="default"/>
                <w:sz w:val="18"/>
                <w:szCs w:val="18"/>
              </w:rPr>
            </w:pPr>
            <w:r>
              <w:rPr>
                <w:rFonts w:ascii="宋体" w:hAnsi="宋体" w:cs="宋体" w:eastAsia="宋体" w:hint="default"/>
                <w:sz w:val="18"/>
                <w:szCs w:val="18"/>
              </w:rPr>
              <w:t>（二）所 有者投入 和减少资 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-1,777,89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-1,777,8</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92.92</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．股东投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入的普通 股</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1336"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益工具持 有者投入 资本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6" w:footer="978" w:top="1100" w:bottom="1160" w:left="740" w:right="74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851"/>
        <w:gridCol w:w="689"/>
        <w:gridCol w:w="531"/>
        <w:gridCol w:w="531"/>
        <w:gridCol w:w="531"/>
        <w:gridCol w:w="761"/>
        <w:gridCol w:w="665"/>
        <w:gridCol w:w="665"/>
        <w:gridCol w:w="665"/>
        <w:gridCol w:w="892"/>
        <w:gridCol w:w="665"/>
        <w:gridCol w:w="1134"/>
        <w:gridCol w:w="880"/>
        <w:gridCol w:w="735"/>
      </w:tblGrid>
      <w:tr>
        <w:trPr>
          <w:trHeight w:val="1338"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付计入所 有者权益 的金额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-1,777,89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-1,777,8</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92.92</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96"/>
              <w:jc w:val="left"/>
              <w:rPr>
                <w:rFonts w:ascii="宋体" w:hAnsi="宋体" w:cs="宋体" w:eastAsia="宋体" w:hint="default"/>
                <w:sz w:val="18"/>
                <w:szCs w:val="18"/>
              </w:rPr>
            </w:pPr>
            <w:r>
              <w:rPr>
                <w:rFonts w:ascii="宋体" w:hAnsi="宋体" w:cs="宋体" w:eastAsia="宋体" w:hint="default"/>
                <w:sz w:val="18"/>
                <w:szCs w:val="18"/>
              </w:rPr>
              <w:t>（三）利 润分配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1,971,304.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-35,571,304.3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center"/>
              <w:rPr>
                <w:rFonts w:ascii="Times New Roman" w:hAnsi="Times New Roman" w:cs="Times New Roman" w:eastAsia="Times New Roman" w:hint="default"/>
                <w:sz w:val="18"/>
                <w:szCs w:val="18"/>
              </w:rPr>
            </w:pPr>
            <w:r>
              <w:rPr>
                <w:rFonts w:ascii="Times New Roman"/>
                <w:sz w:val="18"/>
              </w:rPr>
              <w:t>-33,600,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余公积</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1,971,304.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-1,971,304.31</w:t>
            </w: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般风险准 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者（或股 东）的分 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-33,600,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96"/>
              <w:jc w:val="both"/>
              <w:rPr>
                <w:rFonts w:ascii="宋体" w:hAnsi="宋体" w:cs="宋体" w:eastAsia="宋体" w:hint="default"/>
                <w:sz w:val="18"/>
                <w:szCs w:val="18"/>
              </w:rPr>
            </w:pPr>
            <w:r>
              <w:rPr>
                <w:rFonts w:ascii="宋体" w:hAnsi="宋体" w:cs="宋体" w:eastAsia="宋体" w:hint="default"/>
                <w:sz w:val="18"/>
                <w:szCs w:val="18"/>
              </w:rPr>
              <w:t>（四）所 有者权益 内部结转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积转增资 本（或股 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积转增资 本（或股 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积弥补亏 损</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96"/>
              <w:jc w:val="left"/>
              <w:rPr>
                <w:rFonts w:ascii="宋体" w:hAnsi="宋体" w:cs="宋体" w:eastAsia="宋体" w:hint="default"/>
                <w:sz w:val="18"/>
                <w:szCs w:val="18"/>
              </w:rPr>
            </w:pPr>
            <w:r>
              <w:rPr>
                <w:rFonts w:ascii="宋体" w:hAnsi="宋体" w:cs="宋体" w:eastAsia="宋体" w:hint="default"/>
                <w:sz w:val="18"/>
                <w:szCs w:val="18"/>
              </w:rPr>
              <w:t>（五）专 项储备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．本期提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取</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．本期使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（六）其 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6" w:footer="978" w:top="1100" w:bottom="1160" w:left="740" w:right="74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851"/>
        <w:gridCol w:w="689"/>
        <w:gridCol w:w="531"/>
        <w:gridCol w:w="531"/>
        <w:gridCol w:w="531"/>
        <w:gridCol w:w="761"/>
        <w:gridCol w:w="665"/>
        <w:gridCol w:w="665"/>
        <w:gridCol w:w="665"/>
        <w:gridCol w:w="892"/>
        <w:gridCol w:w="665"/>
        <w:gridCol w:w="1134"/>
        <w:gridCol w:w="880"/>
        <w:gridCol w:w="735"/>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96"/>
              <w:jc w:val="left"/>
              <w:rPr>
                <w:rFonts w:ascii="宋体" w:hAnsi="宋体" w:cs="宋体" w:eastAsia="宋体" w:hint="default"/>
                <w:sz w:val="18"/>
                <w:szCs w:val="18"/>
              </w:rPr>
            </w:pPr>
            <w:r>
              <w:rPr>
                <w:rFonts w:ascii="宋体" w:hAnsi="宋体" w:cs="宋体" w:eastAsia="宋体" w:hint="default"/>
                <w:sz w:val="18"/>
                <w:szCs w:val="18"/>
              </w:rPr>
              <w:t>四、本期 期末余额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672,000,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center"/>
              <w:rPr>
                <w:rFonts w:ascii="Times New Roman" w:hAnsi="Times New Roman" w:cs="Times New Roman" w:eastAsia="Times New Roman" w:hint="default"/>
                <w:sz w:val="18"/>
                <w:szCs w:val="18"/>
              </w:rPr>
            </w:pPr>
            <w:r>
              <w:rPr>
                <w:rFonts w:ascii="Times New Roman"/>
                <w:sz w:val="18"/>
              </w:rPr>
              <w:t>791,982,</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903.84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40,684,059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184,441,595.7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65,993.28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1,689,17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4,552.51</w:t>
            </w:r>
          </w:p>
        </w:tc>
      </w:tr>
    </w:tbl>
    <w:p>
      <w:pPr>
        <w:spacing w:line="240" w:lineRule="auto" w:before="0"/>
        <w:rPr>
          <w:rFonts w:ascii="Times New Roman" w:hAnsi="Times New Roman" w:cs="Times New Roman" w:eastAsia="Times New Roman" w:hint="default"/>
          <w:sz w:val="22"/>
          <w:szCs w:val="22"/>
        </w:rPr>
      </w:pPr>
    </w:p>
    <w:p>
      <w:pPr>
        <w:pStyle w:val="Heading5"/>
        <w:spacing w:line="240" w:lineRule="auto" w:before="34"/>
        <w:ind w:left="392"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spacing w:before="44"/>
        <w:ind w:left="39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3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212"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672,000,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793,024,5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07.63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40,684,05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205,095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,660.10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1,710,804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,227.33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672,000,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793,024,5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07.63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40,684,05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205,095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,660.10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1,710,804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,227.33</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537,600,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-499,287,</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441.08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17,372,60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142,913</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,409.55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198,598,5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69.53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173,726</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,010.61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173,726,0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10.61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38,312,55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38,312,55</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8.92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38,312,55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38,312,55</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8.92</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17,372,60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-30,812,</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601.06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-13,440,0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17,372,60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-17,372,</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601.06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-13,440,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-13,440,0</w:t>
            </w:r>
          </w:p>
        </w:tc>
      </w:tr>
    </w:tbl>
    <w:p>
      <w:pPr>
        <w:spacing w:after="0" w:line="240" w:lineRule="auto"/>
        <w:jc w:val="left"/>
        <w:rPr>
          <w:rFonts w:ascii="Times New Roman" w:hAnsi="Times New Roman" w:cs="Times New Roman" w:eastAsia="Times New Roman" w:hint="default"/>
          <w:sz w:val="18"/>
          <w:szCs w:val="18"/>
        </w:rPr>
        <w:sectPr>
          <w:pgSz w:w="11910" w:h="16840"/>
          <w:pgMar w:header="776" w:footer="978" w:top="1100" w:bottom="1160" w:left="740" w:right="74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7" w:right="0"/>
              <w:jc w:val="left"/>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537,600,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-537,600,</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537,600,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-537,600,</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left"/>
              <w:rPr>
                <w:rFonts w:ascii="Times New Roman" w:hAnsi="Times New Roman" w:cs="Times New Roman" w:eastAsia="Times New Roman" w:hint="default"/>
                <w:sz w:val="18"/>
                <w:szCs w:val="18"/>
              </w:rPr>
            </w:pPr>
            <w:r>
              <w:rPr>
                <w:rFonts w:ascii="Times New Roman"/>
                <w:sz w:val="18"/>
              </w:rPr>
              <w:t>1,209,60</w:t>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293,737,0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66.55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58,056,66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348,009</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,069.65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1,909,402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,796.86</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212"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Times New Roman" w:hAnsi="Times New Roman" w:cs="Times New Roman" w:eastAsia="Times New Roman" w:hint="default"/>
                <w:sz w:val="18"/>
                <w:szCs w:val="18"/>
              </w:rPr>
            </w:pPr>
            <w:r>
              <w:rPr>
                <w:rFonts w:ascii="Times New Roman"/>
                <w:sz w:val="18"/>
              </w:rPr>
              <w:t>1,130,802</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,400.55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38,712,75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220,953</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,921.28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1,726,469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,077.12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Times New Roman" w:hAnsi="Times New Roman" w:cs="Times New Roman" w:eastAsia="Times New Roman" w:hint="default"/>
                <w:sz w:val="18"/>
                <w:szCs w:val="18"/>
              </w:rPr>
            </w:pPr>
            <w:r>
              <w:rPr>
                <w:rFonts w:ascii="Times New Roman"/>
                <w:sz w:val="18"/>
              </w:rPr>
              <w:t>1,130,802</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,400.55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38,712,75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220,953</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,921.28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1,726,469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,077.12</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-337,777,</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892.92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1,971,304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-15,858,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261.18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-15,664,8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49.79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19,713,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043.13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19,713,04</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3.13</w:t>
            </w: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21"/>
              <w:jc w:val="right"/>
              <w:rPr>
                <w:rFonts w:ascii="宋体" w:hAnsi="宋体" w:cs="宋体" w:eastAsia="宋体" w:hint="default"/>
                <w:sz w:val="18"/>
                <w:szCs w:val="18"/>
              </w:rPr>
            </w:pPr>
            <w:r>
              <w:rPr>
                <w:rFonts w:ascii="宋体" w:hAnsi="宋体" w:cs="宋体" w:eastAsia="宋体" w:hint="default"/>
                <w:spacing w:val="-7"/>
                <w:w w:val="95"/>
                <w:sz w:val="18"/>
                <w:szCs w:val="18"/>
              </w:rPr>
              <w:t>（二）所有者投入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4" w:right="0"/>
              <w:jc w:val="left"/>
              <w:rPr>
                <w:rFonts w:ascii="Times New Roman" w:hAnsi="Times New Roman" w:cs="Times New Roman" w:eastAsia="Times New Roman" w:hint="default"/>
                <w:sz w:val="18"/>
                <w:szCs w:val="18"/>
              </w:rPr>
            </w:pPr>
            <w:r>
              <w:rPr>
                <w:rFonts w:ascii="Times New Roman"/>
                <w:sz w:val="18"/>
              </w:rPr>
              <w:t>-1,777,89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0" w:right="0"/>
              <w:jc w:val="left"/>
              <w:rPr>
                <w:rFonts w:ascii="Times New Roman" w:hAnsi="Times New Roman" w:cs="Times New Roman" w:eastAsia="Times New Roman" w:hint="default"/>
                <w:sz w:val="18"/>
                <w:szCs w:val="18"/>
              </w:rPr>
            </w:pPr>
            <w:r>
              <w:rPr>
                <w:rFonts w:ascii="Times New Roman"/>
                <w:sz w:val="18"/>
              </w:rPr>
              <w:t>-1,777,89</w:t>
            </w:r>
          </w:p>
        </w:tc>
      </w:tr>
    </w:tbl>
    <w:p>
      <w:pPr>
        <w:spacing w:after="0" w:line="240" w:lineRule="auto"/>
        <w:jc w:val="left"/>
        <w:rPr>
          <w:rFonts w:ascii="Times New Roman" w:hAnsi="Times New Roman" w:cs="Times New Roman" w:eastAsia="Times New Roman" w:hint="default"/>
          <w:sz w:val="18"/>
          <w:szCs w:val="18"/>
        </w:rPr>
        <w:sectPr>
          <w:pgSz w:w="11910" w:h="16840"/>
          <w:pgMar w:header="776"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8" w:right="0"/>
              <w:jc w:val="left"/>
              <w:rPr>
                <w:rFonts w:ascii="Times New Roman" w:hAnsi="Times New Roman" w:cs="Times New Roman" w:eastAsia="Times New Roman" w:hint="default"/>
                <w:sz w:val="18"/>
                <w:szCs w:val="18"/>
              </w:rPr>
            </w:pPr>
            <w:r>
              <w:rPr>
                <w:rFonts w:ascii="Times New Roman"/>
                <w:sz w:val="18"/>
              </w:rPr>
              <w:t>2.92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Times New Roman" w:hAnsi="Times New Roman" w:cs="Times New Roman" w:eastAsia="Times New Roman" w:hint="default"/>
                <w:sz w:val="18"/>
                <w:szCs w:val="18"/>
              </w:rPr>
            </w:pPr>
            <w:r>
              <w:rPr>
                <w:rFonts w:ascii="Times New Roman"/>
                <w:sz w:val="18"/>
              </w:rPr>
              <w:t>2.92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-1,777,89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-1,777,89</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2.92</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1,971,304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-35,571,</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304.31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1,971,304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-1,971,3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04.31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-33,600,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672,000,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793,024,5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07.63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40,684,05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205,095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,660.10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1,710,804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,227.33</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三、公司基本情况</w:t>
      </w:r>
      <w:r>
        <w:rPr>
          <w:b w:val="0"/>
          <w:bCs w:val="0"/>
        </w:rPr>
      </w:r>
    </w:p>
    <w:p>
      <w:pPr>
        <w:spacing w:line="240" w:lineRule="auto" w:before="7"/>
        <w:rPr>
          <w:rFonts w:ascii="宋体" w:hAnsi="宋体" w:cs="宋体" w:eastAsia="宋体" w:hint="default"/>
          <w:b/>
          <w:bCs/>
          <w:sz w:val="24"/>
          <w:szCs w:val="24"/>
        </w:rPr>
      </w:pPr>
    </w:p>
    <w:p>
      <w:pPr>
        <w:spacing w:line="256" w:lineRule="auto" w:before="0"/>
        <w:ind w:left="532" w:right="26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6"/>
          <w:sz w:val="21"/>
          <w:szCs w:val="21"/>
        </w:rPr>
        <w:t> </w:t>
      </w:r>
      <w:r>
        <w:rPr>
          <w:rFonts w:ascii="宋体" w:hAnsi="宋体" w:cs="宋体" w:eastAsia="宋体" w:hint="default"/>
          <w:b/>
          <w:bCs/>
          <w:sz w:val="21"/>
          <w:szCs w:val="21"/>
        </w:rPr>
        <w:t>公司概况</w:t>
      </w:r>
      <w:r>
        <w:rPr>
          <w:rFonts w:ascii="宋体" w:hAnsi="宋体" w:cs="宋体" w:eastAsia="宋体" w:hint="default"/>
          <w:b/>
          <w:bCs/>
          <w:w w:val="99"/>
          <w:sz w:val="21"/>
          <w:szCs w:val="21"/>
        </w:rPr>
        <w:t> </w:t>
      </w:r>
      <w:r>
        <w:rPr>
          <w:rFonts w:ascii="宋体" w:hAnsi="宋体" w:cs="宋体" w:eastAsia="宋体" w:hint="default"/>
          <w:w w:val="95"/>
          <w:sz w:val="21"/>
          <w:szCs w:val="21"/>
        </w:rPr>
        <w:t>公司名称：东方财富信息股份有限公司（以下简称“公司”或“本公司”）</w:t>
      </w:r>
      <w:r>
        <w:rPr>
          <w:rFonts w:ascii="宋体" w:hAnsi="宋体" w:cs="宋体" w:eastAsia="宋体" w:hint="default"/>
          <w:sz w:val="21"/>
          <w:szCs w:val="21"/>
        </w:rPr>
      </w:r>
    </w:p>
    <w:p>
      <w:pPr>
        <w:pStyle w:val="BodyText"/>
        <w:spacing w:line="240" w:lineRule="auto" w:before="121"/>
        <w:ind w:left="532" w:right="0"/>
        <w:jc w:val="left"/>
      </w:pPr>
      <w:r>
        <w:rPr/>
        <w:t>注册地址：上海市嘉定区宝安公路</w:t>
      </w:r>
      <w:r>
        <w:rPr>
          <w:spacing w:val="-54"/>
        </w:rPr>
        <w:t> </w:t>
      </w:r>
      <w:r>
        <w:rPr/>
        <w:t>2999</w:t>
      </w:r>
      <w:r>
        <w:rPr>
          <w:spacing w:val="-56"/>
        </w:rPr>
        <w:t> </w:t>
      </w:r>
      <w:r>
        <w:rPr/>
        <w:t>号</w:t>
      </w:r>
      <w:r>
        <w:rPr>
          <w:spacing w:val="-57"/>
        </w:rPr>
        <w:t> </w:t>
      </w:r>
      <w:r>
        <w:rPr/>
        <w:t>1</w:t>
      </w:r>
      <w:r>
        <w:rPr>
          <w:spacing w:val="-56"/>
        </w:rPr>
        <w:t> </w:t>
      </w:r>
      <w:r>
        <w:rPr/>
        <w:t>幢。</w:t>
      </w:r>
    </w:p>
    <w:p>
      <w:pPr>
        <w:pStyle w:val="BodyText"/>
        <w:spacing w:line="240" w:lineRule="auto" w:before="116"/>
        <w:ind w:left="532" w:right="0"/>
        <w:jc w:val="left"/>
      </w:pPr>
      <w:r>
        <w:rPr/>
        <w:t>总部地址：上海市徐汇区龙田路</w:t>
      </w:r>
      <w:r>
        <w:rPr>
          <w:spacing w:val="-53"/>
        </w:rPr>
        <w:t> </w:t>
      </w:r>
      <w:r>
        <w:rPr>
          <w:rFonts w:ascii="Times New Roman" w:hAnsi="Times New Roman" w:cs="Times New Roman" w:eastAsia="Times New Roman" w:hint="default"/>
        </w:rPr>
        <w:t>195</w:t>
      </w:r>
      <w:r>
        <w:rPr>
          <w:rFonts w:ascii="Times New Roman" w:hAnsi="Times New Roman" w:cs="Times New Roman" w:eastAsia="Times New Roman" w:hint="default"/>
          <w:spacing w:val="-4"/>
        </w:rPr>
        <w:t> </w:t>
      </w:r>
      <w:r>
        <w:rPr/>
        <w:t>号</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号楼</w:t>
      </w:r>
      <w:r>
        <w:rPr>
          <w:spacing w:val="-53"/>
        </w:rPr>
        <w:t> </w:t>
      </w:r>
      <w:r>
        <w:rPr>
          <w:rFonts w:ascii="Times New Roman" w:hAnsi="Times New Roman" w:cs="Times New Roman" w:eastAsia="Times New Roman" w:hint="default"/>
        </w:rPr>
        <w:t>C</w:t>
      </w:r>
      <w:r>
        <w:rPr>
          <w:rFonts w:ascii="Times New Roman" w:hAnsi="Times New Roman" w:cs="Times New Roman" w:eastAsia="Times New Roman" w:hint="default"/>
          <w:spacing w:val="-1"/>
        </w:rPr>
        <w:t> </w:t>
      </w:r>
      <w:r>
        <w:rPr/>
        <w:t>座</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楼。</w:t>
      </w:r>
    </w:p>
    <w:p>
      <w:pPr>
        <w:spacing w:after="0" w:line="240" w:lineRule="auto"/>
        <w:jc w:val="left"/>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BodyText"/>
        <w:spacing w:line="273" w:lineRule="auto" w:before="34"/>
        <w:ind w:right="135" w:firstLine="420"/>
        <w:jc w:val="both"/>
      </w:pPr>
      <w:r>
        <w:rPr>
          <w:w w:val="95"/>
        </w:rPr>
        <w:t>公司前身系上海东财信息技术有限公司，2007年12月20日改制为股份有限公司，2008年1月7日由上海</w:t>
      </w:r>
      <w:r>
        <w:rPr>
          <w:w w:val="99"/>
        </w:rPr>
        <w:t> </w:t>
      </w:r>
      <w:r>
        <w:rPr>
          <w:w w:val="95"/>
        </w:rPr>
        <w:t>东财信息技术股份有限公司更名为东方财富信息股份有限公司。截至2014年12月31日，公司的注册资本为</w:t>
      </w:r>
      <w:r>
        <w:rPr>
          <w:spacing w:val="37"/>
          <w:w w:val="95"/>
        </w:rPr>
        <w:t> </w:t>
      </w:r>
      <w:r>
        <w:rPr>
          <w:spacing w:val="37"/>
          <w:w w:val="95"/>
        </w:rPr>
      </w:r>
      <w:r>
        <w:rPr/>
        <w:t>1,209,600,000.00元。</w:t>
      </w:r>
    </w:p>
    <w:p>
      <w:pPr>
        <w:pStyle w:val="BodyText"/>
        <w:spacing w:line="273" w:lineRule="auto"/>
        <w:ind w:right="135" w:firstLine="420"/>
        <w:jc w:val="both"/>
      </w:pPr>
      <w:r>
        <w:rPr>
          <w:w w:val="95"/>
        </w:rPr>
        <w:t>本公司主要经营活动为：金融数据服务、广告业务服务、金融电子商务服务。本公司的母公司为东方</w:t>
      </w:r>
      <w:r>
        <w:rPr>
          <w:w w:val="99"/>
        </w:rPr>
        <w:t> </w:t>
      </w:r>
      <w:r>
        <w:rPr/>
        <w:t>财富信息股份有限公司，本公司的实际控制人为其实先生。</w:t>
      </w:r>
    </w:p>
    <w:p>
      <w:pPr>
        <w:pStyle w:val="BodyText"/>
        <w:spacing w:line="273" w:lineRule="auto"/>
        <w:ind w:right="112" w:firstLine="420"/>
        <w:jc w:val="both"/>
      </w:pPr>
      <w:r>
        <w:rPr>
          <w:w w:val="95"/>
        </w:rPr>
        <w:t>经营范围：第二类增值电信业务中的信息服务业务（以经营许可证为准），企业投资咨询、策划，商</w:t>
      </w:r>
      <w:r>
        <w:rPr>
          <w:w w:val="99"/>
        </w:rPr>
        <w:t> </w:t>
      </w:r>
      <w:r>
        <w:rPr>
          <w:w w:val="95"/>
        </w:rPr>
        <w:t>务咨询，会务会展咨询服务，计算机软硬件及网络系统的技术开发、技术服务、技术咨询、技术转让，设</w:t>
      </w:r>
      <w:r>
        <w:rPr>
          <w:spacing w:val="38"/>
          <w:w w:val="95"/>
        </w:rPr>
        <w:t> </w:t>
      </w:r>
      <w:r>
        <w:rPr>
          <w:spacing w:val="38"/>
          <w:w w:val="95"/>
        </w:rPr>
      </w:r>
      <w:r>
        <w:rPr>
          <w:w w:val="95"/>
        </w:rPr>
        <w:t>计、制作、发布、代理国内外各类广告。(依法须经批准的项目，经相关部门批准后方可开展经营活动)。</w:t>
      </w:r>
      <w:r>
        <w:rPr/>
      </w:r>
    </w:p>
    <w:p>
      <w:pPr>
        <w:pStyle w:val="BodyText"/>
        <w:spacing w:line="240" w:lineRule="auto"/>
        <w:ind w:left="532" w:right="1682"/>
        <w:jc w:val="left"/>
      </w:pPr>
      <w:r>
        <w:rPr/>
        <w:t>本财务报表业经公司</w:t>
      </w:r>
      <w:r>
        <w:rPr>
          <w:spacing w:val="-19"/>
        </w:rPr>
        <w:t> </w:t>
      </w:r>
      <w:r>
        <w:rPr/>
        <w:t>2015年2月12日第三届董事会第十三次会议批准对外报出。</w:t>
      </w:r>
    </w:p>
    <w:p>
      <w:pPr>
        <w:spacing w:line="240" w:lineRule="auto" w:before="9"/>
        <w:rPr>
          <w:rFonts w:ascii="宋体" w:hAnsi="宋体" w:cs="宋体" w:eastAsia="宋体" w:hint="default"/>
          <w:sz w:val="26"/>
          <w:szCs w:val="26"/>
        </w:rPr>
      </w:pPr>
    </w:p>
    <w:p>
      <w:pPr>
        <w:spacing w:line="256" w:lineRule="auto" w:before="0"/>
        <w:ind w:left="832" w:right="1682" w:hanging="30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6"/>
          <w:sz w:val="21"/>
          <w:szCs w:val="21"/>
        </w:rPr>
        <w:t> </w:t>
      </w:r>
      <w:r>
        <w:rPr>
          <w:rFonts w:ascii="宋体" w:hAnsi="宋体" w:cs="宋体" w:eastAsia="宋体" w:hint="default"/>
          <w:b/>
          <w:bCs/>
          <w:sz w:val="21"/>
          <w:szCs w:val="21"/>
        </w:rPr>
        <w:t>合并财务报表范围</w:t>
      </w:r>
      <w:r>
        <w:rPr>
          <w:rFonts w:ascii="宋体" w:hAnsi="宋体" w:cs="宋体" w:eastAsia="宋体" w:hint="default"/>
          <w:b/>
          <w:bCs/>
          <w:w w:val="99"/>
          <w:sz w:val="21"/>
          <w:szCs w:val="21"/>
        </w:rPr>
        <w:t> </w:t>
      </w:r>
      <w:r>
        <w:rPr>
          <w:rFonts w:ascii="宋体" w:hAnsi="宋体" w:cs="宋体" w:eastAsia="宋体" w:hint="default"/>
          <w:w w:val="95"/>
          <w:sz w:val="21"/>
          <w:szCs w:val="21"/>
        </w:rPr>
        <w:t>截止</w:t>
      </w:r>
      <w:r>
        <w:rPr>
          <w:rFonts w:ascii="Times New Roman" w:hAnsi="Times New Roman" w:cs="Times New Roman" w:eastAsia="Times New Roman" w:hint="default"/>
          <w:w w:val="95"/>
          <w:sz w:val="21"/>
          <w:szCs w:val="21"/>
        </w:rPr>
        <w:t>2014</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12</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31</w:t>
      </w:r>
      <w:r>
        <w:rPr>
          <w:rFonts w:ascii="宋体" w:hAnsi="宋体" w:cs="宋体" w:eastAsia="宋体" w:hint="default"/>
          <w:w w:val="95"/>
          <w:sz w:val="21"/>
          <w:szCs w:val="21"/>
        </w:rPr>
        <w:t>日，本公司合并财务报表范围内子公司如下：</w:t>
      </w:r>
      <w:r>
        <w:rPr>
          <w:rFonts w:ascii="宋体" w:hAnsi="宋体" w:cs="宋体" w:eastAsia="宋体" w:hint="default"/>
          <w:sz w:val="21"/>
          <w:szCs w:val="21"/>
        </w:rPr>
      </w:r>
    </w:p>
    <w:p>
      <w:pPr>
        <w:pStyle w:val="BodyText"/>
        <w:spacing w:line="240" w:lineRule="auto" w:before="14"/>
        <w:ind w:left="2708" w:right="3411"/>
        <w:jc w:val="center"/>
      </w:pPr>
      <w:r>
        <w:rPr/>
        <w:t>子公司名称</w:t>
      </w:r>
    </w:p>
    <w:p>
      <w:pPr>
        <w:spacing w:line="240" w:lineRule="auto" w:before="9"/>
        <w:rPr>
          <w:rFonts w:ascii="宋体" w:hAnsi="宋体" w:cs="宋体" w:eastAsia="宋体" w:hint="default"/>
          <w:sz w:val="4"/>
          <w:szCs w:val="4"/>
        </w:rPr>
      </w:pPr>
    </w:p>
    <w:p>
      <w:pPr>
        <w:spacing w:line="28" w:lineRule="exact"/>
        <w:ind w:left="666" w:right="0" w:firstLine="0"/>
        <w:rPr>
          <w:rFonts w:ascii="宋体" w:hAnsi="宋体" w:cs="宋体" w:eastAsia="宋体" w:hint="default"/>
          <w:sz w:val="2"/>
          <w:szCs w:val="2"/>
        </w:rPr>
      </w:pPr>
      <w:r>
        <w:rPr>
          <w:rFonts w:ascii="宋体" w:hAnsi="宋体" w:cs="宋体" w:eastAsia="宋体" w:hint="default"/>
          <w:position w:val="0"/>
          <w:sz w:val="2"/>
          <w:szCs w:val="2"/>
        </w:rPr>
        <w:pict>
          <v:group style="width:392.35pt;height:1.45pt;mso-position-horizontal-relative:char;mso-position-vertical-relative:line" coordorigin="0,0" coordsize="7847,29">
            <v:group style="position:absolute;left:14;top:14;width:7818;height:2" coordorigin="14,14" coordsize="7818,2">
              <v:shape style="position:absolute;left:14;top:14;width:7818;height:2" coordorigin="14,14" coordsize="7818,0" path="m14,14l7832,14e" filled="false" stroked="true" strokeweight="1.44pt" strokecolor="#000000">
                <v:path arrowok="t"/>
              </v:shape>
            </v:group>
          </v:group>
        </w:pict>
      </w:r>
      <w:r>
        <w:rPr>
          <w:rFonts w:ascii="宋体" w:hAnsi="宋体" w:cs="宋体" w:eastAsia="宋体" w:hint="default"/>
          <w:position w:val="0"/>
          <w:sz w:val="2"/>
          <w:szCs w:val="2"/>
        </w:rPr>
      </w:r>
    </w:p>
    <w:p>
      <w:pPr>
        <w:pStyle w:val="BodyText"/>
        <w:spacing w:line="316" w:lineRule="auto" w:before="0"/>
        <w:ind w:left="691" w:right="4175"/>
        <w:jc w:val="left"/>
      </w:pPr>
      <w:r>
        <w:rPr/>
        <w:pict>
          <v:group style="position:absolute;margin-left:85.050003pt;margin-top:17.5137pt;width:390.9pt;height:.1pt;mso-position-horizontal-relative:page;mso-position-vertical-relative:paragraph;z-index:-625552" coordorigin="1701,350" coordsize="7818,2">
            <v:shape style="position:absolute;left:1701;top:350;width:7818;height:2" coordorigin="1701,350" coordsize="7818,0" path="m1701,350l9519,350e" filled="false" stroked="true" strokeweight="1.44pt" strokecolor="#000000">
              <v:path arrowok="t"/>
            </v:shape>
            <w10:wrap type="none"/>
          </v:group>
        </w:pict>
      </w:r>
      <w:r>
        <w:rPr/>
        <w:pict>
          <v:group style="position:absolute;margin-left:85.050003pt;margin-top:35.613701pt;width:390.9pt;height:.1pt;mso-position-horizontal-relative:page;mso-position-vertical-relative:paragraph;z-index:-625528" coordorigin="1701,712" coordsize="7818,2">
            <v:shape style="position:absolute;left:1701;top:712;width:7818;height:2" coordorigin="1701,712" coordsize="7818,0" path="m1701,712l9519,712e" filled="false" stroked="true" strokeweight="1.44pt" strokecolor="#000000">
              <v:path arrowok="t"/>
            </v:shape>
            <w10:wrap type="none"/>
          </v:group>
        </w:pict>
      </w:r>
      <w:r>
        <w:rPr/>
        <w:pict>
          <v:group style="position:absolute;margin-left:85.050003pt;margin-top:53.713699pt;width:390.9pt;height:.1pt;mso-position-horizontal-relative:page;mso-position-vertical-relative:paragraph;z-index:-625504" coordorigin="1701,1074" coordsize="7818,2">
            <v:shape style="position:absolute;left:1701;top:1074;width:7818;height:2" coordorigin="1701,1074" coordsize="7818,0" path="m1701,1074l9519,1074e" filled="false" stroked="true" strokeweight="1.44pt" strokecolor="#000000">
              <v:path arrowok="t"/>
            </v:shape>
            <w10:wrap type="none"/>
          </v:group>
        </w:pict>
      </w:r>
      <w:r>
        <w:rPr/>
        <w:pict>
          <v:group style="position:absolute;margin-left:85.050003pt;margin-top:71.813698pt;width:390.9pt;height:.1pt;mso-position-horizontal-relative:page;mso-position-vertical-relative:paragraph;z-index:-625480" coordorigin="1701,1436" coordsize="7818,2">
            <v:shape style="position:absolute;left:1701;top:1436;width:7818;height:2" coordorigin="1701,1436" coordsize="7818,0" path="m1701,1436l9519,1436e" filled="false" stroked="true" strokeweight="1.44pt" strokecolor="#000000">
              <v:path arrowok="t"/>
            </v:shape>
            <w10:wrap type="none"/>
          </v:group>
        </w:pict>
      </w:r>
      <w:r>
        <w:rPr/>
        <w:pict>
          <v:group style="position:absolute;margin-left:85.050003pt;margin-top:89.913704pt;width:390.9pt;height:.1pt;mso-position-horizontal-relative:page;mso-position-vertical-relative:paragraph;z-index:-625456" coordorigin="1701,1798" coordsize="7818,2">
            <v:shape style="position:absolute;left:1701;top:1798;width:7818;height:2" coordorigin="1701,1798" coordsize="7818,0" path="m1701,1798l9519,1798e" filled="false" stroked="true" strokeweight="1.44pt" strokecolor="#000000">
              <v:path arrowok="t"/>
            </v:shape>
            <w10:wrap type="none"/>
          </v:group>
        </w:pict>
      </w:r>
      <w:r>
        <w:rPr/>
        <w:pict>
          <v:group style="position:absolute;margin-left:85.050003pt;margin-top:108.013702pt;width:390.9pt;height:.1pt;mso-position-horizontal-relative:page;mso-position-vertical-relative:paragraph;z-index:-625432" coordorigin="1701,2160" coordsize="7818,2">
            <v:shape style="position:absolute;left:1701;top:2160;width:7818;height:2" coordorigin="1701,2160" coordsize="7818,0" path="m1701,2160l9519,2160e" filled="false" stroked="true" strokeweight="1.44pt" strokecolor="#000000">
              <v:path arrowok="t"/>
            </v:shape>
            <w10:wrap type="none"/>
          </v:group>
        </w:pict>
      </w:r>
      <w:r>
        <w:rPr/>
        <w:pict>
          <v:group style="position:absolute;margin-left:85.050003pt;margin-top:126.113701pt;width:390.9pt;height:.1pt;mso-position-horizontal-relative:page;mso-position-vertical-relative:paragraph;z-index:-625408" coordorigin="1701,2522" coordsize="7818,2">
            <v:shape style="position:absolute;left:1701;top:2522;width:7818;height:2" coordorigin="1701,2522" coordsize="7818,0" path="m1701,2522l9519,2522e" filled="false" stroked="true" strokeweight="1.44pt" strokecolor="#000000">
              <v:path arrowok="t"/>
            </v:shape>
            <w10:wrap type="none"/>
          </v:group>
        </w:pict>
      </w:r>
      <w:r>
        <w:rPr/>
        <w:pict>
          <v:group style="position:absolute;margin-left:85.050003pt;margin-top:144.213699pt;width:390.9pt;height:.1pt;mso-position-horizontal-relative:page;mso-position-vertical-relative:paragraph;z-index:-625384" coordorigin="1701,2884" coordsize="7818,2">
            <v:shape style="position:absolute;left:1701;top:2884;width:7818;height:2" coordorigin="1701,2884" coordsize="7818,0" path="m1701,2884l9519,2884e" filled="false" stroked="true" strokeweight="1.44pt" strokecolor="#000000">
              <v:path arrowok="t"/>
            </v:shape>
            <w10:wrap type="none"/>
          </v:group>
        </w:pict>
      </w:r>
      <w:r>
        <w:rPr/>
        <w:pict>
          <v:group style="position:absolute;margin-left:85.050003pt;margin-top:162.313705pt;width:390.9pt;height:.1pt;mso-position-horizontal-relative:page;mso-position-vertical-relative:paragraph;z-index:-625360" coordorigin="1701,3246" coordsize="7818,2">
            <v:shape style="position:absolute;left:1701;top:3246;width:7818;height:2" coordorigin="1701,3246" coordsize="7818,0" path="m1701,3246l9519,3246e" filled="false" stroked="true" strokeweight="1.44pt" strokecolor="#000000">
              <v:path arrowok="t"/>
            </v:shape>
            <w10:wrap type="none"/>
          </v:group>
        </w:pict>
      </w:r>
      <w:r>
        <w:rPr/>
        <w:pict>
          <v:group style="position:absolute;margin-left:85.050003pt;margin-top:180.413696pt;width:390.9pt;height:.1pt;mso-position-horizontal-relative:page;mso-position-vertical-relative:paragraph;z-index:-625336" coordorigin="1701,3608" coordsize="7818,2">
            <v:shape style="position:absolute;left:1701;top:3608;width:7818;height:2" coordorigin="1701,3608" coordsize="7818,0" path="m1701,3608l9519,3608e" filled="false" stroked="true" strokeweight="1.44pt" strokecolor="#000000">
              <v:path arrowok="t"/>
            </v:shape>
            <w10:wrap type="none"/>
          </v:group>
        </w:pict>
      </w:r>
      <w:r>
        <w:rPr/>
        <w:t>上海天天基金销售有限公司</w:t>
      </w:r>
      <w:r>
        <w:rPr>
          <w:w w:val="99"/>
        </w:rPr>
        <w:t> </w:t>
      </w:r>
      <w:r>
        <w:rPr/>
        <w:t>上海东方财富证券研究所有限公司</w:t>
      </w:r>
      <w:r>
        <w:rPr>
          <w:w w:val="99"/>
        </w:rPr>
        <w:t> </w:t>
      </w:r>
      <w:r>
        <w:rPr>
          <w:w w:val="95"/>
        </w:rPr>
        <w:t>上海东方财富金融数据服务有限公司</w:t>
      </w:r>
      <w:r>
        <w:rPr>
          <w:spacing w:val="58"/>
          <w:w w:val="95"/>
        </w:rPr>
        <w:t> </w:t>
      </w:r>
      <w:r>
        <w:rPr>
          <w:spacing w:val="58"/>
          <w:w w:val="95"/>
        </w:rPr>
      </w:r>
      <w:r>
        <w:rPr/>
        <w:t>北京京东财信息科技有限公司</w:t>
      </w:r>
      <w:r>
        <w:rPr>
          <w:w w:val="99"/>
        </w:rPr>
        <w:t> </w:t>
      </w:r>
      <w:r>
        <w:rPr/>
        <w:t>广州东财信息科技有限公司</w:t>
      </w:r>
      <w:r>
        <w:rPr>
          <w:w w:val="99"/>
        </w:rPr>
        <w:t> </w:t>
      </w:r>
      <w:r>
        <w:rPr/>
        <w:t>上海东方财富置业有限公司</w:t>
      </w:r>
      <w:r>
        <w:rPr>
          <w:w w:val="99"/>
        </w:rPr>
        <w:t> </w:t>
      </w:r>
      <w:r>
        <w:rPr/>
        <w:t>上海优优商务咨询有限公司</w:t>
      </w:r>
      <w:r>
        <w:rPr>
          <w:w w:val="99"/>
        </w:rPr>
        <w:t> </w:t>
      </w:r>
      <w:r>
        <w:rPr/>
        <w:t>上海长盛电子商务有限公司</w:t>
      </w:r>
      <w:r>
        <w:rPr>
          <w:w w:val="99"/>
        </w:rPr>
        <w:t> </w:t>
      </w:r>
      <w:r>
        <w:rPr/>
        <w:t>东方财富（香港）有限公司</w:t>
      </w:r>
      <w:r>
        <w:rPr>
          <w:w w:val="99"/>
        </w:rPr>
        <w:t> </w:t>
      </w:r>
      <w:r>
        <w:rPr/>
        <w:t>上海东睿资产管理有限公司</w:t>
      </w:r>
      <w:r>
        <w:rPr>
          <w:w w:val="99"/>
        </w:rPr>
        <w:t> </w:t>
      </w:r>
      <w:r>
        <w:rPr/>
        <w:t>上海东鑫互联网金融服务有限公司</w:t>
      </w:r>
    </w:p>
    <w:p>
      <w:pPr>
        <w:spacing w:line="28" w:lineRule="exact"/>
        <w:ind w:left="666" w:right="0" w:firstLine="0"/>
        <w:rPr>
          <w:rFonts w:ascii="宋体" w:hAnsi="宋体" w:cs="宋体" w:eastAsia="宋体" w:hint="default"/>
          <w:sz w:val="2"/>
          <w:szCs w:val="2"/>
        </w:rPr>
      </w:pPr>
      <w:r>
        <w:rPr>
          <w:rFonts w:ascii="宋体" w:hAnsi="宋体" w:cs="宋体" w:eastAsia="宋体" w:hint="default"/>
          <w:position w:val="0"/>
          <w:sz w:val="2"/>
          <w:szCs w:val="2"/>
        </w:rPr>
        <w:pict>
          <v:group style="width:392.35pt;height:1.45pt;mso-position-horizontal-relative:char;mso-position-vertical-relative:line" coordorigin="0,0" coordsize="7847,29">
            <v:group style="position:absolute;left:14;top:14;width:7818;height:2" coordorigin="14,14" coordsize="7818,2">
              <v:shape style="position:absolute;left:14;top:14;width:7818;height:2" coordorigin="14,14" coordsize="7818,0" path="m14,14l7832,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34"/>
        <w:ind w:left="832" w:right="1682"/>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日，本公司合并财务报表范围内孙公司如下：</w:t>
      </w:r>
    </w:p>
    <w:p>
      <w:pPr>
        <w:spacing w:line="240" w:lineRule="auto" w:before="10"/>
        <w:rPr>
          <w:rFonts w:ascii="宋体" w:hAnsi="宋体" w:cs="宋体" w:eastAsia="宋体" w:hint="default"/>
          <w:sz w:val="2"/>
          <w:szCs w:val="2"/>
        </w:rPr>
      </w:pPr>
    </w:p>
    <w:p>
      <w:pPr>
        <w:spacing w:line="20" w:lineRule="exact"/>
        <w:ind w:left="673" w:right="0" w:firstLine="0"/>
        <w:rPr>
          <w:rFonts w:ascii="宋体" w:hAnsi="宋体" w:cs="宋体" w:eastAsia="宋体" w:hint="default"/>
          <w:sz w:val="2"/>
          <w:szCs w:val="2"/>
        </w:rPr>
      </w:pPr>
      <w:r>
        <w:rPr>
          <w:rFonts w:ascii="宋体" w:hAnsi="宋体" w:cs="宋体" w:eastAsia="宋体" w:hint="default"/>
          <w:sz w:val="2"/>
          <w:szCs w:val="2"/>
        </w:rPr>
        <w:pict>
          <v:group style="width:391.65pt;height:.75pt;mso-position-horizontal-relative:char;mso-position-vertical-relative:line" coordorigin="0,0" coordsize="7833,15">
            <v:group style="position:absolute;left:7;top:7;width:7818;height:2" coordorigin="7,7" coordsize="7818,2">
              <v:shape style="position:absolute;left:7;top:7;width:7818;height:2" coordorigin="7,7" coordsize="7818,0" path="m7,7l78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0"/>
        <w:ind w:left="2708" w:right="3411"/>
        <w:jc w:val="center"/>
      </w:pPr>
      <w:r>
        <w:rPr/>
        <w:t>孙公司名称</w:t>
      </w:r>
    </w:p>
    <w:p>
      <w:pPr>
        <w:spacing w:line="240" w:lineRule="auto" w:before="8"/>
        <w:rPr>
          <w:rFonts w:ascii="宋体" w:hAnsi="宋体" w:cs="宋体" w:eastAsia="宋体" w:hint="default"/>
          <w:sz w:val="4"/>
          <w:szCs w:val="4"/>
        </w:rPr>
      </w:pPr>
    </w:p>
    <w:p>
      <w:pPr>
        <w:spacing w:line="28" w:lineRule="exact"/>
        <w:ind w:left="666" w:right="0" w:firstLine="0"/>
        <w:rPr>
          <w:rFonts w:ascii="宋体" w:hAnsi="宋体" w:cs="宋体" w:eastAsia="宋体" w:hint="default"/>
          <w:sz w:val="2"/>
          <w:szCs w:val="2"/>
        </w:rPr>
      </w:pPr>
      <w:r>
        <w:rPr>
          <w:rFonts w:ascii="宋体" w:hAnsi="宋体" w:cs="宋体" w:eastAsia="宋体" w:hint="default"/>
          <w:position w:val="0"/>
          <w:sz w:val="2"/>
          <w:szCs w:val="2"/>
        </w:rPr>
        <w:pict>
          <v:group style="width:392.35pt;height:1.45pt;mso-position-horizontal-relative:char;mso-position-vertical-relative:line" coordorigin="0,0" coordsize="7847,29">
            <v:group style="position:absolute;left:14;top:14;width:7818;height:2" coordorigin="14,14" coordsize="7818,2">
              <v:shape style="position:absolute;left:14;top:14;width:7818;height:2" coordorigin="14,14" coordsize="7818,0" path="m14,14l7832,14e" filled="false" stroked="true" strokeweight="1.44pt" strokecolor="#000000">
                <v:path arrowok="t"/>
              </v:shape>
            </v:group>
          </v:group>
        </w:pict>
      </w:r>
      <w:r>
        <w:rPr>
          <w:rFonts w:ascii="宋体" w:hAnsi="宋体" w:cs="宋体" w:eastAsia="宋体" w:hint="default"/>
          <w:position w:val="0"/>
          <w:sz w:val="2"/>
          <w:szCs w:val="2"/>
        </w:rPr>
      </w:r>
    </w:p>
    <w:p>
      <w:pPr>
        <w:pStyle w:val="BodyText"/>
        <w:spacing w:line="240" w:lineRule="auto" w:before="0"/>
        <w:ind w:left="691" w:right="1682"/>
        <w:jc w:val="left"/>
      </w:pPr>
      <w:r>
        <w:rPr/>
        <w:t>深圳东财金融数据服务有限公司</w:t>
      </w:r>
    </w:p>
    <w:p>
      <w:pPr>
        <w:spacing w:line="240" w:lineRule="auto" w:before="10"/>
        <w:rPr>
          <w:rFonts w:ascii="宋体" w:hAnsi="宋体" w:cs="宋体" w:eastAsia="宋体" w:hint="default"/>
          <w:sz w:val="4"/>
          <w:szCs w:val="4"/>
        </w:rPr>
      </w:pPr>
    </w:p>
    <w:p>
      <w:pPr>
        <w:spacing w:line="28" w:lineRule="exact"/>
        <w:ind w:left="666" w:right="0" w:firstLine="0"/>
        <w:rPr>
          <w:rFonts w:ascii="宋体" w:hAnsi="宋体" w:cs="宋体" w:eastAsia="宋体" w:hint="default"/>
          <w:sz w:val="2"/>
          <w:szCs w:val="2"/>
        </w:rPr>
      </w:pPr>
      <w:r>
        <w:rPr>
          <w:rFonts w:ascii="宋体" w:hAnsi="宋体" w:cs="宋体" w:eastAsia="宋体" w:hint="default"/>
          <w:position w:val="0"/>
          <w:sz w:val="2"/>
          <w:szCs w:val="2"/>
        </w:rPr>
        <w:pict>
          <v:group style="width:392.35pt;height:1.45pt;mso-position-horizontal-relative:char;mso-position-vertical-relative:line" coordorigin="0,0" coordsize="7847,29">
            <v:group style="position:absolute;left:14;top:14;width:7818;height:2" coordorigin="14,14" coordsize="7818,2">
              <v:shape style="position:absolute;left:14;top:14;width:7818;height:2" coordorigin="14,14" coordsize="7818,0" path="m14,14l7832,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8"/>
          <w:szCs w:val="8"/>
        </w:rPr>
      </w:pPr>
    </w:p>
    <w:p>
      <w:pPr>
        <w:pStyle w:val="BodyText"/>
        <w:spacing w:line="273" w:lineRule="auto" w:before="34"/>
        <w:ind w:left="532" w:right="130"/>
        <w:jc w:val="left"/>
      </w:pPr>
      <w:r>
        <w:rPr/>
        <w:t>深圳东财金融数据服务有限公司系子公司上海东方财富金融数据服务有限公司的全资子公司。</w:t>
      </w:r>
      <w:r>
        <w:rPr>
          <w:w w:val="99"/>
        </w:rPr>
        <w:t> </w:t>
      </w:r>
      <w:r>
        <w:rPr>
          <w:w w:val="95"/>
        </w:rPr>
        <w:t>本期合并财务报表范围及其变化情况详见本附注“八、合并范围的变更”和“九、在其他主体中的权</w:t>
      </w:r>
      <w:r>
        <w:rPr/>
      </w:r>
    </w:p>
    <w:p>
      <w:pPr>
        <w:pStyle w:val="BodyText"/>
        <w:spacing w:line="240" w:lineRule="auto"/>
        <w:ind w:right="1682"/>
        <w:jc w:val="left"/>
      </w:pPr>
      <w:r>
        <w:rPr/>
        <w:t>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4"/>
        <w:spacing w:line="240" w:lineRule="auto"/>
        <w:ind w:right="1682"/>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682"/>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61" w:lineRule="auto" w:before="0"/>
        <w:ind w:left="832" w:right="132"/>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w:t>
      </w:r>
      <w:r>
        <w:rPr>
          <w:w w:val="99"/>
        </w:rPr>
        <w:t> </w:t>
      </w:r>
      <w:r>
        <w:rPr>
          <w:spacing w:val="2"/>
        </w:rPr>
        <w:t>本准则》和各项具体会计准则、企业会计准则应用指南、企业会计准则解释及其他相关规定（以</w:t>
      </w:r>
      <w:r>
        <w:rPr>
          <w:w w:val="99"/>
        </w:rPr>
        <w:t> </w:t>
      </w:r>
      <w:r>
        <w:rPr>
          <w:spacing w:val="-2"/>
          <w:w w:val="95"/>
        </w:rPr>
        <w:t>下合称</w:t>
      </w:r>
      <w:r>
        <w:rPr>
          <w:rFonts w:ascii="Times New Roman" w:hAnsi="Times New Roman" w:cs="Times New Roman" w:eastAsia="Times New Roman" w:hint="default"/>
          <w:spacing w:val="-2"/>
          <w:w w:val="95"/>
        </w:rPr>
        <w:t>“</w:t>
      </w:r>
      <w:r>
        <w:rPr>
          <w:spacing w:val="-2"/>
          <w:w w:val="95"/>
        </w:rPr>
        <w:t>企业会计准则</w:t>
      </w:r>
      <w:r>
        <w:rPr>
          <w:rFonts w:ascii="Times New Roman" w:hAnsi="Times New Roman" w:cs="Times New Roman" w:eastAsia="Times New Roman" w:hint="default"/>
          <w:spacing w:val="-2"/>
          <w:w w:val="95"/>
        </w:rPr>
        <w:t>”</w:t>
      </w:r>
      <w:r>
        <w:rPr>
          <w:spacing w:val="-2"/>
          <w:w w:val="95"/>
        </w:rPr>
        <w:t>），以及中国证券监督管理委员会《公开发行证券的公司信息披露编报规则</w:t>
      </w:r>
      <w:r>
        <w:rPr>
          <w:spacing w:val="31"/>
          <w:w w:val="95"/>
        </w:rPr>
        <w:t> </w:t>
      </w:r>
      <w:r>
        <w:rPr>
          <w:spacing w:val="31"/>
          <w:w w:val="95"/>
        </w:rPr>
      </w:r>
      <w:r>
        <w:rPr/>
        <w:t>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财务报告的一般规定》的披露规定编制财务报表。</w:t>
      </w:r>
    </w:p>
    <w:p>
      <w:pPr>
        <w:spacing w:after="0" w:line="261" w:lineRule="auto"/>
        <w:jc w:val="both"/>
        <w:sectPr>
          <w:footerReference w:type="default" r:id="rId31"/>
          <w:pgSz w:w="11910" w:h="16840"/>
          <w:pgMar w:footer="978" w:header="776" w:top="1100" w:bottom="1160" w:left="1020" w:right="1000"/>
          <w:pgNumType w:start="7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5"/>
        <w:spacing w:line="240" w:lineRule="auto" w:before="34"/>
        <w:ind w:right="105"/>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832" w:right="210"/>
        <w:jc w:val="left"/>
      </w:pPr>
      <w:r>
        <w:rPr>
          <w:spacing w:val="2"/>
        </w:rPr>
        <w:t>公司综合考虑宏观政策风险、市场经营风险、企业目前或长期的盈利能力、偿债能力、财务弹性</w:t>
      </w:r>
      <w:r>
        <w:rPr>
          <w:w w:val="99"/>
        </w:rPr>
        <w:t> </w:t>
      </w:r>
      <w:r>
        <w:rPr/>
        <w:t>等因素，认为公司具有自报告期末起至少</w:t>
      </w:r>
      <w:r>
        <w:rPr>
          <w:rFonts w:ascii="Times New Roman" w:hAnsi="Times New Roman" w:cs="Times New Roman" w:eastAsia="Times New Roman" w:hint="default"/>
        </w:rPr>
        <w:t>12</w:t>
      </w:r>
      <w:r>
        <w:rPr/>
        <w:t>个月的持续经营能力。</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2"/>
          <w:szCs w:val="22"/>
        </w:rPr>
      </w:pPr>
    </w:p>
    <w:p>
      <w:pPr>
        <w:pStyle w:val="Heading4"/>
        <w:spacing w:line="240" w:lineRule="auto"/>
        <w:ind w:right="105"/>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73" w:lineRule="auto" w:before="92"/>
        <w:ind w:left="832" w:right="210"/>
        <w:jc w:val="left"/>
      </w:pPr>
      <w:r>
        <w:rPr>
          <w:spacing w:val="2"/>
        </w:rPr>
        <w:t>以下披露内容已涵盖了本公司根据实际生产经营特点制定的具体会计政策和会计估计。详见本附</w:t>
      </w:r>
      <w:r>
        <w:rPr>
          <w:w w:val="99"/>
        </w:rPr>
        <w:t> </w:t>
      </w:r>
      <w:r>
        <w:rPr/>
        <w:t>注“五、（二十二）收入”、“七、（二十六）营业收入和营业成本”。</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5"/>
        <w:spacing w:line="240" w:lineRule="auto"/>
        <w:ind w:right="105"/>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832" w:right="210"/>
        <w:jc w:val="left"/>
      </w:pPr>
      <w:r>
        <w:rPr>
          <w:spacing w:val="2"/>
        </w:rPr>
        <w:t>公司所编制的财务报表符合企业会计准则的要求，真实、完整地反映了报告期公司的财务状况、</w:t>
      </w:r>
      <w:r>
        <w:rPr>
          <w:w w:val="99"/>
        </w:rPr>
        <w:t> </w:t>
      </w:r>
      <w:r>
        <w:rPr/>
        <w:t>经营成果、现金流量等有关信息。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05"/>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832" w:right="105"/>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832" w:right="105"/>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105"/>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832" w:right="105"/>
        <w:jc w:val="left"/>
      </w:pPr>
      <w:r>
        <w:rPr/>
        <w:t>本公司采用人民币为记账本位币。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5"/>
        <w:spacing w:line="240" w:lineRule="auto"/>
        <w:ind w:right="105"/>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832" w:right="105"/>
        <w:jc w:val="left"/>
      </w:pPr>
      <w:r>
        <w:rPr>
          <w:spacing w:val="2"/>
        </w:rPr>
        <w:t>同一控制下企业合并：本公司在企业合并中取得的资产和负债，按照合并日在被合并方资产、负</w:t>
      </w:r>
      <w:r>
        <w:rPr>
          <w:w w:val="99"/>
        </w:rPr>
        <w:t> </w:t>
      </w:r>
      <w:r>
        <w:rPr>
          <w:w w:val="95"/>
        </w:rPr>
        <w:t>债（包括最终控制方收购被合并方而形成的商誉）在最终控制方合并财务报表中的账面价值计量。</w:t>
      </w:r>
      <w:r>
        <w:rPr>
          <w:spacing w:val="25"/>
          <w:w w:val="95"/>
        </w:rPr>
        <w:t> </w:t>
      </w:r>
      <w:r>
        <w:rPr>
          <w:spacing w:val="25"/>
          <w:w w:val="95"/>
        </w:rPr>
      </w:r>
      <w:r>
        <w:rPr>
          <w:spacing w:val="2"/>
        </w:rPr>
        <w:t>在合并中取得的净资产账面价值与支付的合并对价账面价值（或发行股份面值总额）的差额，调</w:t>
      </w:r>
      <w:r>
        <w:rPr>
          <w:w w:val="99"/>
        </w:rPr>
        <w:t> </w:t>
      </w:r>
      <w:r>
        <w:rPr/>
        <w:t>整资本公积中的股本溢价，资本公积中的股本溢价不足冲减的，调整留存收益。</w:t>
      </w:r>
      <w:r>
        <w:rPr>
          <w:w w:val="99"/>
        </w:rPr>
        <w:t> </w:t>
      </w:r>
      <w:r>
        <w:rPr>
          <w:spacing w:val="2"/>
        </w:rPr>
        <w:t>非同一控制下企业合并：本公司在购买日对作为企业合并对价付出的资产、发生或承担的负债按</w:t>
      </w:r>
      <w:r>
        <w:rPr>
          <w:w w:val="99"/>
        </w:rPr>
        <w:t> </w:t>
      </w:r>
      <w:r>
        <w:rPr>
          <w:spacing w:val="2"/>
        </w:rPr>
        <w:t>照公允价值计量，公允价值与其账面价值的差额，计入当期损益。本公司对合并成本大于合并中</w:t>
      </w:r>
      <w:r>
        <w:rPr>
          <w:w w:val="99"/>
        </w:rPr>
        <w:t> </w:t>
      </w:r>
      <w:r>
        <w:rPr>
          <w:spacing w:val="2"/>
        </w:rPr>
        <w:t>取得的被购买方可辨认净资产公允价值份额的差额，确认为商誉；合并成本小于合并中取得的被</w:t>
      </w:r>
    </w:p>
    <w:p>
      <w:pPr>
        <w:spacing w:after="0" w:line="273" w:lineRule="auto"/>
        <w:jc w:val="left"/>
        <w:sectPr>
          <w:pgSz w:w="11910" w:h="16840"/>
          <w:pgMar w:header="776" w:footer="978" w:top="1100" w:bottom="1160" w:left="1020" w:right="920"/>
        </w:sectPr>
      </w:pPr>
    </w:p>
    <w:p>
      <w:pPr>
        <w:spacing w:line="240" w:lineRule="auto" w:before="12"/>
        <w:rPr>
          <w:rFonts w:ascii="宋体" w:hAnsi="宋体" w:cs="宋体" w:eastAsia="宋体" w:hint="default"/>
          <w:sz w:val="20"/>
          <w:szCs w:val="20"/>
        </w:rPr>
      </w:pPr>
    </w:p>
    <w:p>
      <w:pPr>
        <w:pStyle w:val="BodyText"/>
        <w:spacing w:line="273" w:lineRule="auto" w:before="34"/>
        <w:ind w:left="832" w:right="130"/>
        <w:jc w:val="left"/>
      </w:pPr>
      <w:r>
        <w:rPr/>
        <w:t>购买方可辨认净资产公允价值份额的差额，经复核后，计入当期损益。</w:t>
      </w:r>
      <w:r>
        <w:rPr>
          <w:w w:val="99"/>
        </w:rPr>
        <w:t> </w:t>
      </w:r>
      <w:r>
        <w:rPr>
          <w:spacing w:val="2"/>
        </w:rPr>
        <w:t>为企业合并发生的审计、法律服务、评估咨询等中介费用以及其他直接相关费用，于发生时计入</w:t>
      </w:r>
      <w:r>
        <w:rPr>
          <w:w w:val="99"/>
        </w:rPr>
        <w:t> </w:t>
      </w:r>
      <w:r>
        <w:rPr/>
        <w:t>当期损益；为企业合并而发行权益性证券的交易费用，冲减权益。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682"/>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64" w:lineRule="auto" w:before="0"/>
        <w:ind w:left="1372" w:right="130" w:hanging="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w w:val="95"/>
        </w:rPr>
        <w:t>本公司合并财务报表的合并范围以控制为基础确定，所有子公司（包括本公司所控制的被投</w:t>
      </w:r>
      <w:r>
        <w:rPr>
          <w:spacing w:val="77"/>
          <w:w w:val="95"/>
        </w:rPr>
        <w:t> </w:t>
      </w:r>
      <w:r>
        <w:rPr>
          <w:spacing w:val="77"/>
          <w:w w:val="95"/>
        </w:rPr>
      </w:r>
      <w:r>
        <w:rPr/>
        <w:t>资方可分割的部分）均纳入合并财务报表。</w:t>
      </w:r>
    </w:p>
    <w:p>
      <w:pPr>
        <w:spacing w:line="240" w:lineRule="auto" w:before="1"/>
        <w:rPr>
          <w:rFonts w:ascii="宋体" w:hAnsi="宋体" w:cs="宋体" w:eastAsia="宋体" w:hint="default"/>
          <w:sz w:val="25"/>
          <w:szCs w:val="25"/>
        </w:rPr>
      </w:pPr>
    </w:p>
    <w:p>
      <w:pPr>
        <w:pStyle w:val="BodyText"/>
        <w:spacing w:line="271" w:lineRule="auto" w:before="0"/>
        <w:ind w:left="1372" w:right="112" w:hanging="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w w:val="95"/>
        </w:rPr>
        <w:t>本公司以自身和各子公司的财务报表为基础，根据其他有关资料，编制合并财务报表。本公</w:t>
      </w:r>
      <w:r>
        <w:rPr>
          <w:spacing w:val="80"/>
          <w:w w:val="95"/>
        </w:rPr>
        <w:t> </w:t>
      </w:r>
      <w:r>
        <w:rPr>
          <w:spacing w:val="80"/>
          <w:w w:val="95"/>
        </w:rPr>
      </w:r>
      <w:r>
        <w:rPr>
          <w:w w:val="95"/>
        </w:rPr>
        <w:t>司编制合并财务报表，将整个企业集团视为一个会计主体，依据相关企业会计准则的确认、</w:t>
      </w:r>
      <w:r>
        <w:rPr>
          <w:spacing w:val="98"/>
          <w:w w:val="95"/>
        </w:rPr>
        <w:t> </w:t>
      </w:r>
      <w:r>
        <w:rPr>
          <w:spacing w:val="98"/>
          <w:w w:val="95"/>
        </w:rPr>
      </w:r>
      <w:r>
        <w:rPr>
          <w:w w:val="95"/>
        </w:rPr>
        <w:t>计量和列报要求，按照统一的会计政策，反映本企业集团整体财务状况、经营成果和现金流  </w:t>
      </w:r>
      <w:r>
        <w:rPr>
          <w:spacing w:val="80"/>
          <w:w w:val="95"/>
        </w:rPr>
        <w:t> </w:t>
      </w:r>
      <w:r>
        <w:rPr>
          <w:spacing w:val="80"/>
          <w:w w:val="95"/>
        </w:rPr>
      </w:r>
      <w:r>
        <w:rPr/>
        <w:t>量。</w:t>
      </w:r>
      <w:r>
        <w:rPr>
          <w:w w:val="99"/>
        </w:rPr>
        <w:t> </w:t>
      </w:r>
      <w:r>
        <w:rPr>
          <w:w w:val="95"/>
        </w:rPr>
        <w:t>所有纳入合并财务报表合并范围的子公司所采用的会计政策、会计期间与本公司一致，如子</w:t>
      </w:r>
      <w:r>
        <w:rPr>
          <w:spacing w:val="74"/>
          <w:w w:val="95"/>
        </w:rPr>
        <w:t> </w:t>
      </w:r>
      <w:r>
        <w:rPr>
          <w:spacing w:val="74"/>
          <w:w w:val="95"/>
        </w:rPr>
      </w:r>
      <w:r>
        <w:rPr>
          <w:w w:val="95"/>
        </w:rPr>
        <w:t>公司采用的会计政策、会计期间与本公司不一致的，在编制合并财务报表时，按本公司的会</w:t>
      </w:r>
      <w:r>
        <w:rPr>
          <w:spacing w:val="80"/>
          <w:w w:val="95"/>
        </w:rPr>
        <w:t> </w:t>
      </w:r>
      <w:r>
        <w:rPr>
          <w:spacing w:val="80"/>
          <w:w w:val="95"/>
        </w:rPr>
      </w:r>
      <w:r>
        <w:rPr>
          <w:w w:val="95"/>
        </w:rPr>
        <w:t>计政策、会计期间进行必要的调整。对于非同一控制下企业合并取得的子公司，以购买日可</w:t>
      </w:r>
      <w:r>
        <w:rPr>
          <w:spacing w:val="77"/>
          <w:w w:val="95"/>
        </w:rPr>
        <w:t> </w:t>
      </w:r>
      <w:r>
        <w:rPr>
          <w:spacing w:val="77"/>
          <w:w w:val="95"/>
        </w:rPr>
      </w:r>
      <w:r>
        <w:rPr>
          <w:spacing w:val="5"/>
        </w:rPr>
        <w:t>辨认净资产公允价值为基础对其财务报表进行调整。对于同一控制下企业合并取得的子公</w:t>
      </w:r>
      <w:r>
        <w:rPr>
          <w:w w:val="99"/>
        </w:rPr>
        <w:t> </w:t>
      </w:r>
      <w:r>
        <w:rPr>
          <w:w w:val="95"/>
        </w:rPr>
        <w:t>司，以其资产、负债（包括最终控制方收购该子公司而形成的商誉）在最终控制方财务报表</w:t>
      </w:r>
      <w:r>
        <w:rPr>
          <w:spacing w:val="81"/>
          <w:w w:val="95"/>
        </w:rPr>
        <w:t> </w:t>
      </w:r>
      <w:r>
        <w:rPr>
          <w:spacing w:val="81"/>
          <w:w w:val="95"/>
        </w:rPr>
      </w:r>
      <w:r>
        <w:rPr/>
        <w:t>中的账面价值为基础对其财务报表进行调整。</w:t>
      </w:r>
      <w:r>
        <w:rPr>
          <w:w w:val="99"/>
        </w:rPr>
        <w:t> </w:t>
      </w:r>
      <w:r>
        <w:rPr>
          <w:w w:val="95"/>
        </w:rPr>
        <w:t>子公司所有者权益、当期净损益和当期综合收益中属于少数股东的份额分别在合并资产负债</w:t>
      </w:r>
      <w:r>
        <w:rPr>
          <w:spacing w:val="76"/>
          <w:w w:val="95"/>
        </w:rPr>
        <w:t> </w:t>
      </w:r>
      <w:r>
        <w:rPr>
          <w:spacing w:val="76"/>
          <w:w w:val="95"/>
        </w:rPr>
      </w:r>
      <w:r>
        <w:rPr>
          <w:w w:val="95"/>
        </w:rPr>
        <w:t>表中所有者权益项目下、合并利润表中净利润项目下和综合收益总额项目下单独列示。子公</w:t>
      </w:r>
      <w:r>
        <w:rPr>
          <w:spacing w:val="74"/>
          <w:w w:val="95"/>
        </w:rPr>
        <w:t> </w:t>
      </w:r>
      <w:r>
        <w:rPr>
          <w:spacing w:val="74"/>
          <w:w w:val="95"/>
        </w:rPr>
      </w:r>
      <w:r>
        <w:rPr>
          <w:spacing w:val="5"/>
        </w:rPr>
        <w:t>司少数股东分担的当期亏损超过了少数股东在该子公司期初所有者权益中所享有份额而形</w:t>
      </w:r>
      <w:r>
        <w:rPr>
          <w:w w:val="99"/>
        </w:rPr>
        <w:t> </w:t>
      </w:r>
      <w:r>
        <w:rPr/>
        <w:t>成的余额，冲减少数股东权益。</w:t>
      </w:r>
    </w:p>
    <w:p>
      <w:pPr>
        <w:pStyle w:val="BodyText"/>
        <w:spacing w:line="271" w:lineRule="auto" w:before="10"/>
        <w:ind w:left="1372" w:right="130"/>
        <w:jc w:val="left"/>
      </w:pPr>
      <w:r>
        <w:rPr>
          <w:rFonts w:ascii="Times New Roman" w:hAnsi="Times New Roman" w:cs="Times New Roman" w:eastAsia="Times New Roman" w:hint="default"/>
        </w:rPr>
        <w:t>1</w:t>
      </w:r>
      <w:r>
        <w:rPr/>
        <w:t>）增加子公司或业务</w:t>
      </w:r>
      <w:r>
        <w:rPr>
          <w:w w:val="99"/>
        </w:rPr>
        <w:t> </w:t>
      </w:r>
      <w:r>
        <w:rPr>
          <w:w w:val="95"/>
        </w:rPr>
        <w:t>在报告期内，若因同一控制下企业合并增加子公司或业务的，则调整合并资产负债表的期初</w:t>
      </w:r>
      <w:r>
        <w:rPr>
          <w:spacing w:val="80"/>
          <w:w w:val="95"/>
        </w:rPr>
        <w:t> </w:t>
      </w:r>
      <w:r>
        <w:rPr>
          <w:spacing w:val="80"/>
          <w:w w:val="95"/>
        </w:rPr>
      </w:r>
      <w:r>
        <w:rPr>
          <w:w w:val="95"/>
        </w:rPr>
        <w:t>数；将子公司或业务合并当期期初至报告期末的收入、费用、利润纳入合并利润表；将子公</w:t>
      </w:r>
      <w:r>
        <w:rPr>
          <w:spacing w:val="82"/>
          <w:w w:val="95"/>
        </w:rPr>
        <w:t> </w:t>
      </w:r>
      <w:r>
        <w:rPr>
          <w:spacing w:val="82"/>
          <w:w w:val="95"/>
        </w:rPr>
      </w:r>
      <w:r>
        <w:rPr>
          <w:w w:val="95"/>
        </w:rPr>
        <w:t>司或业务合并当期期初至报告期末的现金流量纳入合并现金流量表，同时对比较报表的相关</w:t>
      </w:r>
      <w:r>
        <w:rPr>
          <w:spacing w:val="77"/>
          <w:w w:val="95"/>
        </w:rPr>
        <w:t> </w:t>
      </w:r>
      <w:r>
        <w:rPr>
          <w:spacing w:val="77"/>
          <w:w w:val="95"/>
        </w:rPr>
      </w:r>
      <w:r>
        <w:rPr/>
        <w:t>项目进行调整，视同合并后的报告主体自最终控制方开始控制时点起一直存在。</w:t>
      </w:r>
      <w:r>
        <w:rPr>
          <w:w w:val="99"/>
        </w:rPr>
        <w:t> </w:t>
      </w:r>
      <w:r>
        <w:rPr>
          <w:w w:val="95"/>
        </w:rPr>
        <w:t>因追加投资等原因能够对同一控制下的被投资方实施控制的，视同参与合并的各方在最终控</w:t>
      </w:r>
      <w:r>
        <w:rPr>
          <w:spacing w:val="79"/>
          <w:w w:val="95"/>
        </w:rPr>
        <w:t> </w:t>
      </w:r>
      <w:r>
        <w:rPr>
          <w:spacing w:val="79"/>
          <w:w w:val="95"/>
        </w:rPr>
      </w:r>
      <w:r>
        <w:rPr>
          <w:spacing w:val="5"/>
          <w:w w:val="95"/>
        </w:rPr>
        <w:t>制方开始控制时即以目前的状态存在进行调整。在取得被合并方控制权之前持有的股权投</w:t>
      </w:r>
      <w:r>
        <w:rPr>
          <w:spacing w:val="80"/>
          <w:w w:val="95"/>
        </w:rPr>
        <w:t> </w:t>
      </w:r>
      <w:r>
        <w:rPr>
          <w:spacing w:val="80"/>
          <w:w w:val="95"/>
        </w:rPr>
      </w:r>
      <w:r>
        <w:rPr>
          <w:w w:val="95"/>
        </w:rPr>
        <w:t>资，在取得原股权之日与合并方和被合并方同处于同一控制之日孰晚日起至合并日之间已确</w:t>
      </w:r>
      <w:r>
        <w:rPr>
          <w:spacing w:val="77"/>
          <w:w w:val="95"/>
        </w:rPr>
        <w:t> </w:t>
      </w:r>
      <w:r>
        <w:rPr>
          <w:spacing w:val="77"/>
          <w:w w:val="95"/>
        </w:rPr>
      </w:r>
      <w:r>
        <w:rPr>
          <w:w w:val="95"/>
        </w:rPr>
        <w:t>认有关损益、其他综合收益以及其他净资产变动，分别冲减比较报表期间的期初留存收益或</w:t>
      </w:r>
      <w:r>
        <w:rPr>
          <w:spacing w:val="77"/>
          <w:w w:val="95"/>
        </w:rPr>
        <w:t> </w:t>
      </w:r>
      <w:r>
        <w:rPr>
          <w:spacing w:val="77"/>
          <w:w w:val="95"/>
        </w:rPr>
      </w:r>
      <w:r>
        <w:rPr/>
        <w:t>当期损益。</w:t>
      </w:r>
      <w:r>
        <w:rPr>
          <w:w w:val="99"/>
        </w:rPr>
        <w:t> </w:t>
      </w:r>
      <w:r>
        <w:rPr>
          <w:w w:val="95"/>
        </w:rPr>
        <w:t>在报告期内，若因非同一控制下企业合并增加子公司或业务的，则不调整合并资产负债表期</w:t>
      </w:r>
      <w:r>
        <w:rPr>
          <w:spacing w:val="77"/>
          <w:w w:val="95"/>
        </w:rPr>
        <w:t> </w:t>
      </w:r>
      <w:r>
        <w:rPr>
          <w:spacing w:val="77"/>
          <w:w w:val="95"/>
        </w:rPr>
      </w:r>
      <w:r>
        <w:rPr>
          <w:w w:val="95"/>
        </w:rPr>
        <w:t>初数；将该子公司或业务自购买日至报告期末的收入、费用、利润纳入合并利润表；该子公</w:t>
      </w:r>
      <w:r>
        <w:rPr>
          <w:spacing w:val="82"/>
          <w:w w:val="95"/>
        </w:rPr>
        <w:t> </w:t>
      </w:r>
      <w:r>
        <w:rPr>
          <w:spacing w:val="82"/>
          <w:w w:val="95"/>
        </w:rPr>
      </w:r>
      <w:r>
        <w:rPr/>
        <w:t>司或业务自购买日至报告期末的现金流量纳入合并现金流量表。</w:t>
      </w:r>
      <w:r>
        <w:rPr>
          <w:w w:val="99"/>
        </w:rPr>
        <w:t> </w:t>
      </w:r>
      <w:r>
        <w:rPr>
          <w:w w:val="95"/>
        </w:rPr>
        <w:t>因追加投资等原因能够对非同一控制下的被投资方实施控制的，对于购买日之前持有的被购</w:t>
      </w:r>
      <w:r>
        <w:rPr>
          <w:spacing w:val="77"/>
          <w:w w:val="95"/>
        </w:rPr>
        <w:t> </w:t>
      </w:r>
      <w:r>
        <w:rPr>
          <w:spacing w:val="77"/>
          <w:w w:val="95"/>
        </w:rPr>
      </w:r>
      <w:r>
        <w:rPr>
          <w:w w:val="95"/>
        </w:rPr>
        <w:t>买方的股权，本公司按照该股权在购买日的公允价值进行重新计量，公允价值与其账面价值</w:t>
      </w:r>
      <w:r>
        <w:rPr>
          <w:spacing w:val="78"/>
          <w:w w:val="95"/>
        </w:rPr>
        <w:t> </w:t>
      </w:r>
      <w:r>
        <w:rPr>
          <w:spacing w:val="78"/>
          <w:w w:val="95"/>
        </w:rPr>
      </w:r>
      <w:r>
        <w:rPr>
          <w:w w:val="95"/>
        </w:rPr>
        <w:t>的差额计入当期投资收益。购买日之前持有的被购买方的股权涉及权益法核算下的其他综合</w:t>
      </w:r>
      <w:r>
        <w:rPr>
          <w:spacing w:val="77"/>
          <w:w w:val="95"/>
        </w:rPr>
        <w:t> </w:t>
      </w:r>
      <w:r>
        <w:rPr>
          <w:spacing w:val="77"/>
          <w:w w:val="95"/>
        </w:rPr>
      </w:r>
      <w:r>
        <w:rPr>
          <w:w w:val="95"/>
        </w:rPr>
        <w:t>收益以及除净损益、其他综合收益和利润分配之外的其他所有者权益变动的，与其相关的其</w:t>
      </w:r>
      <w:r>
        <w:rPr>
          <w:spacing w:val="77"/>
          <w:w w:val="95"/>
        </w:rPr>
        <w:t> </w:t>
      </w:r>
      <w:r>
        <w:rPr>
          <w:spacing w:val="77"/>
          <w:w w:val="95"/>
        </w:rPr>
      </w:r>
      <w:r>
        <w:rPr>
          <w:w w:val="95"/>
        </w:rPr>
        <w:t>他综合收益、其他所有者权益变动转为购买日所属当期投资收益，由于被投资方重新计量设</w:t>
      </w:r>
      <w:r>
        <w:rPr/>
      </w:r>
    </w:p>
    <w:p>
      <w:pPr>
        <w:spacing w:after="0" w:line="271" w:lineRule="auto"/>
        <w:jc w:val="left"/>
        <w:sectPr>
          <w:pgSz w:w="11910" w:h="16840"/>
          <w:pgMar w:header="776" w:footer="978" w:top="1100" w:bottom="1160" w:left="1020" w:right="1000"/>
        </w:sectPr>
      </w:pPr>
    </w:p>
    <w:p>
      <w:pPr>
        <w:spacing w:line="240" w:lineRule="auto" w:before="12"/>
        <w:rPr>
          <w:rFonts w:ascii="宋体" w:hAnsi="宋体" w:cs="宋体" w:eastAsia="宋体" w:hint="default"/>
          <w:sz w:val="20"/>
          <w:szCs w:val="20"/>
        </w:rPr>
      </w:pPr>
    </w:p>
    <w:p>
      <w:pPr>
        <w:pStyle w:val="BodyText"/>
        <w:spacing w:line="240" w:lineRule="auto" w:before="34"/>
        <w:ind w:left="1372" w:right="1682"/>
        <w:jc w:val="left"/>
      </w:pPr>
      <w:r>
        <w:rPr/>
        <w:t>定受益计划净负债或净资产变动而产生的其他综合收益除外。</w:t>
      </w:r>
    </w:p>
    <w:p>
      <w:pPr>
        <w:pStyle w:val="BodyText"/>
        <w:spacing w:line="271" w:lineRule="auto" w:before="37"/>
        <w:ind w:left="1372" w:right="130"/>
        <w:jc w:val="left"/>
      </w:pPr>
      <w:r>
        <w:rPr>
          <w:rFonts w:ascii="Times New Roman" w:hAnsi="Times New Roman" w:cs="Times New Roman" w:eastAsia="Times New Roman" w:hint="default"/>
        </w:rPr>
        <w:t>2</w:t>
      </w:r>
      <w:r>
        <w:rPr/>
        <w:t>）处置子公司或业务</w:t>
      </w:r>
      <w:r>
        <w:rPr>
          <w:w w:val="99"/>
        </w:rPr>
        <w:t> </w:t>
      </w:r>
      <w:r>
        <w:rPr>
          <w:w w:val="95"/>
        </w:rPr>
        <w:t>在报告期内，本公司处置子公司或业务，则该子公司或业务期初至处置日的收入、费用、利</w:t>
      </w:r>
      <w:r>
        <w:rPr>
          <w:spacing w:val="84"/>
          <w:w w:val="95"/>
        </w:rPr>
        <w:t> </w:t>
      </w:r>
      <w:r>
        <w:rPr>
          <w:spacing w:val="84"/>
          <w:w w:val="95"/>
        </w:rPr>
      </w:r>
      <w:r>
        <w:rPr/>
        <w:t>润纳入合并利润表；该子公司或业务期初至处置日的现金流量纳入合并现金流量表。</w:t>
      </w:r>
      <w:r>
        <w:rPr>
          <w:w w:val="99"/>
        </w:rPr>
        <w:t> </w:t>
      </w:r>
      <w:r>
        <w:rPr>
          <w:w w:val="95"/>
        </w:rPr>
        <w:t>因处置部分股权投资或其他原因丧失了对被投资方控制权时，对于处置后的剩余股权投资，</w:t>
      </w:r>
      <w:r>
        <w:rPr>
          <w:spacing w:val="1"/>
          <w:w w:val="95"/>
        </w:rPr>
        <w:t> </w:t>
      </w:r>
      <w:r>
        <w:rPr>
          <w:spacing w:val="1"/>
          <w:w w:val="95"/>
        </w:rPr>
      </w:r>
      <w:r>
        <w:rPr>
          <w:w w:val="95"/>
        </w:rPr>
        <w:t>本公司按照其在丧失控制权日的公允价值进行重新计量。处置股权取得的对价与剩余股权公</w:t>
      </w:r>
      <w:r>
        <w:rPr>
          <w:spacing w:val="79"/>
          <w:w w:val="95"/>
        </w:rPr>
        <w:t> </w:t>
      </w:r>
      <w:r>
        <w:rPr>
          <w:spacing w:val="79"/>
          <w:w w:val="95"/>
        </w:rPr>
      </w:r>
      <w:r>
        <w:rPr>
          <w:w w:val="95"/>
        </w:rPr>
        <w:t>允价值之和，减去按原持股比例计算应享有原有子公司自购买日或合并日开始持续计算的净</w:t>
      </w:r>
      <w:r>
        <w:rPr>
          <w:spacing w:val="77"/>
          <w:w w:val="95"/>
        </w:rPr>
        <w:t> </w:t>
      </w:r>
      <w:r>
        <w:rPr>
          <w:spacing w:val="77"/>
          <w:w w:val="95"/>
        </w:rPr>
      </w:r>
      <w:r>
        <w:rPr>
          <w:w w:val="95"/>
        </w:rPr>
        <w:t>资产的份额与商誉之和的差额，计入丧失控制权当期的投资收益。与原有子公司股权投资相</w:t>
      </w:r>
      <w:r>
        <w:rPr>
          <w:spacing w:val="80"/>
          <w:w w:val="95"/>
        </w:rPr>
        <w:t> </w:t>
      </w:r>
      <w:r>
        <w:rPr>
          <w:spacing w:val="80"/>
          <w:w w:val="95"/>
        </w:rPr>
      </w:r>
      <w:r>
        <w:rPr>
          <w:w w:val="95"/>
        </w:rPr>
        <w:t>关的其他综合收益或除净损益、其他综合收益及利润分配之外的其他所有者权益变动，在丧</w:t>
      </w:r>
      <w:r>
        <w:rPr>
          <w:spacing w:val="78"/>
          <w:w w:val="95"/>
        </w:rPr>
        <w:t> </w:t>
      </w:r>
      <w:r>
        <w:rPr>
          <w:spacing w:val="78"/>
          <w:w w:val="95"/>
        </w:rPr>
      </w:r>
      <w:r>
        <w:rPr>
          <w:w w:val="95"/>
        </w:rPr>
        <w:t>失控制权时转为当期投资收益，由于被投资方重新计量设定受益计划净负债或净资产变动而</w:t>
      </w:r>
      <w:r>
        <w:rPr>
          <w:spacing w:val="77"/>
          <w:w w:val="95"/>
        </w:rPr>
        <w:t> </w:t>
      </w:r>
      <w:r>
        <w:rPr>
          <w:spacing w:val="77"/>
          <w:w w:val="95"/>
        </w:rPr>
      </w:r>
      <w:r>
        <w:rPr/>
        <w:t>产生的其他综合收益除外。</w:t>
      </w:r>
    </w:p>
    <w:p>
      <w:pPr>
        <w:pStyle w:val="BodyText"/>
        <w:spacing w:line="268" w:lineRule="auto" w:before="10"/>
        <w:ind w:left="1372" w:right="130"/>
        <w:jc w:val="left"/>
      </w:pPr>
      <w:r>
        <w:rPr>
          <w:rFonts w:ascii="Times New Roman" w:hAnsi="Times New Roman" w:cs="Times New Roman" w:eastAsia="Times New Roman" w:hint="default"/>
        </w:rPr>
        <w:t>3</w:t>
      </w:r>
      <w:r>
        <w:rPr/>
        <w:t>）购买子公司少数股权</w:t>
      </w:r>
      <w:r>
        <w:rPr>
          <w:w w:val="99"/>
        </w:rPr>
        <w:t> </w:t>
      </w:r>
      <w:r>
        <w:rPr>
          <w:spacing w:val="5"/>
          <w:w w:val="95"/>
        </w:rPr>
        <w:t>本公司因购买少数股权新取得的长期股权投资与按照新增持股比例计算应享有子公司自购</w:t>
      </w:r>
      <w:r>
        <w:rPr>
          <w:spacing w:val="80"/>
          <w:w w:val="95"/>
        </w:rPr>
        <w:t> </w:t>
      </w:r>
      <w:r>
        <w:rPr>
          <w:spacing w:val="80"/>
          <w:w w:val="95"/>
        </w:rPr>
      </w:r>
      <w:r>
        <w:rPr>
          <w:w w:val="95"/>
        </w:rPr>
        <w:t>买日（或合并日）开始持续计算的净资产份额之间的差额，调整合并资产负债表中的资本公</w:t>
      </w:r>
      <w:r>
        <w:rPr>
          <w:spacing w:val="83"/>
          <w:w w:val="95"/>
        </w:rPr>
        <w:t> </w:t>
      </w:r>
      <w:r>
        <w:rPr>
          <w:spacing w:val="83"/>
          <w:w w:val="95"/>
        </w:rPr>
      </w:r>
      <w:r>
        <w:rPr/>
        <w:t>积中的股本溢价，资本公积中的股本溢价不足冲减的，调整留存收益。</w:t>
      </w:r>
      <w:r>
        <w:rPr>
          <w:w w:val="99"/>
        </w:rPr>
        <w:t> </w:t>
      </w:r>
      <w:r>
        <w:rPr>
          <w:rFonts w:ascii="Times New Roman" w:hAnsi="Times New Roman" w:cs="Times New Roman" w:eastAsia="Times New Roman" w:hint="default"/>
        </w:rPr>
        <w:t>4</w:t>
      </w:r>
      <w:r>
        <w:rPr/>
        <w:t>）不丧失控制权的情况下部分处置对子公司的股权投资</w:t>
      </w:r>
      <w:r>
        <w:rPr>
          <w:w w:val="99"/>
        </w:rPr>
        <w:t> </w:t>
      </w:r>
      <w:r>
        <w:rPr>
          <w:spacing w:val="5"/>
          <w:w w:val="95"/>
        </w:rPr>
        <w:t>在不丧失控制权的情况下因部分处置对子公司的长期股权投资而取得的处置价款与处置长</w:t>
      </w:r>
      <w:r>
        <w:rPr>
          <w:spacing w:val="80"/>
          <w:w w:val="95"/>
        </w:rPr>
        <w:t> </w:t>
      </w:r>
      <w:r>
        <w:rPr>
          <w:spacing w:val="80"/>
          <w:w w:val="95"/>
        </w:rPr>
      </w:r>
      <w:r>
        <w:rPr>
          <w:w w:val="95"/>
        </w:rPr>
        <w:t>期股权投资相对应享有子公司自购买日或合并日开始持续计算的净资产份额之间的差额，调</w:t>
      </w:r>
      <w:r>
        <w:rPr>
          <w:spacing w:val="79"/>
          <w:w w:val="95"/>
        </w:rPr>
        <w:t> </w:t>
      </w:r>
      <w:r>
        <w:rPr>
          <w:spacing w:val="79"/>
          <w:w w:val="95"/>
        </w:rPr>
      </w:r>
      <w:r>
        <w:rPr>
          <w:w w:val="95"/>
        </w:rPr>
        <w:t>整合并资产负债表中的资本公积中的股本溢价，资本公积中的股本溢价不足冲减的，调整留</w:t>
      </w:r>
      <w:r>
        <w:rPr>
          <w:spacing w:val="80"/>
          <w:w w:val="95"/>
        </w:rPr>
        <w:t> </w:t>
      </w:r>
      <w:r>
        <w:rPr>
          <w:spacing w:val="80"/>
          <w:w w:val="95"/>
        </w:rPr>
      </w:r>
      <w:r>
        <w:rPr/>
        <w:t>存收益。</w:t>
      </w:r>
    </w:p>
    <w:p>
      <w:pPr>
        <w:spacing w:line="240" w:lineRule="auto" w:before="11"/>
        <w:rPr>
          <w:rFonts w:ascii="宋体" w:hAnsi="宋体" w:cs="宋体" w:eastAsia="宋体" w:hint="default"/>
          <w:sz w:val="24"/>
          <w:szCs w:val="24"/>
        </w:rPr>
      </w:pPr>
    </w:p>
    <w:p>
      <w:pPr>
        <w:spacing w:line="590" w:lineRule="atLeast" w:before="0"/>
        <w:ind w:left="832" w:right="4175" w:hanging="7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合营安排分为共同经营和合营企业。</w:t>
      </w:r>
      <w:r>
        <w:rPr>
          <w:rFonts w:ascii="宋体" w:hAnsi="宋体" w:cs="宋体" w:eastAsia="宋体" w:hint="default"/>
          <w:sz w:val="21"/>
          <w:szCs w:val="21"/>
        </w:rPr>
      </w:r>
    </w:p>
    <w:p>
      <w:pPr>
        <w:pStyle w:val="BodyText"/>
        <w:spacing w:line="273" w:lineRule="auto" w:before="37"/>
        <w:ind w:left="832" w:right="130"/>
        <w:jc w:val="left"/>
      </w:pPr>
      <w:r>
        <w:rPr/>
        <w:t>当本公司是合营安排的合营方，享有该安排相关资产且承担该安排相关负债时，为共同经营。</w:t>
      </w:r>
      <w:r>
        <w:rPr>
          <w:w w:val="99"/>
        </w:rPr>
        <w:t> </w:t>
      </w:r>
      <w:r>
        <w:rPr>
          <w:spacing w:val="2"/>
        </w:rPr>
        <w:t>本公司确认与共同经营中利益份额相关的下列项目，并按照相关企业会计准则的规定进行会计处</w:t>
      </w:r>
      <w:r>
        <w:rPr>
          <w:w w:val="99"/>
        </w:rPr>
        <w:t> </w:t>
      </w:r>
      <w:r>
        <w:rPr/>
        <w:t>理：</w:t>
      </w:r>
    </w:p>
    <w:p>
      <w:pPr>
        <w:pStyle w:val="BodyText"/>
        <w:spacing w:line="240" w:lineRule="auto"/>
        <w:ind w:left="832" w:right="1682"/>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21"/>
        <w:ind w:left="832" w:right="1682"/>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21"/>
        <w:ind w:left="832" w:right="1682"/>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21"/>
        <w:ind w:left="832" w:right="1682"/>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40" w:lineRule="auto" w:before="21"/>
        <w:ind w:left="832" w:right="1682"/>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Heading5"/>
        <w:spacing w:line="240" w:lineRule="auto"/>
        <w:ind w:right="1682"/>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832" w:right="134"/>
        <w:jc w:val="both"/>
      </w:pPr>
      <w:r>
        <w:rPr>
          <w:spacing w:val="2"/>
        </w:rPr>
        <w:t>在编制现金流量表时，将本公司库存现金以及可以随时用于支付的存款确认为现金。将同时具备</w:t>
      </w:r>
      <w:r>
        <w:rPr>
          <w:w w:val="99"/>
        </w:rPr>
        <w:t> </w:t>
      </w:r>
      <w:r>
        <w:rPr>
          <w:spacing w:val="2"/>
        </w:rPr>
        <w:t>期限短（从购买日起三个月内到期）、流动性强、易于转换为已知现金、价值变动风险很小四个</w:t>
      </w:r>
      <w:r>
        <w:rPr>
          <w:w w:val="99"/>
        </w:rPr>
        <w:t> </w:t>
      </w:r>
      <w:r>
        <w:rPr/>
        <w:t>条件的投资，确定为现金等价物。</w:t>
      </w:r>
    </w:p>
    <w:p>
      <w:pPr>
        <w:spacing w:after="0" w:line="273" w:lineRule="auto"/>
        <w:jc w:val="both"/>
        <w:sectPr>
          <w:pgSz w:w="11910" w:h="16840"/>
          <w:pgMar w:header="776" w:footer="978" w:top="1100" w:bottom="1160" w:left="1020" w:right="100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68" w:lineRule="auto" w:before="0"/>
        <w:ind w:left="1372" w:right="0" w:hanging="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r>
        <w:rPr>
          <w:w w:val="99"/>
        </w:rPr>
        <w:t> </w:t>
      </w:r>
      <w:r>
        <w:rPr>
          <w:w w:val="95"/>
        </w:rPr>
        <w:t>资产负债表日外币货币性项目余额按资产负债表日即期汇率折算，由此产生的汇兑差额，除</w:t>
      </w:r>
      <w:r>
        <w:rPr>
          <w:spacing w:val="77"/>
          <w:w w:val="95"/>
        </w:rPr>
        <w:t> </w:t>
      </w:r>
      <w:r>
        <w:rPr>
          <w:spacing w:val="77"/>
          <w:w w:val="95"/>
        </w:rPr>
      </w:r>
      <w:r>
        <w:rPr>
          <w:spacing w:val="5"/>
          <w:w w:val="95"/>
        </w:rPr>
        <w:t>属于与购建符合资本化条件的资产相关的外币专门借款产生的汇兑差额按照借款费用资本</w:t>
      </w:r>
      <w:r>
        <w:rPr>
          <w:spacing w:val="77"/>
          <w:w w:val="95"/>
        </w:rPr>
        <w:t> </w:t>
      </w:r>
      <w:r>
        <w:rPr>
          <w:spacing w:val="77"/>
          <w:w w:val="95"/>
        </w:rPr>
      </w:r>
      <w:r>
        <w:rPr/>
        <w:t>化的原则处理外，均计入当期损益。</w:t>
      </w:r>
    </w:p>
    <w:p>
      <w:pPr>
        <w:spacing w:line="240" w:lineRule="auto" w:before="10"/>
        <w:rPr>
          <w:rFonts w:ascii="宋体" w:hAnsi="宋体" w:cs="宋体" w:eastAsia="宋体" w:hint="default"/>
          <w:sz w:val="24"/>
          <w:szCs w:val="24"/>
        </w:rPr>
      </w:pPr>
    </w:p>
    <w:p>
      <w:pPr>
        <w:pStyle w:val="BodyText"/>
        <w:spacing w:line="264" w:lineRule="auto" w:before="0"/>
        <w:ind w:left="1372" w:right="103" w:hanging="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3"/>
        </w:rPr>
        <w:t>资产负债表中的资产和负债项目，采用资产负债表日的即期汇率折算；所有者权益项目除</w:t>
      </w:r>
      <w:r>
        <w:rPr>
          <w:rFonts w:ascii="Times New Roman" w:hAnsi="Times New Roman" w:cs="Times New Roman" w:eastAsia="Times New Roman" w:hint="default"/>
          <w:spacing w:val="-3"/>
        </w:rPr>
        <w:t>“</w:t>
      </w:r>
      <w:r>
        <w:rPr>
          <w:spacing w:val="-3"/>
        </w:rPr>
        <w:t>未</w:t>
      </w:r>
      <w:r>
        <w:rPr>
          <w:w w:val="99"/>
        </w:rPr>
        <w:t> </w:t>
      </w:r>
      <w:r>
        <w:rPr>
          <w:spacing w:val="2"/>
        </w:rPr>
        <w:t>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w:t>
      </w:r>
      <w:r>
        <w:rPr>
          <w:w w:val="99"/>
        </w:rPr>
        <w:t> </w:t>
      </w:r>
      <w:r>
        <w:rPr/>
        <w:t>用交易发生日的即期汇率折算。</w:t>
      </w:r>
      <w:r>
        <w:rPr>
          <w:w w:val="99"/>
        </w:rPr>
        <w:t> </w:t>
      </w:r>
      <w:r>
        <w:rPr>
          <w:w w:val="95"/>
        </w:rPr>
        <w:t>处置境外经营时，将与该境外经营相关的外币财务报表折算差额，自所有者权益项目转入处</w:t>
      </w:r>
      <w:r>
        <w:rPr>
          <w:spacing w:val="77"/>
          <w:w w:val="95"/>
        </w:rPr>
        <w:t> </w:t>
      </w:r>
      <w:r>
        <w:rPr>
          <w:spacing w:val="77"/>
          <w:w w:val="95"/>
        </w:rPr>
      </w:r>
      <w:r>
        <w:rPr/>
        <w:t>置当期损益。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5"/>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832" w:right="0"/>
        <w:jc w:val="left"/>
      </w:pPr>
      <w:r>
        <w:rPr/>
        <w:t>金融工具包括金融资产、金融负债和权益工具。</w:t>
      </w:r>
    </w:p>
    <w:p>
      <w:pPr>
        <w:pStyle w:val="BodyText"/>
        <w:spacing w:line="268" w:lineRule="auto" w:before="37"/>
        <w:ind w:left="1372" w:right="0" w:hanging="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w w:val="95"/>
        </w:rPr>
        <w:t>金融资产和金融负债于初始确认时分类为：以公允价值计量且其变动计入当期损益的金融资</w:t>
      </w:r>
      <w:r>
        <w:rPr>
          <w:spacing w:val="76"/>
          <w:w w:val="95"/>
        </w:rPr>
        <w:t> </w:t>
      </w:r>
      <w:r>
        <w:rPr>
          <w:spacing w:val="76"/>
          <w:w w:val="95"/>
        </w:rPr>
      </w:r>
      <w:r>
        <w:rPr>
          <w:w w:val="95"/>
        </w:rPr>
        <w:t>产或金融负债，包括交易性金融资产或金融负债和直接指定为以公允价值计量且其变动计入</w:t>
      </w:r>
      <w:r>
        <w:rPr>
          <w:spacing w:val="76"/>
          <w:w w:val="95"/>
        </w:rPr>
        <w:t> </w:t>
      </w:r>
      <w:r>
        <w:rPr>
          <w:spacing w:val="76"/>
          <w:w w:val="95"/>
        </w:rPr>
      </w:r>
      <w:r>
        <w:rPr>
          <w:w w:val="95"/>
        </w:rPr>
        <w:t>当期损益的金融资产或金融负债；持有至到期投资；应收款项；可供出售金融资产；其他金</w:t>
      </w:r>
      <w:r>
        <w:rPr>
          <w:spacing w:val="77"/>
          <w:w w:val="95"/>
        </w:rPr>
        <w:t> </w:t>
      </w:r>
      <w:r>
        <w:rPr>
          <w:spacing w:val="77"/>
          <w:w w:val="95"/>
        </w:rPr>
      </w:r>
      <w:r>
        <w:rPr/>
        <w:t>融负债等。</w:t>
      </w:r>
    </w:p>
    <w:p>
      <w:pPr>
        <w:spacing w:line="240" w:lineRule="auto" w:before="10"/>
        <w:rPr>
          <w:rFonts w:ascii="宋体" w:hAnsi="宋体" w:cs="宋体" w:eastAsia="宋体" w:hint="default"/>
          <w:sz w:val="24"/>
          <w:szCs w:val="24"/>
        </w:rPr>
      </w:pPr>
    </w:p>
    <w:p>
      <w:pPr>
        <w:pStyle w:val="BodyText"/>
        <w:spacing w:line="266" w:lineRule="auto" w:before="0"/>
        <w:ind w:left="1372" w:right="112" w:hanging="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）金融工具的确认依据和计量方法</w:t>
      </w:r>
      <w:r>
        <w:rPr>
          <w:rFonts w:ascii="宋体" w:hAnsi="宋体" w:cs="宋体" w:eastAsia="宋体" w:hint="default"/>
          <w:b/>
          <w:bCs/>
          <w:w w:val="99"/>
        </w:rPr>
        <w:t> </w:t>
      </w:r>
      <w:r>
        <w:rPr>
          <w:rFonts w:ascii="Times New Roman" w:hAnsi="Times New Roman" w:cs="Times New Roman" w:eastAsia="Times New Roman" w:hint="default"/>
        </w:rPr>
        <w:t>1</w:t>
      </w:r>
      <w:r>
        <w:rPr/>
        <w:t>）以公允价值计量且其变动计入当期损益的金融资产（金融负债）</w:t>
      </w:r>
      <w:r>
        <w:rPr>
          <w:w w:val="99"/>
        </w:rPr>
        <w:t> </w:t>
      </w:r>
      <w:r>
        <w:rPr>
          <w:spacing w:val="5"/>
          <w:w w:val="95"/>
        </w:rPr>
        <w:t>取得时以公允价值（扣除已宣告但尚未发放的现金股利或已到付息期但尚未领取的债券利</w:t>
      </w:r>
      <w:r>
        <w:rPr>
          <w:spacing w:val="77"/>
          <w:w w:val="95"/>
        </w:rPr>
        <w:t> </w:t>
      </w:r>
      <w:r>
        <w:rPr>
          <w:spacing w:val="77"/>
          <w:w w:val="95"/>
        </w:rPr>
      </w:r>
      <w:r>
        <w:rPr/>
        <w:t>息）作为初始确认金额，相关的交易费用计入当期损益。</w:t>
      </w:r>
      <w:r>
        <w:rPr>
          <w:w w:val="99"/>
        </w:rPr>
        <w:t> </w:t>
      </w:r>
      <w:r>
        <w:rPr/>
        <w:t>持有期间将取得的利息或现金股利确认为投资收益，期末将公允价值变动计入当期损益。</w:t>
      </w:r>
      <w:r>
        <w:rPr>
          <w:w w:val="99"/>
        </w:rPr>
        <w:t> </w:t>
      </w:r>
      <w:r>
        <w:rPr>
          <w:w w:val="95"/>
        </w:rPr>
        <w:t>处置时，其公允价值与初始入账金额之间的差额确认为投资收益，同时调整公允价值变动损  </w:t>
      </w:r>
      <w:r>
        <w:rPr>
          <w:spacing w:val="77"/>
          <w:w w:val="95"/>
        </w:rPr>
        <w:t> </w:t>
      </w:r>
      <w:r>
        <w:rPr>
          <w:spacing w:val="77"/>
          <w:w w:val="95"/>
        </w:rPr>
      </w:r>
      <w:r>
        <w:rPr/>
        <w:t>益。</w:t>
      </w:r>
    </w:p>
    <w:p>
      <w:pPr>
        <w:pStyle w:val="BodyText"/>
        <w:spacing w:line="268" w:lineRule="auto" w:before="14"/>
        <w:ind w:left="1372" w:right="0"/>
        <w:jc w:val="left"/>
      </w:pPr>
      <w:r>
        <w:rPr>
          <w:rFonts w:ascii="Times New Roman" w:hAnsi="Times New Roman" w:cs="Times New Roman" w:eastAsia="Times New Roman" w:hint="default"/>
        </w:rPr>
        <w:t>2</w:t>
      </w:r>
      <w:r>
        <w:rPr/>
        <w:t>）持有至到期投资</w:t>
      </w:r>
      <w:r>
        <w:rPr>
          <w:w w:val="99"/>
        </w:rPr>
        <w:t> </w:t>
      </w:r>
      <w:r>
        <w:rPr>
          <w:w w:val="95"/>
        </w:rPr>
        <w:t>取得时按公允价值（扣除已到付息期但尚未领取的债券利息）和相关交易费用之和作为初始</w:t>
      </w:r>
      <w:r>
        <w:rPr>
          <w:spacing w:val="79"/>
          <w:w w:val="95"/>
        </w:rPr>
        <w:t> </w:t>
      </w:r>
      <w:r>
        <w:rPr>
          <w:spacing w:val="79"/>
          <w:w w:val="95"/>
        </w:rPr>
      </w:r>
      <w:r>
        <w:rPr/>
        <w:t>确认金额。</w:t>
      </w:r>
      <w:r>
        <w:rPr>
          <w:w w:val="99"/>
        </w:rPr>
        <w:t> </w:t>
      </w:r>
      <w:r>
        <w:rPr>
          <w:w w:val="95"/>
        </w:rPr>
        <w:t>持有期间按照摊余成本和实际利率计算确认利息收入，计入投资收益。实际利率在取得时确</w:t>
      </w:r>
      <w:r>
        <w:rPr>
          <w:spacing w:val="80"/>
          <w:w w:val="95"/>
        </w:rPr>
        <w:t> </w:t>
      </w:r>
      <w:r>
        <w:rPr>
          <w:spacing w:val="80"/>
          <w:w w:val="95"/>
        </w:rPr>
      </w:r>
      <w:r>
        <w:rPr/>
        <w:t>定，在该预期存续期间或适用的更短期间内保持不变。</w:t>
      </w:r>
      <w:r>
        <w:rPr>
          <w:w w:val="99"/>
        </w:rPr>
        <w:t> </w:t>
      </w:r>
      <w:r>
        <w:rPr/>
        <w:t>处置时，将所取得价款与该投资账面价值之间的差额计入投资收益。</w:t>
      </w:r>
    </w:p>
    <w:p>
      <w:pPr>
        <w:pStyle w:val="BodyText"/>
        <w:spacing w:line="268" w:lineRule="auto" w:before="12"/>
        <w:ind w:left="1372" w:right="0"/>
        <w:jc w:val="left"/>
      </w:pPr>
      <w:r>
        <w:rPr>
          <w:rFonts w:ascii="Times New Roman" w:hAnsi="Times New Roman" w:cs="Times New Roman" w:eastAsia="Times New Roman" w:hint="default"/>
        </w:rPr>
        <w:t>3</w:t>
      </w:r>
      <w:r>
        <w:rPr/>
        <w:t>）应收款项</w:t>
      </w:r>
      <w:r>
        <w:rPr>
          <w:w w:val="99"/>
        </w:rPr>
        <w:t> </w:t>
      </w:r>
      <w:r>
        <w:rPr>
          <w:w w:val="95"/>
        </w:rPr>
        <w:t>公司对外销售商品或提供劳务形成的应收债权，以及公司持有的其他企业的不包括在活跃市</w:t>
      </w:r>
      <w:r>
        <w:rPr>
          <w:spacing w:val="79"/>
          <w:w w:val="95"/>
        </w:rPr>
        <w:t> </w:t>
      </w:r>
      <w:r>
        <w:rPr>
          <w:spacing w:val="79"/>
          <w:w w:val="95"/>
        </w:rPr>
      </w:r>
      <w:r>
        <w:rPr>
          <w:w w:val="95"/>
        </w:rPr>
        <w:t>场上有报价的债务工具的债权，包括应收账款、其他应收款等，以向购货方应收的合同或协</w:t>
      </w:r>
      <w:r>
        <w:rPr>
          <w:spacing w:val="83"/>
          <w:w w:val="95"/>
        </w:rPr>
        <w:t> </w:t>
      </w:r>
      <w:r>
        <w:rPr>
          <w:spacing w:val="83"/>
          <w:w w:val="95"/>
        </w:rPr>
      </w:r>
      <w:r>
        <w:rPr/>
        <w:t>议价款作为初始确认金额；具有融资性质的，按其现值进行初始确认。</w:t>
      </w:r>
      <w:r>
        <w:rPr>
          <w:w w:val="99"/>
        </w:rPr>
        <w:t> </w:t>
      </w:r>
      <w:r>
        <w:rPr/>
        <w:t>收回或处置时，将取得的价款与该应收款项账面价值之间的差额计入当期损益。</w:t>
      </w:r>
      <w:r>
        <w:rPr>
          <w:w w:val="99"/>
        </w:rPr>
        <w:t> </w:t>
      </w:r>
      <w:r>
        <w:rPr>
          <w:rFonts w:ascii="Times New Roman" w:hAnsi="Times New Roman" w:cs="Times New Roman" w:eastAsia="Times New Roman" w:hint="default"/>
        </w:rPr>
        <w:t>4</w:t>
      </w:r>
      <w:r>
        <w:rPr/>
        <w:t>）可供出售金融资产</w:t>
      </w:r>
    </w:p>
    <w:p>
      <w:pPr>
        <w:spacing w:after="0" w:line="268" w:lineRule="auto"/>
        <w:jc w:val="left"/>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BodyText"/>
        <w:spacing w:line="271" w:lineRule="auto" w:before="34"/>
        <w:ind w:left="1372" w:right="109"/>
        <w:jc w:val="left"/>
      </w:pPr>
      <w:r>
        <w:rPr>
          <w:spacing w:val="5"/>
        </w:rPr>
        <w:t>取得时按公允价值（扣除已宣告但尚未发放的现金股利或已到付息期但尚未领取的债券利</w:t>
      </w:r>
      <w:r>
        <w:rPr>
          <w:w w:val="99"/>
        </w:rPr>
        <w:t> </w:t>
      </w:r>
      <w:r>
        <w:rPr/>
        <w:t>息）和相关交易费用之和作为初始确认金额。</w:t>
      </w:r>
      <w:r>
        <w:rPr>
          <w:w w:val="99"/>
        </w:rPr>
        <w:t> </w:t>
      </w:r>
      <w:r>
        <w:rPr>
          <w:w w:val="95"/>
        </w:rPr>
        <w:t>持有期间将取得的利息或现金股利确认为投资收益。期末以公允价值计量且将公允价值变动</w:t>
      </w:r>
      <w:r>
        <w:rPr>
          <w:spacing w:val="79"/>
          <w:w w:val="95"/>
        </w:rPr>
        <w:t> </w:t>
      </w:r>
      <w:r>
        <w:rPr>
          <w:spacing w:val="79"/>
          <w:w w:val="95"/>
        </w:rPr>
      </w:r>
      <w:r>
        <w:rPr>
          <w:w w:val="95"/>
        </w:rPr>
        <w:t>计入其他综合收益。但是，在活跃市场中没有报价且其公允价值不能可靠计量的权益工具投</w:t>
      </w:r>
      <w:r>
        <w:rPr>
          <w:spacing w:val="77"/>
          <w:w w:val="95"/>
        </w:rPr>
        <w:t> </w:t>
      </w:r>
      <w:r>
        <w:rPr>
          <w:spacing w:val="77"/>
          <w:w w:val="95"/>
        </w:rPr>
      </w:r>
      <w:r>
        <w:rPr>
          <w:w w:val="95"/>
        </w:rPr>
        <w:t>资，以及与该权益工具挂钩并须通过交付该权益工具结算的衍生金融资产，按照成本计量。</w:t>
      </w:r>
      <w:r>
        <w:rPr>
          <w:spacing w:val="1"/>
          <w:w w:val="95"/>
        </w:rPr>
        <w:t> </w:t>
      </w:r>
      <w:r>
        <w:rPr>
          <w:spacing w:val="1"/>
          <w:w w:val="95"/>
        </w:rPr>
      </w:r>
      <w:r>
        <w:rPr>
          <w:w w:val="95"/>
        </w:rPr>
        <w:t>处置时，将取得的价款与该金融资产账面价值之间的差额，计入投资损益；同时，将原直接</w:t>
      </w:r>
      <w:r>
        <w:rPr>
          <w:spacing w:val="84"/>
          <w:w w:val="95"/>
        </w:rPr>
        <w:t> </w:t>
      </w:r>
      <w:r>
        <w:rPr>
          <w:spacing w:val="84"/>
          <w:w w:val="95"/>
        </w:rPr>
      </w:r>
      <w:r>
        <w:rPr/>
        <w:t>计入其他综合收益的公允价值变动累计额对应处置部分的金额转出，计入当期损益。</w:t>
      </w:r>
      <w:r>
        <w:rPr>
          <w:w w:val="99"/>
        </w:rPr>
        <w:t> </w:t>
      </w:r>
      <w:r>
        <w:rPr>
          <w:rFonts w:ascii="Times New Roman" w:hAnsi="Times New Roman" w:cs="Times New Roman" w:eastAsia="Times New Roman" w:hint="default"/>
        </w:rPr>
        <w:t>5</w:t>
      </w:r>
      <w:r>
        <w:rPr/>
        <w:t>）其他金融负债</w:t>
      </w:r>
      <w:r>
        <w:rPr>
          <w:w w:val="99"/>
        </w:rPr>
        <w:t> </w:t>
      </w:r>
      <w:r>
        <w:rPr/>
        <w:t>按其公允价值和相关交易费用之和作为初始确认金额。采用摊余成本进行后续计量。</w:t>
      </w:r>
    </w:p>
    <w:p>
      <w:pPr>
        <w:spacing w:line="240" w:lineRule="auto" w:before="8"/>
        <w:rPr>
          <w:rFonts w:ascii="宋体" w:hAnsi="宋体" w:cs="宋体" w:eastAsia="宋体" w:hint="default"/>
          <w:sz w:val="24"/>
          <w:szCs w:val="24"/>
        </w:rPr>
      </w:pPr>
    </w:p>
    <w:p>
      <w:pPr>
        <w:pStyle w:val="BodyText"/>
        <w:spacing w:line="271" w:lineRule="auto" w:before="0"/>
        <w:ind w:left="1372" w:right="130" w:hanging="3"/>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99"/>
        </w:rPr>
        <w:t> </w:t>
      </w:r>
      <w:r>
        <w:rPr>
          <w:w w:val="95"/>
        </w:rPr>
        <w:t>公司发生金融资产转移时，如已将金融资产所有权上几乎所有的风险和报酬转移给转入方，</w:t>
      </w:r>
      <w:r>
        <w:rPr>
          <w:spacing w:val="98"/>
          <w:w w:val="95"/>
        </w:rPr>
        <w:t> </w:t>
      </w:r>
      <w:r>
        <w:rPr>
          <w:spacing w:val="98"/>
          <w:w w:val="95"/>
        </w:rPr>
      </w:r>
      <w:r>
        <w:rPr>
          <w:w w:val="95"/>
        </w:rPr>
        <w:t>则终止确认该金融资产；如保留了金融资产所有权上几乎所有的风险和报酬的，则不终止确</w:t>
      </w:r>
      <w:r>
        <w:rPr>
          <w:spacing w:val="77"/>
          <w:w w:val="95"/>
        </w:rPr>
        <w:t> </w:t>
      </w:r>
      <w:r>
        <w:rPr>
          <w:spacing w:val="77"/>
          <w:w w:val="95"/>
        </w:rPr>
      </w:r>
      <w:r>
        <w:rPr/>
        <w:t>认该金融资产。</w:t>
      </w:r>
      <w:r>
        <w:rPr>
          <w:w w:val="99"/>
        </w:rPr>
        <w:t> </w:t>
      </w:r>
      <w:r>
        <w:rPr>
          <w:w w:val="95"/>
        </w:rPr>
        <w:t>在判断金融资产转移是否满足上述金融资产终止确认条件时，采用实质重于形式的原则。公</w:t>
      </w:r>
      <w:r>
        <w:rPr>
          <w:spacing w:val="77"/>
          <w:w w:val="95"/>
        </w:rPr>
        <w:t> </w:t>
      </w:r>
      <w:r>
        <w:rPr>
          <w:spacing w:val="77"/>
          <w:w w:val="95"/>
        </w:rPr>
      </w:r>
      <w:r>
        <w:rPr>
          <w:w w:val="95"/>
        </w:rPr>
        <w:t>司将金融资产转移区分为金融资产整体转移和部分转移。金融资产整体转移满足终止确认条</w:t>
      </w:r>
      <w:r>
        <w:rPr>
          <w:spacing w:val="76"/>
          <w:w w:val="95"/>
        </w:rPr>
        <w:t> </w:t>
      </w:r>
      <w:r>
        <w:rPr>
          <w:spacing w:val="76"/>
          <w:w w:val="95"/>
        </w:rPr>
      </w:r>
      <w:r>
        <w:rPr/>
        <w:t>件的，将下列两项金额的差额计入当期损益：</w:t>
      </w:r>
    </w:p>
    <w:p>
      <w:pPr>
        <w:pStyle w:val="BodyText"/>
        <w:spacing w:line="240" w:lineRule="auto" w:before="10"/>
        <w:ind w:left="1372" w:right="1682"/>
        <w:jc w:val="left"/>
      </w:pPr>
      <w:r>
        <w:rPr>
          <w:rFonts w:ascii="Times New Roman" w:hAnsi="Times New Roman" w:cs="Times New Roman" w:eastAsia="Times New Roman" w:hint="default"/>
        </w:rPr>
        <w:t>1</w:t>
      </w:r>
      <w:r>
        <w:rPr/>
        <w:t>）所转移金融资产的账面价值；</w:t>
      </w:r>
    </w:p>
    <w:p>
      <w:pPr>
        <w:pStyle w:val="BodyText"/>
        <w:spacing w:line="256" w:lineRule="auto" w:before="21"/>
        <w:ind w:left="1372" w:right="119"/>
        <w:jc w:val="left"/>
      </w:pPr>
      <w:r>
        <w:rPr>
          <w:rFonts w:ascii="Times New Roman" w:hAnsi="Times New Roman" w:cs="Times New Roman" w:eastAsia="Times New Roman" w:hint="default"/>
          <w:spacing w:val="2"/>
        </w:rPr>
        <w:t>2</w:t>
      </w:r>
      <w:r>
        <w:rPr>
          <w:spacing w:val="2"/>
        </w:rPr>
        <w:t>）因转移而收到的对价，与原直接计入所有者权益的公允价值变动累计额（涉及转移的金</w:t>
      </w:r>
      <w:r>
        <w:rPr>
          <w:w w:val="99"/>
        </w:rPr>
        <w:t> </w:t>
      </w:r>
      <w:r>
        <w:rPr/>
        <w:t>融资产为可供出售金融资产的情形）之和。</w:t>
      </w:r>
    </w:p>
    <w:p>
      <w:pPr>
        <w:spacing w:line="240" w:lineRule="auto" w:before="7"/>
        <w:rPr>
          <w:rFonts w:ascii="宋体" w:hAnsi="宋体" w:cs="宋体" w:eastAsia="宋体" w:hint="default"/>
          <w:sz w:val="25"/>
          <w:szCs w:val="25"/>
        </w:rPr>
      </w:pPr>
    </w:p>
    <w:p>
      <w:pPr>
        <w:pStyle w:val="BodyText"/>
        <w:spacing w:line="273" w:lineRule="auto" w:before="0"/>
        <w:ind w:left="1372" w:right="135"/>
        <w:jc w:val="both"/>
      </w:pPr>
      <w:r>
        <w:rPr>
          <w:w w:val="95"/>
        </w:rPr>
        <w:t>金融资产部分转移满足终止确认条件的，将所转移金融资产整体的账面价值，在终止确认部</w:t>
      </w:r>
      <w:r>
        <w:rPr>
          <w:spacing w:val="77"/>
          <w:w w:val="95"/>
        </w:rPr>
        <w:t> </w:t>
      </w:r>
      <w:r>
        <w:rPr>
          <w:spacing w:val="77"/>
          <w:w w:val="95"/>
        </w:rPr>
      </w:r>
      <w:r>
        <w:rPr>
          <w:w w:val="95"/>
        </w:rPr>
        <w:t>分和未终止确认部分之间，按照各自的相对公允价值进行分摊，并将下列两项金额的差额计</w:t>
      </w:r>
      <w:r>
        <w:rPr>
          <w:spacing w:val="77"/>
          <w:w w:val="95"/>
        </w:rPr>
        <w:t> </w:t>
      </w:r>
      <w:r>
        <w:rPr>
          <w:spacing w:val="77"/>
          <w:w w:val="95"/>
        </w:rPr>
      </w:r>
      <w:r>
        <w:rPr/>
        <w:t>入当期损益：</w:t>
      </w:r>
    </w:p>
    <w:p>
      <w:pPr>
        <w:pStyle w:val="BodyText"/>
        <w:spacing w:line="240" w:lineRule="auto"/>
        <w:ind w:left="1372" w:right="1682"/>
        <w:jc w:val="left"/>
      </w:pPr>
      <w:r>
        <w:rPr>
          <w:rFonts w:ascii="Times New Roman" w:hAnsi="Times New Roman" w:cs="Times New Roman" w:eastAsia="Times New Roman" w:hint="default"/>
        </w:rPr>
        <w:t>1</w:t>
      </w:r>
      <w:r>
        <w:rPr/>
        <w:t>）终止确认部分的账面价值；</w:t>
      </w:r>
    </w:p>
    <w:p>
      <w:pPr>
        <w:pStyle w:val="BodyText"/>
        <w:spacing w:line="266" w:lineRule="auto" w:before="21"/>
        <w:ind w:left="1372" w:right="119"/>
        <w:jc w:val="left"/>
      </w:pPr>
      <w:r>
        <w:rPr>
          <w:rFonts w:ascii="Times New Roman" w:hAnsi="Times New Roman" w:cs="Times New Roman" w:eastAsia="Times New Roman" w:hint="default"/>
          <w:spacing w:val="2"/>
        </w:rPr>
        <w:t>2</w:t>
      </w:r>
      <w:r>
        <w:rPr>
          <w:spacing w:val="2"/>
        </w:rPr>
        <w:t>）终止确认部分的对价，与原直接计入所有者权益的公允价值变动累计额中对应终止确认</w:t>
      </w:r>
      <w:r>
        <w:rPr>
          <w:w w:val="99"/>
        </w:rPr>
        <w:t> </w:t>
      </w:r>
      <w:r>
        <w:rPr/>
        <w:t>部分的金额（涉及转移的金融资产为可供出售金融资产的情形）之和。</w:t>
      </w:r>
      <w:r>
        <w:rPr>
          <w:w w:val="99"/>
        </w:rPr>
        <w:t> </w:t>
      </w:r>
      <w:r>
        <w:rPr>
          <w:w w:val="95"/>
        </w:rPr>
        <w:t>金融资产转移不满足终止确认条件的，继续确认该金融资产，所收到的对价确认为一项金融</w:t>
      </w:r>
      <w:r>
        <w:rPr>
          <w:spacing w:val="80"/>
          <w:w w:val="95"/>
        </w:rPr>
        <w:t> </w:t>
      </w:r>
      <w:r>
        <w:rPr>
          <w:spacing w:val="80"/>
          <w:w w:val="95"/>
        </w:rPr>
      </w:r>
      <w:r>
        <w:rPr/>
        <w:t>负债。</w:t>
      </w:r>
    </w:p>
    <w:p>
      <w:pPr>
        <w:spacing w:line="240" w:lineRule="auto" w:before="12"/>
        <w:rPr>
          <w:rFonts w:ascii="宋体" w:hAnsi="宋体" w:cs="宋体" w:eastAsia="宋体" w:hint="default"/>
          <w:sz w:val="24"/>
          <w:szCs w:val="24"/>
        </w:rPr>
      </w:pPr>
    </w:p>
    <w:p>
      <w:pPr>
        <w:pStyle w:val="BodyText"/>
        <w:spacing w:line="271" w:lineRule="auto" w:before="0"/>
        <w:ind w:left="1372" w:right="130" w:hanging="3"/>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w w:val="95"/>
        </w:rPr>
        <w:t>金融负债的现时义务全部或部分已经解除的，则终止确认该金融负债或其一部分；本公司若</w:t>
      </w:r>
      <w:r>
        <w:rPr>
          <w:spacing w:val="74"/>
          <w:w w:val="95"/>
        </w:rPr>
        <w:t> </w:t>
      </w:r>
      <w:r>
        <w:rPr>
          <w:spacing w:val="74"/>
          <w:w w:val="95"/>
        </w:rPr>
      </w:r>
      <w:r>
        <w:rPr>
          <w:w w:val="95"/>
        </w:rPr>
        <w:t>与债权人签定协议，以承担新金融负债方式替换现存金融负债，且新金融负债与现存金融负</w:t>
      </w:r>
      <w:r>
        <w:rPr>
          <w:spacing w:val="74"/>
          <w:w w:val="95"/>
        </w:rPr>
        <w:t> </w:t>
      </w:r>
      <w:r>
        <w:rPr>
          <w:spacing w:val="74"/>
          <w:w w:val="95"/>
        </w:rPr>
      </w:r>
      <w:r>
        <w:rPr/>
        <w:t>债的合同条款实质上不同的，则终止确认现存金融负债，并同时确认新金融负债。</w:t>
      </w:r>
      <w:r>
        <w:rPr>
          <w:w w:val="99"/>
        </w:rPr>
        <w:t> </w:t>
      </w:r>
      <w:r>
        <w:rPr>
          <w:w w:val="95"/>
        </w:rPr>
        <w:t>对现存金融负债全部或部分合同条款作出实质性修改的，则终止确认现存金融负债或其一部</w:t>
      </w:r>
      <w:r>
        <w:rPr>
          <w:spacing w:val="76"/>
          <w:w w:val="95"/>
        </w:rPr>
        <w:t> </w:t>
      </w:r>
      <w:r>
        <w:rPr>
          <w:spacing w:val="76"/>
          <w:w w:val="95"/>
        </w:rPr>
      </w:r>
      <w:r>
        <w:rPr/>
        <w:t>分，同时将修改条款后的金融负债确认为一项新金融负债。</w:t>
      </w:r>
      <w:r>
        <w:rPr>
          <w:w w:val="99"/>
        </w:rPr>
        <w:t> </w:t>
      </w:r>
      <w:r>
        <w:rPr>
          <w:w w:val="95"/>
        </w:rPr>
        <w:t>金融负债全部或部分终止确认时，终止确认的金融负债账面价值与支付对价（包括转出的非</w:t>
      </w:r>
      <w:r>
        <w:rPr>
          <w:spacing w:val="73"/>
          <w:w w:val="95"/>
        </w:rPr>
        <w:t> </w:t>
      </w:r>
      <w:r>
        <w:rPr>
          <w:spacing w:val="73"/>
          <w:w w:val="95"/>
        </w:rPr>
      </w:r>
      <w:r>
        <w:rPr/>
        <w:t>现金资产或承担的新金融负债）之间的差额，计入当期损益。</w:t>
      </w:r>
      <w:r>
        <w:rPr>
          <w:w w:val="99"/>
        </w:rPr>
        <w:t> </w:t>
      </w:r>
      <w:r>
        <w:rPr>
          <w:spacing w:val="5"/>
          <w:w w:val="95"/>
        </w:rPr>
        <w:t>本公司若回购部分金融负债的，在回购日按照继续确认部分与终止确认部分的相对公允价</w:t>
      </w:r>
      <w:r>
        <w:rPr>
          <w:spacing w:val="77"/>
          <w:w w:val="95"/>
        </w:rPr>
        <w:t> </w:t>
      </w:r>
      <w:r>
        <w:rPr>
          <w:spacing w:val="77"/>
          <w:w w:val="95"/>
        </w:rPr>
      </w:r>
      <w:r>
        <w:rPr>
          <w:w w:val="95"/>
        </w:rPr>
        <w:t>值，将该金融负债整体的账面价值进行分配。分配给终止确认部分的账面价值与支付的对价</w:t>
      </w:r>
      <w:r>
        <w:rPr/>
      </w:r>
    </w:p>
    <w:p>
      <w:pPr>
        <w:pStyle w:val="BodyText"/>
        <w:spacing w:line="240" w:lineRule="auto" w:before="10"/>
        <w:ind w:left="1372" w:right="130"/>
        <w:jc w:val="left"/>
      </w:pPr>
      <w:r>
        <w:rPr/>
        <w:t>（包括转出的非现金资产或承担的新金融负债）之间的差额，计入当期损益。</w:t>
      </w:r>
    </w:p>
    <w:p>
      <w:pPr>
        <w:spacing w:line="240" w:lineRule="auto" w:before="9"/>
        <w:rPr>
          <w:rFonts w:ascii="宋体" w:hAnsi="宋体" w:cs="宋体" w:eastAsia="宋体" w:hint="default"/>
          <w:sz w:val="26"/>
          <w:szCs w:val="26"/>
        </w:rPr>
      </w:pPr>
    </w:p>
    <w:p>
      <w:pPr>
        <w:spacing w:line="256" w:lineRule="auto" w:before="0"/>
        <w:ind w:left="1372" w:right="130" w:hanging="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99"/>
          <w:sz w:val="21"/>
          <w:szCs w:val="21"/>
        </w:rPr>
        <w:t> </w:t>
      </w:r>
      <w:r>
        <w:rPr>
          <w:rFonts w:ascii="宋体" w:hAnsi="宋体" w:cs="宋体" w:eastAsia="宋体" w:hint="default"/>
          <w:w w:val="95"/>
          <w:sz w:val="21"/>
          <w:szCs w:val="21"/>
        </w:rPr>
        <w:t>存在活跃市场的金融工具，以活跃市场中的报价确定其公允价值。不存在活跃市场的金融工</w:t>
      </w:r>
      <w:r>
        <w:rPr>
          <w:rFonts w:ascii="宋体" w:hAnsi="宋体" w:cs="宋体" w:eastAsia="宋体" w:hint="default"/>
          <w:sz w:val="21"/>
          <w:szCs w:val="21"/>
        </w:rPr>
      </w:r>
    </w:p>
    <w:p>
      <w:pPr>
        <w:spacing w:after="0" w:line="256" w:lineRule="auto"/>
        <w:jc w:val="left"/>
        <w:rPr>
          <w:rFonts w:ascii="宋体" w:hAnsi="宋体" w:cs="宋体" w:eastAsia="宋体" w:hint="default"/>
          <w:sz w:val="21"/>
          <w:szCs w:val="21"/>
        </w:rPr>
        <w:sectPr>
          <w:pgSz w:w="11910" w:h="16840"/>
          <w:pgMar w:header="776" w:footer="978" w:top="1100" w:bottom="1160" w:left="1020" w:right="1000"/>
        </w:sectPr>
      </w:pPr>
    </w:p>
    <w:p>
      <w:pPr>
        <w:spacing w:line="240" w:lineRule="auto" w:before="12"/>
        <w:rPr>
          <w:rFonts w:ascii="宋体" w:hAnsi="宋体" w:cs="宋体" w:eastAsia="宋体" w:hint="default"/>
          <w:sz w:val="20"/>
          <w:szCs w:val="20"/>
        </w:rPr>
      </w:pPr>
    </w:p>
    <w:p>
      <w:pPr>
        <w:pStyle w:val="BodyText"/>
        <w:spacing w:line="273" w:lineRule="auto" w:before="34"/>
        <w:ind w:left="1372" w:right="112"/>
        <w:jc w:val="both"/>
      </w:pPr>
      <w:r>
        <w:rPr>
          <w:w w:val="95"/>
        </w:rPr>
        <w:t>具，采用估值技术确定其公允价值。在估值时，本公司采用在当前情况下适用并且有足够可</w:t>
      </w:r>
      <w:r>
        <w:rPr>
          <w:spacing w:val="80"/>
          <w:w w:val="95"/>
        </w:rPr>
        <w:t> </w:t>
      </w:r>
      <w:r>
        <w:rPr>
          <w:spacing w:val="80"/>
          <w:w w:val="95"/>
        </w:rPr>
      </w:r>
      <w:r>
        <w:rPr>
          <w:w w:val="95"/>
        </w:rPr>
        <w:t>利用数据和其他信息支持的估值技术，选择与市场参与者在相关资产或负债的交易中所考虑</w:t>
      </w:r>
      <w:r>
        <w:rPr>
          <w:spacing w:val="79"/>
          <w:w w:val="95"/>
        </w:rPr>
        <w:t> </w:t>
      </w:r>
      <w:r>
        <w:rPr>
          <w:spacing w:val="79"/>
          <w:w w:val="95"/>
        </w:rPr>
      </w:r>
      <w:r>
        <w:rPr>
          <w:w w:val="95"/>
        </w:rPr>
        <w:t>的资产或负债特征相一致的输入值，并优先使用相关可观察输入值。只有在相关可观察输入</w:t>
      </w:r>
      <w:r>
        <w:rPr>
          <w:spacing w:val="77"/>
          <w:w w:val="95"/>
        </w:rPr>
        <w:t> </w:t>
      </w:r>
      <w:r>
        <w:rPr>
          <w:spacing w:val="77"/>
          <w:w w:val="95"/>
        </w:rPr>
      </w:r>
      <w:r>
        <w:rPr/>
        <w:t>值无法取得或取得不切实可行的情况下，才使用不可观察输入值。</w:t>
      </w:r>
    </w:p>
    <w:p>
      <w:pPr>
        <w:spacing w:line="240" w:lineRule="auto" w:before="6"/>
        <w:rPr>
          <w:rFonts w:ascii="宋体" w:hAnsi="宋体" w:cs="宋体" w:eastAsia="宋体" w:hint="default"/>
          <w:sz w:val="24"/>
          <w:szCs w:val="24"/>
        </w:rPr>
      </w:pPr>
    </w:p>
    <w:p>
      <w:pPr>
        <w:pStyle w:val="BodyText"/>
        <w:spacing w:line="268" w:lineRule="auto" w:before="0"/>
        <w:ind w:left="1372" w:right="0" w:hanging="3"/>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）金融资产（不含应收款项）减值的测试方法及会计处理方法</w:t>
      </w:r>
      <w:r>
        <w:rPr>
          <w:rFonts w:ascii="宋体" w:hAnsi="宋体" w:cs="宋体" w:eastAsia="宋体" w:hint="default"/>
          <w:b/>
          <w:bCs/>
          <w:w w:val="99"/>
        </w:rPr>
        <w:t> </w:t>
      </w:r>
      <w:r>
        <w:rPr>
          <w:w w:val="95"/>
        </w:rPr>
        <w:t>除以公允价值计量且其变动计入当期损益的金融资产外，本公司于资产负债表日对金融资产</w:t>
      </w:r>
      <w:r>
        <w:rPr>
          <w:spacing w:val="76"/>
          <w:w w:val="95"/>
        </w:rPr>
        <w:t> </w:t>
      </w:r>
      <w:r>
        <w:rPr>
          <w:spacing w:val="76"/>
          <w:w w:val="95"/>
        </w:rPr>
      </w:r>
      <w:r>
        <w:rPr/>
        <w:t>的账面价值进行检查，如果有客观证据表明某项金融资产发生减值的，计提减值准备。</w:t>
      </w:r>
      <w:r>
        <w:rPr>
          <w:w w:val="99"/>
        </w:rPr>
        <w:t> </w:t>
      </w:r>
      <w:r>
        <w:rPr>
          <w:rFonts w:ascii="Times New Roman" w:hAnsi="Times New Roman" w:cs="Times New Roman" w:eastAsia="Times New Roman" w:hint="default"/>
        </w:rPr>
        <w:t>1</w:t>
      </w:r>
      <w:r>
        <w:rPr/>
        <w:t>）可供出售金融资产的减值准备：</w:t>
      </w:r>
      <w:r>
        <w:rPr>
          <w:w w:val="99"/>
        </w:rPr>
        <w:t> </w:t>
      </w:r>
      <w:r>
        <w:rPr>
          <w:w w:val="95"/>
        </w:rPr>
        <w:t>期末如果可供出售金融资产的公允价值发生严重下降，或在综合考虑各种相关因素后，预期</w:t>
      </w:r>
      <w:r>
        <w:rPr>
          <w:spacing w:val="74"/>
          <w:w w:val="95"/>
        </w:rPr>
        <w:t> </w:t>
      </w:r>
      <w:r>
        <w:rPr>
          <w:spacing w:val="74"/>
          <w:w w:val="95"/>
        </w:rPr>
      </w:r>
      <w:r>
        <w:rPr>
          <w:w w:val="95"/>
        </w:rPr>
        <w:t>这种下降趋势属于非暂时性的，就认定其已发生减值，将原直接计入所有者权益的公允价值</w:t>
      </w:r>
      <w:r>
        <w:rPr>
          <w:spacing w:val="74"/>
          <w:w w:val="95"/>
        </w:rPr>
        <w:t> </w:t>
      </w:r>
      <w:r>
        <w:rPr>
          <w:spacing w:val="74"/>
          <w:w w:val="95"/>
        </w:rPr>
      </w:r>
      <w:r>
        <w:rPr/>
        <w:t>下降形成的累计损失一并转出，确认减值损失。</w:t>
      </w:r>
      <w:r>
        <w:rPr>
          <w:w w:val="99"/>
        </w:rPr>
        <w:t> </w:t>
      </w:r>
      <w:r>
        <w:rPr>
          <w:w w:val="95"/>
        </w:rPr>
        <w:t>对于已确认减值损失的可供出售债务工具，在随后的会计期间公允价值已上升且客观上与确</w:t>
      </w:r>
      <w:r>
        <w:rPr>
          <w:spacing w:val="76"/>
          <w:w w:val="95"/>
        </w:rPr>
        <w:t> </w:t>
      </w:r>
      <w:r>
        <w:rPr>
          <w:spacing w:val="76"/>
          <w:w w:val="95"/>
        </w:rPr>
      </w:r>
      <w:r>
        <w:rPr/>
        <w:t>认原减值损失确认后发生的事项有关的，原确认的减值损失予以转回，计入当期损益。</w:t>
      </w:r>
      <w:r>
        <w:rPr>
          <w:w w:val="99"/>
        </w:rPr>
        <w:t> </w:t>
      </w:r>
      <w:r>
        <w:rPr/>
        <w:t>可供出售权益工具投资发生的减值损失，不通过损益转回。</w:t>
      </w:r>
    </w:p>
    <w:p>
      <w:pPr>
        <w:spacing w:line="240" w:lineRule="auto" w:before="10"/>
        <w:rPr>
          <w:rFonts w:ascii="宋体" w:hAnsi="宋体" w:cs="宋体" w:eastAsia="宋体" w:hint="default"/>
          <w:sz w:val="24"/>
          <w:szCs w:val="24"/>
        </w:rPr>
      </w:pPr>
    </w:p>
    <w:p>
      <w:pPr>
        <w:pStyle w:val="BodyText"/>
        <w:spacing w:line="256" w:lineRule="auto" w:before="0"/>
        <w:ind w:left="1372" w:right="0"/>
        <w:jc w:val="left"/>
      </w:pPr>
      <w:r>
        <w:rPr>
          <w:rFonts w:ascii="Times New Roman" w:hAnsi="Times New Roman" w:cs="Times New Roman" w:eastAsia="Times New Roman" w:hint="default"/>
        </w:rPr>
        <w:t>2</w:t>
      </w:r>
      <w:r>
        <w:rPr/>
        <w:t>）持有至到期投资的减值准备：</w:t>
      </w:r>
      <w:r>
        <w:rPr>
          <w:w w:val="99"/>
        </w:rPr>
        <w:t> </w:t>
      </w:r>
      <w:r>
        <w:rPr>
          <w:w w:val="95"/>
        </w:rPr>
        <w:t>持有至到期投资减值损失的计量比照应收款项减值损失计量方法处理。</w:t>
      </w:r>
      <w:r>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5"/>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spacing w:before="44"/>
        <w:ind w:left="0" w:right="121" w:firstLine="0"/>
        <w:jc w:val="right"/>
        <w:rPr>
          <w:rFonts w:ascii="宋体" w:hAnsi="宋体" w:cs="宋体" w:eastAsia="宋体" w:hint="default"/>
          <w:sz w:val="18"/>
          <w:szCs w:val="18"/>
        </w:rPr>
      </w:pPr>
      <w:r>
        <w:rPr/>
        <w:pict>
          <v:shape style="position:absolute;margin-left:56.459999pt;margin-top:-36.507771pt;width:479.15pt;height:71.9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3"/>
                    <w:gridCol w:w="5315"/>
                  </w:tblGrid>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应收款项余额前五名或占应收账款余额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％以上的款项之和。</w:t>
                        </w:r>
                      </w:p>
                    </w:tc>
                  </w:tr>
                  <w:tr>
                    <w:trPr>
                      <w:trHeight w:val="1026"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0"/>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单独进行减值测试，如有客观证据表明其已发生减值，按预计未来 </w:t>
                        </w:r>
                        <w:r>
                          <w:rPr>
                            <w:rFonts w:ascii="宋体" w:hAnsi="宋体" w:cs="宋体" w:eastAsia="宋体" w:hint="default"/>
                            <w:spacing w:val="-2"/>
                            <w:sz w:val="18"/>
                            <w:szCs w:val="18"/>
                          </w:rPr>
                          <w:t>现金流量现值低于其账面价值的差额计提坏账准备，计入当期损益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单独测试未发生减值的应收款项，将其归入相应组合计提坏账准备</w:t>
                        </w:r>
                      </w:p>
                    </w:tc>
                  </w:tr>
                </w:tbl>
                <w:p>
                  <w:pPr/>
                </w:p>
              </w:txbxContent>
            </v:textbox>
            <w10:wrap type="none"/>
          </v:shape>
        </w:pict>
      </w:r>
      <w:r>
        <w:rPr>
          <w:rFonts w:ascii="宋体" w:hAnsi="宋体" w:cs="宋体" w:eastAsia="宋体" w:hint="default"/>
          <w:sz w:val="18"/>
          <w:szCs w:val="18"/>
        </w:rPr>
        <w:t>。</w:t>
      </w:r>
    </w:p>
    <w:p>
      <w:pPr>
        <w:spacing w:before="76"/>
        <w:ind w:left="0" w:right="12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
        <w:rPr>
          <w:rFonts w:ascii="宋体" w:hAnsi="宋体" w:cs="宋体" w:eastAsia="宋体" w:hint="default"/>
          <w:sz w:val="28"/>
          <w:szCs w:val="28"/>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集团公司内部往来形成的应收款项不计提减值准备（注）</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360" w:lineRule="auto" w:before="49"/>
        <w:ind w:left="112" w:right="4514" w:firstLine="0"/>
        <w:jc w:val="left"/>
        <w:rPr>
          <w:rFonts w:ascii="宋体" w:hAnsi="宋体" w:cs="宋体" w:eastAsia="宋体" w:hint="default"/>
          <w:sz w:val="18"/>
          <w:szCs w:val="18"/>
        </w:rPr>
      </w:pPr>
      <w:r>
        <w:rPr>
          <w:rFonts w:ascii="宋体" w:hAnsi="宋体" w:cs="宋体" w:eastAsia="宋体" w:hint="default"/>
          <w:sz w:val="18"/>
          <w:szCs w:val="18"/>
        </w:rPr>
        <w:t>注：集团公司指本公司及本公司纳入合并范围的子公司、孙公司。 组合中，采用账龄分析法计提坏账准备的：</w:t>
      </w:r>
    </w:p>
    <w:p>
      <w:pPr>
        <w:spacing w:before="2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776"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12" w:right="6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w:t>
      </w:r>
    </w:p>
    <w:p>
      <w:pPr>
        <w:spacing w:before="4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835"/>
        <w:gridCol w:w="6733"/>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单项金额不重大但经单项测试后存在减值的应收款项。</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单独进行减值测试。如有客观证据表明其发生了减值的，根据其未来现金流量现值低 于其账面价值的差额，确认减值损失，计提坏账准备。</w:t>
            </w:r>
          </w:p>
        </w:tc>
      </w:tr>
    </w:tbl>
    <w:p>
      <w:pPr>
        <w:spacing w:line="240" w:lineRule="auto" w:before="4"/>
        <w:rPr>
          <w:rFonts w:ascii="宋体" w:hAnsi="宋体" w:cs="宋体" w:eastAsia="宋体" w:hint="default"/>
          <w:b/>
          <w:bCs/>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71" w:lineRule="auto" w:before="0"/>
        <w:ind w:left="1372" w:right="0" w:hanging="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）共同控制、重大影响的判断标准</w:t>
      </w:r>
      <w:r>
        <w:rPr>
          <w:rFonts w:ascii="宋体" w:hAnsi="宋体" w:cs="宋体" w:eastAsia="宋体" w:hint="default"/>
          <w:b/>
          <w:bCs/>
          <w:w w:val="99"/>
        </w:rPr>
        <w:t> </w:t>
      </w:r>
      <w:r>
        <w:rPr>
          <w:w w:val="95"/>
        </w:rPr>
        <w:t>共同控制，是指按照相关约定对某项安排所共有的控制，并且该安排的相关活动必须经过分</w:t>
      </w:r>
      <w:r>
        <w:rPr>
          <w:spacing w:val="77"/>
          <w:w w:val="95"/>
        </w:rPr>
        <w:t> </w:t>
      </w:r>
      <w:r>
        <w:rPr>
          <w:spacing w:val="77"/>
          <w:w w:val="95"/>
        </w:rPr>
      </w:r>
      <w:r>
        <w:rPr>
          <w:w w:val="95"/>
        </w:rPr>
        <w:t>享控制权的参与方一致同意后才能决策。本公司与其他合营方一同对被投资单位实施共同控</w:t>
      </w:r>
      <w:r>
        <w:rPr>
          <w:spacing w:val="74"/>
          <w:w w:val="95"/>
        </w:rPr>
        <w:t> </w:t>
      </w:r>
      <w:r>
        <w:rPr>
          <w:spacing w:val="74"/>
          <w:w w:val="95"/>
        </w:rPr>
      </w:r>
      <w:r>
        <w:rPr/>
        <w:t>制且对被投资单位净资产享有权利的，被投资单位为本公司的合营企业。</w:t>
      </w:r>
      <w:r>
        <w:rPr>
          <w:w w:val="99"/>
        </w:rPr>
        <w:t> </w:t>
      </w:r>
      <w:r>
        <w:rPr>
          <w:w w:val="95"/>
        </w:rPr>
        <w:t>重大影响，是指对一个企业的财务和经营决策有参与决策的权力，但并不能够控制或者与其</w:t>
      </w:r>
      <w:r>
        <w:rPr>
          <w:spacing w:val="77"/>
          <w:w w:val="95"/>
        </w:rPr>
        <w:t> </w:t>
      </w:r>
      <w:r>
        <w:rPr>
          <w:spacing w:val="77"/>
          <w:w w:val="95"/>
        </w:rPr>
      </w:r>
      <w:r>
        <w:rPr>
          <w:w w:val="95"/>
        </w:rPr>
        <w:t>他方一起共同控制这些政策的制定。本能够对被投资单位施加重大影响的，被投资单位为本</w:t>
      </w:r>
      <w:r>
        <w:rPr>
          <w:spacing w:val="77"/>
          <w:w w:val="95"/>
        </w:rPr>
        <w:t> </w:t>
      </w:r>
      <w:r>
        <w:rPr>
          <w:spacing w:val="77"/>
          <w:w w:val="95"/>
        </w:rPr>
      </w:r>
      <w:r>
        <w:rPr/>
        <w:t>公司联营企业。</w:t>
      </w:r>
    </w:p>
    <w:p>
      <w:pPr>
        <w:spacing w:line="240" w:lineRule="auto" w:before="8"/>
        <w:rPr>
          <w:rFonts w:ascii="宋体" w:hAnsi="宋体" w:cs="宋体" w:eastAsia="宋体" w:hint="default"/>
          <w:sz w:val="24"/>
          <w:szCs w:val="24"/>
        </w:rPr>
      </w:pPr>
    </w:p>
    <w:p>
      <w:pPr>
        <w:pStyle w:val="Heading5"/>
        <w:spacing w:line="240" w:lineRule="auto"/>
        <w:ind w:left="1370" w:right="0"/>
        <w:jc w:val="left"/>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BodyText"/>
        <w:spacing w:line="271" w:lineRule="auto" w:before="21"/>
        <w:ind w:left="1372" w:right="293"/>
        <w:jc w:val="left"/>
      </w:pPr>
      <w:r>
        <w:rPr>
          <w:rFonts w:ascii="Times New Roman" w:hAnsi="Times New Roman" w:cs="Times New Roman" w:eastAsia="Times New Roman" w:hint="default"/>
        </w:rPr>
        <w:t>1</w:t>
      </w:r>
      <w:r>
        <w:rPr/>
        <w:t>）企业合并形成的长期股权投资</w:t>
      </w:r>
      <w:r>
        <w:rPr>
          <w:w w:val="99"/>
        </w:rPr>
        <w:t> </w:t>
      </w:r>
      <w:r>
        <w:rPr>
          <w:w w:val="95"/>
        </w:rPr>
        <w:t>同一控制下的企业合并：公司以支付现金、转让非现金资产或承担债务方式以及以发行权益</w:t>
      </w:r>
      <w:r>
        <w:rPr>
          <w:spacing w:val="80"/>
          <w:w w:val="95"/>
        </w:rPr>
        <w:t> </w:t>
      </w:r>
      <w:r>
        <w:rPr>
          <w:spacing w:val="80"/>
          <w:w w:val="95"/>
        </w:rPr>
      </w:r>
      <w:r>
        <w:rPr>
          <w:w w:val="95"/>
        </w:rPr>
        <w:t>性证券作为合并对价的，在合并日按照取得被合并方所有者权益在最终控制方合并财务报表</w:t>
      </w:r>
      <w:r>
        <w:rPr>
          <w:spacing w:val="79"/>
          <w:w w:val="95"/>
        </w:rPr>
        <w:t> </w:t>
      </w:r>
      <w:r>
        <w:rPr>
          <w:spacing w:val="79"/>
          <w:w w:val="95"/>
        </w:rPr>
      </w:r>
      <w:r>
        <w:rPr>
          <w:w w:val="95"/>
        </w:rPr>
        <w:t>中的账面价值的份额作为长期股权投资的初始投资成本。因追加投资等原因能够对同一控制</w:t>
      </w:r>
      <w:r>
        <w:rPr>
          <w:spacing w:val="79"/>
          <w:w w:val="95"/>
        </w:rPr>
        <w:t> </w:t>
      </w:r>
      <w:r>
        <w:rPr>
          <w:spacing w:val="79"/>
          <w:w w:val="95"/>
        </w:rPr>
      </w:r>
      <w:r>
        <w:rPr>
          <w:w w:val="95"/>
        </w:rPr>
        <w:t>下的被投资单位实施控制的，在合并日根据合并后应享有被合并方净资产在最终控制方合并</w:t>
      </w:r>
      <w:r>
        <w:rPr>
          <w:spacing w:val="79"/>
          <w:w w:val="95"/>
        </w:rPr>
        <w:t> </w:t>
      </w:r>
      <w:r>
        <w:rPr>
          <w:spacing w:val="79"/>
          <w:w w:val="95"/>
        </w:rPr>
      </w:r>
      <w:r>
        <w:rPr>
          <w:w w:val="95"/>
        </w:rPr>
        <w:t>财务报表中的账面价值的份额，确定长期股权投资的初始投资成本。合并日长期股权投资的</w:t>
      </w:r>
      <w:r>
        <w:rPr>
          <w:spacing w:val="77"/>
          <w:w w:val="95"/>
        </w:rPr>
        <w:t> </w:t>
      </w:r>
      <w:r>
        <w:rPr>
          <w:spacing w:val="77"/>
          <w:w w:val="95"/>
        </w:rPr>
      </w:r>
      <w:r>
        <w:rPr>
          <w:w w:val="95"/>
        </w:rPr>
        <w:t>初始投资成本，与达到合并前的长期股权投资账面价值加上合并日进一步取得股份新支付对</w:t>
      </w:r>
      <w:r>
        <w:rPr>
          <w:spacing w:val="79"/>
          <w:w w:val="95"/>
        </w:rPr>
        <w:t> </w:t>
      </w:r>
      <w:r>
        <w:rPr>
          <w:spacing w:val="79"/>
          <w:w w:val="95"/>
        </w:rPr>
      </w:r>
      <w:r>
        <w:rPr/>
        <w:t>价的账面价值之和的差额，调整股本溢价，股本溢价不足冲减的，冲减留存收益。</w:t>
      </w:r>
      <w:r>
        <w:rPr>
          <w:w w:val="99"/>
        </w:rPr>
        <w:t> </w:t>
      </w:r>
      <w:r>
        <w:rPr>
          <w:w w:val="95"/>
        </w:rPr>
        <w:t>非同一控制下的企业合并：公司按照购买日确定的合并成本作为长期股权投资的初始投资成</w:t>
      </w:r>
      <w:r>
        <w:rPr>
          <w:spacing w:val="77"/>
          <w:w w:val="95"/>
        </w:rPr>
        <w:t> </w:t>
      </w:r>
      <w:r>
        <w:rPr>
          <w:spacing w:val="77"/>
          <w:w w:val="95"/>
        </w:rPr>
      </w:r>
      <w:r>
        <w:rPr>
          <w:w w:val="95"/>
        </w:rPr>
        <w:t>本。因追加投资等原因能够对非同一控制下的被投资单位实施控制的，按照原持有的股权投</w:t>
      </w:r>
      <w:r>
        <w:rPr>
          <w:spacing w:val="80"/>
          <w:w w:val="95"/>
        </w:rPr>
        <w:t> </w:t>
      </w:r>
      <w:r>
        <w:rPr>
          <w:spacing w:val="80"/>
          <w:w w:val="95"/>
        </w:rPr>
      </w:r>
      <w:r>
        <w:rPr/>
        <w:t>资账面价值加上新增投资成本之和，作为改按成本法核算的初始投资成本。</w:t>
      </w:r>
      <w:r>
        <w:rPr>
          <w:w w:val="99"/>
        </w:rPr>
        <w:t> </w:t>
      </w:r>
      <w:r>
        <w:rPr>
          <w:rFonts w:ascii="Times New Roman" w:hAnsi="Times New Roman" w:cs="Times New Roman" w:eastAsia="Times New Roman" w:hint="default"/>
        </w:rPr>
        <w:t>2</w:t>
      </w:r>
      <w:r>
        <w:rPr/>
        <w:t>）其他方式取得的长期股权投资</w:t>
      </w:r>
      <w:r>
        <w:rPr>
          <w:w w:val="99"/>
        </w:rPr>
        <w:t> </w:t>
      </w:r>
      <w:r>
        <w:rPr/>
        <w:t>以支付现金方式取得的长期股权投资，按照实际支付的购买价款作为初始投资成本。</w:t>
      </w:r>
      <w:r>
        <w:rPr>
          <w:w w:val="99"/>
        </w:rPr>
        <w:t> </w:t>
      </w:r>
      <w:r>
        <w:rPr>
          <w:spacing w:val="5"/>
          <w:w w:val="95"/>
        </w:rPr>
        <w:t>以发行权益性证券取得的长期股权投资，按照发行权益性证券的公允价值作为初始投资成  </w:t>
      </w:r>
      <w:r>
        <w:rPr>
          <w:spacing w:val="80"/>
          <w:w w:val="95"/>
        </w:rPr>
        <w:t> </w:t>
      </w:r>
      <w:r>
        <w:rPr>
          <w:spacing w:val="80"/>
          <w:w w:val="95"/>
        </w:rPr>
      </w:r>
      <w:r>
        <w:rPr/>
        <w:t>本。</w:t>
      </w:r>
      <w:r>
        <w:rPr>
          <w:w w:val="99"/>
        </w:rPr>
        <w:t> </w:t>
      </w:r>
      <w:r>
        <w:rPr>
          <w:spacing w:val="5"/>
          <w:w w:val="95"/>
        </w:rPr>
        <w:t>在非货币性资产交换具备商业实质和换入资产或换出资产的公允价值能够可靠计量的前提</w:t>
      </w:r>
      <w:r>
        <w:rPr>
          <w:spacing w:val="80"/>
          <w:w w:val="95"/>
        </w:rPr>
        <w:t> </w:t>
      </w:r>
      <w:r>
        <w:rPr>
          <w:spacing w:val="80"/>
          <w:w w:val="95"/>
        </w:rPr>
      </w:r>
      <w:r>
        <w:rPr>
          <w:w w:val="95"/>
        </w:rPr>
        <w:t>下，非货币性资产交换换入的长期股权投资以换出资产的公允价值和应支付的相关税费确定</w:t>
      </w:r>
      <w:r>
        <w:rPr>
          <w:spacing w:val="77"/>
          <w:w w:val="95"/>
        </w:rPr>
        <w:t> </w:t>
      </w:r>
      <w:r>
        <w:rPr>
          <w:spacing w:val="77"/>
          <w:w w:val="95"/>
        </w:rPr>
      </w:r>
      <w:r>
        <w:rPr>
          <w:w w:val="95"/>
        </w:rPr>
        <w:t>其初始投资成本，除非有确凿证据表明换入资产的公允价值更加可靠；不满足上述前提的非</w:t>
      </w:r>
      <w:r>
        <w:rPr>
          <w:spacing w:val="80"/>
          <w:w w:val="95"/>
        </w:rPr>
        <w:t> </w:t>
      </w:r>
      <w:r>
        <w:rPr>
          <w:spacing w:val="80"/>
          <w:w w:val="95"/>
        </w:rPr>
      </w:r>
      <w:r>
        <w:rPr>
          <w:w w:val="95"/>
        </w:rPr>
        <w:t>货币性资产交换，以换出资产的账面价值和应支付的相关税费作为换入长期股权投资的初始</w:t>
      </w:r>
      <w:r>
        <w:rPr>
          <w:spacing w:val="77"/>
          <w:w w:val="95"/>
        </w:rPr>
        <w:t> </w:t>
      </w:r>
      <w:r>
        <w:rPr>
          <w:spacing w:val="77"/>
          <w:w w:val="95"/>
        </w:rPr>
      </w:r>
      <w:r>
        <w:rPr/>
        <w:t>投资成本。</w:t>
      </w:r>
    </w:p>
    <w:p>
      <w:pPr>
        <w:spacing w:after="0" w:line="271" w:lineRule="auto"/>
        <w:jc w:val="left"/>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BodyText"/>
        <w:spacing w:line="240" w:lineRule="auto" w:before="34"/>
        <w:ind w:left="1372" w:right="105"/>
        <w:jc w:val="left"/>
      </w:pPr>
      <w:r>
        <w:rPr/>
        <w:t>通过债务重组取得的长期股权投资，其初始投资成本按照公允价值为基础确定。</w:t>
      </w:r>
    </w:p>
    <w:p>
      <w:pPr>
        <w:pStyle w:val="Heading5"/>
        <w:spacing w:line="240" w:lineRule="auto" w:before="37"/>
        <w:ind w:left="1370" w:right="105"/>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pStyle w:val="BodyText"/>
        <w:spacing w:line="266" w:lineRule="auto" w:before="21"/>
        <w:ind w:left="1372" w:right="105"/>
        <w:jc w:val="left"/>
      </w:pPr>
      <w:r>
        <w:rPr>
          <w:rFonts w:ascii="Times New Roman" w:hAnsi="Times New Roman" w:cs="Times New Roman" w:eastAsia="Times New Roman" w:hint="default"/>
        </w:rPr>
        <w:t>1</w:t>
      </w:r>
      <w:r>
        <w:rPr/>
        <w:t>）成本法核算的长期股权投资</w:t>
      </w:r>
      <w:r>
        <w:rPr>
          <w:w w:val="99"/>
        </w:rPr>
        <w:t> </w:t>
      </w:r>
      <w:r>
        <w:rPr>
          <w:w w:val="95"/>
        </w:rPr>
        <w:t>公司对子公司的长期股权投资，采用成本法核算。除取得投资时实际支付的价款或对价中包</w:t>
      </w:r>
      <w:r>
        <w:rPr>
          <w:spacing w:val="77"/>
          <w:w w:val="95"/>
        </w:rPr>
        <w:t> </w:t>
      </w:r>
      <w:r>
        <w:rPr>
          <w:spacing w:val="77"/>
          <w:w w:val="95"/>
        </w:rPr>
      </w:r>
      <w:r>
        <w:rPr>
          <w:w w:val="95"/>
        </w:rPr>
        <w:t>含的已宣告但尚未发放的现金股利或利润外，公司按照享有被投资单位宣告发放的现金股利</w:t>
      </w:r>
      <w:r>
        <w:rPr>
          <w:spacing w:val="77"/>
          <w:w w:val="95"/>
        </w:rPr>
        <w:t> </w:t>
      </w:r>
      <w:r>
        <w:rPr>
          <w:spacing w:val="77"/>
          <w:w w:val="95"/>
        </w:rPr>
      </w:r>
      <w:r>
        <w:rPr/>
        <w:t>或利润确认当期投资收益。</w:t>
      </w:r>
    </w:p>
    <w:p>
      <w:pPr>
        <w:pStyle w:val="BodyText"/>
        <w:spacing w:line="271" w:lineRule="auto" w:before="14"/>
        <w:ind w:left="1372" w:right="105"/>
        <w:jc w:val="left"/>
      </w:pPr>
      <w:r>
        <w:rPr>
          <w:rFonts w:ascii="Times New Roman" w:hAnsi="Times New Roman" w:cs="Times New Roman" w:eastAsia="Times New Roman" w:hint="default"/>
        </w:rPr>
        <w:t>2</w:t>
      </w:r>
      <w:r>
        <w:rPr/>
        <w:t>）权益法核算的长期股权投资</w:t>
      </w:r>
      <w:r>
        <w:rPr>
          <w:w w:val="99"/>
        </w:rPr>
        <w:t> </w:t>
      </w:r>
      <w:r>
        <w:rPr/>
        <w:t>对联营企业和合营企业的长期股权投资，采用权益法核算。初始投资成本大于投资时应享有</w:t>
      </w:r>
      <w:r>
        <w:rPr>
          <w:w w:val="99"/>
        </w:rPr>
        <w:t> </w:t>
      </w:r>
      <w:r>
        <w:rPr/>
        <w:t>被投资单位可辨认净资产公允价值份额的差额，不调整长期股权投资的初始投资成本；初始</w:t>
      </w:r>
      <w:r>
        <w:rPr>
          <w:w w:val="99"/>
        </w:rPr>
        <w:t> </w:t>
      </w:r>
      <w:r>
        <w:rPr/>
        <w:t>投资成本小于投资时应享有被投资单位可辨认净资产公允价值份额的差额，计入当期损益。</w:t>
      </w:r>
      <w:r>
        <w:rPr>
          <w:w w:val="99"/>
        </w:rPr>
        <w:t> </w:t>
      </w:r>
      <w:r>
        <w:rPr/>
        <w:t>公司按照应享有或应分担的被投资单位实现的净损益和其他综合收益的份额，分别确认投资</w:t>
      </w:r>
      <w:r>
        <w:rPr>
          <w:w w:val="99"/>
        </w:rPr>
        <w:t> </w:t>
      </w:r>
      <w:r>
        <w:rPr/>
        <w:t>收益和其他综合收益，同时调整长期股权投资的账面价值；按照被投资单位宣告分派的利润</w:t>
      </w:r>
      <w:r>
        <w:rPr>
          <w:w w:val="99"/>
        </w:rPr>
        <w:t> </w:t>
      </w:r>
      <w:r>
        <w:rPr/>
        <w:t>或现金股利计算应享有的部分，相应减少长期股权投资的账面价值；对于被投资单位除净损</w:t>
      </w:r>
      <w:r>
        <w:rPr>
          <w:w w:val="99"/>
        </w:rPr>
        <w:t> </w:t>
      </w:r>
      <w:r>
        <w:rPr/>
        <w:t>益、其他综合收益和利润分配以外所有者权益的其他变动，调整长期股权投资的账面价值并</w:t>
      </w:r>
      <w:r>
        <w:rPr>
          <w:w w:val="99"/>
        </w:rPr>
        <w:t> </w:t>
      </w:r>
      <w:r>
        <w:rPr/>
        <w:t>计入所有者权益。</w:t>
      </w:r>
      <w:r>
        <w:rPr>
          <w:w w:val="99"/>
        </w:rPr>
        <w:t> </w:t>
      </w:r>
      <w:r>
        <w:rPr/>
        <w:t>在确认应享有被投资单位净损益的份额时，以取得投资时被投资单位可辨认净资产的公允价</w:t>
      </w:r>
      <w:r>
        <w:rPr>
          <w:w w:val="99"/>
        </w:rPr>
        <w:t> </w:t>
      </w:r>
      <w:r>
        <w:rPr/>
        <w:t>值为基础，并按照公司的会计政策及会计期间，对被投资单位的净利润进行调整后确认。在</w:t>
      </w:r>
      <w:r>
        <w:rPr>
          <w:w w:val="99"/>
        </w:rPr>
        <w:t> </w:t>
      </w:r>
      <w:r>
        <w:rPr/>
        <w:t>持有投资期间，被投资单位编制合并财务报表的，以合并财务报表中的净利润、其他综合收</w:t>
      </w:r>
      <w:r>
        <w:rPr>
          <w:w w:val="99"/>
        </w:rPr>
        <w:t> </w:t>
      </w:r>
      <w:r>
        <w:rPr/>
        <w:t>益和其他所有者权益变动中归属于被投资单位的金额为基础进行核算。</w:t>
      </w:r>
      <w:r>
        <w:rPr>
          <w:w w:val="99"/>
        </w:rPr>
        <w:t> </w:t>
      </w:r>
      <w:r>
        <w:rPr/>
        <w:t>公司与联营企业、合营企业之间发生的未实现内部交易损益按照应享有的比例计算归属于公</w:t>
      </w:r>
      <w:r>
        <w:rPr>
          <w:w w:val="99"/>
        </w:rPr>
        <w:t> </w:t>
      </w:r>
      <w:r>
        <w:rPr>
          <w:spacing w:val="-3"/>
          <w:w w:val="95"/>
        </w:rPr>
        <w:t>司的部分，予以抵销，在此基础上确认投资收益。与被投资单位发生的未实现内部交易损失，</w:t>
      </w:r>
      <w:r>
        <w:rPr>
          <w:spacing w:val="19"/>
          <w:w w:val="95"/>
        </w:rPr>
        <w:t> </w:t>
      </w:r>
      <w:r>
        <w:rPr>
          <w:spacing w:val="19"/>
          <w:w w:val="95"/>
        </w:rPr>
      </w:r>
      <w:r>
        <w:rPr/>
        <w:t>属于资产减值损失的，全额确认。</w:t>
      </w:r>
      <w:r>
        <w:rPr>
          <w:w w:val="99"/>
        </w:rPr>
        <w:t> </w:t>
      </w:r>
      <w:r>
        <w:rPr/>
        <w:t>在公司确认应分担被投资单位发生的亏损时，按照以下顺序进行处理：首先，冲减长期股权</w:t>
      </w:r>
      <w:r>
        <w:rPr>
          <w:w w:val="99"/>
        </w:rPr>
        <w:t> </w:t>
      </w:r>
      <w:r>
        <w:rPr/>
        <w:t>投资的账面价值。其次，长期股权投资的账面价值不足以冲减的，以其他实质上构成对被投</w:t>
      </w:r>
      <w:r>
        <w:rPr>
          <w:w w:val="99"/>
        </w:rPr>
        <w:t> </w:t>
      </w:r>
      <w:r>
        <w:rPr>
          <w:spacing w:val="5"/>
        </w:rPr>
        <w:t>资单位净投资的长期权益账面价值为限继续确认投资损失，冲减长期应收项目等的账面价</w:t>
      </w:r>
      <w:r>
        <w:rPr>
          <w:w w:val="99"/>
        </w:rPr>
        <w:t> </w:t>
      </w:r>
      <w:r>
        <w:rPr/>
        <w:t>值。最后，经过上述处理，按照投资合同或协议约定企业仍承担额外义务的，按预计承担的</w:t>
      </w:r>
      <w:r>
        <w:rPr>
          <w:w w:val="99"/>
        </w:rPr>
        <w:t> </w:t>
      </w:r>
      <w:r>
        <w:rPr/>
        <w:t>义务确认预计负债，计入当期投资损失。</w:t>
      </w:r>
    </w:p>
    <w:p>
      <w:pPr>
        <w:pStyle w:val="BodyText"/>
        <w:spacing w:line="271" w:lineRule="auto" w:before="10"/>
        <w:ind w:left="1372" w:right="105"/>
        <w:jc w:val="left"/>
      </w:pPr>
      <w:r>
        <w:rPr>
          <w:rFonts w:ascii="Times New Roman" w:hAnsi="Times New Roman" w:cs="Times New Roman" w:eastAsia="Times New Roman" w:hint="default"/>
        </w:rPr>
        <w:t>3</w:t>
      </w:r>
      <w:r>
        <w:rPr/>
        <w:t>）长期股权投资的处置</w:t>
      </w:r>
      <w:r>
        <w:rPr>
          <w:w w:val="99"/>
        </w:rPr>
        <w:t> </w:t>
      </w:r>
      <w:r>
        <w:rPr/>
        <w:t>处置长期股权投资，其账面价值与实际取得价款的差额，计入当期损益。</w:t>
      </w:r>
      <w:r>
        <w:rPr>
          <w:w w:val="99"/>
        </w:rPr>
        <w:t> </w:t>
      </w:r>
      <w:r>
        <w:rPr>
          <w:w w:val="95"/>
        </w:rPr>
        <w:t>采用权益法核算的长期股权投资，在处置该项投资时，采用与被投资单位直接处置相关资产</w:t>
      </w:r>
      <w:r>
        <w:rPr>
          <w:spacing w:val="77"/>
          <w:w w:val="95"/>
        </w:rPr>
        <w:t> </w:t>
      </w:r>
      <w:r>
        <w:rPr>
          <w:spacing w:val="77"/>
          <w:w w:val="95"/>
        </w:rPr>
      </w:r>
      <w:r>
        <w:rPr>
          <w:w w:val="95"/>
        </w:rPr>
        <w:t>或负债相同的基础，按相应比例对原计入其他综合收益的部分进行会计处理。因被投资单位</w:t>
      </w:r>
      <w:r>
        <w:rPr>
          <w:spacing w:val="77"/>
          <w:w w:val="95"/>
        </w:rPr>
        <w:t> </w:t>
      </w:r>
      <w:r>
        <w:rPr>
          <w:spacing w:val="77"/>
          <w:w w:val="95"/>
        </w:rPr>
      </w:r>
      <w:r>
        <w:rPr>
          <w:w w:val="95"/>
        </w:rPr>
        <w:t>除净损益、其他综合收益和利润分配以外的其他所有者权益变动而确认的所有者权益，按比</w:t>
      </w:r>
      <w:r>
        <w:rPr>
          <w:spacing w:val="77"/>
          <w:w w:val="95"/>
        </w:rPr>
        <w:t> </w:t>
      </w:r>
      <w:r>
        <w:rPr>
          <w:spacing w:val="77"/>
          <w:w w:val="95"/>
        </w:rPr>
      </w:r>
      <w:r>
        <w:rPr>
          <w:w w:val="95"/>
        </w:rPr>
        <w:t>例结转入当期损益，由于被投资方重新计量设定受益计划净负债或净资产变动而产生的其他</w:t>
      </w:r>
      <w:r>
        <w:rPr>
          <w:spacing w:val="79"/>
          <w:w w:val="95"/>
        </w:rPr>
        <w:t> </w:t>
      </w:r>
      <w:r>
        <w:rPr>
          <w:spacing w:val="79"/>
          <w:w w:val="95"/>
        </w:rPr>
      </w:r>
      <w:r>
        <w:rPr/>
        <w:t>综合收益除外。</w:t>
      </w:r>
      <w:r>
        <w:rPr>
          <w:w w:val="99"/>
        </w:rPr>
        <w:t> </w:t>
      </w:r>
      <w:r>
        <w:rPr>
          <w:w w:val="95"/>
        </w:rPr>
        <w:t>因处置部分股权投资等原因丧失了对被投资单位的共同控制或重大影响的，处置后的剩余股</w:t>
      </w:r>
      <w:r>
        <w:rPr>
          <w:spacing w:val="79"/>
          <w:w w:val="95"/>
        </w:rPr>
        <w:t> </w:t>
      </w:r>
      <w:r>
        <w:rPr>
          <w:spacing w:val="79"/>
          <w:w w:val="95"/>
        </w:rPr>
      </w:r>
      <w:r>
        <w:rPr>
          <w:w w:val="95"/>
        </w:rPr>
        <w:t>权改按金融工具确认和计量准则核算，其在丧失共同控制或重大影响之日的公允价值与账面</w:t>
      </w:r>
      <w:r>
        <w:rPr>
          <w:spacing w:val="79"/>
          <w:w w:val="95"/>
        </w:rPr>
        <w:t> </w:t>
      </w:r>
      <w:r>
        <w:rPr>
          <w:spacing w:val="79"/>
          <w:w w:val="95"/>
        </w:rPr>
      </w:r>
      <w:r>
        <w:rPr>
          <w:w w:val="95"/>
        </w:rPr>
        <w:t>价值之间的差额计入当期损益。原股权投资因采用权益法核算而确认的其他综合收益，在终</w:t>
      </w:r>
      <w:r>
        <w:rPr>
          <w:spacing w:val="78"/>
          <w:w w:val="95"/>
        </w:rPr>
        <w:t> </w:t>
      </w:r>
      <w:r>
        <w:rPr>
          <w:spacing w:val="78"/>
          <w:w w:val="95"/>
        </w:rPr>
      </w:r>
      <w:r>
        <w:rPr>
          <w:w w:val="95"/>
        </w:rPr>
        <w:t>止采用权益法核算时采用与被投资单位直接处置相关资产或负债相同的基础进行会计处理。</w:t>
      </w:r>
      <w:r>
        <w:rPr>
          <w:spacing w:val="1"/>
          <w:w w:val="95"/>
        </w:rPr>
        <w:t> </w:t>
      </w:r>
      <w:r>
        <w:rPr>
          <w:spacing w:val="1"/>
          <w:w w:val="95"/>
        </w:rPr>
      </w:r>
      <w:r>
        <w:rPr>
          <w:w w:val="95"/>
        </w:rPr>
        <w:t>因被投资方除净损益、其他综合收益和利润分配以外的其他所有者权益变动而确认的所有者</w:t>
      </w:r>
      <w:r>
        <w:rPr>
          <w:spacing w:val="77"/>
          <w:w w:val="95"/>
        </w:rPr>
        <w:t> </w:t>
      </w:r>
      <w:r>
        <w:rPr>
          <w:spacing w:val="77"/>
          <w:w w:val="95"/>
        </w:rPr>
      </w:r>
      <w:r>
        <w:rPr/>
        <w:t>权益，在终止采用权益法核算时全部转入当期损益。</w:t>
      </w:r>
      <w:r>
        <w:rPr>
          <w:w w:val="99"/>
        </w:rPr>
        <w:t> </w:t>
      </w:r>
      <w:r>
        <w:rPr>
          <w:w w:val="95"/>
        </w:rPr>
        <w:t>因处置部分股权投资等原因丧失了对被投资单位控制权的，在编制个别财务报表时，处置后</w:t>
      </w:r>
      <w:r>
        <w:rPr>
          <w:spacing w:val="80"/>
          <w:w w:val="95"/>
        </w:rPr>
        <w:t> </w:t>
      </w:r>
      <w:r>
        <w:rPr>
          <w:spacing w:val="80"/>
          <w:w w:val="95"/>
        </w:rPr>
      </w:r>
      <w:r>
        <w:rPr>
          <w:w w:val="95"/>
        </w:rPr>
        <w:t>的剩余股权能够对被投资单位实施共同控制或重大影响的，改按权益法核算，并对该剩余股</w:t>
      </w:r>
      <w:r>
        <w:rPr>
          <w:spacing w:val="77"/>
          <w:w w:val="95"/>
        </w:rPr>
        <w:t> </w:t>
      </w:r>
      <w:r>
        <w:rPr>
          <w:spacing w:val="77"/>
          <w:w w:val="95"/>
        </w:rPr>
      </w:r>
      <w:r>
        <w:rPr>
          <w:w w:val="95"/>
        </w:rPr>
        <w:t>权视同自取得时即采用权益法核算进行调整；处置后的剩余股权不能对被投资单位实施共同</w:t>
      </w:r>
      <w:r>
        <w:rPr>
          <w:spacing w:val="77"/>
          <w:w w:val="95"/>
        </w:rPr>
        <w:t> </w:t>
      </w:r>
      <w:r>
        <w:rPr>
          <w:spacing w:val="77"/>
          <w:w w:val="95"/>
        </w:rPr>
      </w:r>
      <w:r>
        <w:rPr>
          <w:w w:val="95"/>
        </w:rPr>
        <w:t>控制或施加重大影响的，改按金融工具确认和计量准则的有关规定进行会计处理，其在丧失</w:t>
      </w:r>
      <w:r>
        <w:rPr/>
      </w:r>
    </w:p>
    <w:p>
      <w:pPr>
        <w:spacing w:after="0" w:line="271" w:lineRule="auto"/>
        <w:jc w:val="left"/>
        <w:sectPr>
          <w:pgSz w:w="11910" w:h="16840"/>
          <w:pgMar w:header="776" w:footer="978" w:top="1100" w:bottom="1160" w:left="1020" w:right="920"/>
        </w:sectPr>
      </w:pPr>
    </w:p>
    <w:p>
      <w:pPr>
        <w:spacing w:line="240" w:lineRule="auto" w:before="12"/>
        <w:rPr>
          <w:rFonts w:ascii="宋体" w:hAnsi="宋体" w:cs="宋体" w:eastAsia="宋体" w:hint="default"/>
          <w:sz w:val="20"/>
          <w:szCs w:val="20"/>
        </w:rPr>
      </w:pPr>
    </w:p>
    <w:p>
      <w:pPr>
        <w:pStyle w:val="BodyText"/>
        <w:spacing w:line="273" w:lineRule="auto" w:before="34"/>
        <w:ind w:left="1372" w:right="105"/>
        <w:jc w:val="left"/>
      </w:pPr>
      <w:r>
        <w:rPr/>
        <w:t>控制之日的公允价值与账面价值间的差额计入当期损益。</w:t>
      </w:r>
      <w:r>
        <w:rPr>
          <w:w w:val="99"/>
        </w:rPr>
        <w:t> </w:t>
      </w:r>
      <w:r>
        <w:rPr>
          <w:w w:val="95"/>
        </w:rPr>
        <w:t>处置的股权是因追加投资等原因通过企业合并取得的，在编制个别财务报表时，处置后的剩</w:t>
      </w:r>
      <w:r>
        <w:rPr>
          <w:spacing w:val="80"/>
          <w:w w:val="95"/>
        </w:rPr>
        <w:t> </w:t>
      </w:r>
      <w:r>
        <w:rPr>
          <w:spacing w:val="80"/>
          <w:w w:val="95"/>
        </w:rPr>
      </w:r>
      <w:r>
        <w:rPr>
          <w:w w:val="95"/>
        </w:rPr>
        <w:t>余股权采用成本法或权益法核算的，购买日之前持有的股权投资因采用权益法核算而确认的</w:t>
      </w:r>
      <w:r>
        <w:rPr>
          <w:spacing w:val="77"/>
          <w:w w:val="95"/>
        </w:rPr>
        <w:t> </w:t>
      </w:r>
      <w:r>
        <w:rPr>
          <w:spacing w:val="77"/>
          <w:w w:val="95"/>
        </w:rPr>
      </w:r>
      <w:r>
        <w:rPr>
          <w:w w:val="95"/>
        </w:rPr>
        <w:t>其他综合收益和其他所有者权益按比例结转；处置后的剩余股权改按金融工具确认和计量准</w:t>
      </w:r>
      <w:r>
        <w:rPr>
          <w:spacing w:val="77"/>
          <w:w w:val="95"/>
        </w:rPr>
        <w:t> </w:t>
      </w:r>
      <w:r>
        <w:rPr>
          <w:spacing w:val="77"/>
          <w:w w:val="95"/>
        </w:rPr>
      </w:r>
      <w:r>
        <w:rPr/>
        <w:t>则进行会计处理的，其他综合收益和其他所有者权益全部结转。</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05"/>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832" w:right="105"/>
        <w:jc w:val="left"/>
      </w:pPr>
      <w:r>
        <w:rPr>
          <w:spacing w:val="2"/>
        </w:rPr>
        <w:t>公司对现有投资性房地产采用成本模式计量。对按照成本模式计量的投资性房地产－出租用建筑</w:t>
      </w:r>
      <w:r>
        <w:rPr>
          <w:w w:val="99"/>
        </w:rPr>
        <w:t> </w:t>
      </w:r>
      <w:r>
        <w:rPr>
          <w:w w:val="95"/>
        </w:rPr>
        <w:t>物采用与本公司固定资产相同的折旧政策，出租用土地使用权按与无形资产相同的摊销政策执行。</w:t>
      </w:r>
      <w:r>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5"/>
        <w:spacing w:line="240" w:lineRule="auto"/>
        <w:ind w:right="105"/>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05"/>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05"/>
        <w:jc w:val="left"/>
      </w:pPr>
      <w:r>
        <w:rPr>
          <w:spacing w:val="-3"/>
        </w:rPr>
        <w:t>固定资产指为生产商品、提供劳务、出租或经营管理而持有，并且使用寿命超过一个会计年度的有形资产。</w:t>
      </w:r>
      <w:r>
        <w:rPr>
          <w:w w:val="99"/>
        </w:rPr>
        <w:t> </w:t>
      </w:r>
      <w:r>
        <w:rPr/>
        <w:t>固定资产在同时满足下列条件时予以确认：1）与该固定资产有关的经济利益很可能流入企业；2）该固定</w:t>
      </w:r>
      <w:r>
        <w:rPr>
          <w:w w:val="99"/>
        </w:rPr>
        <w:t> </w:t>
      </w:r>
      <w:r>
        <w:rPr/>
        <w:t>资产的成本能够可靠地计量。</w:t>
      </w:r>
    </w:p>
    <w:p>
      <w:pPr>
        <w:spacing w:line="240" w:lineRule="auto" w:before="7"/>
        <w:rPr>
          <w:rFonts w:ascii="宋体" w:hAnsi="宋体" w:cs="宋体" w:eastAsia="宋体" w:hint="default"/>
          <w:sz w:val="23"/>
          <w:szCs w:val="23"/>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218" w:type="dxa"/>
        <w:tblLayout w:type="fixed"/>
        <w:tblCellMar>
          <w:top w:w="0" w:type="dxa"/>
          <w:left w:w="0" w:type="dxa"/>
          <w:bottom w:w="0" w:type="dxa"/>
          <w:right w:w="0" w:type="dxa"/>
        </w:tblCellMar>
        <w:tblLook w:val="01E0"/>
      </w:tblPr>
      <w:tblGrid>
        <w:gridCol w:w="1484"/>
        <w:gridCol w:w="1484"/>
        <w:gridCol w:w="1484"/>
        <w:gridCol w:w="1484"/>
        <w:gridCol w:w="1484"/>
      </w:tblGrid>
      <w:tr>
        <w:trPr>
          <w:trHeight w:val="401" w:hRule="exact"/>
        </w:trPr>
        <w:tc>
          <w:tcPr>
            <w:tcW w:w="1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7"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6"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66" w:right="0"/>
              <w:jc w:val="left"/>
              <w:rPr>
                <w:rFonts w:ascii="宋体" w:hAnsi="宋体" w:cs="宋体" w:eastAsia="宋体" w:hint="default"/>
                <w:sz w:val="18"/>
                <w:szCs w:val="18"/>
              </w:rPr>
            </w:pPr>
            <w:r>
              <w:rPr>
                <w:rFonts w:ascii="宋体" w:hAnsi="宋体" w:cs="宋体" w:eastAsia="宋体" w:hint="default"/>
                <w:sz w:val="18"/>
                <w:szCs w:val="18"/>
              </w:rPr>
              <w:t>残值率</w:t>
            </w:r>
          </w:p>
        </w:tc>
        <w:tc>
          <w:tcPr>
            <w:tcW w:w="1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6"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w:t>
            </w:r>
          </w:p>
        </w:tc>
      </w:tr>
      <w:tr>
        <w:trPr>
          <w:trHeight w:val="402"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w:t>
            </w:r>
          </w:p>
        </w:tc>
      </w:tr>
      <w:tr>
        <w:trPr>
          <w:trHeight w:val="402"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w:t>
            </w:r>
          </w:p>
        </w:tc>
      </w:tr>
    </w:tbl>
    <w:p>
      <w:pPr>
        <w:spacing w:line="240" w:lineRule="auto" w:before="4"/>
        <w:rPr>
          <w:rFonts w:ascii="宋体" w:hAnsi="宋体" w:cs="宋体" w:eastAsia="宋体" w:hint="default"/>
          <w:b/>
          <w:bCs/>
          <w:sz w:val="19"/>
          <w:szCs w:val="19"/>
        </w:rPr>
      </w:pPr>
    </w:p>
    <w:p>
      <w:pPr>
        <w:pStyle w:val="Heading5"/>
        <w:spacing w:line="240" w:lineRule="auto" w:before="34"/>
        <w:ind w:right="105"/>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832" w:right="214"/>
        <w:jc w:val="both"/>
      </w:pPr>
      <w:r>
        <w:rPr>
          <w:spacing w:val="2"/>
        </w:rPr>
        <w:t>在建工程项目按建造该项资产达到预定可使用状态前所发生的必要支出，作为固定资产的入账价</w:t>
      </w:r>
      <w:r>
        <w:rPr>
          <w:w w:val="99"/>
        </w:rPr>
        <w:t> </w:t>
      </w:r>
      <w:r>
        <w:rPr>
          <w:spacing w:val="2"/>
        </w:rPr>
        <w:t>值。所建造的固定资产在建工程已达到预定可使用状态，但尚未办理竣工决算的，自达到预定可</w:t>
      </w:r>
      <w:r>
        <w:rPr>
          <w:w w:val="99"/>
        </w:rPr>
        <w:t> </w:t>
      </w:r>
      <w:r>
        <w:rPr>
          <w:spacing w:val="2"/>
        </w:rPr>
        <w:t>使用状态之日起，根据工程预算、造价或者工程实际成本等，按估计的价值转入固定资产，并按</w:t>
      </w:r>
      <w:r>
        <w:rPr>
          <w:w w:val="99"/>
        </w:rPr>
        <w:t> </w:t>
      </w:r>
      <w:r>
        <w:rPr>
          <w:spacing w:val="2"/>
        </w:rPr>
        <w:t>本公司固定资产折旧政策计提固定资产的折旧，待办理竣工决算后，再按实际成本调整原来的暂</w:t>
      </w:r>
      <w:r>
        <w:rPr>
          <w:w w:val="99"/>
        </w:rPr>
        <w:t> </w:t>
      </w:r>
      <w:r>
        <w:rPr/>
        <w:t>估价值，但不调整原已计提的折旧额。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05"/>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4"/>
          <w:szCs w:val="24"/>
        </w:rPr>
      </w:pPr>
    </w:p>
    <w:p>
      <w:pPr>
        <w:spacing w:line="264" w:lineRule="auto" w:before="0"/>
        <w:ind w:left="1372" w:right="105" w:hanging="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w w:val="95"/>
          <w:sz w:val="21"/>
          <w:szCs w:val="21"/>
        </w:rPr>
        <w:t>借款费用，包括借款利息、折价或者溢价的摊销、辅助费用以及因外币借款而发生的汇兑差</w:t>
      </w:r>
      <w:r>
        <w:rPr>
          <w:rFonts w:ascii="宋体" w:hAnsi="宋体" w:cs="宋体" w:eastAsia="宋体" w:hint="default"/>
          <w:spacing w:val="80"/>
          <w:w w:val="95"/>
          <w:sz w:val="21"/>
          <w:szCs w:val="21"/>
        </w:rPr>
        <w:t> </w:t>
      </w:r>
      <w:r>
        <w:rPr>
          <w:rFonts w:ascii="宋体" w:hAnsi="宋体" w:cs="宋体" w:eastAsia="宋体" w:hint="default"/>
          <w:spacing w:val="80"/>
          <w:w w:val="95"/>
          <w:sz w:val="21"/>
          <w:szCs w:val="21"/>
        </w:rPr>
      </w:r>
      <w:r>
        <w:rPr>
          <w:rFonts w:ascii="宋体" w:hAnsi="宋体" w:cs="宋体" w:eastAsia="宋体" w:hint="default"/>
          <w:sz w:val="21"/>
          <w:szCs w:val="21"/>
        </w:rPr>
        <w:t>额等。</w:t>
      </w:r>
    </w:p>
    <w:p>
      <w:pPr>
        <w:spacing w:after="0" w:line="264" w:lineRule="auto"/>
        <w:jc w:val="left"/>
        <w:rPr>
          <w:rFonts w:ascii="宋体" w:hAnsi="宋体" w:cs="宋体" w:eastAsia="宋体" w:hint="default"/>
          <w:sz w:val="21"/>
          <w:szCs w:val="21"/>
        </w:rPr>
        <w:sectPr>
          <w:pgSz w:w="11910" w:h="16840"/>
          <w:pgMar w:header="776" w:footer="978" w:top="1100" w:bottom="1160" w:left="1020" w:right="920"/>
        </w:sectPr>
      </w:pPr>
    </w:p>
    <w:p>
      <w:pPr>
        <w:spacing w:line="240" w:lineRule="auto" w:before="12"/>
        <w:rPr>
          <w:rFonts w:ascii="宋体" w:hAnsi="宋体" w:cs="宋体" w:eastAsia="宋体" w:hint="default"/>
          <w:sz w:val="20"/>
          <w:szCs w:val="20"/>
        </w:rPr>
      </w:pPr>
    </w:p>
    <w:p>
      <w:pPr>
        <w:pStyle w:val="BodyText"/>
        <w:spacing w:line="271" w:lineRule="auto" w:before="34"/>
        <w:ind w:left="1372" w:right="105"/>
        <w:jc w:val="left"/>
      </w:pPr>
      <w:r>
        <w:rPr>
          <w:spacing w:val="-3"/>
          <w:w w:val="95"/>
        </w:rPr>
        <w:t>公司发生的借款费用，可直接归属于符合资本化条件的资产的购建或者生产的，予以资本化，</w:t>
      </w:r>
      <w:r>
        <w:rPr>
          <w:spacing w:val="19"/>
          <w:w w:val="95"/>
        </w:rPr>
        <w:t> </w:t>
      </w:r>
      <w:r>
        <w:rPr>
          <w:spacing w:val="19"/>
          <w:w w:val="95"/>
        </w:rPr>
      </w:r>
      <w:r>
        <w:rPr/>
        <w:t>计入相关资产成本；其他借款费用，在发生时根据其发生额确认为费用，计入当期损益。</w:t>
      </w:r>
      <w:r>
        <w:rPr>
          <w:w w:val="99"/>
        </w:rPr>
        <w:t> </w:t>
      </w:r>
      <w:r>
        <w:rPr/>
        <w:t>符合资本化条件的资产，是指需要经过相当长时间的购建或者生产活动才能达到预定可使用</w:t>
      </w:r>
      <w:r>
        <w:rPr>
          <w:w w:val="99"/>
        </w:rPr>
        <w:t> </w:t>
      </w:r>
      <w:r>
        <w:rPr/>
        <w:t>或者可销售状态的固定资产、投资性房地产和存货等资产。</w:t>
      </w:r>
      <w:r>
        <w:rPr>
          <w:w w:val="99"/>
        </w:rPr>
        <w:t> </w:t>
      </w:r>
      <w:r>
        <w:rPr/>
        <w:t>借款费用同时满足下列条件时开始资本化：</w:t>
      </w:r>
      <w:r>
        <w:rPr>
          <w:w w:val="99"/>
        </w:rPr>
        <w:t> </w:t>
      </w:r>
      <w:r>
        <w:rPr>
          <w:rFonts w:ascii="Times New Roman" w:hAnsi="Times New Roman" w:cs="Times New Roman" w:eastAsia="Times New Roman" w:hint="default"/>
          <w:w w:val="95"/>
        </w:rPr>
        <w:t>1</w:t>
      </w:r>
      <w:r>
        <w:rPr>
          <w:w w:val="95"/>
        </w:rPr>
        <w:t>）资产支出已经发生，资产支出包括为购建或者生产符合资本化条件的资产而以支付现金、</w:t>
      </w:r>
      <w:r>
        <w:rPr>
          <w:spacing w:val="86"/>
          <w:w w:val="95"/>
        </w:rPr>
        <w:t> </w:t>
      </w:r>
      <w:r>
        <w:rPr>
          <w:spacing w:val="86"/>
          <w:w w:val="95"/>
        </w:rPr>
      </w:r>
      <w:r>
        <w:rPr/>
        <w:t>转移非现金资产或者承担带息债务形式发生的支出；</w:t>
      </w:r>
    </w:p>
    <w:p>
      <w:pPr>
        <w:pStyle w:val="BodyText"/>
        <w:spacing w:line="240" w:lineRule="auto" w:before="10"/>
        <w:ind w:left="1372" w:right="105"/>
        <w:jc w:val="left"/>
      </w:pPr>
      <w:r>
        <w:rPr>
          <w:rFonts w:ascii="Times New Roman" w:hAnsi="Times New Roman" w:cs="Times New Roman" w:eastAsia="Times New Roman" w:hint="default"/>
        </w:rPr>
        <w:t>2</w:t>
      </w:r>
      <w:r>
        <w:rPr/>
        <w:t>）借款费用已经发生；</w:t>
      </w:r>
    </w:p>
    <w:p>
      <w:pPr>
        <w:pStyle w:val="BodyText"/>
        <w:spacing w:line="240" w:lineRule="auto" w:before="21"/>
        <w:ind w:left="1372" w:right="105"/>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6"/>
        <w:rPr>
          <w:rFonts w:ascii="宋体" w:hAnsi="宋体" w:cs="宋体" w:eastAsia="宋体" w:hint="default"/>
          <w:sz w:val="25"/>
          <w:szCs w:val="25"/>
        </w:rPr>
      </w:pPr>
    </w:p>
    <w:p>
      <w:pPr>
        <w:pStyle w:val="BodyText"/>
        <w:spacing w:line="271" w:lineRule="auto" w:before="0"/>
        <w:ind w:left="1372" w:right="105" w:hanging="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w w:val="95"/>
        </w:rPr>
        <w:t>资本化期间，指从借款费用开始资本化时点到停止资本化时点的期间，借款费用暂停资本化</w:t>
      </w:r>
      <w:r>
        <w:rPr>
          <w:spacing w:val="77"/>
          <w:w w:val="95"/>
        </w:rPr>
        <w:t> </w:t>
      </w:r>
      <w:r>
        <w:rPr>
          <w:spacing w:val="77"/>
          <w:w w:val="95"/>
        </w:rPr>
      </w:r>
      <w:r>
        <w:rPr/>
        <w:t>的期间不包括在内。</w:t>
      </w:r>
      <w:r>
        <w:rPr>
          <w:w w:val="99"/>
        </w:rPr>
        <w:t> </w:t>
      </w:r>
      <w:r>
        <w:rPr>
          <w:w w:val="95"/>
        </w:rPr>
        <w:t>当购建或者生产符合资本化条件的资产达到预定可使用或者可销售状态时，借款费用停止资</w:t>
      </w:r>
      <w:r>
        <w:rPr>
          <w:spacing w:val="76"/>
          <w:w w:val="95"/>
        </w:rPr>
        <w:t> </w:t>
      </w:r>
      <w:r>
        <w:rPr>
          <w:spacing w:val="76"/>
          <w:w w:val="95"/>
        </w:rPr>
      </w:r>
      <w:r>
        <w:rPr/>
        <w:t>本化。</w:t>
      </w:r>
      <w:r>
        <w:rPr>
          <w:w w:val="99"/>
        </w:rPr>
        <w:t> </w:t>
      </w:r>
      <w:r>
        <w:rPr>
          <w:w w:val="95"/>
        </w:rPr>
        <w:t>当购建或者生产符合资本化条件的资产中部分项目分别完工且可单独使用时，该部分资产借</w:t>
      </w:r>
      <w:r>
        <w:rPr>
          <w:spacing w:val="74"/>
          <w:w w:val="95"/>
        </w:rPr>
        <w:t> </w:t>
      </w:r>
      <w:r>
        <w:rPr>
          <w:spacing w:val="74"/>
          <w:w w:val="95"/>
        </w:rPr>
      </w:r>
      <w:r>
        <w:rPr/>
        <w:t>款费用停止资本化。</w:t>
      </w:r>
      <w:r>
        <w:rPr>
          <w:w w:val="99"/>
        </w:rPr>
        <w:t> </w:t>
      </w:r>
      <w:r>
        <w:rPr>
          <w:w w:val="95"/>
        </w:rPr>
        <w:t>购建或者生产的资产的各部分分别完工，但必须等到整体完工后才可使用或可对外销售的，</w:t>
      </w:r>
      <w:r>
        <w:rPr>
          <w:spacing w:val="98"/>
          <w:w w:val="95"/>
        </w:rPr>
        <w:t> </w:t>
      </w:r>
      <w:r>
        <w:rPr>
          <w:spacing w:val="98"/>
          <w:w w:val="95"/>
        </w:rPr>
      </w:r>
      <w:r>
        <w:rPr/>
        <w:t>在该资产整体完工时停止借款费用资本化。</w:t>
      </w:r>
    </w:p>
    <w:p>
      <w:pPr>
        <w:spacing w:line="240" w:lineRule="auto" w:before="8"/>
        <w:rPr>
          <w:rFonts w:ascii="宋体" w:hAnsi="宋体" w:cs="宋体" w:eastAsia="宋体" w:hint="default"/>
          <w:sz w:val="24"/>
          <w:szCs w:val="24"/>
        </w:rPr>
      </w:pPr>
    </w:p>
    <w:p>
      <w:pPr>
        <w:pStyle w:val="BodyText"/>
        <w:spacing w:line="264" w:lineRule="auto" w:before="0"/>
        <w:ind w:left="1372" w:right="199" w:hanging="3"/>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w:t>
      </w:r>
      <w:r>
        <w:rPr>
          <w:w w:val="99"/>
        </w:rPr>
        <w:t> </w:t>
      </w:r>
      <w:r>
        <w:rPr>
          <w:w w:val="95"/>
        </w:rPr>
        <w:t>的，则借款费用暂停资本化；该项中断如是所购建或生产的符合资本化条件的资产达到预定</w:t>
      </w:r>
      <w:r>
        <w:rPr>
          <w:spacing w:val="77"/>
          <w:w w:val="95"/>
        </w:rPr>
        <w:t> </w:t>
      </w:r>
      <w:r>
        <w:rPr>
          <w:spacing w:val="77"/>
          <w:w w:val="95"/>
        </w:rPr>
      </w:r>
      <w:r>
        <w:rPr>
          <w:w w:val="95"/>
        </w:rPr>
        <w:t>可使用状态或者可销售状态必要的程序，则借款费用继续资本化。在中断期间发生的借款费</w:t>
      </w:r>
      <w:r>
        <w:rPr>
          <w:spacing w:val="77"/>
          <w:w w:val="95"/>
        </w:rPr>
        <w:t> </w:t>
      </w:r>
      <w:r>
        <w:rPr>
          <w:spacing w:val="77"/>
          <w:w w:val="95"/>
        </w:rPr>
      </w:r>
      <w:r>
        <w:rPr/>
        <w:t>用确认为当期损益，直至资产的购建或者生产活动重新开始后借款费用继续资本化。</w:t>
      </w:r>
    </w:p>
    <w:p>
      <w:pPr>
        <w:spacing w:line="240" w:lineRule="auto" w:before="1"/>
        <w:rPr>
          <w:rFonts w:ascii="宋体" w:hAnsi="宋体" w:cs="宋体" w:eastAsia="宋体" w:hint="default"/>
          <w:sz w:val="25"/>
          <w:szCs w:val="25"/>
        </w:rPr>
      </w:pPr>
    </w:p>
    <w:p>
      <w:pPr>
        <w:pStyle w:val="BodyText"/>
        <w:spacing w:line="271" w:lineRule="auto" w:before="0"/>
        <w:ind w:left="1372" w:right="105" w:hanging="3"/>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w w:val="95"/>
        </w:rPr>
        <w:t>对于为购建或者生产符合资本化条件的资产而借入的专门借款，以专门借款当期实际发生的</w:t>
      </w:r>
      <w:r>
        <w:rPr>
          <w:spacing w:val="74"/>
          <w:w w:val="95"/>
        </w:rPr>
        <w:t> </w:t>
      </w:r>
      <w:r>
        <w:rPr>
          <w:spacing w:val="74"/>
          <w:w w:val="95"/>
        </w:rPr>
      </w:r>
      <w:r>
        <w:rPr>
          <w:w w:val="95"/>
        </w:rPr>
        <w:t>借款费用，减去尚未动用的借款资金存入银行取得的利息收入或进行暂时性投资取得的投资</w:t>
      </w:r>
      <w:r>
        <w:rPr>
          <w:spacing w:val="76"/>
          <w:w w:val="95"/>
        </w:rPr>
        <w:t> </w:t>
      </w:r>
      <w:r>
        <w:rPr>
          <w:spacing w:val="76"/>
          <w:w w:val="95"/>
        </w:rPr>
      </w:r>
      <w:r>
        <w:rPr/>
        <w:t>收益后的金额，来确定借款费用的资本化金额。</w:t>
      </w:r>
      <w:r>
        <w:rPr>
          <w:w w:val="99"/>
        </w:rPr>
        <w:t> </w:t>
      </w:r>
      <w:r>
        <w:rPr>
          <w:w w:val="95"/>
        </w:rPr>
        <w:t>对于为购建或者生产符合资本化条件的资产而占用的一般借款，根据累计资产支出超过专门</w:t>
      </w:r>
      <w:r>
        <w:rPr>
          <w:spacing w:val="74"/>
          <w:w w:val="95"/>
        </w:rPr>
        <w:t> </w:t>
      </w:r>
      <w:r>
        <w:rPr>
          <w:spacing w:val="74"/>
          <w:w w:val="95"/>
        </w:rPr>
      </w:r>
      <w:r>
        <w:rPr>
          <w:w w:val="95"/>
        </w:rPr>
        <w:t>借款部分的资产支出加权平均数乘以所占用一般借款的资本化率，计算确定一般借款应予资</w:t>
      </w:r>
      <w:r>
        <w:rPr>
          <w:spacing w:val="76"/>
          <w:w w:val="95"/>
        </w:rPr>
        <w:t> </w:t>
      </w:r>
      <w:r>
        <w:rPr>
          <w:spacing w:val="76"/>
          <w:w w:val="95"/>
        </w:rPr>
      </w:r>
      <w:r>
        <w:rPr/>
        <w:t>本化的借款费用金额。资本化率根据一般借款加权平均利率计算确定。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5"/>
        <w:spacing w:line="240" w:lineRule="auto"/>
        <w:ind w:right="105"/>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5"/>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spacing w:line="256" w:lineRule="auto" w:before="0"/>
        <w:ind w:left="1372" w:right="4584" w:hanging="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99"/>
          <w:sz w:val="21"/>
          <w:szCs w:val="21"/>
        </w:rPr>
        <w:t> </w:t>
      </w:r>
      <w:r>
        <w:rPr>
          <w:rFonts w:ascii="宋体" w:hAnsi="宋体" w:cs="宋体" w:eastAsia="宋体" w:hint="default"/>
          <w:sz w:val="21"/>
          <w:szCs w:val="21"/>
        </w:rPr>
        <w:t>公司取得无形资产时按成本进行初始计量；</w:t>
      </w:r>
    </w:p>
    <w:p>
      <w:pPr>
        <w:pStyle w:val="BodyText"/>
        <w:spacing w:line="273" w:lineRule="auto" w:before="22"/>
        <w:ind w:left="1372" w:right="105"/>
        <w:jc w:val="left"/>
      </w:pPr>
      <w:r>
        <w:rPr/>
        <w:t>外购无形资产的成本，包括购买价款、相关税费以及直接归属于使该项资产达到预定用途所</w:t>
      </w:r>
      <w:r>
        <w:rPr>
          <w:w w:val="99"/>
        </w:rPr>
        <w:t> </w:t>
      </w:r>
      <w:r>
        <w:rPr>
          <w:spacing w:val="-3"/>
          <w:w w:val="95"/>
        </w:rPr>
        <w:t>发生的其他支出。购买无形资产的价款超过正常信用条件延期支付，实质上具有融资性质的，</w:t>
      </w:r>
      <w:r>
        <w:rPr>
          <w:spacing w:val="18"/>
          <w:w w:val="95"/>
        </w:rPr>
        <w:t> </w:t>
      </w:r>
      <w:r>
        <w:rPr>
          <w:spacing w:val="18"/>
          <w:w w:val="95"/>
        </w:rPr>
      </w:r>
      <w:r>
        <w:rPr/>
        <w:t>无形资产的成本以购买价款的现值为基础确定。</w:t>
      </w:r>
    </w:p>
    <w:p>
      <w:pPr>
        <w:spacing w:after="0" w:line="273" w:lineRule="auto"/>
        <w:jc w:val="left"/>
        <w:sectPr>
          <w:footerReference w:type="default" r:id="rId32"/>
          <w:pgSz w:w="11910" w:h="16840"/>
          <w:pgMar w:footer="978" w:header="776" w:top="1100" w:bottom="1160" w:left="1020" w:right="920"/>
          <w:pgNumType w:start="80"/>
        </w:sectPr>
      </w:pPr>
    </w:p>
    <w:p>
      <w:pPr>
        <w:spacing w:line="240" w:lineRule="auto" w:before="12"/>
        <w:rPr>
          <w:rFonts w:ascii="宋体" w:hAnsi="宋体" w:cs="宋体" w:eastAsia="宋体" w:hint="default"/>
          <w:sz w:val="20"/>
          <w:szCs w:val="20"/>
        </w:rPr>
      </w:pPr>
    </w:p>
    <w:p>
      <w:pPr>
        <w:pStyle w:val="BodyText"/>
        <w:spacing w:line="273" w:lineRule="auto" w:before="34"/>
        <w:ind w:left="1372" w:right="105"/>
        <w:jc w:val="left"/>
      </w:pPr>
      <w:r>
        <w:rPr>
          <w:spacing w:val="5"/>
        </w:rPr>
        <w:t>债务重组取得债务人用以抵债的无形资产，以该无形资产的公允价值为基础确定其入账价</w:t>
      </w:r>
      <w:r>
        <w:rPr>
          <w:w w:val="99"/>
        </w:rPr>
        <w:t> </w:t>
      </w:r>
      <w:r>
        <w:rPr>
          <w:spacing w:val="-3"/>
          <w:w w:val="95"/>
        </w:rPr>
        <w:t>值，并将重组债务的账面价值与该用以抵债的无形资产公允价值之间的差额，计入当期损益。</w:t>
      </w:r>
      <w:r>
        <w:rPr>
          <w:spacing w:val="18"/>
          <w:w w:val="95"/>
        </w:rPr>
        <w:t> </w:t>
      </w:r>
      <w:r>
        <w:rPr>
          <w:spacing w:val="18"/>
          <w:w w:val="95"/>
        </w:rPr>
      </w:r>
      <w:r>
        <w:rPr>
          <w:spacing w:val="5"/>
        </w:rPr>
        <w:t>在非货币性资产交换具备商业实质且换入资产或换出资产的公允价值能够可靠计量的前提</w:t>
      </w:r>
      <w:r>
        <w:rPr>
          <w:w w:val="99"/>
        </w:rPr>
        <w:t> </w:t>
      </w:r>
      <w:r>
        <w:rPr/>
        <w:t>下，非货币性资产交换换入的无形资产以换出资产的公允价值为基础确定其入账价值，除非</w:t>
      </w:r>
      <w:r>
        <w:rPr>
          <w:w w:val="99"/>
        </w:rPr>
        <w:t> </w:t>
      </w:r>
      <w:r>
        <w:rPr/>
        <w:t>有确凿证据表明换入资产的公允价值更加可靠；不满足上述前提的非货币性资产交换，以换</w:t>
      </w:r>
      <w:r>
        <w:rPr>
          <w:w w:val="99"/>
        </w:rPr>
        <w:t> </w:t>
      </w:r>
      <w:r>
        <w:rPr/>
        <w:t>出资产的账面价值和应支付的相关税费作为换入无形资产的成本，不确认损益。</w:t>
      </w:r>
    </w:p>
    <w:p>
      <w:pPr>
        <w:pStyle w:val="BodyText"/>
        <w:spacing w:line="273" w:lineRule="auto"/>
        <w:ind w:left="1372" w:right="4479"/>
        <w:jc w:val="left"/>
      </w:pPr>
      <w:r>
        <w:rPr/>
        <w:t>后续计量</w:t>
      </w:r>
      <w:r>
        <w:rPr>
          <w:w w:val="99"/>
        </w:rPr>
        <w:t> </w:t>
      </w:r>
      <w:r>
        <w:rPr>
          <w:w w:val="95"/>
        </w:rPr>
        <w:t>在取得无形资产时分析判断其使用寿命。</w:t>
      </w:r>
      <w:r>
        <w:rPr/>
      </w:r>
    </w:p>
    <w:p>
      <w:pPr>
        <w:spacing w:line="273" w:lineRule="auto" w:before="7"/>
        <w:ind w:left="1370" w:right="105" w:firstLine="2"/>
        <w:jc w:val="left"/>
        <w:rPr>
          <w:rFonts w:ascii="宋体" w:hAnsi="宋体" w:cs="宋体" w:eastAsia="宋体" w:hint="default"/>
          <w:sz w:val="21"/>
          <w:szCs w:val="21"/>
        </w:rPr>
      </w:pPr>
      <w:r>
        <w:rPr>
          <w:rFonts w:ascii="宋体" w:hAnsi="宋体" w:cs="宋体" w:eastAsia="宋体" w:hint="default"/>
          <w:w w:val="95"/>
          <w:sz w:val="21"/>
          <w:szCs w:val="21"/>
        </w:rPr>
        <w:t>对于使用寿命有限的无形资产，在为企业带来经济利益的期限内按直线法摊销；无法预见无</w:t>
      </w:r>
      <w:r>
        <w:rPr>
          <w:rFonts w:ascii="宋体" w:hAnsi="宋体" w:cs="宋体" w:eastAsia="宋体" w:hint="default"/>
          <w:spacing w:val="78"/>
          <w:w w:val="95"/>
          <w:sz w:val="21"/>
          <w:szCs w:val="21"/>
        </w:rPr>
        <w:t> </w:t>
      </w:r>
      <w:r>
        <w:rPr>
          <w:rFonts w:ascii="宋体" w:hAnsi="宋体" w:cs="宋体" w:eastAsia="宋体" w:hint="default"/>
          <w:spacing w:val="78"/>
          <w:w w:val="95"/>
          <w:sz w:val="21"/>
          <w:szCs w:val="21"/>
        </w:rPr>
      </w:r>
      <w:r>
        <w:rPr>
          <w:rFonts w:ascii="宋体" w:hAnsi="宋体" w:cs="宋体" w:eastAsia="宋体" w:hint="default"/>
          <w:sz w:val="21"/>
          <w:szCs w:val="21"/>
        </w:rPr>
        <w:t>形资产为企业带来经济利益期限的，视为使用寿命不确定的无形资产，不予摊销。</w:t>
      </w:r>
      <w:r>
        <w:rPr>
          <w:rFonts w:ascii="宋体" w:hAnsi="宋体" w:cs="宋体" w:eastAsia="宋体" w:hint="default"/>
          <w:w w:val="99"/>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sz w:val="21"/>
          <w:szCs w:val="21"/>
        </w:rPr>
      </w:r>
    </w:p>
    <w:tbl>
      <w:tblPr>
        <w:tblW w:w="0" w:type="auto"/>
        <w:jc w:val="left"/>
        <w:tblInd w:w="1101" w:type="dxa"/>
        <w:tblLayout w:type="fixed"/>
        <w:tblCellMar>
          <w:top w:w="0" w:type="dxa"/>
          <w:left w:w="0" w:type="dxa"/>
          <w:bottom w:w="0" w:type="dxa"/>
          <w:right w:w="0" w:type="dxa"/>
        </w:tblCellMar>
        <w:tblLook w:val="01E0"/>
      </w:tblPr>
      <w:tblGrid>
        <w:gridCol w:w="2993"/>
        <w:gridCol w:w="1873"/>
        <w:gridCol w:w="2787"/>
      </w:tblGrid>
      <w:tr>
        <w:trPr>
          <w:trHeight w:val="422" w:hRule="exact"/>
        </w:trPr>
        <w:tc>
          <w:tcPr>
            <w:tcW w:w="299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87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787"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2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计算机软件</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2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土地使用权期限</w:t>
            </w:r>
          </w:p>
        </w:tc>
      </w:tr>
    </w:tbl>
    <w:p>
      <w:pPr>
        <w:spacing w:line="240" w:lineRule="auto" w:before="3"/>
        <w:rPr>
          <w:rFonts w:ascii="宋体" w:hAnsi="宋体" w:cs="宋体" w:eastAsia="宋体" w:hint="default"/>
          <w:b/>
          <w:bCs/>
          <w:sz w:val="20"/>
          <w:szCs w:val="20"/>
        </w:rPr>
      </w:pPr>
    </w:p>
    <w:p>
      <w:pPr>
        <w:pStyle w:val="BodyText"/>
        <w:spacing w:line="273" w:lineRule="auto" w:before="34"/>
        <w:ind w:left="1372" w:right="105"/>
        <w:jc w:val="left"/>
      </w:pPr>
      <w:r>
        <w:rPr>
          <w:w w:val="95"/>
        </w:rPr>
        <w:t>每年度终了，对使用寿命有限的无形资产的使用寿命及摊销方法进行复核。</w:t>
      </w:r>
      <w:r>
        <w:rPr>
          <w:spacing w:val="30"/>
          <w:w w:val="95"/>
        </w:rPr>
        <w:t> </w:t>
      </w:r>
      <w:r>
        <w:rPr>
          <w:spacing w:val="30"/>
          <w:w w:val="95"/>
        </w:rPr>
      </w:r>
      <w:r>
        <w:rPr/>
        <w:t>经复核，本年期末无形资产的使用寿命及摊销方法与以前估计未有不同。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372" w:right="105"/>
        <w:jc w:val="left"/>
      </w:pPr>
      <w:r>
        <w:rPr/>
        <w:t>公司内部研究开发项目的支出分为研究阶段支出和开发阶段支出。</w:t>
      </w:r>
      <w:r>
        <w:rPr>
          <w:w w:val="99"/>
        </w:rPr>
        <w:t> </w:t>
      </w:r>
      <w:r>
        <w:rPr>
          <w:w w:val="95"/>
        </w:rPr>
        <w:t>研究阶段：为获取并理解新的科学或技术知识等而进行的独创性的有计划调查、研究活动的</w:t>
      </w:r>
      <w:r>
        <w:rPr>
          <w:spacing w:val="80"/>
          <w:w w:val="95"/>
        </w:rPr>
        <w:t> </w:t>
      </w:r>
      <w:r>
        <w:rPr>
          <w:spacing w:val="80"/>
          <w:w w:val="95"/>
        </w:rPr>
      </w:r>
      <w:r>
        <w:rPr/>
        <w:t>阶段。</w:t>
      </w:r>
      <w:r>
        <w:rPr>
          <w:w w:val="99"/>
        </w:rPr>
        <w:t> </w:t>
      </w:r>
      <w:r>
        <w:rPr>
          <w:w w:val="95"/>
        </w:rPr>
        <w:t>开发阶段：在进行商业性生产或使用前，将研究成果或其他知识应用于某项计划或设计，以</w:t>
      </w:r>
      <w:r>
        <w:rPr>
          <w:spacing w:val="83"/>
          <w:w w:val="95"/>
        </w:rPr>
        <w:t> </w:t>
      </w:r>
      <w:r>
        <w:rPr>
          <w:spacing w:val="83"/>
          <w:w w:val="95"/>
        </w:rPr>
      </w:r>
      <w:r>
        <w:rPr/>
        <w:t>生产出新的或具有实质性改进的材料、装置、产品等活动的阶段。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05"/>
        <w:jc w:val="left"/>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832" w:right="105"/>
        <w:jc w:val="left"/>
      </w:pPr>
      <w:r>
        <w:rPr>
          <w:w w:val="95"/>
        </w:rPr>
        <w:t>长期股权投资、采用成本模式计量的投资性房地产、固定资产、在建工程、无形资产等长期资产，</w:t>
      </w:r>
      <w:r>
        <w:rPr>
          <w:spacing w:val="24"/>
          <w:w w:val="95"/>
        </w:rPr>
        <w:t> </w:t>
      </w:r>
      <w:r>
        <w:rPr>
          <w:spacing w:val="24"/>
          <w:w w:val="95"/>
        </w:rPr>
      </w:r>
      <w:r>
        <w:rPr>
          <w:spacing w:val="2"/>
        </w:rPr>
        <w:t>于资产负债表日存在减值迹象的，进行减值测试。减值测试结果表明资产的可收回金额低于其账</w:t>
      </w:r>
      <w:r>
        <w:rPr>
          <w:w w:val="99"/>
        </w:rPr>
        <w:t> </w:t>
      </w:r>
      <w:r>
        <w:rPr>
          <w:spacing w:val="2"/>
        </w:rPr>
        <w:t>面价值的，按其差额计提减值准备并计入减值损失。可收回金额为资产的公允价值减去处置费用</w:t>
      </w:r>
      <w:r>
        <w:rPr>
          <w:w w:val="99"/>
        </w:rPr>
        <w:t> </w:t>
      </w:r>
      <w:r>
        <w:rPr>
          <w:spacing w:val="2"/>
        </w:rPr>
        <w:t>后的净额与资产预计未来现金流量的现值两者之间的较高者。资产减值准备按单项资产为基础计</w:t>
      </w:r>
      <w:r>
        <w:rPr>
          <w:w w:val="99"/>
        </w:rPr>
        <w:t> </w:t>
      </w:r>
      <w:r>
        <w:rPr>
          <w:spacing w:val="2"/>
        </w:rPr>
        <w:t>算并确认，如果难以对单项资产的可收回金额进行估计的，以该资产所属的资产组确定资产组的</w:t>
      </w:r>
      <w:r>
        <w:rPr>
          <w:w w:val="99"/>
        </w:rPr>
        <w:t> </w:t>
      </w:r>
      <w:r>
        <w:rPr/>
        <w:t>可收回金额。资产组是能够独立产生现金流入的最小资产组合。</w:t>
      </w:r>
      <w:r>
        <w:rPr>
          <w:w w:val="99"/>
        </w:rPr>
        <w:t> </w:t>
      </w:r>
      <w:r>
        <w:rPr/>
        <w:t>商誉至少在每年年度终了进行减值测试。</w:t>
      </w:r>
      <w:r>
        <w:rPr>
          <w:w w:val="99"/>
        </w:rPr>
        <w:t> </w:t>
      </w:r>
      <w:r>
        <w:rPr>
          <w:spacing w:val="2"/>
        </w:rPr>
        <w:t>本公司进行商誉减值测试，对于因企业合并形成的商誉的账面价值，自购买日起按照合理的方法</w:t>
      </w:r>
      <w:r>
        <w:rPr>
          <w:w w:val="99"/>
        </w:rPr>
        <w:t> </w:t>
      </w:r>
      <w:r>
        <w:rPr>
          <w:spacing w:val="2"/>
        </w:rPr>
        <w:t>分摊至相关的资产组；难以分摊至相关的资产组的，将其分摊至相关的资产组组合。在将商誉的</w:t>
      </w:r>
      <w:r>
        <w:rPr>
          <w:w w:val="99"/>
        </w:rPr>
        <w:t> </w:t>
      </w:r>
      <w:r>
        <w:rPr>
          <w:spacing w:val="2"/>
        </w:rPr>
        <w:t>账面价值分摊至相关的资产组或者资产组组合时，按照各资产组或者资产组组合的公允价值占相</w:t>
      </w:r>
      <w:r>
        <w:rPr>
          <w:w w:val="99"/>
        </w:rPr>
        <w:t> </w:t>
      </w:r>
      <w:r>
        <w:rPr>
          <w:spacing w:val="2"/>
        </w:rPr>
        <w:t>关资产组或者资产组组合公允价值总额的比例进行分摊。公允价值难以可靠计量的，按照各资产</w:t>
      </w:r>
      <w:r>
        <w:rPr>
          <w:w w:val="99"/>
        </w:rPr>
        <w:t> </w:t>
      </w:r>
      <w:r>
        <w:rPr/>
        <w:t>组或者资产组组合的账面价值占相关资产组或者资产组组合账面价值总额的比例进行分摊。</w:t>
      </w:r>
      <w:r>
        <w:rPr>
          <w:w w:val="99"/>
        </w:rPr>
        <w:t> </w:t>
      </w:r>
      <w:r>
        <w:rPr>
          <w:spacing w:val="2"/>
        </w:rPr>
        <w:t>在对包含商誉的相关资产组或者资产组组合进行减值测试时，如与商誉相关的资产组或者资产组</w:t>
      </w:r>
    </w:p>
    <w:p>
      <w:pPr>
        <w:spacing w:after="0" w:line="273" w:lineRule="auto"/>
        <w:jc w:val="left"/>
        <w:sectPr>
          <w:pgSz w:w="11910" w:h="16840"/>
          <w:pgMar w:header="776" w:footer="978" w:top="1100" w:bottom="1160" w:left="1020" w:right="920"/>
        </w:sectPr>
      </w:pPr>
    </w:p>
    <w:p>
      <w:pPr>
        <w:spacing w:line="240" w:lineRule="auto" w:before="12"/>
        <w:rPr>
          <w:rFonts w:ascii="宋体" w:hAnsi="宋体" w:cs="宋体" w:eastAsia="宋体" w:hint="default"/>
          <w:sz w:val="20"/>
          <w:szCs w:val="20"/>
        </w:rPr>
      </w:pPr>
    </w:p>
    <w:p>
      <w:pPr>
        <w:pStyle w:val="BodyText"/>
        <w:spacing w:line="273" w:lineRule="auto" w:before="34"/>
        <w:ind w:left="832" w:right="105"/>
        <w:jc w:val="left"/>
      </w:pPr>
      <w:r>
        <w:rPr>
          <w:w w:val="95"/>
        </w:rPr>
        <w:t>组合存在减值迹象的，先对不包含商誉的资产组或者资产组组合进行减值测试，计算可收回金额，</w:t>
      </w:r>
      <w:r>
        <w:rPr>
          <w:spacing w:val="26"/>
          <w:w w:val="95"/>
        </w:rPr>
        <w:t> </w:t>
      </w:r>
      <w:r>
        <w:rPr>
          <w:spacing w:val="26"/>
          <w:w w:val="95"/>
        </w:rPr>
      </w:r>
      <w:r>
        <w:rPr>
          <w:spacing w:val="2"/>
        </w:rPr>
        <w:t>并与相关账面价值相比较，确认相应的减值损失。再对包含商誉的资产组或者资产组组合进行减</w:t>
      </w:r>
      <w:r>
        <w:rPr>
          <w:w w:val="99"/>
        </w:rPr>
        <w:t> </w:t>
      </w:r>
      <w:r>
        <w:rPr>
          <w:spacing w:val="2"/>
        </w:rPr>
        <w:t>值测试，比较这些相关资产组或者资产组组合的账面价值（包括所分摊的商誉的账面价值部分）</w:t>
      </w:r>
      <w:r>
        <w:rPr>
          <w:w w:val="99"/>
        </w:rPr>
        <w:t> </w:t>
      </w:r>
      <w:r>
        <w:rPr>
          <w:spacing w:val="2"/>
        </w:rPr>
        <w:t>与其可收回金额，如相关资产组或者资产组组合的可收回金额低于其账面价值的，确认商誉的减</w:t>
      </w:r>
      <w:r>
        <w:rPr>
          <w:w w:val="99"/>
        </w:rPr>
        <w:t> </w:t>
      </w:r>
      <w:r>
        <w:rPr/>
        <w:t>值损失。上述资产减值损失一经确认，在以后会计期间不予转回。</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05"/>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832" w:right="210"/>
        <w:jc w:val="left"/>
      </w:pPr>
      <w:r>
        <w:rPr>
          <w:spacing w:val="2"/>
        </w:rPr>
        <w:t>长期待摊费用为已经发生但应由本期和以后各期负担的分摊期限在一年以上的各项费用。本公司</w:t>
      </w:r>
      <w:r>
        <w:rPr>
          <w:w w:val="99"/>
        </w:rPr>
        <w:t> </w:t>
      </w:r>
      <w:r>
        <w:rPr/>
        <w:t>长期待摊费用包括租赁房屋的装修费。</w:t>
      </w:r>
    </w:p>
    <w:p>
      <w:pPr>
        <w:spacing w:line="256" w:lineRule="auto" w:before="7"/>
        <w:ind w:left="1372" w:right="5424" w:hanging="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w:t>
      </w:r>
    </w:p>
    <w:p>
      <w:pPr>
        <w:spacing w:line="240" w:lineRule="auto" w:before="7"/>
        <w:rPr>
          <w:rFonts w:ascii="宋体" w:hAnsi="宋体" w:cs="宋体" w:eastAsia="宋体" w:hint="default"/>
          <w:sz w:val="25"/>
          <w:szCs w:val="25"/>
        </w:rPr>
      </w:pPr>
    </w:p>
    <w:p>
      <w:pPr>
        <w:pStyle w:val="Heading5"/>
        <w:spacing w:line="240" w:lineRule="auto"/>
        <w:ind w:left="1370" w:right="105"/>
        <w:jc w:val="left"/>
        <w:rPr>
          <w:b w:val="0"/>
          <w:bCs w:val="0"/>
        </w:rPr>
      </w:pPr>
      <w:r>
        <w:rPr/>
        <w:t>（</w:t>
      </w:r>
      <w:r>
        <w:rPr>
          <w:rFonts w:ascii="Times New Roman" w:hAnsi="Times New Roman" w:cs="Times New Roman" w:eastAsia="Times New Roman" w:hint="default"/>
        </w:rPr>
        <w:t>2</w:t>
      </w:r>
      <w:r>
        <w:rPr/>
        <w:t>）摊销年限</w:t>
      </w:r>
      <w:r>
        <w:rPr>
          <w:b w:val="0"/>
          <w:bCs w:val="0"/>
        </w:rPr>
      </w:r>
    </w:p>
    <w:p>
      <w:pPr>
        <w:spacing w:line="240" w:lineRule="auto" w:before="10"/>
        <w:rPr>
          <w:rFonts w:ascii="宋体" w:hAnsi="宋体" w:cs="宋体" w:eastAsia="宋体" w:hint="default"/>
          <w:b/>
          <w:bCs/>
          <w:sz w:val="2"/>
          <w:szCs w:val="2"/>
        </w:rPr>
      </w:pPr>
    </w:p>
    <w:tbl>
      <w:tblPr>
        <w:tblW w:w="0" w:type="auto"/>
        <w:jc w:val="left"/>
        <w:tblInd w:w="1119" w:type="dxa"/>
        <w:tblLayout w:type="fixed"/>
        <w:tblCellMar>
          <w:top w:w="0" w:type="dxa"/>
          <w:left w:w="0" w:type="dxa"/>
          <w:bottom w:w="0" w:type="dxa"/>
          <w:right w:w="0" w:type="dxa"/>
        </w:tblCellMar>
        <w:tblLook w:val="01E0"/>
      </w:tblPr>
      <w:tblGrid>
        <w:gridCol w:w="4418"/>
        <w:gridCol w:w="3200"/>
      </w:tblGrid>
      <w:tr>
        <w:trPr>
          <w:trHeight w:val="422" w:hRule="exact"/>
        </w:trPr>
        <w:tc>
          <w:tcPr>
            <w:tcW w:w="441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320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422" w:hRule="exact"/>
        </w:trPr>
        <w:tc>
          <w:tcPr>
            <w:tcW w:w="4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装修费</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按房屋租赁期限</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4"/>
        <w:ind w:right="105"/>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5"/>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372" w:right="105"/>
        <w:jc w:val="left"/>
      </w:pPr>
      <w:r>
        <w:rPr>
          <w:w w:val="95"/>
        </w:rPr>
        <w:t>本公司在职工为本公司提供服务的会计期间，将实际发生的短期薪酬确认为负债，并计入当</w:t>
      </w:r>
      <w:r>
        <w:rPr>
          <w:spacing w:val="77"/>
          <w:w w:val="95"/>
        </w:rPr>
        <w:t> </w:t>
      </w:r>
      <w:r>
        <w:rPr>
          <w:spacing w:val="77"/>
          <w:w w:val="95"/>
        </w:rPr>
      </w:r>
      <w:r>
        <w:rPr/>
        <w:t>期损益或相关资产成本。</w:t>
      </w:r>
      <w:r>
        <w:rPr>
          <w:w w:val="99"/>
        </w:rPr>
        <w:t> </w:t>
      </w:r>
      <w:r>
        <w:rPr>
          <w:spacing w:val="5"/>
          <w:w w:val="95"/>
        </w:rPr>
        <w:t>本公司为职工缴纳的社会保险费和住房公积金，以及按规定提取的工会经费和职工教育经</w:t>
      </w:r>
      <w:r>
        <w:rPr>
          <w:spacing w:val="80"/>
          <w:w w:val="95"/>
        </w:rPr>
        <w:t> </w:t>
      </w:r>
      <w:r>
        <w:rPr>
          <w:spacing w:val="80"/>
          <w:w w:val="95"/>
        </w:rPr>
      </w:r>
      <w:r>
        <w:rPr>
          <w:w w:val="95"/>
        </w:rPr>
        <w:t>费，在职工为本公司提供服务的会计期间，根据规定的计提基础和计提比例计算确定相应的</w:t>
      </w:r>
      <w:r>
        <w:rPr>
          <w:spacing w:val="80"/>
          <w:w w:val="95"/>
        </w:rPr>
        <w:t> </w:t>
      </w:r>
      <w:r>
        <w:rPr>
          <w:spacing w:val="80"/>
          <w:w w:val="95"/>
        </w:rPr>
      </w:r>
      <w:r>
        <w:rPr/>
        <w:t>职工薪酬金额。</w:t>
      </w:r>
    </w:p>
    <w:p>
      <w:pPr>
        <w:pStyle w:val="BodyText"/>
        <w:spacing w:line="240" w:lineRule="auto"/>
        <w:ind w:left="1372" w:right="105"/>
        <w:jc w:val="left"/>
      </w:pPr>
      <w:r>
        <w:rPr/>
        <w:t>职工福利费为非货币性福利的，如能够可靠计量的，按照公允价值计量。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105"/>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66" w:lineRule="auto" w:before="0"/>
        <w:ind w:left="1372" w:right="105"/>
        <w:jc w:val="left"/>
      </w:pPr>
      <w:r>
        <w:rPr>
          <w:rFonts w:ascii="Times New Roman" w:hAnsi="Times New Roman" w:cs="Times New Roman" w:eastAsia="Times New Roman" w:hint="default"/>
        </w:rPr>
        <w:t>1</w:t>
      </w:r>
      <w:r>
        <w:rPr/>
        <w:t>）设定提存计划</w:t>
      </w:r>
      <w:r>
        <w:rPr>
          <w:w w:val="99"/>
        </w:rPr>
        <w:t> </w:t>
      </w:r>
      <w:r>
        <w:rPr>
          <w:w w:val="95"/>
        </w:rPr>
        <w:t>本公司按当地政府的相关规定为职工缴纳基本养老保险和失业保险，在职工为本公司提供服</w:t>
      </w:r>
      <w:r>
        <w:rPr>
          <w:spacing w:val="77"/>
          <w:w w:val="95"/>
        </w:rPr>
        <w:t> </w:t>
      </w:r>
      <w:r>
        <w:rPr>
          <w:spacing w:val="77"/>
          <w:w w:val="95"/>
        </w:rPr>
      </w:r>
      <w:r>
        <w:rPr>
          <w:w w:val="95"/>
        </w:rPr>
        <w:t>务的会计期间，按以当地规定的缴纳基数和比例计算应缴纳金额，确认为负债，并计入当期</w:t>
      </w:r>
      <w:r>
        <w:rPr>
          <w:spacing w:val="80"/>
          <w:w w:val="95"/>
        </w:rPr>
        <w:t> </w:t>
      </w:r>
      <w:r>
        <w:rPr>
          <w:spacing w:val="80"/>
          <w:w w:val="95"/>
        </w:rPr>
      </w:r>
      <w:r>
        <w:rPr/>
        <w:t>损益或相关资产成本。</w:t>
      </w:r>
    </w:p>
    <w:p>
      <w:pPr>
        <w:pStyle w:val="BodyText"/>
        <w:spacing w:line="271" w:lineRule="auto" w:before="14"/>
        <w:ind w:left="1372" w:right="105"/>
        <w:jc w:val="left"/>
      </w:pPr>
      <w:r>
        <w:rPr>
          <w:rFonts w:ascii="Times New Roman" w:hAnsi="Times New Roman" w:cs="Times New Roman" w:eastAsia="Times New Roman" w:hint="default"/>
        </w:rPr>
        <w:t>2</w:t>
      </w:r>
      <w:r>
        <w:rPr/>
        <w:t>）设定受益计划</w:t>
      </w:r>
      <w:r>
        <w:rPr>
          <w:w w:val="99"/>
        </w:rPr>
        <w:t> </w:t>
      </w:r>
      <w:r>
        <w:rPr>
          <w:spacing w:val="5"/>
          <w:w w:val="95"/>
        </w:rPr>
        <w:t>本公司根据预期累计福利单位法确定的公式将设定受益计划产生的福利义务归属于职工提</w:t>
      </w:r>
      <w:r>
        <w:rPr>
          <w:spacing w:val="80"/>
          <w:w w:val="95"/>
        </w:rPr>
        <w:t> </w:t>
      </w:r>
      <w:r>
        <w:rPr>
          <w:spacing w:val="80"/>
          <w:w w:val="95"/>
        </w:rPr>
      </w:r>
      <w:r>
        <w:rPr/>
        <w:t>供服务的期间，并计入当期损益或相关资产成本。</w:t>
      </w:r>
      <w:r>
        <w:rPr>
          <w:w w:val="99"/>
        </w:rPr>
        <w:t> </w:t>
      </w:r>
      <w:r>
        <w:rPr>
          <w:spacing w:val="5"/>
          <w:w w:val="95"/>
        </w:rPr>
        <w:t>设定受益计划义务现值减去设定受益计划资产公允价值所形成的赤字或盈余确认为一项设</w:t>
      </w:r>
      <w:r>
        <w:rPr>
          <w:spacing w:val="80"/>
          <w:w w:val="95"/>
        </w:rPr>
        <w:t> </w:t>
      </w:r>
      <w:r>
        <w:rPr>
          <w:spacing w:val="80"/>
          <w:w w:val="95"/>
        </w:rPr>
      </w:r>
      <w:r>
        <w:rPr>
          <w:w w:val="95"/>
        </w:rPr>
        <w:t>定受益计划净负债或净资产。设定受益计划存在盈余的，本公司以设定受益计划的盈余和资</w:t>
      </w:r>
      <w:r>
        <w:rPr>
          <w:spacing w:val="80"/>
          <w:w w:val="95"/>
        </w:rPr>
        <w:t> </w:t>
      </w:r>
      <w:r>
        <w:rPr>
          <w:spacing w:val="80"/>
          <w:w w:val="95"/>
        </w:rPr>
      </w:r>
      <w:r>
        <w:rPr/>
        <w:t>产上限两项的孰低者计量设定受益计划净资产。</w:t>
      </w:r>
      <w:r>
        <w:rPr>
          <w:w w:val="99"/>
        </w:rPr>
        <w:t> </w:t>
      </w:r>
      <w:r>
        <w:rPr>
          <w:w w:val="95"/>
        </w:rPr>
        <w:t>所有设定受益计划义务，包括预期在职工提供服务的年度报告期间结束后的十二个月内支付</w:t>
      </w:r>
      <w:r>
        <w:rPr/>
      </w:r>
    </w:p>
    <w:p>
      <w:pPr>
        <w:spacing w:after="0" w:line="271" w:lineRule="auto"/>
        <w:jc w:val="left"/>
        <w:sectPr>
          <w:pgSz w:w="11910" w:h="16840"/>
          <w:pgMar w:header="776" w:footer="978" w:top="1100" w:bottom="1160" w:left="1020" w:right="920"/>
        </w:sectPr>
      </w:pPr>
    </w:p>
    <w:p>
      <w:pPr>
        <w:spacing w:line="240" w:lineRule="auto" w:before="12"/>
        <w:rPr>
          <w:rFonts w:ascii="宋体" w:hAnsi="宋体" w:cs="宋体" w:eastAsia="宋体" w:hint="default"/>
          <w:sz w:val="20"/>
          <w:szCs w:val="20"/>
        </w:rPr>
      </w:pPr>
    </w:p>
    <w:p>
      <w:pPr>
        <w:pStyle w:val="BodyText"/>
        <w:spacing w:line="273" w:lineRule="auto" w:before="34"/>
        <w:ind w:left="1372" w:right="189"/>
        <w:jc w:val="left"/>
      </w:pPr>
      <w:r>
        <w:rPr>
          <w:w w:val="95"/>
        </w:rPr>
        <w:t>的义务，根据资产负债表日与设定受益计划义务期限和币种相匹配的国债或活跃市场上的高</w:t>
      </w:r>
      <w:r>
        <w:rPr>
          <w:spacing w:val="77"/>
          <w:w w:val="95"/>
        </w:rPr>
        <w:t> </w:t>
      </w:r>
      <w:r>
        <w:rPr>
          <w:spacing w:val="77"/>
          <w:w w:val="95"/>
        </w:rPr>
      </w:r>
      <w:r>
        <w:rPr/>
        <w:t>质量公司债券的市场收益率予以折现。</w:t>
      </w:r>
      <w:r>
        <w:rPr>
          <w:w w:val="99"/>
        </w:rPr>
        <w:t> </w:t>
      </w:r>
      <w:r>
        <w:rPr>
          <w:spacing w:val="5"/>
        </w:rPr>
        <w:t>设定受益计划产生的服务成本和设定受益计划净负债或净资产的利息净额计入当期损益或</w:t>
      </w:r>
      <w:r>
        <w:rPr>
          <w:w w:val="99"/>
        </w:rPr>
        <w:t> </w:t>
      </w:r>
      <w:r>
        <w:rPr>
          <w:w w:val="95"/>
        </w:rPr>
        <w:t>相关资产成本；重新计量设定受益计划净负债或净资产所产生的变动计入其他综合收益，并</w:t>
      </w:r>
      <w:r>
        <w:rPr>
          <w:spacing w:val="80"/>
          <w:w w:val="95"/>
        </w:rPr>
        <w:t> </w:t>
      </w:r>
      <w:r>
        <w:rPr>
          <w:spacing w:val="80"/>
          <w:w w:val="95"/>
        </w:rPr>
      </w:r>
      <w:r>
        <w:rPr/>
        <w:t>且在后续会计期间不转回至损益。</w:t>
      </w:r>
      <w:r>
        <w:rPr>
          <w:w w:val="99"/>
        </w:rPr>
        <w:t> </w:t>
      </w:r>
      <w:r>
        <w:rPr>
          <w:w w:val="95"/>
        </w:rPr>
        <w:t>在设定受益计划结算时，按在结算日确定的设定受益计划义务现值和结算价格两者的差额，</w:t>
      </w:r>
      <w:r>
        <w:rPr>
          <w:spacing w:val="1"/>
          <w:w w:val="95"/>
        </w:rPr>
        <w:t> </w:t>
      </w:r>
      <w:r>
        <w:rPr>
          <w:spacing w:val="1"/>
          <w:w w:val="95"/>
        </w:rPr>
      </w:r>
      <w:r>
        <w:rPr/>
        <w:t>确认结算利得或损失。</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05"/>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372" w:right="210"/>
        <w:jc w:val="both"/>
      </w:pPr>
      <w:r>
        <w:rPr>
          <w:w w:val="95"/>
        </w:rPr>
        <w:t>本公司在不能单方面撤回因解除劳动关系计划或裁减建议所提供的辞退福利时，或确认与涉</w:t>
      </w:r>
      <w:r>
        <w:rPr>
          <w:spacing w:val="79"/>
          <w:w w:val="95"/>
        </w:rPr>
        <w:t> </w:t>
      </w:r>
      <w:r>
        <w:rPr>
          <w:spacing w:val="79"/>
          <w:w w:val="95"/>
        </w:rPr>
      </w:r>
      <w:r>
        <w:rPr>
          <w:w w:val="95"/>
        </w:rPr>
        <w:t>及支付辞退福利的重组相关的成本或费用时（两者孰早），确认辞退福利产生的职工薪酬负</w:t>
      </w:r>
      <w:r>
        <w:rPr>
          <w:spacing w:val="83"/>
          <w:w w:val="95"/>
        </w:rPr>
        <w:t> </w:t>
      </w:r>
      <w:r>
        <w:rPr>
          <w:spacing w:val="83"/>
          <w:w w:val="95"/>
        </w:rPr>
      </w:r>
      <w:r>
        <w:rPr/>
        <w:t>债，并计入当期损益。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5"/>
        <w:spacing w:line="240" w:lineRule="auto"/>
        <w:ind w:right="105"/>
        <w:jc w:val="left"/>
        <w:rPr>
          <w:b w:val="0"/>
          <w:bCs w:val="0"/>
        </w:rPr>
      </w:pPr>
      <w:r>
        <w:rPr>
          <w:rFonts w:ascii="Times New Roman" w:hAnsi="Times New Roman" w:cs="Times New Roman" w:eastAsia="Times New Roman" w:hint="default"/>
        </w:rPr>
        <w:t>21</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962" w:right="105"/>
        <w:jc w:val="left"/>
      </w:pPr>
      <w:r>
        <w:rPr>
          <w:spacing w:val="5"/>
          <w:w w:val="95"/>
        </w:rPr>
        <w:t>本公司的股份支付是为了获取职工提供服务而授予权益工具或者承担以权益工具为基础确定的</w:t>
      </w:r>
      <w:r>
        <w:rPr>
          <w:spacing w:val="79"/>
          <w:w w:val="95"/>
        </w:rPr>
        <w:t> </w:t>
      </w:r>
      <w:r>
        <w:rPr>
          <w:spacing w:val="79"/>
          <w:w w:val="95"/>
        </w:rPr>
      </w:r>
      <w:r>
        <w:rPr/>
        <w:t>负债的交易。本公司的股份支付分为以权益结算的股份支付和以现金结算的股份支付。</w:t>
      </w:r>
    </w:p>
    <w:p>
      <w:pPr>
        <w:pStyle w:val="BodyText"/>
        <w:spacing w:line="271" w:lineRule="auto"/>
        <w:ind w:left="1372" w:right="105" w:hanging="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）以权益结算的股份支付及权益工具</w:t>
      </w:r>
      <w:r>
        <w:rPr>
          <w:rFonts w:ascii="宋体" w:hAnsi="宋体" w:cs="宋体" w:eastAsia="宋体" w:hint="default"/>
          <w:b/>
          <w:bCs/>
          <w:w w:val="99"/>
        </w:rPr>
        <w:t> </w:t>
      </w:r>
      <w:r>
        <w:rPr/>
        <w:t>以权益结算的股份支付换取职工提供服务的，以授予职工权益工具的公允价值计量。本公司</w:t>
      </w:r>
      <w:r>
        <w:rPr>
          <w:w w:val="99"/>
        </w:rPr>
        <w:t> </w:t>
      </w:r>
      <w:r>
        <w:rPr/>
        <w:t>以限制性股票进行股份支付的，职工出资认购股票，股票在达到解锁条件并解锁前不得上市</w:t>
      </w:r>
      <w:r>
        <w:rPr>
          <w:w w:val="99"/>
        </w:rPr>
        <w:t> </w:t>
      </w:r>
      <w:r>
        <w:rPr/>
        <w:t>流通或转让；如果最终股权激励计划规定的解锁条件未能达到，则本公司按照事先约定的价</w:t>
      </w:r>
      <w:r>
        <w:rPr>
          <w:w w:val="99"/>
        </w:rPr>
        <w:t> </w:t>
      </w:r>
      <w:r>
        <w:rPr/>
        <w:t>格回购股票。本公司取得职工认购限制性股票支付的款项时，按照取得的认股款确认股本和</w:t>
      </w:r>
      <w:r>
        <w:rPr>
          <w:w w:val="99"/>
        </w:rPr>
        <w:t> </w:t>
      </w:r>
      <w:r>
        <w:rPr/>
        <w:t>资本公积（股本溢价），同时就回购义务全额确认一项负债并确认库存股。在等待期内每个</w:t>
      </w:r>
      <w:r>
        <w:rPr>
          <w:w w:val="99"/>
        </w:rPr>
        <w:t> </w:t>
      </w:r>
      <w:r>
        <w:rPr/>
        <w:t>资产负债表日，本公司根据最新取得的可行权职工人数变动、是否达到规定业绩条件等后续</w:t>
      </w:r>
      <w:r>
        <w:rPr>
          <w:w w:val="99"/>
        </w:rPr>
        <w:t> </w:t>
      </w:r>
      <w:r>
        <w:rPr/>
        <w:t>信息对可行权权益工具数量作出最佳估计，以此为基础，按照授予日的公允价值，将当期取</w:t>
      </w:r>
      <w:r>
        <w:rPr>
          <w:w w:val="99"/>
        </w:rPr>
        <w:t> </w:t>
      </w:r>
      <w:r>
        <w:rPr/>
        <w:t>得的服务计入相关成本或费用，相应增加资本公积。在可行权日之后不再对已确认的相关成</w:t>
      </w:r>
      <w:r>
        <w:rPr>
          <w:w w:val="99"/>
        </w:rPr>
        <w:t> </w:t>
      </w:r>
      <w:r>
        <w:rPr/>
        <w:t>本或费用和所有者权益总额进行调整。但授予后立即可行权的，在授予日按照公允价值计入</w:t>
      </w:r>
      <w:r>
        <w:rPr>
          <w:w w:val="99"/>
        </w:rPr>
        <w:t> </w:t>
      </w:r>
      <w:r>
        <w:rPr/>
        <w:t>相关成本或费用，相应增加资本公积。</w:t>
      </w:r>
      <w:r>
        <w:rPr>
          <w:w w:val="99"/>
        </w:rPr>
        <w:t> </w:t>
      </w:r>
      <w:r>
        <w:rPr/>
        <w:t>对于最终未能行权的股份支付，不确认成本或费用，除非行权条件是市场条件或非可行权条</w:t>
      </w:r>
      <w:r>
        <w:rPr>
          <w:w w:val="99"/>
        </w:rPr>
        <w:t> </w:t>
      </w:r>
      <w:r>
        <w:rPr>
          <w:spacing w:val="-3"/>
          <w:w w:val="95"/>
        </w:rPr>
        <w:t>件，此时无论是否满足市场条件或非可行权条件，只要满足所有可行权条件中的非市场条件，</w:t>
      </w:r>
      <w:r>
        <w:rPr>
          <w:spacing w:val="15"/>
          <w:w w:val="95"/>
        </w:rPr>
        <w:t> </w:t>
      </w:r>
      <w:r>
        <w:rPr>
          <w:spacing w:val="15"/>
          <w:w w:val="95"/>
        </w:rPr>
      </w:r>
      <w:r>
        <w:rPr/>
        <w:t>即视为可行权。</w:t>
      </w:r>
      <w:r>
        <w:rPr>
          <w:w w:val="99"/>
        </w:rPr>
        <w:t> </w:t>
      </w:r>
      <w:r>
        <w:rPr/>
        <w:t>如果修改了以权益结算的股份支付的条款，至少按照未修改条款的情况确认取得的服务。此</w:t>
      </w:r>
      <w:r>
        <w:rPr>
          <w:w w:val="99"/>
        </w:rPr>
        <w:t> </w:t>
      </w:r>
      <w:r>
        <w:rPr/>
        <w:t>外，任何增加所授予权益工具公允价值的修改，或在修改日对职工有利的变更，均确认取得</w:t>
      </w:r>
      <w:r>
        <w:rPr>
          <w:w w:val="99"/>
        </w:rPr>
        <w:t> </w:t>
      </w:r>
      <w:r>
        <w:rPr/>
        <w:t>服务的增加。</w:t>
      </w:r>
      <w:r>
        <w:rPr>
          <w:w w:val="99"/>
        </w:rPr>
        <w:t> </w:t>
      </w:r>
      <w:r>
        <w:rPr/>
        <w:t>如果取消了以权益结算的股份支付，则于取消日作为加速行权处理，立即确认尚未确认的金</w:t>
      </w:r>
      <w:r>
        <w:rPr>
          <w:w w:val="99"/>
        </w:rPr>
        <w:t> </w:t>
      </w:r>
      <w:r>
        <w:rPr/>
        <w:t>额。职工或其他方能够选择满足非可行权条件但在等待期内未满足的，作为取消以权益结算</w:t>
      </w:r>
      <w:r>
        <w:rPr>
          <w:w w:val="99"/>
        </w:rPr>
        <w:t> </w:t>
      </w:r>
      <w:r>
        <w:rPr/>
        <w:t>的股份支付处理。但是，如果授予新的权益工具，并在新权益工具授予日认定所授予的新权</w:t>
      </w:r>
      <w:r>
        <w:rPr>
          <w:w w:val="99"/>
        </w:rPr>
        <w:t> </w:t>
      </w:r>
      <w:r>
        <w:rPr>
          <w:spacing w:val="5"/>
        </w:rPr>
        <w:t>益工具是用于替代被取消的权益工具的，则以与处理原权益工具条款和条件修改相同的方</w:t>
      </w:r>
      <w:r>
        <w:rPr>
          <w:w w:val="99"/>
        </w:rPr>
        <w:t> </w:t>
      </w:r>
      <w:r>
        <w:rPr/>
        <w:t>式，对所授予的替代权益工具进行处理。</w:t>
      </w:r>
    </w:p>
    <w:p>
      <w:pPr>
        <w:spacing w:line="240" w:lineRule="auto" w:before="8"/>
        <w:rPr>
          <w:rFonts w:ascii="宋体" w:hAnsi="宋体" w:cs="宋体" w:eastAsia="宋体" w:hint="default"/>
          <w:sz w:val="24"/>
          <w:szCs w:val="24"/>
        </w:rPr>
      </w:pPr>
    </w:p>
    <w:p>
      <w:pPr>
        <w:pStyle w:val="Heading5"/>
        <w:spacing w:line="240" w:lineRule="auto"/>
        <w:ind w:left="1370" w:right="105"/>
        <w:jc w:val="left"/>
        <w:rPr>
          <w:b w:val="0"/>
          <w:bCs w:val="0"/>
        </w:rPr>
      </w:pPr>
      <w:r>
        <w:rPr/>
        <w:t>（</w:t>
      </w:r>
      <w:r>
        <w:rPr>
          <w:rFonts w:ascii="Times New Roman" w:hAnsi="Times New Roman" w:cs="Times New Roman" w:eastAsia="Times New Roman" w:hint="default"/>
        </w:rPr>
        <w:t>2</w:t>
      </w:r>
      <w:r>
        <w:rPr/>
        <w:t>）以现金结算的股份支付及权益工具</w:t>
      </w:r>
      <w:r>
        <w:rPr>
          <w:b w:val="0"/>
          <w:bCs w:val="0"/>
        </w:rPr>
      </w:r>
    </w:p>
    <w:p>
      <w:pPr>
        <w:spacing w:after="0" w:line="240" w:lineRule="auto"/>
        <w:jc w:val="left"/>
        <w:sectPr>
          <w:pgSz w:w="11910" w:h="16840"/>
          <w:pgMar w:header="776" w:footer="978" w:top="1100" w:bottom="1160" w:left="1020" w:right="920"/>
        </w:sectPr>
      </w:pPr>
    </w:p>
    <w:p>
      <w:pPr>
        <w:spacing w:line="240" w:lineRule="auto" w:before="12"/>
        <w:rPr>
          <w:rFonts w:ascii="宋体" w:hAnsi="宋体" w:cs="宋体" w:eastAsia="宋体" w:hint="default"/>
          <w:b/>
          <w:bCs/>
          <w:sz w:val="20"/>
          <w:szCs w:val="20"/>
        </w:rPr>
      </w:pPr>
    </w:p>
    <w:p>
      <w:pPr>
        <w:pStyle w:val="BodyText"/>
        <w:spacing w:line="273" w:lineRule="auto" w:before="34"/>
        <w:ind w:left="1372" w:right="0"/>
        <w:jc w:val="left"/>
      </w:pPr>
      <w:r>
        <w:rPr>
          <w:w w:val="95"/>
        </w:rPr>
        <w:t>以现金结算的股份支付，按照本公司承担的以股份或其他权益工具为基础计算确定的负债的</w:t>
      </w:r>
      <w:r>
        <w:rPr>
          <w:spacing w:val="79"/>
          <w:w w:val="95"/>
        </w:rPr>
        <w:t> </w:t>
      </w:r>
      <w:r>
        <w:rPr>
          <w:spacing w:val="79"/>
          <w:w w:val="95"/>
        </w:rPr>
      </w:r>
      <w:r>
        <w:rPr/>
        <w:t>公允价值计量。</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r>
        <w:rPr>
          <w:rFonts w:ascii="Times New Roman" w:hAnsi="Times New Roman" w:cs="Times New Roman" w:eastAsia="Times New Roman" w:hint="default"/>
        </w:rPr>
        <w:t>22</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832" w:right="0"/>
        <w:jc w:val="left"/>
      </w:pPr>
      <w:r>
        <w:rPr/>
        <w:t>（</w:t>
      </w:r>
      <w:r>
        <w:rPr>
          <w:rFonts w:ascii="Times New Roman" w:hAnsi="Times New Roman" w:cs="Times New Roman" w:eastAsia="Times New Roman" w:hint="default"/>
        </w:rPr>
        <w:t>1</w:t>
      </w:r>
      <w:r>
        <w:rPr/>
        <w:t>）销售商品收入的确认一般原则：</w:t>
      </w:r>
    </w:p>
    <w:p>
      <w:pPr>
        <w:pStyle w:val="BodyText"/>
        <w:spacing w:line="240" w:lineRule="auto" w:before="21"/>
        <w:ind w:left="832" w:right="0"/>
        <w:jc w:val="left"/>
      </w:pP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21"/>
        <w:ind w:left="832" w:right="0"/>
        <w:jc w:val="left"/>
      </w:pP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21"/>
        <w:ind w:left="832" w:right="0"/>
        <w:jc w:val="left"/>
      </w:pPr>
      <w:r>
        <w:rPr>
          <w:rFonts w:ascii="Times New Roman" w:hAnsi="Times New Roman" w:cs="Times New Roman" w:eastAsia="Times New Roman" w:hint="default"/>
        </w:rPr>
        <w:t>3</w:t>
      </w:r>
      <w:r>
        <w:rPr/>
        <w:t>）收入的金额能够可靠地计量；</w:t>
      </w:r>
    </w:p>
    <w:p>
      <w:pPr>
        <w:pStyle w:val="BodyText"/>
        <w:spacing w:line="240" w:lineRule="auto" w:before="21"/>
        <w:ind w:left="832" w:right="0"/>
        <w:jc w:val="left"/>
      </w:pPr>
      <w:r>
        <w:rPr>
          <w:rFonts w:ascii="Times New Roman" w:hAnsi="Times New Roman" w:cs="Times New Roman" w:eastAsia="Times New Roman" w:hint="default"/>
        </w:rPr>
        <w:t>4</w:t>
      </w:r>
      <w:r>
        <w:rPr/>
        <w:t>）相关的经济利益很可能流入本公司；</w:t>
      </w:r>
    </w:p>
    <w:p>
      <w:pPr>
        <w:pStyle w:val="BodyText"/>
        <w:spacing w:line="240" w:lineRule="auto" w:before="21"/>
        <w:ind w:left="832" w:right="0"/>
        <w:jc w:val="left"/>
      </w:pPr>
      <w:r>
        <w:rPr>
          <w:rFonts w:ascii="Times New Roman" w:hAnsi="Times New Roman" w:cs="Times New Roman" w:eastAsia="Times New Roman" w:hint="default"/>
        </w:rPr>
        <w:t>5</w:t>
      </w:r>
      <w:r>
        <w:rPr/>
        <w:t>）相关的、已发生或将发生的成本能够可靠地计量。</w:t>
      </w:r>
    </w:p>
    <w:p>
      <w:pPr>
        <w:spacing w:line="240" w:lineRule="auto" w:before="6"/>
        <w:rPr>
          <w:rFonts w:ascii="宋体" w:hAnsi="宋体" w:cs="宋体" w:eastAsia="宋体" w:hint="default"/>
          <w:sz w:val="25"/>
          <w:szCs w:val="25"/>
        </w:rPr>
      </w:pPr>
    </w:p>
    <w:p>
      <w:pPr>
        <w:pStyle w:val="BodyText"/>
        <w:spacing w:line="273" w:lineRule="auto" w:before="0"/>
        <w:ind w:left="952" w:right="0" w:hanging="120"/>
        <w:jc w:val="left"/>
      </w:pPr>
      <w:r>
        <w:rPr/>
        <w:t>（2）让渡资产使用权收入的确认和计量原则</w:t>
      </w:r>
      <w:r>
        <w:rPr>
          <w:w w:val="99"/>
        </w:rPr>
        <w:t> </w:t>
      </w:r>
      <w:r>
        <w:rPr>
          <w:w w:val="95"/>
        </w:rPr>
        <w:t>与交易相关的经济利益很可能流入企业，收入的金额能够可靠地计量时。分别下列情况确定让渡</w:t>
      </w:r>
      <w:r>
        <w:rPr>
          <w:spacing w:val="77"/>
          <w:w w:val="95"/>
        </w:rPr>
        <w:t> </w:t>
      </w:r>
      <w:r>
        <w:rPr>
          <w:spacing w:val="77"/>
          <w:w w:val="95"/>
        </w:rPr>
      </w:r>
      <w:r>
        <w:rPr/>
        <w:t>资产使用权收入金额：</w:t>
      </w:r>
    </w:p>
    <w:p>
      <w:pPr>
        <w:pStyle w:val="BodyText"/>
        <w:spacing w:line="240" w:lineRule="auto"/>
        <w:ind w:left="952"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21"/>
        <w:ind w:left="952"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6"/>
        <w:rPr>
          <w:rFonts w:ascii="宋体" w:hAnsi="宋体" w:cs="宋体" w:eastAsia="宋体" w:hint="default"/>
          <w:sz w:val="25"/>
          <w:szCs w:val="25"/>
        </w:rPr>
      </w:pPr>
    </w:p>
    <w:p>
      <w:pPr>
        <w:pStyle w:val="BodyText"/>
        <w:spacing w:line="240" w:lineRule="auto" w:before="0"/>
        <w:ind w:left="832" w:right="0"/>
        <w:jc w:val="left"/>
      </w:pPr>
      <w:r>
        <w:rPr/>
        <w:t>（3）具体原则</w:t>
      </w:r>
    </w:p>
    <w:p>
      <w:pPr>
        <w:pStyle w:val="BodyText"/>
        <w:spacing w:line="264" w:lineRule="auto" w:before="37"/>
        <w:ind w:left="1372" w:right="0"/>
        <w:jc w:val="left"/>
      </w:pPr>
      <w:r>
        <w:rPr>
          <w:rFonts w:ascii="Times New Roman" w:hAnsi="Times New Roman" w:cs="Times New Roman" w:eastAsia="Times New Roman" w:hint="default"/>
        </w:rPr>
        <w:t>1</w:t>
      </w:r>
      <w:r>
        <w:rPr/>
        <w:t>）金融数据服务收入</w:t>
      </w:r>
      <w:r>
        <w:rPr>
          <w:w w:val="99"/>
        </w:rPr>
        <w:t> </w:t>
      </w:r>
      <w:r>
        <w:rPr>
          <w:w w:val="95"/>
        </w:rPr>
        <w:t>服务订单或合同已经签订，已经收到服务款或取得收款凭证，自服务开始提供月份起在约定</w:t>
      </w:r>
      <w:r>
        <w:rPr>
          <w:spacing w:val="80"/>
          <w:w w:val="95"/>
        </w:rPr>
        <w:t> </w:t>
      </w:r>
      <w:r>
        <w:rPr>
          <w:spacing w:val="80"/>
          <w:w w:val="95"/>
        </w:rPr>
      </w:r>
      <w:r>
        <w:rPr/>
        <w:t>服务期限内按直线法确认收入。</w:t>
      </w:r>
    </w:p>
    <w:p>
      <w:pPr>
        <w:pStyle w:val="BodyText"/>
        <w:spacing w:line="264" w:lineRule="auto" w:before="16"/>
        <w:ind w:left="1372" w:right="0"/>
        <w:jc w:val="left"/>
      </w:pPr>
      <w:r>
        <w:rPr>
          <w:rFonts w:ascii="Times New Roman" w:hAnsi="Times New Roman" w:cs="Times New Roman" w:eastAsia="Times New Roman" w:hint="default"/>
        </w:rPr>
        <w:t>2</w:t>
      </w:r>
      <w:r>
        <w:rPr/>
        <w:t>）广告收入：</w:t>
      </w:r>
      <w:r>
        <w:rPr>
          <w:w w:val="99"/>
        </w:rPr>
        <w:t> </w:t>
      </w:r>
      <w:r>
        <w:rPr>
          <w:w w:val="95"/>
        </w:rPr>
        <w:t>广告合同已经签订或广告执行单（广告排期）已经客户确认，广告已经发布，每月按照合同</w:t>
      </w:r>
      <w:r>
        <w:rPr>
          <w:spacing w:val="85"/>
          <w:w w:val="95"/>
        </w:rPr>
        <w:t> </w:t>
      </w:r>
      <w:r>
        <w:rPr>
          <w:spacing w:val="85"/>
          <w:w w:val="95"/>
        </w:rPr>
      </w:r>
      <w:r>
        <w:rPr/>
        <w:t>金额与广告发布执行单计算确认当期收入。</w:t>
      </w:r>
    </w:p>
    <w:p>
      <w:pPr>
        <w:pStyle w:val="BodyText"/>
        <w:spacing w:line="264" w:lineRule="auto" w:before="16"/>
        <w:ind w:left="1372" w:right="0"/>
        <w:jc w:val="left"/>
      </w:pPr>
      <w:r>
        <w:rPr>
          <w:rFonts w:ascii="Times New Roman" w:hAnsi="Times New Roman" w:cs="Times New Roman" w:eastAsia="Times New Roman" w:hint="default"/>
        </w:rPr>
        <w:t>3</w:t>
      </w:r>
      <w:r>
        <w:rPr/>
        <w:t>）金融电子商务服务收入：</w:t>
      </w:r>
      <w:r>
        <w:rPr>
          <w:w w:val="99"/>
        </w:rPr>
        <w:t> </w:t>
      </w:r>
      <w:r>
        <w:rPr>
          <w:w w:val="95"/>
        </w:rPr>
        <w:t>服务合同或协议已经签订，服务已经提供，公司资金清算系统根据预先设定的费率标准及计</w:t>
      </w:r>
      <w:r>
        <w:rPr>
          <w:spacing w:val="80"/>
          <w:w w:val="95"/>
        </w:rPr>
        <w:t> </w:t>
      </w:r>
      <w:r>
        <w:rPr>
          <w:spacing w:val="80"/>
          <w:w w:val="95"/>
        </w:rPr>
      </w:r>
      <w:r>
        <w:rPr/>
        <w:t>算方法计算服务收入，财务部门根据资金清算系统生成的收入汇总金额确认收入。</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5"/>
        <w:spacing w:line="240" w:lineRule="auto"/>
        <w:ind w:right="0"/>
        <w:jc w:val="left"/>
        <w:rPr>
          <w:b w:val="0"/>
          <w:bCs w:val="0"/>
        </w:rPr>
      </w:pPr>
      <w:r>
        <w:rPr>
          <w:rFonts w:ascii="Times New Roman" w:hAnsi="Times New Roman" w:cs="Times New Roman" w:eastAsia="Times New Roman" w:hint="default"/>
        </w:rPr>
        <w:t>23</w:t>
      </w:r>
      <w:r>
        <w:rPr/>
        <w:t>、政府补助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372" w:right="0" w:hanging="540"/>
        <w:jc w:val="left"/>
      </w:pPr>
      <w:r>
        <w:rPr/>
        <w:t>（1）与资产相关的政府补助判断依据及会计处理方法</w:t>
      </w:r>
      <w:r>
        <w:rPr>
          <w:w w:val="99"/>
        </w:rPr>
        <w:t> </w:t>
      </w:r>
      <w:r>
        <w:rPr>
          <w:w w:val="95"/>
        </w:rPr>
        <w:t>政府补助，是本公司从政府无偿取得的货币性资产与非货币性资产。分为与资产相关的政府</w:t>
      </w:r>
      <w:r>
        <w:rPr>
          <w:w w:val="99"/>
        </w:rPr>
        <w:t> </w:t>
      </w:r>
      <w:r>
        <w:rPr/>
        <w:t>补助和与收益相关的政府补助。</w:t>
      </w:r>
      <w:r>
        <w:rPr>
          <w:w w:val="99"/>
        </w:rPr>
        <w:t> </w:t>
      </w:r>
      <w:r>
        <w:rPr>
          <w:w w:val="95"/>
        </w:rPr>
        <w:t>与资产相关的政府补助，是指本公司取得的、用于购建或以其他方式形成长期资产的政府补</w:t>
      </w:r>
      <w:r>
        <w:rPr>
          <w:w w:val="99"/>
        </w:rPr>
        <w:t> </w:t>
      </w:r>
      <w:r>
        <w:rPr/>
        <w:t>助，包括购买固定资产或无形资产的财政拨款、固定资产专门借款的财政贴息等。</w:t>
      </w:r>
      <w:r>
        <w:rPr>
          <w:w w:val="99"/>
        </w:rPr>
        <w:t> </w:t>
      </w:r>
      <w:r>
        <w:rPr>
          <w:w w:val="95"/>
        </w:rPr>
        <w:t>本公司将政府补助划分为与资产相关的具体标准为：本公司取得的、用于购建或以其他方式</w:t>
      </w:r>
      <w:r>
        <w:rPr>
          <w:w w:val="99"/>
        </w:rPr>
        <w:t> </w:t>
      </w:r>
      <w:r>
        <w:rPr/>
        <w:t>形成长期资产的政府补助；</w:t>
      </w:r>
      <w:r>
        <w:rPr>
          <w:w w:val="99"/>
        </w:rPr>
        <w:t> </w:t>
      </w:r>
      <w:r>
        <w:rPr>
          <w:w w:val="95"/>
        </w:rPr>
        <w:t>与资产相关的政府补助，确认为递延收益，按照所建造或购买的资产使用年限分期计入营业</w:t>
      </w:r>
      <w:r>
        <w:rPr>
          <w:w w:val="99"/>
        </w:rPr>
        <w:t> </w:t>
      </w:r>
      <w:r>
        <w:rPr/>
        <w:t>外收入；</w:t>
      </w:r>
    </w:p>
    <w:p>
      <w:pPr>
        <w:spacing w:after="0" w:line="273" w:lineRule="auto"/>
        <w:jc w:val="left"/>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BodyText"/>
        <w:spacing w:line="273" w:lineRule="auto" w:before="34"/>
        <w:ind w:left="1372" w:right="130" w:hanging="540"/>
        <w:jc w:val="left"/>
      </w:pPr>
      <w:r>
        <w:rPr/>
        <w:t>（2）与收益相关的政府补助判断依据及会计处理方法</w:t>
      </w:r>
      <w:r>
        <w:rPr>
          <w:w w:val="99"/>
        </w:rPr>
        <w:t> </w:t>
      </w:r>
      <w:r>
        <w:rPr>
          <w:w w:val="95"/>
        </w:rPr>
        <w:t>与收益相关的政府补助，是指除与资产相关的政府补助之外的政府补助。本公司将政府补助</w:t>
      </w:r>
      <w:r>
        <w:rPr>
          <w:w w:val="99"/>
        </w:rPr>
        <w:t> </w:t>
      </w:r>
      <w:r>
        <w:rPr>
          <w:w w:val="95"/>
        </w:rPr>
        <w:t>划分为与收益相关的具体标准为：本公司取得的除与资产相关的政府补助之外的政府补助；</w:t>
      </w:r>
      <w:r>
        <w:rPr>
          <w:w w:val="99"/>
        </w:rPr>
        <w:t> </w:t>
      </w:r>
      <w:r>
        <w:rPr>
          <w:w w:val="95"/>
        </w:rPr>
        <w:t>对于政府文件未明确规定补助对象的，本公司将该政府补助划分为与资产相关或与收益相关</w:t>
      </w:r>
      <w:r>
        <w:rPr>
          <w:w w:val="99"/>
        </w:rPr>
        <w:t> </w:t>
      </w:r>
      <w:r>
        <w:rPr/>
        <w:t>的判断依据为：将政府补助整体归类为与收益相关的政府补助。</w:t>
      </w:r>
      <w:r>
        <w:rPr>
          <w:w w:val="99"/>
        </w:rPr>
        <w:t> </w:t>
      </w:r>
      <w:r>
        <w:rPr>
          <w:w w:val="95"/>
        </w:rPr>
        <w:t>与收益相关的政府补助，用于补偿本公司以后期间的相关费用或损失的，取得时确认为递延</w:t>
      </w:r>
      <w:r>
        <w:rPr>
          <w:w w:val="99"/>
        </w:rPr>
        <w:t> </w:t>
      </w:r>
      <w:r>
        <w:rPr>
          <w:w w:val="95"/>
        </w:rPr>
        <w:t>收益，在确认相关费用的期间计入当期营业外收入；用于补偿本公司已发生的相关费用或损</w:t>
      </w:r>
      <w:r>
        <w:rPr>
          <w:w w:val="99"/>
        </w:rPr>
        <w:t> </w:t>
      </w:r>
      <w:r>
        <w:rPr/>
        <w:t>失的，取得时直接计入当期营业外收入。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682"/>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964" w:right="130"/>
        <w:jc w:val="left"/>
      </w:pPr>
      <w:r>
        <w:rPr>
          <w:w w:val="95"/>
        </w:rPr>
        <w:t>对于可抵扣暂时性差异确认递延所得税资产，以未来期间很可能取得的用来抵扣可抵扣暂时性差</w:t>
      </w:r>
      <w:r>
        <w:rPr>
          <w:spacing w:val="84"/>
          <w:w w:val="95"/>
        </w:rPr>
        <w:t> </w:t>
      </w:r>
      <w:r>
        <w:rPr>
          <w:spacing w:val="84"/>
          <w:w w:val="95"/>
        </w:rPr>
      </w:r>
      <w:r>
        <w:rPr>
          <w:w w:val="95"/>
        </w:rPr>
        <w:t>异的应纳税所得额为限。对于能够结转以后年度的可抵扣亏损和税款抵减，以很可能获得用来抵</w:t>
      </w:r>
      <w:r>
        <w:rPr>
          <w:spacing w:val="88"/>
          <w:w w:val="95"/>
        </w:rPr>
        <w:t> </w:t>
      </w:r>
      <w:r>
        <w:rPr>
          <w:spacing w:val="88"/>
          <w:w w:val="95"/>
        </w:rPr>
      </w:r>
      <w:r>
        <w:rPr/>
        <w:t>扣可抵扣亏损和税款抵减的未来应纳税所得额为限，确认相应的递延所得税资产。</w:t>
      </w:r>
      <w:r>
        <w:rPr>
          <w:w w:val="99"/>
        </w:rPr>
        <w:t> </w:t>
      </w:r>
      <w:r>
        <w:rPr/>
        <w:t>对于应纳税暂时性差异，除特殊情况外，确认递延所得税负债。</w:t>
      </w:r>
      <w:r>
        <w:rPr>
          <w:w w:val="99"/>
        </w:rPr>
        <w:t> </w:t>
      </w:r>
      <w:r>
        <w:rPr>
          <w:w w:val="95"/>
        </w:rPr>
        <w:t>不确认递延所得税资产或递延所得税负债的特殊情况包括：商誉的初始确认；除企业合并以外的</w:t>
      </w:r>
      <w:r>
        <w:rPr>
          <w:spacing w:val="84"/>
          <w:w w:val="95"/>
        </w:rPr>
        <w:t> </w:t>
      </w:r>
      <w:r>
        <w:rPr>
          <w:spacing w:val="84"/>
          <w:w w:val="95"/>
        </w:rPr>
      </w:r>
      <w:r>
        <w:rPr/>
        <w:t>发生时既不影响会计利润也不影响应纳税所得额（或可抵扣亏损）的其他交易或事项。</w:t>
      </w:r>
      <w:r>
        <w:rPr>
          <w:w w:val="99"/>
        </w:rPr>
        <w:t> </w:t>
      </w:r>
      <w:r>
        <w:rPr>
          <w:w w:val="95"/>
        </w:rPr>
        <w:t>当拥有以净额结算的法定权利，且意图以净额结算或取得资产、清偿负债同时进行时，当期所得</w:t>
      </w:r>
      <w:r>
        <w:rPr>
          <w:spacing w:val="88"/>
          <w:w w:val="95"/>
        </w:rPr>
        <w:t> </w:t>
      </w:r>
      <w:r>
        <w:rPr>
          <w:spacing w:val="88"/>
          <w:w w:val="95"/>
        </w:rPr>
      </w:r>
      <w:r>
        <w:rPr/>
        <w:t>税资产及当期所得税负债以抵销后的净额列报。</w:t>
      </w:r>
      <w:r>
        <w:rPr>
          <w:w w:val="99"/>
        </w:rPr>
        <w:t> </w:t>
      </w:r>
      <w:r>
        <w:rPr>
          <w:w w:val="95"/>
        </w:rPr>
        <w:t>当拥有以净额结算当期所得税资产及当期所得税负债的法定权利，且递延所得税资产及递延所得</w:t>
      </w:r>
      <w:r>
        <w:rPr>
          <w:spacing w:val="87"/>
          <w:w w:val="95"/>
        </w:rPr>
        <w:t> </w:t>
      </w:r>
      <w:r>
        <w:rPr>
          <w:spacing w:val="87"/>
          <w:w w:val="95"/>
        </w:rPr>
      </w:r>
      <w:r>
        <w:rPr>
          <w:w w:val="95"/>
        </w:rPr>
        <w:t>税负债是与同一税收征管部门对同一纳税主体征收的所得税相关或者是对不同的纳税主体相关，</w:t>
      </w:r>
      <w:r>
        <w:rPr>
          <w:spacing w:val="19"/>
          <w:w w:val="95"/>
        </w:rPr>
        <w:t> </w:t>
      </w:r>
      <w:r>
        <w:rPr>
          <w:spacing w:val="19"/>
          <w:w w:val="95"/>
        </w:rPr>
      </w:r>
      <w:r>
        <w:rPr>
          <w:w w:val="95"/>
        </w:rPr>
        <w:t>但在未来每一具有重要性的递延所得税资产及负债转回的期间内，涉及的纳税主体意图以净额结</w:t>
      </w:r>
      <w:r>
        <w:rPr>
          <w:spacing w:val="87"/>
          <w:w w:val="95"/>
        </w:rPr>
        <w:t> </w:t>
      </w:r>
      <w:r>
        <w:rPr>
          <w:spacing w:val="87"/>
          <w:w w:val="95"/>
        </w:rPr>
      </w:r>
      <w:r>
        <w:rPr>
          <w:w w:val="95"/>
        </w:rPr>
        <w:t>算当期所得税资产和负债或是同时取得资产、清偿负债时，递延所得税资产及递延所得税负债以</w:t>
      </w:r>
      <w:r>
        <w:rPr>
          <w:spacing w:val="84"/>
          <w:w w:val="95"/>
        </w:rPr>
        <w:t> </w:t>
      </w:r>
      <w:r>
        <w:rPr>
          <w:spacing w:val="84"/>
          <w:w w:val="95"/>
        </w:rPr>
      </w:r>
      <w:r>
        <w:rPr/>
        <w:t>抵销后的净额列报。</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5"/>
        <w:spacing w:line="240" w:lineRule="auto"/>
        <w:ind w:right="1682"/>
        <w:jc w:val="left"/>
        <w:rPr>
          <w:b w:val="0"/>
          <w:bCs w:val="0"/>
        </w:rPr>
      </w:pPr>
      <w:r>
        <w:rPr>
          <w:rFonts w:ascii="Times New Roman" w:hAnsi="Times New Roman" w:cs="Times New Roman" w:eastAsia="Times New Roman" w:hint="default"/>
        </w:rPr>
        <w:t>25</w:t>
      </w:r>
      <w:r>
        <w:rPr/>
        <w:t>、租赁</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682"/>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68" w:lineRule="auto" w:before="0"/>
        <w:ind w:left="1372" w:right="119"/>
        <w:jc w:val="left"/>
      </w:pPr>
      <w:r>
        <w:rPr>
          <w:rFonts w:ascii="Times New Roman" w:hAnsi="Times New Roman" w:cs="Times New Roman" w:eastAsia="Times New Roman" w:hint="default"/>
          <w:spacing w:val="2"/>
        </w:rPr>
        <w:t>1</w:t>
      </w:r>
      <w:r>
        <w:rPr>
          <w:spacing w:val="2"/>
        </w:rPr>
        <w:t>）公司租入资产所支付的租赁费，在不扣除免租期的整个租赁期内，按直线法进行分摊，</w:t>
      </w:r>
      <w:r>
        <w:rPr>
          <w:w w:val="99"/>
        </w:rPr>
        <w:t> </w:t>
      </w:r>
      <w:r>
        <w:rPr/>
        <w:t>计入当期费用。公司支付的与租赁交易相关的初始直接费用，计入当期费用。</w:t>
      </w:r>
      <w:r>
        <w:rPr>
          <w:w w:val="99"/>
        </w:rPr>
        <w:t> </w:t>
      </w:r>
      <w:r>
        <w:rPr>
          <w:w w:val="95"/>
        </w:rPr>
        <w:t>资产出租方承担了应由公司承担的与租赁相关的费用时，公司将该部分费用从租金总额中扣</w:t>
      </w:r>
      <w:r>
        <w:rPr>
          <w:spacing w:val="79"/>
          <w:w w:val="95"/>
        </w:rPr>
        <w:t> </w:t>
      </w:r>
      <w:r>
        <w:rPr>
          <w:spacing w:val="79"/>
          <w:w w:val="95"/>
        </w:rPr>
      </w:r>
      <w:r>
        <w:rPr/>
        <w:t>除，按扣除后的租金费用在租赁期内分摊，计入当期费用。</w:t>
      </w:r>
      <w:r>
        <w:rPr>
          <w:w w:val="99"/>
        </w:rPr>
        <w:t> </w:t>
      </w:r>
      <w:r>
        <w:rPr>
          <w:rFonts w:ascii="Times New Roman" w:hAnsi="Times New Roman" w:cs="Times New Roman" w:eastAsia="Times New Roman" w:hint="default"/>
          <w:spacing w:val="2"/>
        </w:rPr>
        <w:t>2</w:t>
      </w:r>
      <w:r>
        <w:rPr>
          <w:spacing w:val="2"/>
        </w:rPr>
        <w:t>）公司出租资产所收取的租赁费，在不扣除免租期的整个租赁期内，按直线法进行分摊，</w:t>
      </w:r>
      <w:r>
        <w:rPr>
          <w:w w:val="99"/>
        </w:rPr>
        <w:t> </w:t>
      </w:r>
      <w:r>
        <w:rPr>
          <w:w w:val="95"/>
        </w:rPr>
        <w:t>确认为租赁相关收入。公司支付的与租赁交易相关的初始直接费用，计入当期费用；如金额</w:t>
      </w:r>
      <w:r>
        <w:rPr>
          <w:spacing w:val="80"/>
          <w:w w:val="95"/>
        </w:rPr>
        <w:t> </w:t>
      </w:r>
      <w:r>
        <w:rPr>
          <w:spacing w:val="80"/>
          <w:w w:val="95"/>
        </w:rPr>
      </w:r>
      <w:r>
        <w:rPr>
          <w:w w:val="95"/>
        </w:rPr>
        <w:t>较大的，则予以资本化，在整个租赁期间内按照与租赁相关收入确认相同的基础分期计入当</w:t>
      </w:r>
      <w:r>
        <w:rPr>
          <w:spacing w:val="80"/>
          <w:w w:val="95"/>
        </w:rPr>
        <w:t> </w:t>
      </w:r>
      <w:r>
        <w:rPr>
          <w:spacing w:val="80"/>
          <w:w w:val="95"/>
        </w:rPr>
      </w:r>
      <w:r>
        <w:rPr/>
        <w:t>期收益。</w:t>
      </w:r>
      <w:r>
        <w:rPr>
          <w:w w:val="99"/>
        </w:rPr>
        <w:t> </w:t>
      </w:r>
      <w:r>
        <w:rPr>
          <w:w w:val="95"/>
        </w:rPr>
        <w:t>公司承担了应由承租方承担的与租赁相关的费用时，公司将该部分费用从租金收入总额中扣</w:t>
      </w:r>
      <w:r>
        <w:rPr>
          <w:spacing w:val="79"/>
          <w:w w:val="95"/>
        </w:rPr>
        <w:t> </w:t>
      </w:r>
      <w:r>
        <w:rPr>
          <w:spacing w:val="79"/>
          <w:w w:val="95"/>
        </w:rPr>
      </w:r>
      <w:r>
        <w:rPr/>
        <w:t>除，按扣除后的租金费用在租赁期内分配。</w:t>
      </w:r>
    </w:p>
    <w:p>
      <w:pPr>
        <w:spacing w:after="0" w:line="268" w:lineRule="auto"/>
        <w:jc w:val="left"/>
        <w:sectPr>
          <w:pgSz w:w="11910" w:h="16840"/>
          <w:pgMar w:header="776" w:footer="978" w:top="1100" w:bottom="1160" w:left="1020" w:right="1000"/>
        </w:sectPr>
      </w:pPr>
    </w:p>
    <w:p>
      <w:pPr>
        <w:spacing w:line="240" w:lineRule="auto" w:before="12"/>
        <w:rPr>
          <w:rFonts w:ascii="宋体" w:hAnsi="宋体" w:cs="宋体" w:eastAsia="宋体" w:hint="default"/>
          <w:sz w:val="20"/>
          <w:szCs w:val="20"/>
        </w:rPr>
      </w:pPr>
    </w:p>
    <w:p>
      <w:pPr>
        <w:pStyle w:val="Heading5"/>
        <w:spacing w:line="240" w:lineRule="auto" w:before="34"/>
        <w:ind w:right="1682"/>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68" w:lineRule="auto" w:before="0"/>
        <w:ind w:left="1372" w:right="109"/>
        <w:jc w:val="left"/>
      </w:pPr>
      <w:r>
        <w:rPr>
          <w:rFonts w:ascii="Times New Roman" w:hAnsi="Times New Roman" w:cs="Times New Roman" w:eastAsia="Times New Roman" w:hint="default"/>
          <w:spacing w:val="2"/>
        </w:rPr>
        <w:t>1</w:t>
      </w:r>
      <w:r>
        <w:rPr>
          <w:spacing w:val="2"/>
        </w:rPr>
        <w:t>）融资租入资产：公司在承租开始日，将租赁资产公允价值与最低租赁付款额现值两者中</w:t>
      </w:r>
      <w:r>
        <w:rPr>
          <w:w w:val="99"/>
        </w:rPr>
        <w:t> </w:t>
      </w:r>
      <w:r>
        <w:rPr>
          <w:w w:val="95"/>
        </w:rPr>
        <w:t>较低者作为租入资产的入账价值，将最低租赁付款额作为长期应付款的入账价值，其差额作</w:t>
      </w:r>
      <w:r>
        <w:rPr>
          <w:spacing w:val="77"/>
          <w:w w:val="95"/>
        </w:rPr>
        <w:t> </w:t>
      </w:r>
      <w:r>
        <w:rPr>
          <w:spacing w:val="77"/>
          <w:w w:val="95"/>
        </w:rPr>
      </w:r>
      <w:r>
        <w:rPr>
          <w:w w:val="95"/>
        </w:rPr>
        <w:t>为未确认的融资费用。公司采用实际利率法对未确认的融资费用，在资产租赁期间内摊销，</w:t>
      </w:r>
      <w:r>
        <w:rPr>
          <w:spacing w:val="1"/>
          <w:w w:val="95"/>
        </w:rPr>
        <w:t> </w:t>
      </w:r>
      <w:r>
        <w:rPr>
          <w:spacing w:val="1"/>
          <w:w w:val="95"/>
        </w:rPr>
      </w:r>
      <w:r>
        <w:rPr/>
        <w:t>计入财务费用。公司发生的初始直接费用，计入租入资产价值。</w:t>
      </w:r>
      <w:r>
        <w:rPr>
          <w:w w:val="99"/>
        </w:rPr>
        <w:t> </w:t>
      </w:r>
      <w:r>
        <w:rPr>
          <w:rFonts w:ascii="Times New Roman" w:hAnsi="Times New Roman" w:cs="Times New Roman" w:eastAsia="Times New Roman" w:hint="default"/>
          <w:spacing w:val="2"/>
        </w:rPr>
        <w:t>2</w:t>
      </w:r>
      <w:r>
        <w:rPr>
          <w:spacing w:val="2"/>
        </w:rPr>
        <w:t>）融资租出资产：公司在租赁开始日，将应收融资租赁款，未担保余值之和与其现值的差</w:t>
      </w:r>
      <w:r>
        <w:rPr>
          <w:w w:val="99"/>
        </w:rPr>
        <w:t> </w:t>
      </w:r>
      <w:r>
        <w:rPr>
          <w:w w:val="95"/>
        </w:rPr>
        <w:t>额确认为未实现融资收益，在将来收到租金的各期间内确认为租赁收入。公司发生的与出租</w:t>
      </w:r>
      <w:r>
        <w:rPr>
          <w:spacing w:val="77"/>
          <w:w w:val="95"/>
        </w:rPr>
        <w:t> </w:t>
      </w:r>
      <w:r>
        <w:rPr>
          <w:spacing w:val="77"/>
          <w:w w:val="95"/>
        </w:rPr>
      </w:r>
      <w:r>
        <w:rPr>
          <w:w w:val="95"/>
        </w:rPr>
        <w:t>交易相关的初始直接费用，计入应收融资租赁款的初始计量中，并减少租赁期内确认的收益</w:t>
      </w:r>
      <w:r>
        <w:rPr>
          <w:spacing w:val="77"/>
          <w:w w:val="95"/>
        </w:rPr>
        <w:t> </w:t>
      </w:r>
      <w:r>
        <w:rPr>
          <w:spacing w:val="77"/>
          <w:w w:val="95"/>
        </w:rPr>
      </w:r>
      <w:r>
        <w:rPr/>
        <w:t>金额。</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5"/>
        <w:spacing w:line="240" w:lineRule="auto"/>
        <w:ind w:right="1682"/>
        <w:jc w:val="left"/>
        <w:rPr>
          <w:b w:val="0"/>
          <w:bCs w:val="0"/>
        </w:rPr>
      </w:pPr>
      <w:r>
        <w:rPr>
          <w:rFonts w:ascii="Times New Roman" w:hAnsi="Times New Roman" w:cs="Times New Roman" w:eastAsia="Times New Roman" w:hint="default"/>
        </w:rPr>
        <w:t>26</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682"/>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6"/>
          <w:szCs w:val="26"/>
        </w:rPr>
      </w:pPr>
    </w:p>
    <w:p>
      <w:pPr>
        <w:spacing w:before="0"/>
        <w:ind w:left="112" w:right="16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56" w:lineRule="auto" w:before="78"/>
        <w:ind w:left="1372" w:right="1682"/>
        <w:jc w:val="left"/>
      </w:pPr>
      <w:r>
        <w:rPr>
          <w:rFonts w:ascii="Times New Roman" w:hAnsi="Times New Roman" w:cs="Times New Roman" w:eastAsia="Times New Roman" w:hint="default"/>
        </w:rPr>
        <w:t>1</w:t>
      </w:r>
      <w:r>
        <w:rPr/>
        <w:t>）执行财政部于</w:t>
      </w:r>
      <w:r>
        <w:rPr>
          <w:rFonts w:ascii="Times New Roman" w:hAnsi="Times New Roman" w:cs="Times New Roman" w:eastAsia="Times New Roman" w:hint="default"/>
        </w:rPr>
        <w:t>2014</w:t>
      </w:r>
      <w:r>
        <w:rPr/>
        <w:t>年修订及新颁布的准则</w:t>
      </w:r>
      <w:r>
        <w:rPr>
          <w:w w:val="99"/>
        </w:rPr>
        <w:t> </w:t>
      </w:r>
      <w:r>
        <w:rPr>
          <w:w w:val="95"/>
        </w:rPr>
        <w:t>本公司已执行财政部于</w:t>
      </w:r>
      <w:r>
        <w:rPr>
          <w:rFonts w:ascii="Times New Roman" w:hAnsi="Times New Roman" w:cs="Times New Roman" w:eastAsia="Times New Roman" w:hint="default"/>
          <w:w w:val="95"/>
        </w:rPr>
        <w:t>2014</w:t>
      </w:r>
      <w:r>
        <w:rPr>
          <w:w w:val="95"/>
        </w:rPr>
        <w:t>年颁布的下列新的及修订的企业会计准则：</w:t>
      </w:r>
      <w:r>
        <w:rPr/>
      </w:r>
    </w:p>
    <w:p>
      <w:pPr>
        <w:pStyle w:val="BodyText"/>
        <w:spacing w:line="240" w:lineRule="auto" w:before="5"/>
        <w:ind w:left="1372" w:right="1682"/>
        <w:jc w:val="left"/>
      </w:pPr>
      <w:r>
        <w:rPr/>
        <w:t>《企业会计准则</w:t>
      </w:r>
      <w:r>
        <w:rPr>
          <w:rFonts w:ascii="Times New Roman" w:hAnsi="Times New Roman" w:cs="Times New Roman" w:eastAsia="Times New Roman" w:hint="default"/>
        </w:rPr>
        <w:t>—</w:t>
      </w:r>
      <w:r>
        <w:rPr/>
        <w:t>基本准则》（修订）、</w:t>
      </w:r>
    </w:p>
    <w:p>
      <w:pPr>
        <w:pStyle w:val="BodyText"/>
        <w:spacing w:line="240" w:lineRule="auto" w:before="21"/>
        <w:ind w:left="1372" w:right="1682"/>
        <w:jc w:val="left"/>
      </w:pP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w:t>
      </w:r>
    </w:p>
    <w:p>
      <w:pPr>
        <w:pStyle w:val="BodyText"/>
        <w:spacing w:line="240" w:lineRule="auto" w:before="21"/>
        <w:ind w:left="1372" w:right="1682"/>
        <w:jc w:val="left"/>
      </w:pP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职工薪酬》（修订）、</w:t>
      </w:r>
    </w:p>
    <w:p>
      <w:pPr>
        <w:pStyle w:val="BodyText"/>
        <w:spacing w:line="240" w:lineRule="auto" w:before="21"/>
        <w:ind w:left="1372" w:right="1682"/>
        <w:jc w:val="left"/>
      </w:pP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w:t>
      </w:r>
    </w:p>
    <w:p>
      <w:pPr>
        <w:pStyle w:val="BodyText"/>
        <w:spacing w:line="240" w:lineRule="auto" w:before="21"/>
        <w:ind w:left="1372" w:right="1682"/>
        <w:jc w:val="left"/>
      </w:pPr>
      <w:r>
        <w:rPr/>
        <w:t>《企业会计准则第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合并财务报表》（修订）、</w:t>
      </w:r>
    </w:p>
    <w:p>
      <w:pPr>
        <w:pStyle w:val="BodyText"/>
        <w:spacing w:line="240" w:lineRule="auto" w:before="21"/>
        <w:ind w:left="1372" w:right="1682"/>
        <w:jc w:val="left"/>
      </w:pP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w:t>
      </w:r>
    </w:p>
    <w:p>
      <w:pPr>
        <w:pStyle w:val="BodyText"/>
        <w:spacing w:line="240" w:lineRule="auto" w:before="21"/>
        <w:ind w:left="1372" w:right="1682"/>
        <w:jc w:val="left"/>
      </w:pPr>
      <w:r>
        <w:rPr/>
        <w:t>《企业会计准则第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w:t>
      </w:r>
    </w:p>
    <w:p>
      <w:pPr>
        <w:pStyle w:val="BodyText"/>
        <w:spacing w:line="240" w:lineRule="auto" w:before="21"/>
        <w:ind w:left="1372" w:right="1682"/>
        <w:jc w:val="left"/>
      </w:pPr>
      <w:r>
        <w:rPr/>
        <w:t>《企业会计准则第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w:t>
      </w:r>
    </w:p>
    <w:p>
      <w:pPr>
        <w:pStyle w:val="BodyText"/>
        <w:spacing w:line="261" w:lineRule="auto" w:before="21"/>
        <w:ind w:left="1372" w:right="130"/>
        <w:jc w:val="left"/>
      </w:pPr>
      <w:r>
        <w:rPr/>
        <w:t>《企业会计准则第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w:t>
      </w:r>
      <w:r>
        <w:rPr>
          <w:w w:val="99"/>
        </w:rPr>
        <w:t> </w:t>
      </w:r>
      <w:r>
        <w:rPr>
          <w:rFonts w:ascii="Times New Roman" w:hAnsi="Times New Roman" w:cs="Times New Roman" w:eastAsia="Times New Roman" w:hint="default"/>
        </w:rPr>
        <w:t>2</w:t>
      </w:r>
      <w:r>
        <w:rPr/>
        <w:t>）本公司执行上述企业会计准则的主要影响如下：</w:t>
      </w:r>
      <w:r>
        <w:rPr>
          <w:w w:val="99"/>
        </w:rPr>
        <w:t> </w:t>
      </w:r>
      <w:r>
        <w:rPr>
          <w:rFonts w:ascii="Times New Roman" w:hAnsi="Times New Roman" w:cs="Times New Roman" w:eastAsia="Times New Roman" w:hint="default"/>
        </w:rPr>
        <w:t>A</w:t>
      </w:r>
      <w:r>
        <w:rPr/>
        <w:t>、执行《企业会计准则第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w:t>
      </w:r>
      <w:r>
        <w:rPr>
          <w:w w:val="99"/>
        </w:rPr>
        <w:t> </w:t>
      </w:r>
      <w:r>
        <w:rPr>
          <w:spacing w:val="2"/>
          <w:w w:val="95"/>
        </w:rPr>
        <w:t>本公司根据《企业会计准则第</w:t>
      </w:r>
      <w:r>
        <w:rPr>
          <w:rFonts w:ascii="Times New Roman" w:hAnsi="Times New Roman" w:cs="Times New Roman" w:eastAsia="Times New Roman" w:hint="default"/>
          <w:spacing w:val="2"/>
          <w:w w:val="95"/>
        </w:rPr>
        <w:t>2</w:t>
      </w:r>
      <w:r>
        <w:rPr>
          <w:spacing w:val="2"/>
          <w:w w:val="95"/>
        </w:rPr>
        <w:t>号</w:t>
      </w:r>
      <w:r>
        <w:rPr>
          <w:rFonts w:ascii="Times New Roman" w:hAnsi="Times New Roman" w:cs="Times New Roman" w:eastAsia="Times New Roman" w:hint="default"/>
          <w:spacing w:val="2"/>
          <w:w w:val="95"/>
        </w:rPr>
        <w:t>——</w:t>
      </w:r>
      <w:r>
        <w:rPr>
          <w:spacing w:val="2"/>
          <w:w w:val="95"/>
        </w:rPr>
        <w:t>长期股权投资》（修订）将本公司对被投资单位不具</w:t>
      </w:r>
      <w:r>
        <w:rPr>
          <w:spacing w:val="83"/>
          <w:w w:val="95"/>
        </w:rPr>
        <w:t> </w:t>
      </w:r>
      <w:r>
        <w:rPr>
          <w:spacing w:val="83"/>
          <w:w w:val="95"/>
        </w:rPr>
      </w:r>
      <w:r>
        <w:rPr>
          <w:w w:val="95"/>
        </w:rPr>
        <w:t>有共同控制或重大影响，并且在活跃市场中没有报价、公允价值不能可靠计量的投资从长期</w:t>
      </w:r>
      <w:r>
        <w:rPr>
          <w:spacing w:val="63"/>
          <w:w w:val="95"/>
        </w:rPr>
        <w:t> </w:t>
      </w:r>
      <w:r>
        <w:rPr>
          <w:spacing w:val="63"/>
          <w:w w:val="95"/>
        </w:rPr>
      </w:r>
      <w:r>
        <w:rPr/>
        <w:t>股权投资中分类至可供出售金融资产核算，并进行了追溯调整。</w:t>
      </w:r>
    </w:p>
    <w:p>
      <w:pPr>
        <w:pStyle w:val="BodyText"/>
        <w:spacing w:line="256" w:lineRule="auto" w:before="18"/>
        <w:ind w:left="1389" w:right="130" w:hanging="332"/>
        <w:jc w:val="left"/>
      </w:pPr>
      <w:r>
        <w:rPr>
          <w:rFonts w:ascii="Times New Roman" w:hAnsi="Times New Roman" w:cs="Times New Roman" w:eastAsia="Times New Roman" w:hint="default"/>
        </w:rPr>
        <w:t>B</w:t>
      </w: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w:t>
      </w:r>
      <w:r>
        <w:rPr>
          <w:w w:val="99"/>
        </w:rPr>
        <w:t> </w:t>
      </w:r>
      <w:r>
        <w:rPr>
          <w:w w:val="95"/>
        </w:rPr>
        <w:t>公司根据《企业会计准则第</w:t>
      </w:r>
      <w:r>
        <w:rPr>
          <w:rFonts w:ascii="Times New Roman" w:hAnsi="Times New Roman" w:cs="Times New Roman" w:eastAsia="Times New Roman" w:hint="default"/>
          <w:w w:val="95"/>
        </w:rPr>
        <w:t>30</w:t>
      </w:r>
      <w:r>
        <w:rPr>
          <w:w w:val="95"/>
        </w:rPr>
        <w:t>号</w:t>
      </w:r>
      <w:r>
        <w:rPr>
          <w:rFonts w:ascii="Times New Roman" w:hAnsi="Times New Roman" w:cs="Times New Roman" w:eastAsia="Times New Roman" w:hint="default"/>
          <w:w w:val="95"/>
        </w:rPr>
        <w:t>——</w:t>
      </w:r>
      <w:r>
        <w:rPr>
          <w:w w:val="95"/>
        </w:rPr>
        <w:t>财务报表列报》（修订）对本公司的财务报表格式进行</w:t>
      </w:r>
      <w:r>
        <w:rPr>
          <w:spacing w:val="-66"/>
          <w:w w:val="95"/>
        </w:rPr>
        <w:t> </w:t>
      </w:r>
      <w:r>
        <w:rPr>
          <w:spacing w:val="-66"/>
          <w:w w:val="95"/>
        </w:rPr>
      </w:r>
      <w:r>
        <w:rPr/>
        <w:t>了更改。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5"/>
        <w:spacing w:line="240" w:lineRule="auto"/>
        <w:ind w:right="1682"/>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spacing w:before="0"/>
        <w:ind w:left="112" w:right="16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76" w:footer="978" w:top="1100" w:bottom="1160" w:left="1020" w:right="1000"/>
        </w:sectPr>
      </w:pPr>
    </w:p>
    <w:p>
      <w:pPr>
        <w:spacing w:line="240" w:lineRule="auto" w:before="10"/>
        <w:rPr>
          <w:rFonts w:ascii="宋体" w:hAnsi="宋体" w:cs="宋体" w:eastAsia="宋体" w:hint="default"/>
          <w:sz w:val="19"/>
          <w:szCs w:val="19"/>
        </w:rPr>
      </w:pPr>
    </w:p>
    <w:p>
      <w:pPr>
        <w:pStyle w:val="Heading4"/>
        <w:spacing w:line="240" w:lineRule="auto" w:before="26"/>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94"/>
        <w:gridCol w:w="3685"/>
        <w:gridCol w:w="3190"/>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7" w:hRule="exact"/>
        </w:trPr>
        <w:tc>
          <w:tcPr>
            <w:tcW w:w="26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w:t>
            </w: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基础计算销项税额，在扣除当期允许抵扣的进</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53" w:hRule="exact"/>
        </w:trPr>
        <w:tc>
          <w:tcPr>
            <w:tcW w:w="26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项税额后，差额部分为应交增值税</w:t>
            </w: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执行香港地区税收政策适用的税率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合并范围其他子公司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09" w:firstLine="420"/>
        <w:jc w:val="both"/>
      </w:pPr>
      <w:r>
        <w:rPr>
          <w:spacing w:val="2"/>
          <w:w w:val="95"/>
        </w:rPr>
        <w:t>公司于2013年9月11日取得由上海市科学技术委员会、上海市财政局、上海市国家税务局以及上海市</w:t>
      </w:r>
      <w:r>
        <w:rPr>
          <w:spacing w:val="-90"/>
          <w:w w:val="95"/>
        </w:rPr>
        <w:t> </w:t>
      </w:r>
      <w:r>
        <w:rPr>
          <w:spacing w:val="-90"/>
          <w:w w:val="95"/>
        </w:rPr>
      </w:r>
      <w:r>
        <w:rPr>
          <w:w w:val="95"/>
        </w:rPr>
        <w:t>地方税务局联合颁发的高新技术企业证书（证书编号GF201331000121），有效期三年。公司可享受自2013</w:t>
      </w:r>
      <w:r>
        <w:rPr>
          <w:spacing w:val="45"/>
          <w:w w:val="95"/>
        </w:rPr>
        <w:t> </w:t>
      </w:r>
      <w:r>
        <w:rPr>
          <w:spacing w:val="45"/>
          <w:w w:val="95"/>
        </w:rPr>
      </w:r>
      <w:r>
        <w:rPr/>
        <w:t>年度至2015年度三年15%的企业所得税税收优惠。本年适用所得税税率为15%。</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6"/>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119,043.11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160,931.96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4,028,373,722.65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1,746,098,623.99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4,028,492,765.76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1,746,259,555.95</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before="0"/>
        <w:ind w:right="0"/>
        <w:jc w:val="left"/>
      </w:pPr>
      <w:r>
        <w:rPr/>
        <w:t>受限制的货币资金：</w:t>
      </w:r>
    </w:p>
    <w:p>
      <w:pPr>
        <w:spacing w:line="240" w:lineRule="auto" w:before="12"/>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5971"/>
        <w:gridCol w:w="1893"/>
        <w:gridCol w:w="1745"/>
      </w:tblGrid>
      <w:tr>
        <w:trPr>
          <w:trHeight w:val="422" w:hRule="exact"/>
        </w:trPr>
        <w:tc>
          <w:tcPr>
            <w:tcW w:w="597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9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4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625" w:hRule="exact"/>
        </w:trPr>
        <w:tc>
          <w:tcPr>
            <w:tcW w:w="5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上海天天基金销售有限公司代理买卖证券业务存放在监管银行的客户资金</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2,706,422,794.94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545,999,762.62</w:t>
            </w:r>
          </w:p>
        </w:tc>
      </w:tr>
      <w:tr>
        <w:trPr>
          <w:trHeight w:val="422" w:hRule="exact"/>
        </w:trPr>
        <w:tc>
          <w:tcPr>
            <w:tcW w:w="5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2,706,422,794.94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545,999,762.62</w:t>
            </w:r>
          </w:p>
        </w:tc>
      </w:tr>
    </w:tbl>
    <w:p>
      <w:pPr>
        <w:spacing w:after="0" w:line="240" w:lineRule="auto"/>
        <w:jc w:val="center"/>
        <w:rPr>
          <w:rFonts w:ascii="Times New Roman" w:hAnsi="Times New Roman" w:cs="Times New Roman" w:eastAsia="Times New Roman" w:hint="default"/>
          <w:sz w:val="18"/>
          <w:szCs w:val="18"/>
        </w:rPr>
        <w:sectPr>
          <w:pgSz w:w="11910" w:h="16840"/>
          <w:pgMar w:header="776"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5"/>
        <w:spacing w:line="240" w:lineRule="auto" w:before="34"/>
        <w:ind w:right="0"/>
        <w:jc w:val="left"/>
        <w:rPr>
          <w:b w:val="0"/>
          <w:bCs w:val="0"/>
        </w:rPr>
      </w:pPr>
      <w:r>
        <w:rPr>
          <w:rFonts w:ascii="Times New Roman" w:hAnsi="Times New Roman" w:cs="Times New Roman" w:eastAsia="Times New Roman" w:hint="default"/>
        </w:rPr>
        <w:t>2</w:t>
      </w:r>
      <w:r>
        <w:rPr/>
        <w:t>、</w:t>
      </w:r>
      <w:r>
        <w:rPr>
          <w:spacing w:val="-7"/>
        </w:rPr>
        <w:t> </w:t>
      </w:r>
      <w:r>
        <w:rPr/>
        <w:t>结算备付金</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32" w:right="0"/>
        <w:jc w:val="left"/>
        <w:rPr>
          <w:b w:val="0"/>
          <w:bCs w:val="0"/>
        </w:rPr>
      </w:pPr>
      <w:r>
        <w:rPr/>
        <w:t>（</w:t>
      </w:r>
      <w:r>
        <w:rPr>
          <w:rFonts w:ascii="Times New Roman" w:hAnsi="Times New Roman" w:cs="Times New Roman" w:eastAsia="Times New Roman" w:hint="default"/>
        </w:rPr>
        <w:t>1</w:t>
      </w:r>
      <w:r>
        <w:rPr/>
        <w:t>）按类别列示</w:t>
      </w:r>
      <w:r>
        <w:rPr>
          <w:b w:val="0"/>
          <w:bCs w:val="0"/>
        </w:rPr>
      </w:r>
    </w:p>
    <w:p>
      <w:pPr>
        <w:spacing w:line="240" w:lineRule="auto" w:before="10"/>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3213"/>
        <w:gridCol w:w="3213"/>
        <w:gridCol w:w="3213"/>
      </w:tblGrid>
      <w:tr>
        <w:trPr>
          <w:trHeight w:val="342" w:hRule="exact"/>
        </w:trPr>
        <w:tc>
          <w:tcPr>
            <w:tcW w:w="321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1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left="1240"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公司备付金</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5,705,945.07</w:t>
            </w:r>
          </w:p>
        </w:tc>
        <w:tc>
          <w:tcPr>
            <w:tcW w:w="3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95" w:right="0"/>
              <w:jc w:val="left"/>
              <w:rPr>
                <w:rFonts w:ascii="Times New Roman" w:hAnsi="Times New Roman" w:cs="Times New Roman" w:eastAsia="Times New Roman" w:hint="default"/>
                <w:sz w:val="18"/>
                <w:szCs w:val="18"/>
              </w:rPr>
            </w:pPr>
            <w:r>
              <w:rPr>
                <w:rFonts w:ascii="Times New Roman"/>
                <w:sz w:val="18"/>
              </w:rPr>
              <w:t>130,656.22</w:t>
            </w:r>
          </w:p>
        </w:tc>
      </w:tr>
    </w:tbl>
    <w:p>
      <w:pPr>
        <w:spacing w:line="240" w:lineRule="auto" w:before="1"/>
        <w:rPr>
          <w:rFonts w:ascii="宋体" w:hAnsi="宋体" w:cs="宋体" w:eastAsia="宋体" w:hint="default"/>
          <w:b/>
          <w:bCs/>
          <w:sz w:val="20"/>
          <w:szCs w:val="20"/>
        </w:rPr>
      </w:pPr>
    </w:p>
    <w:p>
      <w:pPr>
        <w:pStyle w:val="Heading5"/>
        <w:spacing w:line="240" w:lineRule="auto" w:before="34"/>
        <w:ind w:left="532" w:right="0"/>
        <w:jc w:val="left"/>
        <w:rPr>
          <w:b w:val="0"/>
          <w:bCs w:val="0"/>
        </w:rPr>
      </w:pPr>
      <w:r>
        <w:rPr/>
        <w:t>（</w:t>
      </w:r>
      <w:r>
        <w:rPr>
          <w:rFonts w:ascii="Times New Roman" w:hAnsi="Times New Roman" w:cs="Times New Roman" w:eastAsia="Times New Roman" w:hint="default"/>
        </w:rPr>
        <w:t>2</w:t>
      </w:r>
      <w:r>
        <w:rPr/>
        <w:t>）按币种列示</w:t>
      </w:r>
      <w:r>
        <w:rPr>
          <w:b w:val="0"/>
          <w:bCs w:val="0"/>
        </w:rPr>
      </w:r>
    </w:p>
    <w:p>
      <w:pPr>
        <w:spacing w:line="240" w:lineRule="auto" w:before="10"/>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3119"/>
        <w:gridCol w:w="2552"/>
        <w:gridCol w:w="3968"/>
      </w:tblGrid>
      <w:tr>
        <w:trPr>
          <w:trHeight w:val="342" w:hRule="exact"/>
        </w:trPr>
        <w:tc>
          <w:tcPr>
            <w:tcW w:w="311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6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2"/>
              <w:ind w:left="1618"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公司普通备付金：</w:t>
            </w:r>
          </w:p>
        </w:tc>
        <w:tc>
          <w:tcPr>
            <w:tcW w:w="2552" w:type="dxa"/>
            <w:tcBorders>
              <w:top w:val="single" w:sz="4" w:space="0" w:color="000000"/>
              <w:left w:val="single" w:sz="4" w:space="0" w:color="000000"/>
              <w:bottom w:val="single" w:sz="4" w:space="0" w:color="000000"/>
              <w:right w:val="single" w:sz="4" w:space="0" w:color="000000"/>
            </w:tcBorders>
          </w:tcPr>
          <w:p>
            <w:pPr/>
          </w:p>
        </w:tc>
        <w:tc>
          <w:tcPr>
            <w:tcW w:w="396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5,705,945.07</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73" w:right="0"/>
              <w:jc w:val="left"/>
              <w:rPr>
                <w:rFonts w:ascii="Times New Roman" w:hAnsi="Times New Roman" w:cs="Times New Roman" w:eastAsia="Times New Roman" w:hint="default"/>
                <w:sz w:val="18"/>
                <w:szCs w:val="18"/>
              </w:rPr>
            </w:pPr>
            <w:r>
              <w:rPr>
                <w:rFonts w:ascii="Times New Roman"/>
                <w:sz w:val="18"/>
              </w:rPr>
              <w:t>130,656.22</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4"/>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113,042,</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736.71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9,069,44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103,973,2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54,104,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676.65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4,914,567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49,190,109.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113,042,</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736.71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9,069,44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103,973,2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54,104,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676.65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4,914,567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49,190,109.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r>
    </w:tbl>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76" w:footer="978" w:top="1100" w:bottom="1160" w:left="1020" w:right="102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7"/>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组合中，按账龄分析法计提坏账准备的应收账款：</w:t>
      </w:r>
    </w:p>
    <w:p>
      <w:pPr>
        <w:spacing w:before="39"/>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880" w:bottom="280" w:left="1020" w:right="1020"/>
          <w:cols w:num="2" w:equalWidth="0">
            <w:col w:w="4253" w:space="4576"/>
            <w:col w:w="1041"/>
          </w:cols>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106,182,742.53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5,309,137.13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106,182,742.53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5,309,137.13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2,194,710.00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658,413.00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3,126,784.18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1,563,392.09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1,538,500.00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1,538,500.00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113,042,736.71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9,069,442.22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8.02%</w:t>
            </w:r>
          </w:p>
        </w:tc>
      </w:tr>
    </w:tbl>
    <w:p>
      <w:pPr>
        <w:spacing w:line="360" w:lineRule="auto" w:before="51"/>
        <w:ind w:left="112" w:right="541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5"/>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1"/>
          <w:szCs w:val="21"/>
        </w:rPr>
      </w:pPr>
    </w:p>
    <w:p>
      <w:pPr>
        <w:spacing w:line="506" w:lineRule="auto" w:before="0"/>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w w:val="95"/>
          <w:sz w:val="21"/>
          <w:szCs w:val="21"/>
        </w:rPr>
        <w:t>本期计提坏账准备金额4,154,874.84元；本期收回或转回坏账准备金额0.00元。</w:t>
      </w:r>
      <w:r>
        <w:rPr>
          <w:rFonts w:ascii="宋体" w:hAnsi="宋体" w:cs="宋体" w:eastAsia="宋体" w:hint="default"/>
          <w:sz w:val="21"/>
          <w:szCs w:val="21"/>
        </w:rPr>
      </w:r>
    </w:p>
    <w:p>
      <w:pPr>
        <w:spacing w:line="506" w:lineRule="auto" w:before="104"/>
        <w:ind w:left="532" w:right="646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t>本期无实际核销的应收账款</w:t>
      </w:r>
    </w:p>
    <w:p>
      <w:pPr>
        <w:pStyle w:val="Heading5"/>
        <w:spacing w:line="240" w:lineRule="auto" w:before="104"/>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0" w:firstLine="420"/>
        <w:jc w:val="left"/>
      </w:pPr>
      <w:r>
        <w:rPr>
          <w:spacing w:val="2"/>
          <w:w w:val="95"/>
        </w:rPr>
        <w:t>按欠款方归集的期末余额前五名应收账款汇总金额32,451,553.90元，占应收账款期末余额合计数的</w:t>
      </w:r>
      <w:r>
        <w:rPr>
          <w:w w:val="99"/>
        </w:rPr>
        <w:t> </w:t>
      </w:r>
      <w:r>
        <w:rPr/>
        <w:t>比例28.71%，相应计提的坏账准备期末余额汇总金额1,622,577.70元。</w:t>
      </w:r>
    </w:p>
    <w:p>
      <w:pPr>
        <w:spacing w:line="240" w:lineRule="auto" w:before="9"/>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19,872,514.06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6,752,958.12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701,953.89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136,945.85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8,097.29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20,582,565.24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7,809,903.97</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0" w:firstLine="420"/>
        <w:jc w:val="left"/>
      </w:pPr>
      <w:r>
        <w:rPr>
          <w:spacing w:val="2"/>
          <w:w w:val="95"/>
        </w:rPr>
        <w:t>按预付对象集中度归集的期末余额前五名预付款项汇总金额10,582,001.52元，占预付款项期末余额</w:t>
      </w:r>
      <w:r>
        <w:rPr>
          <w:w w:val="99"/>
        </w:rPr>
        <w:t> </w:t>
      </w:r>
      <w:r>
        <w:rPr/>
        <w:t>合计数的比例51.41%。</w:t>
      </w:r>
    </w:p>
    <w:p>
      <w:pPr>
        <w:spacing w:line="240" w:lineRule="auto" w:before="9"/>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4"/>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14,370,767.27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15,988,578.68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14,370,767.27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15,988,578.68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240" w:lineRule="auto" w:before="34"/>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6,944,37</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7.16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3,948,77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56.86%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2,995,605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7,021,8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2,672,898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4,348,981.7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1,553,99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3,416.10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99.50%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1,553,993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,416.10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205,022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,863.51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96.69%</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205,022,86</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3.51</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1,561,79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3,793.26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4,804,77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0.31%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1,556,989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,021.19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212,044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,743.66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2,672,898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209,371,84</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5.25</w:t>
            </w:r>
          </w:p>
        </w:tc>
      </w:tr>
    </w:tbl>
    <w:p>
      <w:pPr>
        <w:spacing w:after="0" w:line="240" w:lineRule="auto"/>
        <w:jc w:val="left"/>
        <w:rPr>
          <w:rFonts w:ascii="Times New Roman" w:hAnsi="Times New Roman" w:cs="Times New Roman" w:eastAsia="Times New Roman" w:hint="default"/>
          <w:sz w:val="18"/>
          <w:szCs w:val="18"/>
        </w:rPr>
        <w:sectPr>
          <w:footerReference w:type="default" r:id="rId33"/>
          <w:pgSz w:w="11910" w:h="16840"/>
          <w:pgMar w:footer="978" w:header="776" w:top="1100" w:bottom="1160" w:left="1020" w:right="1020"/>
          <w:pgNumType w:start="90"/>
        </w:sectPr>
      </w:pPr>
    </w:p>
    <w:p>
      <w:pPr>
        <w:spacing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5"/>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880" w:bottom="280" w:left="1020" w:right="1020"/>
          <w:cols w:num="2" w:equalWidth="0">
            <w:col w:w="4433" w:space="439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中国银联</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2" w:right="0"/>
              <w:jc w:val="left"/>
              <w:rPr>
                <w:rFonts w:ascii="Times New Roman" w:hAnsi="Times New Roman" w:cs="Times New Roman" w:eastAsia="Times New Roman" w:hint="default"/>
                <w:sz w:val="18"/>
                <w:szCs w:val="18"/>
              </w:rPr>
            </w:pPr>
            <w:r>
              <w:rPr>
                <w:rFonts w:ascii="Times New Roman"/>
                <w:sz w:val="18"/>
              </w:rPr>
              <w:t>856,000.00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856,000.00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7"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type w:val="continuous"/>
          <w:pgSz w:w="11910" w:h="16840"/>
          <w:pgMar w:top="88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2" w:right="0"/>
              <w:jc w:val="left"/>
              <w:rPr>
                <w:rFonts w:ascii="Times New Roman" w:hAnsi="Times New Roman" w:cs="Times New Roman" w:eastAsia="Times New Roman" w:hint="default"/>
                <w:sz w:val="18"/>
                <w:szCs w:val="18"/>
              </w:rPr>
            </w:pPr>
            <w:r>
              <w:rPr>
                <w:rFonts w:ascii="Times New Roman"/>
                <w:sz w:val="18"/>
              </w:rPr>
              <w:t>856,000.00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856,000.00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76" w:footer="978" w:top="1100" w:bottom="1160" w:left="1020" w:right="1020"/>
        </w:sectPr>
      </w:pPr>
    </w:p>
    <w:p>
      <w:pPr>
        <w:spacing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880" w:bottom="280" w:left="1020" w:right="1020"/>
          <w:cols w:num="2" w:equalWidth="0">
            <w:col w:w="4253" w:space="457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2,411,285.16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120,564.27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2,411,285.16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120,564.27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658,196.00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197,458.80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488,294.00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244,147.00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3,386,602.00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3,386,602.00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6,944,377.16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3,948,772.07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56.86%</w:t>
            </w:r>
          </w:p>
        </w:tc>
      </w:tr>
    </w:tbl>
    <w:p>
      <w:pPr>
        <w:spacing w:line="360" w:lineRule="auto" w:before="50"/>
        <w:ind w:left="112" w:right="52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7"/>
        <w:ind w:left="112" w:right="5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组合中，采用其他方法计提坏账准备的其他应收款：</w:t>
      </w:r>
    </w:p>
    <w:p>
      <w:pPr>
        <w:spacing w:before="4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line="506" w:lineRule="auto" w:before="0"/>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w w:val="95"/>
          <w:sz w:val="21"/>
          <w:szCs w:val="21"/>
        </w:rPr>
        <w:t>本期计提坏账准备金额2,131,873.66元；本期收回或转回坏账准备金额0.00元。</w:t>
      </w:r>
      <w:r>
        <w:rPr>
          <w:rFonts w:ascii="宋体" w:hAnsi="宋体" w:cs="宋体" w:eastAsia="宋体" w:hint="default"/>
          <w:sz w:val="21"/>
          <w:szCs w:val="21"/>
        </w:rPr>
      </w:r>
    </w:p>
    <w:p>
      <w:pPr>
        <w:spacing w:line="506" w:lineRule="auto" w:before="104"/>
        <w:ind w:left="532" w:right="511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b/>
          <w:bCs/>
          <w:w w:val="99"/>
          <w:sz w:val="21"/>
          <w:szCs w:val="21"/>
        </w:rPr>
        <w:t> </w:t>
      </w:r>
      <w:r>
        <w:rPr>
          <w:rFonts w:ascii="宋体" w:hAnsi="宋体" w:cs="宋体" w:eastAsia="宋体" w:hint="default"/>
          <w:w w:val="95"/>
          <w:sz w:val="21"/>
          <w:szCs w:val="21"/>
        </w:rPr>
        <w:t>本期无实际核销的其他应收款情况。</w:t>
      </w:r>
      <w:r>
        <w:rPr>
          <w:rFonts w:ascii="宋体" w:hAnsi="宋体" w:cs="宋体" w:eastAsia="宋体" w:hint="default"/>
          <w:sz w:val="21"/>
          <w:szCs w:val="21"/>
        </w:rPr>
      </w:r>
    </w:p>
    <w:p>
      <w:pPr>
        <w:pStyle w:val="Heading5"/>
        <w:spacing w:line="240" w:lineRule="auto" w:before="104"/>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应收基金销售业务赎回款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1,350,240,642.69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56,691,240.34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代垫基金销售业务赎回款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202,757,545.47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148,331,623.17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应收基金销售业务分红款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995,227.94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4,869,618.34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4,525,625.34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应收第三方支付平台款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1,867,158.30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1,609,541.69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1,063,600.52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886,713.12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1,561,793,793.26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212,044,743.66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880" w:bottom="28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105"/>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5"/>
        <w:gridCol w:w="1203"/>
        <w:gridCol w:w="1594"/>
        <w:gridCol w:w="1594"/>
        <w:gridCol w:w="1595"/>
        <w:gridCol w:w="1595"/>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东湖宾馆</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租房押金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2"/>
                <w:sz w:val="18"/>
              </w:rPr>
              <w:t>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1,681,000.00</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2"/>
                <w:sz w:val="18"/>
                <w:szCs w:val="18"/>
              </w:rPr>
              <w:t>上海巨航投资管理有限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租房押金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1,607,360.00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年以内及</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1,473,429.00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中国银联</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856,000.00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850,355.79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42,517.79</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快钱信息服务有限公司</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667,919.94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33,396.00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5,662,635.73</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4,086,342.79</w:t>
            </w:r>
          </w:p>
        </w:tc>
      </w:tr>
    </w:tbl>
    <w:p>
      <w:pPr>
        <w:spacing w:line="240" w:lineRule="auto" w:before="4"/>
        <w:rPr>
          <w:rFonts w:ascii="宋体" w:hAnsi="宋体" w:cs="宋体" w:eastAsia="宋体" w:hint="default"/>
          <w:sz w:val="19"/>
          <w:szCs w:val="19"/>
        </w:rPr>
      </w:pPr>
    </w:p>
    <w:p>
      <w:pPr>
        <w:pStyle w:val="Heading5"/>
        <w:spacing w:line="240" w:lineRule="auto" w:before="34"/>
        <w:ind w:right="105"/>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2"/>
              <w:jc w:val="left"/>
              <w:rPr>
                <w:rFonts w:ascii="宋体" w:hAnsi="宋体" w:cs="宋体" w:eastAsia="宋体" w:hint="default"/>
                <w:sz w:val="18"/>
                <w:szCs w:val="18"/>
              </w:rPr>
            </w:pPr>
            <w:r>
              <w:rPr>
                <w:rFonts w:ascii="宋体" w:hAnsi="宋体" w:cs="宋体" w:eastAsia="宋体" w:hint="default"/>
                <w:sz w:val="18"/>
                <w:szCs w:val="18"/>
              </w:rPr>
              <w:t>兴业银行企业金融客户人民币结构性存 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银华多利宝货币基金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期末应交税费负数重分类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295,702.13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220,295,702.13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200,000,000.00</w:t>
            </w:r>
          </w:p>
        </w:tc>
      </w:tr>
    </w:tbl>
    <w:p>
      <w:pPr>
        <w:spacing w:before="49"/>
        <w:ind w:left="11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2"/>
        <w:ind w:right="210" w:firstLine="420"/>
        <w:jc w:val="both"/>
      </w:pPr>
      <w:r>
        <w:rPr>
          <w:spacing w:val="2"/>
          <w:w w:val="95"/>
        </w:rPr>
        <w:t>注1：2014年11月，子公司上海天天基金销售有限公司（以下简称“天天基金”）与兴业财富资产管</w:t>
      </w:r>
      <w:r>
        <w:rPr>
          <w:spacing w:val="-88"/>
          <w:w w:val="95"/>
        </w:rPr>
        <w:t> </w:t>
      </w:r>
      <w:r>
        <w:rPr>
          <w:spacing w:val="-88"/>
          <w:w w:val="95"/>
        </w:rPr>
      </w:r>
      <w:r>
        <w:rPr>
          <w:w w:val="95"/>
        </w:rPr>
        <w:t>理有限公司签订代销协议，由天天基金采用包销方式销售兴业财富资产管理有限公司发起设立的名为“兴</w:t>
      </w:r>
      <w:r>
        <w:rPr>
          <w:spacing w:val="40"/>
          <w:w w:val="95"/>
        </w:rPr>
        <w:t> </w:t>
      </w:r>
      <w:r>
        <w:rPr>
          <w:spacing w:val="40"/>
          <w:w w:val="95"/>
        </w:rPr>
      </w:r>
      <w:r>
        <w:rPr>
          <w:w w:val="95"/>
        </w:rPr>
        <w:t>业财富-兴盛17号1期”的特定多客户专项资产管理计划，该资产计划主要投资于委托贷款、信托计划、证</w:t>
      </w:r>
      <w:r>
        <w:rPr>
          <w:spacing w:val="43"/>
          <w:w w:val="95"/>
        </w:rPr>
        <w:t> </w:t>
      </w:r>
      <w:r>
        <w:rPr>
          <w:spacing w:val="43"/>
          <w:w w:val="95"/>
        </w:rPr>
      </w:r>
      <w:r>
        <w:rPr>
          <w:w w:val="95"/>
        </w:rPr>
        <w:t>券公司发行的资产管理计划、商业银行理财产品、基金公司货币基金、票据收益权、银行存款、资产管理</w:t>
      </w:r>
      <w:r>
        <w:rPr>
          <w:spacing w:val="46"/>
          <w:w w:val="95"/>
        </w:rPr>
        <w:t> </w:t>
      </w:r>
      <w:r>
        <w:rPr>
          <w:spacing w:val="46"/>
          <w:w w:val="95"/>
        </w:rPr>
      </w:r>
      <w:r>
        <w:rPr/>
        <w:t>人及其母公司管理的其他资产管理计划等以及中国证监会认可的其他投资品种。</w:t>
      </w:r>
    </w:p>
    <w:p>
      <w:pPr>
        <w:pStyle w:val="BodyText"/>
        <w:spacing w:line="273" w:lineRule="auto"/>
        <w:ind w:left="532" w:right="108"/>
        <w:jc w:val="left"/>
      </w:pPr>
      <w:r>
        <w:rPr>
          <w:spacing w:val="-3"/>
        </w:rPr>
        <w:t>本计划为封闭式。存续期为6个月，天天基金购买其中3,100万份额，并将其划分为可供出售金融资产。</w:t>
      </w:r>
      <w:r>
        <w:rPr>
          <w:w w:val="99"/>
        </w:rPr>
        <w:t> </w:t>
      </w:r>
      <w:r>
        <w:rPr>
          <w:spacing w:val="2"/>
        </w:rPr>
        <w:t>注2：2014年12月，天天基金与大成创新资本管理有限公司签订代理推广实施协议，由天天基金代理</w:t>
      </w:r>
    </w:p>
    <w:p>
      <w:pPr>
        <w:pStyle w:val="BodyText"/>
        <w:spacing w:line="273" w:lineRule="auto"/>
        <w:ind w:right="212"/>
        <w:jc w:val="both"/>
      </w:pPr>
      <w:r>
        <w:rPr>
          <w:spacing w:val="2"/>
          <w:w w:val="95"/>
        </w:rPr>
        <w:t>销售大成创新资本管理有限公司发起设立的名为“大成创新资本-方正东亚信托汇金1号系列1”专项资产</w:t>
      </w:r>
      <w:r>
        <w:rPr>
          <w:spacing w:val="47"/>
          <w:w w:val="95"/>
        </w:rPr>
        <w:t> </w:t>
      </w:r>
      <w:r>
        <w:rPr>
          <w:spacing w:val="47"/>
          <w:w w:val="95"/>
        </w:rPr>
      </w:r>
      <w:r>
        <w:rPr>
          <w:spacing w:val="2"/>
          <w:w w:val="95"/>
        </w:rPr>
        <w:t>管理计划，本计划将全部认购方正东亚信托有限责任公司发行的方正东亚˙汇金1号集合资金信托计划，</w:t>
      </w:r>
      <w:r>
        <w:rPr>
          <w:spacing w:val="47"/>
          <w:w w:val="95"/>
        </w:rPr>
        <w:t> </w:t>
      </w:r>
      <w:r>
        <w:rPr>
          <w:spacing w:val="47"/>
          <w:w w:val="95"/>
        </w:rPr>
      </w:r>
      <w:r>
        <w:rPr/>
        <w:t>本资产管理计划第一期拟投资于期限为4个月的方正东亚信托˙汇金1号某期集合资金信托计划。</w:t>
      </w:r>
    </w:p>
    <w:p>
      <w:pPr>
        <w:pStyle w:val="BodyText"/>
        <w:spacing w:line="240" w:lineRule="auto"/>
        <w:ind w:left="532" w:right="105"/>
        <w:jc w:val="left"/>
      </w:pPr>
      <w:r>
        <w:rPr/>
        <w:t>本计划为开放式，天天基金购买其中2,900万份额，并将其划分为可供出售金融资产。</w:t>
      </w:r>
    </w:p>
    <w:p>
      <w:pPr>
        <w:spacing w:after="0" w:line="240" w:lineRule="auto"/>
        <w:jc w:val="left"/>
        <w:sectPr>
          <w:pgSz w:w="11910" w:h="16840"/>
          <w:pgMar w:header="776" w:footer="978" w:top="1100" w:bottom="1160" w:left="1020" w:right="9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spacing w:before="44"/>
        <w:ind w:left="0" w:right="2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65"/>
              <w:jc w:val="righ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其他（注</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center"/>
              <w:rPr>
                <w:rFonts w:ascii="Times New Roman" w:hAnsi="Times New Roman" w:cs="Times New Roman" w:eastAsia="Times New Roman" w:hint="default"/>
                <w:sz w:val="18"/>
                <w:szCs w:val="18"/>
              </w:rPr>
            </w:pPr>
            <w:r>
              <w:rPr>
                <w:rFonts w:ascii="Times New Roman"/>
                <w:sz w:val="18"/>
              </w:rPr>
              <w:t>28,200,000.00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5"/>
              <w:jc w:val="righ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28,200,000.00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center"/>
              <w:rPr>
                <w:rFonts w:ascii="Times New Roman" w:hAnsi="Times New Roman" w:cs="Times New Roman" w:eastAsia="Times New Roman" w:hint="default"/>
                <w:sz w:val="18"/>
                <w:szCs w:val="18"/>
              </w:rPr>
            </w:pPr>
            <w:r>
              <w:rPr>
                <w:rFonts w:ascii="Times New Roman"/>
                <w:sz w:val="18"/>
              </w:rPr>
              <w:t>28,200,000.00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before="0"/>
        <w:ind w:left="532" w:right="0"/>
        <w:jc w:val="left"/>
      </w:pPr>
      <w:r>
        <w:rPr>
          <w:spacing w:val="-3"/>
        </w:rPr>
        <w:t>注：2014年9月1日，南方资本管理有限公司与子公司上海天天基金销售有限公司签订推广及代销协议，</w:t>
      </w:r>
    </w:p>
    <w:p>
      <w:pPr>
        <w:pStyle w:val="BodyText"/>
        <w:spacing w:line="273" w:lineRule="auto" w:before="37"/>
        <w:ind w:right="0"/>
        <w:jc w:val="left"/>
      </w:pPr>
      <w:r>
        <w:rPr>
          <w:spacing w:val="4"/>
        </w:rPr>
        <w:t>由天天基金以包销方式代理销售南方资本管理有限公司发起设立的名为“南方郦元-云南文投影视基金1</w:t>
      </w:r>
      <w:r>
        <w:rPr>
          <w:w w:val="99"/>
        </w:rPr>
        <w:t> </w:t>
      </w:r>
      <w:r>
        <w:rPr>
          <w:spacing w:val="-2"/>
          <w:w w:val="95"/>
        </w:rPr>
        <w:t>号”的资产管理计划，该项资产管理计划的募集资金主要用于投资“北京云文影视投资中心（有限合伙）”</w:t>
      </w:r>
      <w:r>
        <w:rPr>
          <w:spacing w:val="60"/>
          <w:w w:val="95"/>
        </w:rPr>
        <w:t> </w:t>
      </w:r>
      <w:r>
        <w:rPr>
          <w:spacing w:val="60"/>
          <w:w w:val="95"/>
        </w:rPr>
      </w:r>
      <w:r>
        <w:rPr/>
        <w:t>的优先级有限合伙份额，天天基金在包销期满后，按照约定购买了剩余未销售完的份额。该项资产管理计</w:t>
      </w:r>
      <w:r>
        <w:rPr>
          <w:w w:val="99"/>
        </w:rPr>
        <w:t> </w:t>
      </w:r>
      <w:r>
        <w:rPr/>
        <w:t>划对资产委托人实行记名制，存续期24个月，存续期间不允许投资人退出、赎回（封闭式），到期后根据</w:t>
      </w:r>
      <w:r>
        <w:rPr>
          <w:w w:val="99"/>
        </w:rPr>
        <w:t> </w:t>
      </w:r>
      <w:r>
        <w:rPr/>
        <w:t>被投资合伙企业收益情况向资产委托人进行分配。公司根据其持有目的及资产管理计划性质，将其划分为</w:t>
      </w:r>
      <w:r>
        <w:rPr>
          <w:w w:val="99"/>
        </w:rPr>
        <w:t> </w:t>
      </w:r>
      <w:r>
        <w:rPr/>
        <w:t>可供出售金融资产。</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6"/>
        <w:rPr>
          <w:rFonts w:ascii="宋体" w:hAnsi="宋体" w:cs="宋体" w:eastAsia="宋体" w:hint="default"/>
          <w:b/>
          <w:bCs/>
          <w:sz w:val="26"/>
          <w:szCs w:val="26"/>
        </w:rPr>
      </w:pPr>
    </w:p>
    <w:p>
      <w:pPr>
        <w:spacing w:before="0"/>
        <w:ind w:left="0" w:right="2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09"/>
        <w:gridCol w:w="1915"/>
        <w:gridCol w:w="1915"/>
        <w:gridCol w:w="1915"/>
        <w:gridCol w:w="1915"/>
      </w:tblGrid>
      <w:tr>
        <w:trPr>
          <w:trHeight w:val="714" w:hRule="exact"/>
        </w:trPr>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413" w:right="26" w:hanging="38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42" w:right="52" w:hanging="92"/>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r>
        <w:trPr>
          <w:trHeight w:val="402" w:hRule="exact"/>
        </w:trPr>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28,200,000.00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28,200,000.00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spacing w:before="44"/>
        <w:ind w:left="0" w:right="2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966"/>
        <w:gridCol w:w="774"/>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37" w:right="65"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9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8" w:right="25"/>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77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1" w:right="112"/>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402"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966" w:type="dxa"/>
            <w:vMerge/>
            <w:tcBorders>
              <w:left w:val="single" w:sz="4" w:space="0" w:color="000000"/>
              <w:bottom w:val="single" w:sz="4" w:space="0" w:color="000000"/>
              <w:right w:val="single" w:sz="4" w:space="0" w:color="000000"/>
            </w:tcBorders>
            <w:shd w:val="clear" w:color="auto" w:fill="D3D3D3"/>
          </w:tcPr>
          <w:p>
            <w:pPr/>
          </w:p>
        </w:tc>
        <w:tc>
          <w:tcPr>
            <w:tcW w:w="774" w:type="dxa"/>
            <w:vMerge/>
            <w:tcBorders>
              <w:left w:val="single" w:sz="4" w:space="0" w:color="000000"/>
              <w:bottom w:val="single" w:sz="4" w:space="0" w:color="000000"/>
              <w:right w:val="single" w:sz="4" w:space="0" w:color="000000"/>
            </w:tcBorders>
            <w:shd w:val="clear" w:color="auto" w:fill="D3D3D3"/>
          </w:tcPr>
          <w:p>
            <w:pPr/>
          </w:p>
        </w:tc>
      </w:tr>
      <w:tr>
        <w:trPr>
          <w:trHeight w:val="67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浙江金信 理财服务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500,000.00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6" w:footer="978" w:top="1100" w:bottom="1160" w:left="1020" w:right="90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966"/>
        <w:gridCol w:w="774"/>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中心有限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500,000.00</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02"/>
        <w:gridCol w:w="1327"/>
        <w:gridCol w:w="1328"/>
        <w:gridCol w:w="1328"/>
        <w:gridCol w:w="1327"/>
        <w:gridCol w:w="1328"/>
        <w:gridCol w:w="1328"/>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5" w:right="74"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7" w:right="26" w:hanging="449"/>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8" w:right="28"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8" w:right="26" w:hanging="89"/>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7" w:right="27" w:hanging="449"/>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54"/>
        <w:gridCol w:w="1377"/>
        <w:gridCol w:w="1377"/>
        <w:gridCol w:w="1375"/>
        <w:gridCol w:w="1480"/>
        <w:gridCol w:w="1573"/>
      </w:tblGrid>
      <w:tr>
        <w:trPr>
          <w:trHeight w:val="401"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19,780,329.20</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7,740,720.82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6,553,329.66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58,537,396.70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92,611,776.38</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1,006,155.41</w:t>
            </w: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9,066,193.72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10,072,349.13</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1,006,155.41</w:t>
            </w: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9,066,193.72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10,072,349.13</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34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4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118,757.66</w:t>
            </w: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118,757.66</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118,757.66</w:t>
            </w: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118,757.66</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19,780,329.20</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8,628,118.57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6,553,329.66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67,603,590.42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102,565,367.85</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1,898,911.68</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4,244,772.97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4,287,210.66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30,333,594.98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40,764,490.29</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949,455.84</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1,094,882.86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717,612.85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10,654,054.43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13,416,005.98</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949,455.84</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1,094,882.86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717,612.85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10,654,054.43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13,416,005.98</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96,247.64</w:t>
            </w: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96,247.64</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96,247.64</w:t>
            </w: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96,247.64</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2,848,367.52</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5,243,408.19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5,004,823.51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40,987,649.41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54,084,248.63</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6"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454"/>
        <w:gridCol w:w="1377"/>
        <w:gridCol w:w="1377"/>
        <w:gridCol w:w="1375"/>
        <w:gridCol w:w="1480"/>
        <w:gridCol w:w="1573"/>
      </w:tblGrid>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7" w:type="dxa"/>
            <w:tcBorders>
              <w:top w:val="single" w:sz="4" w:space="0" w:color="000000"/>
              <w:left w:val="single" w:sz="4" w:space="0" w:color="000000"/>
              <w:bottom w:val="single" w:sz="4" w:space="0" w:color="000000"/>
              <w:right w:val="single" w:sz="4" w:space="0" w:color="000000"/>
            </w:tcBorders>
          </w:tcPr>
          <w:p>
            <w:pPr/>
          </w:p>
        </w:tc>
        <w:tc>
          <w:tcPr>
            <w:tcW w:w="137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16,931,961.68</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3,384,710.38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1,548,506.15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26,615,941.01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48,481,119.22</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17,881,417.52</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3,495,947.85</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2,266,119.00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28,203,801.72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51,847,286.09</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）截至报告期末本公司无暂时闲置的固定资产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）截至报告期末本公司无通过融资租赁租入的固定资产情况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）截至报告期末本公司无通过经营租赁租出的固定资产情况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）截至报告期末本公司无未办妥产权证书的固定资产情况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10</w:t>
      </w:r>
      <w:r>
        <w:rPr/>
        <w:t>、无形资产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63"/>
        <w:gridCol w:w="1396"/>
        <w:gridCol w:w="1368"/>
        <w:gridCol w:w="1382"/>
        <w:gridCol w:w="1381"/>
        <w:gridCol w:w="1579"/>
      </w:tblGrid>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141,057,900.00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4,508,530.25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145,566,430.25</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1,269,188.02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1,269,188.02</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1,269,188.02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1,269,188.02</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156,830.56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156,830.56</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156,830.56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156,830.56</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141,057,900.00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5,620,887.71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146,678,787.71</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9,991,601.37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1,884,793.25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11,876,394.62</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3,526,447.56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934,863.05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4,461,310.61</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3,526,447.56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934,863.05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4,461,310.61</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156,830.56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156,830.56</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156,830.56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156,830.56</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13,518,048.93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2,662,825.74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16,180,874.67</w:t>
            </w:r>
          </w:p>
        </w:tc>
      </w:tr>
      <w:tr>
        <w:trPr>
          <w:trHeight w:val="400"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6"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463"/>
        <w:gridCol w:w="1396"/>
        <w:gridCol w:w="1368"/>
        <w:gridCol w:w="1382"/>
        <w:gridCol w:w="1381"/>
        <w:gridCol w:w="1579"/>
      </w:tblGrid>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127,539,851.07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2,958,061.97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130,497,913.04</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131,066,298.63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2,623,737.00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133,690,035.63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11</w:t>
      </w:r>
      <w:r>
        <w:rPr/>
        <w:t>、商誉</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61"/>
        <w:gridCol w:w="1134"/>
        <w:gridCol w:w="1417"/>
        <w:gridCol w:w="709"/>
        <w:gridCol w:w="850"/>
        <w:gridCol w:w="833"/>
        <w:gridCol w:w="1367"/>
      </w:tblGrid>
      <w:tr>
        <w:trPr>
          <w:trHeight w:val="402" w:hRule="exact"/>
        </w:trPr>
        <w:tc>
          <w:tcPr>
            <w:tcW w:w="3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261"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2"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4,731,868.08</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4,731,868.08</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4,731,868.08</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4,731,868.08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BodyText"/>
        <w:spacing w:line="273" w:lineRule="auto" w:before="92"/>
        <w:ind w:right="112" w:firstLine="420"/>
        <w:jc w:val="both"/>
      </w:pPr>
      <w:r>
        <w:rPr>
          <w:w w:val="95"/>
        </w:rPr>
        <w:t>1）商誉的计算过程。本公司于2009年支付人民币700万元合并成本收购了上海东方财富证券研究所有</w:t>
      </w:r>
      <w:r>
        <w:rPr>
          <w:w w:val="99"/>
        </w:rPr>
        <w:t> </w:t>
      </w:r>
      <w:r>
        <w:rPr>
          <w:spacing w:val="2"/>
          <w:w w:val="95"/>
        </w:rPr>
        <w:t>限公司(原名为上海金信证券研究所有限责任公司)60%的权益。合并成本超过按比例获得的上海东方财富</w:t>
      </w:r>
      <w:r>
        <w:rPr>
          <w:spacing w:val="45"/>
          <w:w w:val="95"/>
        </w:rPr>
        <w:t> </w:t>
      </w:r>
      <w:r>
        <w:rPr>
          <w:spacing w:val="45"/>
          <w:w w:val="95"/>
        </w:rPr>
      </w:r>
      <w:r>
        <w:rPr>
          <w:w w:val="95"/>
        </w:rPr>
        <w:t>证券研究所有限公司可辨认资产、负债公允价值的差额人民币4,731,868.08元，确认为与上海东方财富证</w:t>
      </w:r>
      <w:r>
        <w:rPr>
          <w:spacing w:val="40"/>
          <w:w w:val="95"/>
        </w:rPr>
        <w:t> </w:t>
      </w:r>
      <w:r>
        <w:rPr>
          <w:spacing w:val="40"/>
          <w:w w:val="95"/>
        </w:rPr>
      </w:r>
      <w:r>
        <w:rPr/>
        <w:t>券研究所有限公司相关的商誉。</w:t>
      </w:r>
    </w:p>
    <w:p>
      <w:pPr>
        <w:pStyle w:val="BodyText"/>
        <w:spacing w:line="273" w:lineRule="auto"/>
        <w:ind w:left="532" w:right="2627"/>
        <w:jc w:val="left"/>
      </w:pPr>
      <w:r>
        <w:rPr/>
        <w:t>2）商誉减值测试</w:t>
      </w:r>
      <w:r>
        <w:rPr>
          <w:w w:val="99"/>
        </w:rPr>
        <w:t> </w:t>
      </w:r>
      <w:r>
        <w:rPr>
          <w:w w:val="95"/>
        </w:rPr>
        <w:t>年末通过对包含商誉的相关资产组进行减值测试，未发现商誉存在减值。</w:t>
      </w:r>
      <w:r>
        <w:rPr/>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12</w:t>
      </w:r>
      <w:r>
        <w:rPr/>
        <w:t>、长期待摊费用</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12,803,959.79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1,593,579.68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3,035,592.99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11,361,946.48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12,803,959.79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1,593,579.68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3,035,592.99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11,361,946.48</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13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3830"/>
        <w:gridCol w:w="3828"/>
      </w:tblGrid>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76"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9,603,858.73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1,495,707.03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6,390,656.48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958,598.47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1,848,500.00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股票期权成本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38,312,558.92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5,746,883.84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57,126,417.65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9,091,090.87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6,390,656.48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958,598.47</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）以抵消后净额列示的递延所得税资产或负债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7" w:right="0"/>
              <w:jc w:val="left"/>
              <w:rPr>
                <w:rFonts w:ascii="Times New Roman" w:hAnsi="Times New Roman" w:cs="Times New Roman" w:eastAsia="Times New Roman" w:hint="default"/>
                <w:sz w:val="18"/>
                <w:szCs w:val="18"/>
              </w:rPr>
            </w:pPr>
            <w:r>
              <w:rPr>
                <w:rFonts w:ascii="Times New Roman"/>
                <w:sz w:val="18"/>
              </w:rPr>
              <w:t>9,091,090.87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1" w:right="0"/>
              <w:jc w:val="left"/>
              <w:rPr>
                <w:rFonts w:ascii="Times New Roman" w:hAnsi="Times New Roman" w:cs="Times New Roman" w:eastAsia="Times New Roman" w:hint="default"/>
                <w:sz w:val="18"/>
                <w:szCs w:val="18"/>
              </w:rPr>
            </w:pPr>
            <w:r>
              <w:rPr>
                <w:rFonts w:ascii="Times New Roman"/>
                <w:sz w:val="18"/>
              </w:rPr>
              <w:t>958,598.47</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14</w:t>
      </w:r>
      <w:r>
        <w:rPr/>
        <w:t>、应付账款</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应付广告代理成本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12,557,812.48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12,258,242.01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应付基金销售业务成本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32,113,407.10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12,658,657.70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应付其他款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6,333,576.99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4,798,154.75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51,004,796.57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29,715,054.46</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15</w:t>
      </w:r>
      <w:r>
        <w:rPr/>
        <w:t>、预收款项</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金融数据服务预收款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123,724,808.67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91,202,993.77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广告业务预收款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9,658,595.79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3,946,550.60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金融电子商务服务业务预收款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364,075.89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8,960.00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其他业务预收款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3,505,482.69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2,314,296.00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137,252,963.04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97,472,800.37</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16</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76"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6,829,098.00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155,806,889.73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151,624,120.33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11,011,867.40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13,873,216.97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13,873,216.97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45,324.00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6,829,098.00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169,725,430.70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165,542,661.30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11,011,867.40</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6,829,098.00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140,078,034.07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136,222,577.93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10,684,514.77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3,432,964.78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3,432,964.78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6,684,633.03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6,684,633.03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5,935,512.47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5,935,512.47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310,375.35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310,375.35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438,745.21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438,745.21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3,286,574.00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3,294,446.00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-7,872.00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2,324,683.85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1,989,498.59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335,224.63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6,829,098.00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155,806,889.73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151,624,120.33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11,011,867.40</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13,216,750.05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13,216,750.05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656,466.92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656,466.92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13,873,216.97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13,873,216.97</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17</w:t>
      </w:r>
      <w:r>
        <w:rPr/>
        <w:t>、应交税费</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7,682,996.04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-2,354,893.69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5,969,006.78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1,160,441.34</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29,297,717.19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3,446,730.70</w:t>
            </w:r>
          </w:p>
        </w:tc>
      </w:tr>
    </w:tbl>
    <w:p>
      <w:pPr>
        <w:spacing w:after="0" w:line="240" w:lineRule="auto"/>
        <w:jc w:val="right"/>
        <w:rPr>
          <w:rFonts w:ascii="Times New Roman" w:hAnsi="Times New Roman" w:cs="Times New Roman" w:eastAsia="Times New Roman" w:hint="default"/>
          <w:sz w:val="18"/>
          <w:szCs w:val="18"/>
        </w:rPr>
        <w:sectPr>
          <w:pgSz w:w="11910" w:h="16840"/>
          <w:pgMar w:header="776"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1,253,916.82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593,295.25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580,176.98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220,884.78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830,706.42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279,611.77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155,729.09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43,898.36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1,008,847.38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1,090,999.14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46,779,816.70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4,480,967.65</w:t>
            </w:r>
          </w:p>
        </w:tc>
      </w:tr>
    </w:tbl>
    <w:p>
      <w:pPr>
        <w:spacing w:line="240" w:lineRule="auto" w:before="4"/>
        <w:rPr>
          <w:rFonts w:ascii="宋体" w:hAnsi="宋体" w:cs="宋体" w:eastAsia="宋体" w:hint="default"/>
          <w:sz w:val="19"/>
          <w:szCs w:val="19"/>
        </w:rPr>
      </w:pPr>
    </w:p>
    <w:p>
      <w:pPr>
        <w:pStyle w:val="Heading5"/>
        <w:spacing w:line="240" w:lineRule="auto" w:before="34"/>
        <w:ind w:right="122"/>
        <w:jc w:val="left"/>
        <w:rPr>
          <w:b w:val="0"/>
          <w:bCs w:val="0"/>
        </w:rPr>
      </w:pPr>
      <w:r>
        <w:rPr>
          <w:rFonts w:ascii="Times New Roman" w:hAnsi="Times New Roman" w:cs="Times New Roman" w:eastAsia="Times New Roman" w:hint="default"/>
        </w:rPr>
        <w:t>18</w:t>
      </w:r>
      <w:r>
        <w:rPr/>
        <w:t>、其他应付款</w:t>
      </w:r>
      <w:r>
        <w:rPr>
          <w:b w:val="0"/>
          <w:bCs w:val="0"/>
        </w:rPr>
      </w:r>
    </w:p>
    <w:p>
      <w:pPr>
        <w:spacing w:line="240" w:lineRule="auto" w:before="1"/>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123,159.78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107,582.18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应付其他零星款项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735,938.19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567,538.89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859,097.97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675,121.07</w:t>
            </w:r>
          </w:p>
        </w:tc>
      </w:tr>
    </w:tbl>
    <w:p>
      <w:pPr>
        <w:spacing w:line="240" w:lineRule="auto" w:before="4"/>
        <w:rPr>
          <w:rFonts w:ascii="宋体" w:hAnsi="宋体" w:cs="宋体" w:eastAsia="宋体" w:hint="default"/>
          <w:sz w:val="19"/>
          <w:szCs w:val="19"/>
        </w:rPr>
      </w:pPr>
    </w:p>
    <w:p>
      <w:pPr>
        <w:pStyle w:val="Heading5"/>
        <w:spacing w:line="240" w:lineRule="auto" w:before="34"/>
        <w:ind w:right="122"/>
        <w:jc w:val="left"/>
        <w:rPr>
          <w:b w:val="0"/>
          <w:bCs w:val="0"/>
        </w:rPr>
      </w:pPr>
      <w:r>
        <w:rPr>
          <w:rFonts w:ascii="Times New Roman" w:hAnsi="Times New Roman" w:cs="Times New Roman" w:eastAsia="Times New Roman" w:hint="default"/>
        </w:rPr>
        <w:t>19</w:t>
      </w:r>
      <w:r>
        <w:rPr/>
        <w:t>、</w:t>
      </w:r>
      <w:r>
        <w:rPr>
          <w:spacing w:val="-6"/>
        </w:rPr>
        <w:t> </w:t>
      </w:r>
      <w:r>
        <w:rPr/>
        <w:t>代理买卖证券款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32" w:right="122"/>
        <w:jc w:val="left"/>
        <w:rPr>
          <w:b w:val="0"/>
          <w:bCs w:val="0"/>
        </w:rPr>
      </w:pPr>
      <w:r>
        <w:rPr/>
        <w:t>（</w:t>
      </w:r>
      <w:r>
        <w:rPr>
          <w:rFonts w:ascii="Times New Roman" w:hAnsi="Times New Roman" w:cs="Times New Roman" w:eastAsia="Times New Roman" w:hint="default"/>
        </w:rPr>
        <w:t>1</w:t>
      </w:r>
      <w:r>
        <w:rPr/>
        <w:t>）按客户列示</w:t>
      </w:r>
      <w:r>
        <w:rPr>
          <w:b w:val="0"/>
          <w:bCs w:val="0"/>
        </w:rPr>
      </w:r>
    </w:p>
    <w:p>
      <w:pPr>
        <w:spacing w:line="240" w:lineRule="auto" w:before="11"/>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3929"/>
        <w:gridCol w:w="2288"/>
        <w:gridCol w:w="3281"/>
      </w:tblGrid>
      <w:tr>
        <w:trPr>
          <w:trHeight w:val="341" w:hRule="exact"/>
        </w:trPr>
        <w:tc>
          <w:tcPr>
            <w:tcW w:w="392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基金第三方销售业务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3" w:right="0"/>
              <w:jc w:val="left"/>
              <w:rPr>
                <w:rFonts w:ascii="Times New Roman" w:hAnsi="Times New Roman" w:cs="Times New Roman" w:eastAsia="Times New Roman" w:hint="default"/>
                <w:sz w:val="18"/>
                <w:szCs w:val="18"/>
              </w:rPr>
            </w:pPr>
            <w:r>
              <w:rPr>
                <w:rFonts w:ascii="Times New Roman"/>
                <w:sz w:val="18"/>
              </w:rPr>
              <w:t>4,051,570,322.77</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40" w:right="0"/>
              <w:jc w:val="left"/>
              <w:rPr>
                <w:rFonts w:ascii="Times New Roman" w:hAnsi="Times New Roman" w:cs="Times New Roman" w:eastAsia="Times New Roman" w:hint="default"/>
                <w:sz w:val="18"/>
                <w:szCs w:val="18"/>
              </w:rPr>
            </w:pPr>
            <w:r>
              <w:rPr>
                <w:rFonts w:ascii="Times New Roman"/>
                <w:sz w:val="18"/>
              </w:rPr>
              <w:t>598,874,803.34</w:t>
            </w:r>
          </w:p>
        </w:tc>
      </w:tr>
    </w:tbl>
    <w:p>
      <w:pPr>
        <w:spacing w:line="240" w:lineRule="auto" w:before="0"/>
        <w:rPr>
          <w:rFonts w:ascii="宋体" w:hAnsi="宋体" w:cs="宋体" w:eastAsia="宋体" w:hint="default"/>
          <w:b/>
          <w:bCs/>
          <w:sz w:val="20"/>
          <w:szCs w:val="20"/>
        </w:rPr>
      </w:pPr>
    </w:p>
    <w:p>
      <w:pPr>
        <w:pStyle w:val="Heading5"/>
        <w:spacing w:line="240" w:lineRule="auto" w:before="34"/>
        <w:ind w:left="532" w:right="122"/>
        <w:jc w:val="left"/>
        <w:rPr>
          <w:b w:val="0"/>
          <w:bCs w:val="0"/>
        </w:rPr>
      </w:pPr>
      <w:r>
        <w:rPr/>
        <w:t>（</w:t>
      </w:r>
      <w:r>
        <w:rPr>
          <w:rFonts w:ascii="Times New Roman" w:hAnsi="Times New Roman" w:cs="Times New Roman" w:eastAsia="Times New Roman" w:hint="default"/>
        </w:rPr>
        <w:t>2</w:t>
      </w:r>
      <w:r>
        <w:rPr/>
        <w:t>）按币种列示</w:t>
      </w:r>
      <w:r>
        <w:rPr>
          <w:b w:val="0"/>
          <w:bCs w:val="0"/>
        </w:rPr>
      </w:r>
    </w:p>
    <w:p>
      <w:pPr>
        <w:spacing w:line="240" w:lineRule="auto" w:before="11"/>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2760"/>
        <w:gridCol w:w="1080"/>
        <w:gridCol w:w="849"/>
        <w:gridCol w:w="1508"/>
        <w:gridCol w:w="1003"/>
        <w:gridCol w:w="878"/>
        <w:gridCol w:w="1449"/>
      </w:tblGrid>
      <w:tr>
        <w:trPr>
          <w:trHeight w:val="342" w:hRule="exact"/>
        </w:trPr>
        <w:tc>
          <w:tcPr>
            <w:tcW w:w="2760"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37" w:type="dxa"/>
            <w:gridSpan w:val="3"/>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1" w:hRule="exact"/>
        </w:trPr>
        <w:tc>
          <w:tcPr>
            <w:tcW w:w="2760" w:type="dxa"/>
            <w:vMerge/>
            <w:tcBorders>
              <w:left w:val="single" w:sz="4" w:space="0" w:color="000000"/>
              <w:bottom w:val="single" w:sz="4" w:space="0" w:color="000000"/>
              <w:right w:val="single" w:sz="4" w:space="0" w:color="000000"/>
            </w:tcBorders>
            <w:shd w:val="clear" w:color="auto" w:fill="D8D8D8"/>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left="174"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4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0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left="299"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00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left="13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7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left="164"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4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left="267"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43"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基金第三方销售业务</w:t>
            </w:r>
          </w:p>
        </w:tc>
        <w:tc>
          <w:tcPr>
            <w:tcW w:w="1080"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80"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1"/>
                <w:sz w:val="16"/>
              </w:rPr>
              <w:t>4,051,570,322.77</w:t>
            </w:r>
          </w:p>
        </w:tc>
        <w:tc>
          <w:tcPr>
            <w:tcW w:w="100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08" w:right="0"/>
              <w:jc w:val="left"/>
              <w:rPr>
                <w:rFonts w:ascii="Times New Roman" w:hAnsi="Times New Roman" w:cs="Times New Roman" w:eastAsia="Times New Roman" w:hint="default"/>
                <w:sz w:val="18"/>
                <w:szCs w:val="18"/>
              </w:rPr>
            </w:pPr>
            <w:r>
              <w:rPr>
                <w:rFonts w:ascii="Times New Roman"/>
                <w:sz w:val="18"/>
              </w:rPr>
              <w:t>598,874,803.34</w:t>
            </w:r>
          </w:p>
        </w:tc>
      </w:tr>
      <w:tr>
        <w:trPr>
          <w:trHeight w:val="342"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19"/>
              <w:ind w:right="43"/>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4,051,570,322.77</w:t>
            </w:r>
          </w:p>
        </w:tc>
        <w:tc>
          <w:tcPr>
            <w:tcW w:w="100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08" w:right="0"/>
              <w:jc w:val="left"/>
              <w:rPr>
                <w:rFonts w:ascii="Times New Roman" w:hAnsi="Times New Roman" w:cs="Times New Roman" w:eastAsia="Times New Roman" w:hint="default"/>
                <w:sz w:val="18"/>
                <w:szCs w:val="18"/>
              </w:rPr>
            </w:pPr>
            <w:r>
              <w:rPr>
                <w:rFonts w:ascii="Times New Roman"/>
                <w:sz w:val="18"/>
              </w:rPr>
              <w:t>598,874,803.34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5"/>
        <w:spacing w:line="240" w:lineRule="auto" w:before="34"/>
        <w:ind w:right="122"/>
        <w:jc w:val="left"/>
        <w:rPr>
          <w:b w:val="0"/>
          <w:bCs w:val="0"/>
        </w:rPr>
      </w:pPr>
      <w:r>
        <w:rPr>
          <w:rFonts w:ascii="Times New Roman" w:hAnsi="Times New Roman" w:cs="Times New Roman" w:eastAsia="Times New Roman" w:hint="default"/>
        </w:rPr>
        <w:t>20</w:t>
      </w:r>
      <w:r>
        <w:rPr/>
        <w:t>、递延收益</w:t>
      </w:r>
      <w:r>
        <w:rPr>
          <w:b w:val="0"/>
          <w:bCs w:val="0"/>
        </w:rPr>
      </w:r>
    </w:p>
    <w:p>
      <w:pPr>
        <w:spacing w:line="240" w:lineRule="auto" w:before="1"/>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1,212,333.33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4,587,666.67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5,560,000.00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1,212,333.33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4,587,666.67</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122"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5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77"/>
        <w:gridCol w:w="1087"/>
        <w:gridCol w:w="898"/>
        <w:gridCol w:w="1275"/>
        <w:gridCol w:w="567"/>
        <w:gridCol w:w="1134"/>
        <w:gridCol w:w="1728"/>
      </w:tblGrid>
      <w:tr>
        <w:trPr>
          <w:trHeight w:val="400"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84"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91" w:right="0"/>
              <w:jc w:val="left"/>
              <w:rPr>
                <w:rFonts w:ascii="宋体" w:hAnsi="宋体" w:cs="宋体" w:eastAsia="宋体" w:hint="default"/>
                <w:sz w:val="18"/>
                <w:szCs w:val="18"/>
              </w:rPr>
            </w:pPr>
            <w:r>
              <w:rPr>
                <w:rFonts w:ascii="宋体" w:hAnsi="宋体" w:cs="宋体" w:eastAsia="宋体" w:hint="default"/>
                <w:sz w:val="18"/>
                <w:szCs w:val="18"/>
              </w:rPr>
              <w:t>本期计入营业</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pgSz w:w="11910" w:h="16840"/>
          <w:pgMar w:header="776" w:footer="978" w:top="1100" w:bottom="1160" w:left="1020" w:right="98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977"/>
        <w:gridCol w:w="1087"/>
        <w:gridCol w:w="898"/>
        <w:gridCol w:w="1275"/>
        <w:gridCol w:w="567"/>
        <w:gridCol w:w="1134"/>
        <w:gridCol w:w="1728"/>
      </w:tblGrid>
      <w:tr>
        <w:trPr>
          <w:trHeight w:val="36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补助金额</w:t>
            </w:r>
          </w:p>
        </w:tc>
        <w:tc>
          <w:tcPr>
            <w:tcW w:w="1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外收入金额</w:t>
            </w:r>
          </w:p>
        </w:tc>
        <w:tc>
          <w:tcPr>
            <w:tcW w:w="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关</w:t>
            </w: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年软件和集成电路产业发展专项 资金注（注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89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1,212,333.33</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587,666.67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9"/>
              <w:jc w:val="left"/>
              <w:rPr>
                <w:rFonts w:ascii="宋体" w:hAnsi="宋体" w:cs="宋体" w:eastAsia="宋体" w:hint="default"/>
                <w:sz w:val="18"/>
                <w:szCs w:val="18"/>
              </w:rPr>
            </w:pPr>
            <w:r>
              <w:rPr>
                <w:rFonts w:ascii="宋体" w:hAnsi="宋体" w:cs="宋体" w:eastAsia="宋体" w:hint="default"/>
                <w:spacing w:val="5"/>
                <w:sz w:val="18"/>
                <w:szCs w:val="18"/>
              </w:rPr>
              <w:t>部分为与资产相关，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部分为与收益相关。</w:t>
            </w: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金融理财电子商务平台（注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960,000.00</w:t>
            </w:r>
          </w:p>
        </w:tc>
        <w:tc>
          <w:tcPr>
            <w:tcW w:w="89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5"/>
                <w:sz w:val="18"/>
                <w:szCs w:val="18"/>
              </w:rPr>
              <w:t>部分为与资产相关，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部分为与收益相关。</w:t>
            </w: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金融服务互动平台升级项目（注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240,000.00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9"/>
              <w:jc w:val="left"/>
              <w:rPr>
                <w:rFonts w:ascii="宋体" w:hAnsi="宋体" w:cs="宋体" w:eastAsia="宋体" w:hint="default"/>
                <w:sz w:val="18"/>
                <w:szCs w:val="18"/>
              </w:rPr>
            </w:pPr>
            <w:r>
              <w:rPr>
                <w:rFonts w:ascii="宋体" w:hAnsi="宋体" w:cs="宋体" w:eastAsia="宋体" w:hint="default"/>
                <w:spacing w:val="5"/>
                <w:sz w:val="18"/>
                <w:szCs w:val="18"/>
              </w:rPr>
              <w:t>部分为与资产相关，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部分为与收益相关。</w:t>
            </w: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互联网金融量化投资平台项目（注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89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5"/>
                <w:sz w:val="18"/>
                <w:szCs w:val="18"/>
              </w:rPr>
              <w:t>部分为与资产相关，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部分为与收益相关。</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5,560,000.00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center"/>
              <w:rPr>
                <w:rFonts w:ascii="Times New Roman" w:hAnsi="Times New Roman" w:cs="Times New Roman" w:eastAsia="Times New Roman" w:hint="default"/>
                <w:sz w:val="18"/>
                <w:szCs w:val="18"/>
              </w:rPr>
            </w:pPr>
            <w:r>
              <w:rPr>
                <w:rFonts w:ascii="Times New Roman"/>
                <w:sz w:val="18"/>
              </w:rPr>
              <w:t>240,000.00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1,212,333.33</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4,587,666.67</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pict>
          <v:shape style="position:absolute;margin-left:199.679504pt;margin-top:-55.908264pt;width:60.15pt;height:35.25pt;mso-position-horizontal-relative:page;mso-position-vertical-relative:paragraph;z-index:-625288" type="#_x0000_t202" filled="false" stroked="false">
            <v:textbox inset="0,0,0,0">
              <w:txbxContent>
                <w:p>
                  <w:pPr>
                    <w:spacing w:line="240" w:lineRule="auto" w:before="13"/>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05.699997pt;margin-top:-55.908264pt;width:54.1pt;height:35.25pt;mso-position-horizontal-relative:page;mso-position-vertical-relative:paragraph;z-index:-625264" coordorigin="4114,-1118" coordsize="1082,705">
            <v:shape style="position:absolute;left:4114;top:-1118;width:1082;height:705" coordorigin="4114,-1118" coordsize="1082,705" path="m4114,-1118l5196,-1118,5196,-413,4114,-413,4114,-1118xe" filled="true" fillcolor="#ffffff" stroked="false">
              <v:path arrowok="t"/>
              <v:fill type="solid"/>
            </v:shape>
            <w10:wrap type="none"/>
          </v:group>
        </w:pict>
      </w:r>
      <w:r>
        <w:rPr>
          <w:rFonts w:ascii="宋体" w:hAnsi="宋体" w:cs="宋体" w:eastAsia="宋体" w:hint="default"/>
          <w:sz w:val="18"/>
          <w:szCs w:val="18"/>
        </w:rPr>
        <w:t>其他说明：</w:t>
      </w:r>
    </w:p>
    <w:p>
      <w:pPr>
        <w:pStyle w:val="BodyText"/>
        <w:spacing w:line="273" w:lineRule="auto" w:before="92"/>
        <w:ind w:right="250" w:firstLine="420"/>
        <w:jc w:val="both"/>
      </w:pPr>
      <w:r>
        <w:rPr>
          <w:w w:val="95"/>
        </w:rPr>
        <w:t>注1：公司于2012年9月收到上海市国库收付中心零余额专户资金共计1,800,000.00元，根据上海市经</w:t>
      </w:r>
      <w:r>
        <w:rPr>
          <w:w w:val="99"/>
        </w:rPr>
        <w:t> </w:t>
      </w:r>
      <w:r>
        <w:rPr>
          <w:spacing w:val="2"/>
          <w:w w:val="95"/>
        </w:rPr>
        <w:t>济和信息化委员会文件沪经信（2012）689号上海市经济信息化委关于下达《2012年度软件和集成电路产</w:t>
      </w:r>
      <w:r>
        <w:rPr>
          <w:spacing w:val="38"/>
          <w:w w:val="95"/>
        </w:rPr>
        <w:t> </w:t>
      </w:r>
      <w:r>
        <w:rPr>
          <w:spacing w:val="38"/>
          <w:w w:val="95"/>
        </w:rPr>
      </w:r>
      <w:r>
        <w:rPr>
          <w:w w:val="95"/>
        </w:rPr>
        <w:t>业发展专项资金项目计划的通知》，该专项资金用于采购设备及人工费用等。截至2014年12月31日该项目</w:t>
      </w:r>
      <w:r>
        <w:rPr>
          <w:spacing w:val="43"/>
          <w:w w:val="95"/>
        </w:rPr>
        <w:t> </w:t>
      </w:r>
      <w:r>
        <w:rPr>
          <w:spacing w:val="43"/>
          <w:w w:val="95"/>
        </w:rPr>
      </w:r>
      <w:r>
        <w:rPr>
          <w:w w:val="95"/>
        </w:rPr>
        <w:t>已经验收，公司根据项目实际投入情况，将该项补助分解为与资产相关部分和与收益相关部分，其中与收</w:t>
      </w:r>
      <w:r>
        <w:rPr>
          <w:spacing w:val="43"/>
          <w:w w:val="95"/>
        </w:rPr>
        <w:t> </w:t>
      </w:r>
      <w:r>
        <w:rPr>
          <w:spacing w:val="43"/>
          <w:w w:val="95"/>
        </w:rPr>
      </w:r>
      <w:r>
        <w:rPr>
          <w:w w:val="95"/>
        </w:rPr>
        <w:t>益相关的费用已于前期发生，与资产相关的部分公司购建了机器设备，公司区分与收益相关和与资产相关</w:t>
      </w:r>
      <w:r>
        <w:rPr>
          <w:spacing w:val="40"/>
          <w:w w:val="95"/>
        </w:rPr>
        <w:t> </w:t>
      </w:r>
      <w:r>
        <w:rPr>
          <w:spacing w:val="40"/>
          <w:w w:val="95"/>
        </w:rPr>
      </w:r>
      <w:r>
        <w:rPr/>
        <w:t>结转当期营业外收入1,212,333.33元。</w:t>
      </w:r>
    </w:p>
    <w:p>
      <w:pPr>
        <w:pStyle w:val="BodyText"/>
        <w:spacing w:line="273" w:lineRule="auto"/>
        <w:ind w:right="0" w:firstLine="420"/>
        <w:jc w:val="left"/>
      </w:pPr>
      <w:r>
        <w:rPr/>
        <w:t>注2：公司于2013年6月收到上海市国库收付中心零余额专户资金共计960,000.00元，根据上海市科学</w:t>
      </w:r>
      <w:r>
        <w:rPr>
          <w:w w:val="99"/>
        </w:rPr>
        <w:t> </w:t>
      </w:r>
      <w:r>
        <w:rPr>
          <w:spacing w:val="-2"/>
          <w:w w:val="95"/>
        </w:rPr>
        <w:t>技术委员会《金融理财电子商务平台》科研计划项目课题合同规定，截至2014年12月31日该项目尚未验收，</w:t>
      </w:r>
      <w:r>
        <w:rPr>
          <w:spacing w:val="55"/>
          <w:w w:val="95"/>
        </w:rPr>
        <w:t> </w:t>
      </w:r>
      <w:r>
        <w:rPr>
          <w:spacing w:val="55"/>
          <w:w w:val="95"/>
        </w:rPr>
      </w:r>
      <w:r>
        <w:rPr/>
        <w:t>本期不摊销。</w:t>
      </w:r>
    </w:p>
    <w:p>
      <w:pPr>
        <w:pStyle w:val="BodyText"/>
        <w:spacing w:line="273" w:lineRule="auto"/>
        <w:ind w:right="251" w:firstLine="420"/>
        <w:jc w:val="both"/>
      </w:pPr>
      <w:r>
        <w:rPr>
          <w:w w:val="95"/>
        </w:rPr>
        <w:t>注3：公司于2013年12月收到上海市嘉定区财政资金收付中心资金共计800,000.00元，公司于2014年8</w:t>
      </w:r>
      <w:r>
        <w:rPr>
          <w:w w:val="99"/>
        </w:rPr>
        <w:t> </w:t>
      </w:r>
      <w:r>
        <w:rPr>
          <w:w w:val="95"/>
        </w:rPr>
        <w:t>月收到上海市嘉定区财政资金收付中心资金共计240,000.00元，根据上海市文化创意产业推进领导小组办</w:t>
      </w:r>
      <w:r>
        <w:rPr>
          <w:spacing w:val="37"/>
          <w:w w:val="95"/>
        </w:rPr>
        <w:t> </w:t>
      </w:r>
      <w:r>
        <w:rPr>
          <w:spacing w:val="37"/>
          <w:w w:val="95"/>
        </w:rPr>
      </w:r>
      <w:r>
        <w:rPr>
          <w:w w:val="95"/>
        </w:rPr>
        <w:t>公室《东方财富网金融服务互动平台升级项目》项目计划任务书规定，该专项资金用于采购设备及人工费</w:t>
      </w:r>
      <w:r>
        <w:rPr>
          <w:spacing w:val="40"/>
          <w:w w:val="95"/>
        </w:rPr>
        <w:t> </w:t>
      </w:r>
      <w:r>
        <w:rPr>
          <w:spacing w:val="40"/>
          <w:w w:val="95"/>
        </w:rPr>
      </w:r>
      <w:r>
        <w:rPr/>
        <w:t>用等。截至2014年12月31日该项目尚未验收，本期不摊销。</w:t>
      </w:r>
    </w:p>
    <w:p>
      <w:pPr>
        <w:pStyle w:val="BodyText"/>
        <w:spacing w:line="273" w:lineRule="auto"/>
        <w:ind w:right="250" w:firstLine="420"/>
        <w:jc w:val="both"/>
      </w:pPr>
      <w:r>
        <w:rPr>
          <w:w w:val="95"/>
        </w:rPr>
        <w:t>注4：公司于2013年12月收到上海市国库收付中心零余额专户资金共计2,000,000.00元,根据上海市经</w:t>
      </w:r>
      <w:r>
        <w:rPr>
          <w:w w:val="99"/>
        </w:rPr>
        <w:t> </w:t>
      </w:r>
      <w:r>
        <w:rPr>
          <w:spacing w:val="2"/>
          <w:w w:val="95"/>
        </w:rPr>
        <w:t>济和信息化委员会文件沪经信推（2013）769号上海市经济信息化委关于下达2013年上海市信息化发展专</w:t>
      </w:r>
      <w:r>
        <w:rPr>
          <w:spacing w:val="39"/>
          <w:w w:val="95"/>
        </w:rPr>
        <w:t> </w:t>
      </w:r>
      <w:r>
        <w:rPr>
          <w:spacing w:val="39"/>
          <w:w w:val="95"/>
        </w:rPr>
      </w:r>
      <w:r>
        <w:rPr>
          <w:w w:val="95"/>
        </w:rPr>
        <w:t>项资金项目计划（第二批）的《东方财富互联网金融量化投资平台》通知，该专项资金用于采购设备及人</w:t>
      </w:r>
      <w:r>
        <w:rPr>
          <w:spacing w:val="42"/>
          <w:w w:val="95"/>
        </w:rPr>
        <w:t> </w:t>
      </w:r>
      <w:r>
        <w:rPr>
          <w:spacing w:val="42"/>
          <w:w w:val="95"/>
        </w:rPr>
      </w:r>
      <w:r>
        <w:rPr/>
        <w:t>工费用等。截至2014年12月31日该项目尚未验收，本期不摊销。</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21</w:t>
      </w:r>
      <w:r>
        <w:rPr/>
        <w:t>、股本</w:t>
      </w:r>
      <w:r>
        <w:rPr>
          <w:b w:val="0"/>
          <w:bCs w:val="0"/>
        </w:rPr>
      </w:r>
    </w:p>
    <w:p>
      <w:pPr>
        <w:spacing w:line="240" w:lineRule="auto" w:before="7"/>
        <w:rPr>
          <w:rFonts w:ascii="宋体" w:hAnsi="宋体" w:cs="宋体" w:eastAsia="宋体" w:hint="default"/>
          <w:b/>
          <w:bCs/>
          <w:sz w:val="26"/>
          <w:szCs w:val="26"/>
        </w:rPr>
      </w:pPr>
    </w:p>
    <w:p>
      <w:pPr>
        <w:spacing w:before="0"/>
        <w:ind w:left="0" w:right="2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409"/>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0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672,000,000.00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537,600,000.00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537,600,000.00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left"/>
              <w:rPr>
                <w:rFonts w:ascii="Times New Roman" w:hAnsi="Times New Roman" w:cs="Times New Roman" w:eastAsia="Times New Roman" w:hint="default"/>
                <w:sz w:val="18"/>
                <w:szCs w:val="18"/>
              </w:rPr>
            </w:pPr>
            <w:r>
              <w:rPr>
                <w:rFonts w:ascii="Times New Roman"/>
                <w:sz w:val="18"/>
              </w:rPr>
              <w:t>1,209,600,000.00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2"/>
        <w:ind w:right="252" w:firstLine="420"/>
        <w:jc w:val="both"/>
      </w:pPr>
      <w:r>
        <w:rPr>
          <w:w w:val="95"/>
        </w:rPr>
        <w:t>根据公司2013年度股东大会决议，公司以2013年12月31日股本672,000,000.00股为基数，以资本公积</w:t>
      </w:r>
      <w:r>
        <w:rPr>
          <w:w w:val="99"/>
        </w:rPr>
        <w:t> </w:t>
      </w:r>
      <w:r>
        <w:rPr/>
        <w:t>向全体股东每10股转增8股，共转增资本537,600,000.00元，变更后的注册资本为1,209,600,000.00元。</w:t>
      </w:r>
      <w:r>
        <w:rPr>
          <w:spacing w:val="-42"/>
        </w:rPr>
        <w:t> </w:t>
      </w:r>
      <w:r>
        <w:rPr>
          <w:spacing w:val="-42"/>
        </w:rPr>
      </w:r>
      <w:r>
        <w:rPr/>
        <w:t>本期股本变动由立信会计师事务所（特殊普通合伙）出具信会师报字[2014]第113947号验资报告验证。</w:t>
      </w:r>
    </w:p>
    <w:p>
      <w:pPr>
        <w:spacing w:after="0" w:line="273" w:lineRule="auto"/>
        <w:jc w:val="both"/>
        <w:sectPr>
          <w:footerReference w:type="default" r:id="rId34"/>
          <w:pgSz w:w="11910" w:h="16840"/>
          <w:pgMar w:footer="978" w:header="776" w:top="1100" w:bottom="1160" w:left="1020" w:right="880"/>
          <w:pgNumType w:start="100"/>
        </w:sectPr>
      </w:pPr>
    </w:p>
    <w:p>
      <w:pPr>
        <w:spacing w:line="240" w:lineRule="auto" w:before="12"/>
        <w:rPr>
          <w:rFonts w:ascii="宋体" w:hAnsi="宋体" w:cs="宋体" w:eastAsia="宋体" w:hint="default"/>
          <w:sz w:val="20"/>
          <w:szCs w:val="20"/>
        </w:rPr>
      </w:pPr>
    </w:p>
    <w:p>
      <w:pPr>
        <w:pStyle w:val="Heading5"/>
        <w:spacing w:line="240" w:lineRule="auto" w:before="34"/>
        <w:ind w:right="105"/>
        <w:jc w:val="left"/>
        <w:rPr>
          <w:b w:val="0"/>
          <w:bCs w:val="0"/>
        </w:rPr>
      </w:pPr>
      <w:r>
        <w:rPr>
          <w:rFonts w:ascii="Times New Roman" w:hAnsi="Times New Roman" w:cs="Times New Roman" w:eastAsia="Times New Roman" w:hint="default"/>
        </w:rPr>
        <w:t>22</w:t>
      </w:r>
      <w:r>
        <w:rPr/>
        <w:t>、资本公积</w:t>
      </w:r>
      <w:r>
        <w:rPr>
          <w:b w:val="0"/>
          <w:bCs w:val="0"/>
        </w:rPr>
      </w:r>
    </w:p>
    <w:p>
      <w:pPr>
        <w:spacing w:line="240" w:lineRule="auto" w:before="1"/>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8"/>
        <w:gridCol w:w="1560"/>
        <w:gridCol w:w="1914"/>
        <w:gridCol w:w="1914"/>
        <w:gridCol w:w="191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790,457,166.55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252,857,166.55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1,525,737.29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38,312,558.92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39,838,296.21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-1,041,603.79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-1,041,603.79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）权益结算的股份支付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2,567,341.08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38,312,558.92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40,879,900.00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791,982,903.84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38,312,558.92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292,695,462.76</w:t>
            </w:r>
          </w:p>
        </w:tc>
      </w:tr>
    </w:tbl>
    <w:p>
      <w:pPr>
        <w:spacing w:before="52"/>
        <w:ind w:left="112" w:right="105"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89"/>
        <w:ind w:left="532" w:right="105"/>
        <w:jc w:val="left"/>
      </w:pPr>
      <w:r>
        <w:rPr/>
        <w:t>（1）本期减少：系因资本公积转增股本导致，详见本报告附注七、21。</w:t>
      </w:r>
    </w:p>
    <w:p>
      <w:pPr>
        <w:pStyle w:val="BodyText"/>
        <w:spacing w:line="240" w:lineRule="auto" w:before="37"/>
        <w:ind w:left="532" w:right="105"/>
        <w:jc w:val="left"/>
      </w:pPr>
      <w:r>
        <w:rPr/>
        <w:t>（2）本期增加：</w:t>
      </w:r>
    </w:p>
    <w:p>
      <w:pPr>
        <w:pStyle w:val="BodyText"/>
        <w:spacing w:line="273" w:lineRule="auto" w:before="37"/>
        <w:ind w:right="108" w:firstLine="420"/>
        <w:jc w:val="both"/>
      </w:pPr>
      <w:r>
        <w:rPr>
          <w:spacing w:val="2"/>
        </w:rPr>
        <w:t>①公司2014年第二次临时股东大会审议通过了《关于&lt;东方财富信息股份有限公司2014年股票期权激</w:t>
      </w:r>
      <w:r>
        <w:rPr>
          <w:w w:val="99"/>
        </w:rPr>
        <w:t> </w:t>
      </w:r>
      <w:r>
        <w:rPr>
          <w:spacing w:val="2"/>
        </w:rPr>
        <w:t>励计划（草案）及其摘要的议案&gt;》，公司于2014年11月21日召开第三届九次董事会会议，通过《关于公</w:t>
      </w:r>
      <w:r>
        <w:rPr>
          <w:w w:val="99"/>
        </w:rPr>
        <w:t> </w:t>
      </w:r>
      <w:r>
        <w:rPr/>
        <w:t>司2014年股票期权激励计划首次授予期权相关事项的议案》，确定以2014年11月21日为首次授予期权的授</w:t>
      </w:r>
      <w:r>
        <w:rPr>
          <w:w w:val="99"/>
        </w:rPr>
        <w:t> </w:t>
      </w:r>
      <w:r>
        <w:rPr>
          <w:spacing w:val="-3"/>
        </w:rPr>
        <w:t>予日，授予本公司部分公司董事、中高级管理人员以及公司董事会认为需要进行激励的相关员工股票期权。</w:t>
      </w:r>
    </w:p>
    <w:p>
      <w:pPr>
        <w:pStyle w:val="BodyText"/>
        <w:spacing w:line="273" w:lineRule="auto"/>
        <w:ind w:right="192" w:firstLine="420"/>
        <w:jc w:val="both"/>
      </w:pPr>
      <w:r>
        <w:rPr>
          <w:spacing w:val="2"/>
        </w:rPr>
        <w:t>根据《企业会计准则第11号-股份支付》的有关规定，公司在等待期的每个资产负债表日按照权益工</w:t>
      </w:r>
      <w:r>
        <w:rPr>
          <w:w w:val="99"/>
        </w:rPr>
        <w:t> </w:t>
      </w:r>
      <w:r>
        <w:rPr>
          <w:w w:val="95"/>
        </w:rPr>
        <w:t>具在授予日的公允价值，将取得的职工服务计入当期成本或费用，同时增加资本公积（其他资本公积）。</w:t>
      </w:r>
      <w:r>
        <w:rPr>
          <w:spacing w:val="61"/>
          <w:w w:val="95"/>
        </w:rPr>
        <w:t> </w:t>
      </w:r>
      <w:r>
        <w:rPr>
          <w:spacing w:val="61"/>
          <w:w w:val="95"/>
        </w:rPr>
      </w:r>
      <w:r>
        <w:rPr/>
        <w:t>2014年应摊销费用38,603,700.00元，同时增加资本公积38,603,700.00元，详见本报告附注十二。</w:t>
      </w:r>
    </w:p>
    <w:p>
      <w:pPr>
        <w:pStyle w:val="BodyText"/>
        <w:spacing w:line="273" w:lineRule="auto"/>
        <w:ind w:right="108" w:firstLine="525"/>
        <w:jc w:val="left"/>
      </w:pPr>
      <w:r>
        <w:rPr/>
        <w:t>②公司2011年实施的股权激励计划，本期因人员变动、业绩条件等原因，经2014年8月21日公司第三</w:t>
      </w:r>
      <w:r>
        <w:rPr>
          <w:w w:val="99"/>
        </w:rPr>
        <w:t> </w:t>
      </w:r>
      <w:r>
        <w:rPr>
          <w:spacing w:val="-3"/>
        </w:rPr>
        <w:t>届董事会第六次会议审议通过《关于注销公司股权激励计划部分已授期权的议案》，对部分股权进行注销，</w:t>
      </w:r>
      <w:r>
        <w:rPr>
          <w:w w:val="99"/>
        </w:rPr>
        <w:t> </w:t>
      </w:r>
      <w:r>
        <w:rPr>
          <w:spacing w:val="2"/>
        </w:rPr>
        <w:t>根据《企业会计准则第11号-股份支付》的有关规定，对于因业绩条件未满足导致激励对象无法行权的，</w:t>
      </w:r>
      <w:r>
        <w:rPr>
          <w:w w:val="99"/>
        </w:rPr>
        <w:t> </w:t>
      </w:r>
      <w:r>
        <w:rPr/>
        <w:t>公司对已确认相关股权激励成本应当冲回，本次冲减资本公积（其他资本公积）291,141.08元，详见本报</w:t>
      </w:r>
      <w:r>
        <w:rPr>
          <w:w w:val="99"/>
        </w:rPr>
        <w:t> </w:t>
      </w:r>
      <w:r>
        <w:rPr/>
        <w:t>告附注十二。</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5"/>
        <w:spacing w:line="240" w:lineRule="auto"/>
        <w:ind w:right="105"/>
        <w:jc w:val="left"/>
        <w:rPr>
          <w:b w:val="0"/>
          <w:bCs w:val="0"/>
        </w:rPr>
      </w:pPr>
      <w:r>
        <w:rPr>
          <w:rFonts w:ascii="Times New Roman" w:hAnsi="Times New Roman" w:cs="Times New Roman" w:eastAsia="Times New Roman" w:hint="default"/>
        </w:rPr>
        <w:t>23</w:t>
      </w:r>
      <w:r>
        <w:rPr/>
        <w:t>、其他综合收益</w:t>
      </w:r>
      <w:r>
        <w:rPr>
          <w:b w:val="0"/>
          <w:bCs w:val="0"/>
        </w:rPr>
      </w:r>
    </w:p>
    <w:p>
      <w:pPr>
        <w:spacing w:line="240" w:lineRule="auto" w:before="7"/>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10"/>
        <w:gridCol w:w="992"/>
        <w:gridCol w:w="1134"/>
        <w:gridCol w:w="1429"/>
        <w:gridCol w:w="935"/>
        <w:gridCol w:w="936"/>
        <w:gridCol w:w="1051"/>
        <w:gridCol w:w="779"/>
      </w:tblGrid>
      <w:tr>
        <w:trPr>
          <w:trHeight w:val="402" w:hRule="exact"/>
        </w:trPr>
        <w:tc>
          <w:tcPr>
            <w:tcW w:w="24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410"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1" w:right="109"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center"/>
              <w:rPr>
                <w:rFonts w:ascii="宋体" w:hAnsi="宋体" w:cs="宋体" w:eastAsia="宋体" w:hint="default"/>
                <w:sz w:val="18"/>
                <w:szCs w:val="18"/>
              </w:rPr>
            </w:pPr>
            <w:r>
              <w:rPr>
                <w:rFonts w:ascii="宋体" w:hAnsi="宋体" w:cs="宋体" w:eastAsia="宋体" w:hint="default"/>
                <w:spacing w:val="-9"/>
                <w:sz w:val="18"/>
                <w:szCs w:val="18"/>
              </w:rPr>
              <w:t>减：前期计入其他</w:t>
            </w:r>
            <w:r>
              <w:rPr>
                <w:rFonts w:ascii="宋体" w:hAnsi="宋体" w:cs="宋体" w:eastAsia="宋体" w:hint="default"/>
                <w:sz w:val="18"/>
                <w:szCs w:val="18"/>
              </w:rPr>
              <w:t> 综合收益当期转 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1" w:right="20" w:hanging="257"/>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68" w:hanging="89"/>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779"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35"/>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2,528.00</w:t>
            </w:r>
          </w:p>
        </w:tc>
        <w:tc>
          <w:tcPr>
            <w:tcW w:w="1429"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2,528.00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2,528.00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2,528.00</w:t>
            </w:r>
          </w:p>
        </w:tc>
        <w:tc>
          <w:tcPr>
            <w:tcW w:w="1429"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2,528.00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2,528.00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2,528.00</w:t>
            </w:r>
          </w:p>
        </w:tc>
        <w:tc>
          <w:tcPr>
            <w:tcW w:w="1429"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2,528.00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2,528.00</w:t>
            </w:r>
          </w:p>
        </w:tc>
      </w:tr>
    </w:tbl>
    <w:p>
      <w:pPr>
        <w:spacing w:line="240" w:lineRule="auto" w:before="4"/>
        <w:rPr>
          <w:rFonts w:ascii="宋体" w:hAnsi="宋体" w:cs="宋体" w:eastAsia="宋体" w:hint="default"/>
          <w:sz w:val="19"/>
          <w:szCs w:val="19"/>
        </w:rPr>
      </w:pPr>
    </w:p>
    <w:p>
      <w:pPr>
        <w:pStyle w:val="Heading5"/>
        <w:spacing w:line="240" w:lineRule="auto" w:before="34"/>
        <w:ind w:right="105"/>
        <w:jc w:val="left"/>
        <w:rPr>
          <w:b w:val="0"/>
          <w:bCs w:val="0"/>
        </w:rPr>
      </w:pPr>
      <w:r>
        <w:rPr>
          <w:rFonts w:ascii="Times New Roman" w:hAnsi="Times New Roman" w:cs="Times New Roman" w:eastAsia="Times New Roman" w:hint="default"/>
        </w:rPr>
        <w:t>24</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76" w:footer="978" w:top="1100" w:bottom="1160" w:left="1020" w:right="9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40,684,059.60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17,372,601.06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58,056,660.66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40,684,059.60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17,372,601.06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58,056,660.66</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92"/>
        <w:ind w:left="532" w:right="0"/>
        <w:jc w:val="left"/>
      </w:pPr>
      <w:r>
        <w:rPr/>
        <w:t>本年增加系根据《公司章程》有关规定，按净利润的</w:t>
      </w:r>
      <w:r>
        <w:rPr>
          <w:rFonts w:ascii="Times New Roman" w:hAnsi="Times New Roman" w:cs="Times New Roman" w:eastAsia="Times New Roman" w:hint="default"/>
        </w:rPr>
        <w:t>10%</w:t>
      </w:r>
      <w:r>
        <w:rPr/>
        <w:t>提取法定盈余公积。</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25</w:t>
      </w:r>
      <w:r>
        <w:rPr/>
        <w:t>、未分配利润</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184,441,595.79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215,011,562.69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184,441,595.79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215,011,562.69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165,723,821.57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5,001,337.41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17,372,601.06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1,971,304.31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13,440,000.00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33,600,000.00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319,352,816.30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184,441,595.79</w:t>
            </w:r>
          </w:p>
        </w:tc>
      </w:tr>
    </w:tbl>
    <w:p>
      <w:pPr>
        <w:spacing w:line="360" w:lineRule="auto" w:before="51"/>
        <w:ind w:left="112" w:right="2627"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 1)、由于《企业会计准则》及其相关新规定进行追溯调整，影响期初未分配利润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7"/>
          <w:sz w:val="18"/>
          <w:szCs w:val="18"/>
        </w:rPr>
        <w:t> </w:t>
      </w:r>
      <w:r>
        <w:rPr>
          <w:rFonts w:ascii="宋体" w:hAnsi="宋体" w:cs="宋体" w:eastAsia="宋体" w:hint="default"/>
          <w:sz w:val="18"/>
          <w:szCs w:val="18"/>
        </w:rPr>
        <w:t>元。</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2)、由于会计政策变更，影响期初未分配利润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7"/>
          <w:sz w:val="18"/>
          <w:szCs w:val="18"/>
        </w:rPr>
        <w:t> </w:t>
      </w:r>
      <w:r>
        <w:rPr>
          <w:rFonts w:ascii="宋体" w:hAnsi="宋体" w:cs="宋体" w:eastAsia="宋体" w:hint="default"/>
          <w:sz w:val="18"/>
          <w:szCs w:val="18"/>
        </w:rPr>
        <w:t>元。</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3)、由于重大会计差错更正，影响期初未分配利润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7"/>
          <w:sz w:val="18"/>
          <w:szCs w:val="18"/>
        </w:rPr>
        <w:t> </w:t>
      </w:r>
      <w:r>
        <w:rPr>
          <w:rFonts w:ascii="宋体" w:hAnsi="宋体" w:cs="宋体" w:eastAsia="宋体" w:hint="default"/>
          <w:sz w:val="18"/>
          <w:szCs w:val="18"/>
        </w:rPr>
        <w:t>元。</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4)、由于同一控制导致的合并范围变更，影响期初未分配利润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7"/>
          <w:sz w:val="18"/>
          <w:szCs w:val="18"/>
        </w:rPr>
        <w:t> </w:t>
      </w:r>
      <w:r>
        <w:rPr>
          <w:rFonts w:ascii="宋体" w:hAnsi="宋体" w:cs="宋体" w:eastAsia="宋体" w:hint="default"/>
          <w:sz w:val="18"/>
          <w:szCs w:val="18"/>
        </w:rPr>
        <w:t>元。</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5)、其他调整合计影响期初未分配利润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7"/>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26</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612,007,004.55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148,569,133.68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248,474,867.84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89,735,083.82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58" w:right="0"/>
              <w:jc w:val="left"/>
              <w:rPr>
                <w:rFonts w:ascii="Times New Roman" w:hAnsi="Times New Roman" w:cs="Times New Roman" w:eastAsia="Times New Roman" w:hint="default"/>
                <w:sz w:val="18"/>
                <w:szCs w:val="18"/>
              </w:rPr>
            </w:pPr>
            <w:r>
              <w:rPr>
                <w:rFonts w:ascii="Times New Roman"/>
                <w:sz w:val="18"/>
              </w:rPr>
              <w:t>612,007,004.55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57" w:right="0"/>
              <w:jc w:val="left"/>
              <w:rPr>
                <w:rFonts w:ascii="Times New Roman" w:hAnsi="Times New Roman" w:cs="Times New Roman" w:eastAsia="Times New Roman" w:hint="default"/>
                <w:sz w:val="18"/>
                <w:szCs w:val="18"/>
              </w:rPr>
            </w:pPr>
            <w:r>
              <w:rPr>
                <w:rFonts w:ascii="Times New Roman"/>
                <w:sz w:val="18"/>
              </w:rPr>
              <w:t>148,569,133.68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56" w:right="0"/>
              <w:jc w:val="left"/>
              <w:rPr>
                <w:rFonts w:ascii="Times New Roman" w:hAnsi="Times New Roman" w:cs="Times New Roman" w:eastAsia="Times New Roman" w:hint="default"/>
                <w:sz w:val="18"/>
                <w:szCs w:val="18"/>
              </w:rPr>
            </w:pPr>
            <w:r>
              <w:rPr>
                <w:rFonts w:ascii="Times New Roman"/>
                <w:sz w:val="18"/>
              </w:rPr>
              <w:t>248,474,867.84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89,735,083.82</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27</w:t>
      </w:r>
      <w:r>
        <w:rPr/>
        <w:t>、营业税金及附加</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18,932,963.39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4,775,225.84</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2,048,709.76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493,384.28</w:t>
            </w:r>
          </w:p>
        </w:tc>
      </w:tr>
    </w:tbl>
    <w:p>
      <w:pPr>
        <w:spacing w:after="0" w:line="240" w:lineRule="auto"/>
        <w:jc w:val="right"/>
        <w:rPr>
          <w:rFonts w:ascii="Times New Roman" w:hAnsi="Times New Roman" w:cs="Times New Roman" w:eastAsia="Times New Roman" w:hint="default"/>
          <w:sz w:val="18"/>
          <w:szCs w:val="18"/>
        </w:rPr>
        <w:sectPr>
          <w:pgSz w:w="11910" w:h="16840"/>
          <w:pgMar w:header="776"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2,368,782.95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843,669.37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464,221.13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160,405.95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1,012.93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23,815,725.77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6,273,698.37</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28</w:t>
      </w:r>
      <w:r>
        <w:rPr/>
        <w:t>、销售费用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77,712,533.67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68,202,433.40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12,345,920.92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10,059,644.89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11,798,460.45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18,439,944.15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2,357,377.36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2,509,809.60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1,778,351.39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1,163,415.03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1,502,400.79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1,682,501.92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1,416,478.85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2,004,049.08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1,294,363.86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1,078,907.77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1,121,298.52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1,880,155.88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3,922,558.65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3,873,764.26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115,249,744.46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110,894,625.98</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29</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92,012,897.03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52,495,576.07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股票期权成本摊销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38,312,558.92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-1,777,892.92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10,635,431.82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9,515,753.00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5,910,384.33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2,179,493.11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3,962,277.33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3,707,126.23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2,391,015.71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3,699,704.43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顾问咨询审计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2,215,549.23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1,182,970.99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2,166,896.54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2,108,109.09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技术、咨询服务费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1,544,132.78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1,175,984.99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1,398,771.87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2,413,808.80</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23,342,567.70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7,763,400.82</w:t>
            </w:r>
          </w:p>
        </w:tc>
      </w:tr>
    </w:tbl>
    <w:p>
      <w:pPr>
        <w:spacing w:after="0" w:line="240" w:lineRule="auto"/>
        <w:jc w:val="right"/>
        <w:rPr>
          <w:rFonts w:ascii="Times New Roman" w:hAnsi="Times New Roman" w:cs="Times New Roman" w:eastAsia="Times New Roman" w:hint="default"/>
          <w:sz w:val="18"/>
          <w:szCs w:val="18"/>
        </w:rPr>
        <w:sectPr>
          <w:pgSz w:w="11910" w:h="16840"/>
          <w:pgMar w:header="776"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183,892,483.26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84,464,034.61</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30</w:t>
      </w:r>
      <w:r>
        <w:rPr/>
        <w:t>、财务费用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61,666,781.18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42,476,099.31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705,441.05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3,016.00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1,268,124.35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609,416.01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-59,693,215.78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-41,863,667.30</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31</w:t>
      </w:r>
      <w:r>
        <w:rPr/>
        <w:t>、资产减值损失</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6,286,748.50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2,357,464.71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6,286,748.50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2,357,464.71</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32</w:t>
      </w:r>
      <w:r>
        <w:rPr/>
        <w:t>、营业外收入</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207"/>
        <w:gridCol w:w="2208"/>
        <w:gridCol w:w="2764"/>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207"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1,508.46</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207"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1,508.46</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4,874,542.76</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8,911,878.77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4,874,542.76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5,683.00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5,683.00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4,880,225.76</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8,915,082.23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4,880,225.76</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969"/>
        <w:gridCol w:w="1701"/>
        <w:gridCol w:w="1985"/>
        <w:gridCol w:w="1913"/>
      </w:tblGrid>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软件和集成电路产业发展专项资金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1,212,333.33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网络视听产业专项资金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141,509.43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56,603.77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服务业发展专项基金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2,762,000.00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3,584,000.00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职工职业培训补贴资金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467,300.00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0"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上海市规划布局内重点软件企业和重点集成电路</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76"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969"/>
        <w:gridCol w:w="1701"/>
        <w:gridCol w:w="1985"/>
        <w:gridCol w:w="1913"/>
      </w:tblGrid>
      <w:tr>
        <w:trPr>
          <w:trHeight w:val="362"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设计企业专项奖励</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营改增扶持资金</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42,075.00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天天基金财政扶持资金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2,938,000.00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4,874,542.76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8,911,878.77</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33</w:t>
      </w:r>
      <w:r>
        <w:rPr/>
        <w:t>、营业外支出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207"/>
        <w:gridCol w:w="2208"/>
        <w:gridCol w:w="2764"/>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20,510.02</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41,868.61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20,510.02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20,510.02</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41,868.61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20,510.02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1,492,300.00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510,000.00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1,492,300.00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1,512,810.02</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551,868.61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1,512,810.02</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34</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39,717,430.96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175,644.67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-8,132,492.40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-196,534.63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31,584,938.56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-20,889.96</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197,253,800.40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29,588,070.06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1,260,965.22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8,868,395.68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-8,132,492.40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31,584,938.56</w:t>
            </w:r>
          </w:p>
        </w:tc>
      </w:tr>
    </w:tbl>
    <w:p>
      <w:pPr>
        <w:spacing w:after="0" w:line="240" w:lineRule="auto"/>
        <w:jc w:val="right"/>
        <w:rPr>
          <w:rFonts w:ascii="Times New Roman" w:hAnsi="Times New Roman" w:cs="Times New Roman" w:eastAsia="Times New Roman" w:hint="default"/>
          <w:sz w:val="18"/>
          <w:szCs w:val="18"/>
        </w:rPr>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35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收回往来款、代垫款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245,623.94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750,560.05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专项补贴、补助款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3,662,209.43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8,911,878.77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63,323,309.30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49,578,376.37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1,695.00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67,236,825.67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59,242,510.19</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840,144.05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4,618,068.91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代垫基金销售业务赎回款增加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54,425,922.30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148,331,623.17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34,774,518.13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39,486,366.98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41,024,611.26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21,762,622.66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1,492,300.00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551,868.61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132,557,495.74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214,750,550.33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111"/>
        <w:gridCol w:w="2835"/>
        <w:gridCol w:w="2623"/>
      </w:tblGrid>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兴业银行企业金融客户人民币结构性存款收回</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262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02"/>
        <w:gridCol w:w="3119"/>
        <w:gridCol w:w="3048"/>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银华多利宝货币基金</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160,000,000.00</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兴业银行企业金融客户人民币结构性存款</w:t>
            </w:r>
          </w:p>
        </w:tc>
        <w:tc>
          <w:tcPr>
            <w:tcW w:w="3119"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金融理财电子商务平台项目补助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金融服务互动平台升级项目补助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互联网金融量化投资平台项目补助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3,760,000.00</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95"/>
        <w:gridCol w:w="2693"/>
        <w:gridCol w:w="2481"/>
      </w:tblGrid>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中国证券登记结算有限责任公司股利分配登记结算费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23,345.88</w:t>
            </w:r>
          </w:p>
        </w:tc>
        <w:tc>
          <w:tcPr>
            <w:tcW w:w="2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2"/>
                <w:sz w:val="18"/>
              </w:rPr>
              <w:t>57,117.59</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23,345.88</w:t>
            </w:r>
          </w:p>
        </w:tc>
        <w:tc>
          <w:tcPr>
            <w:tcW w:w="2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57,117.59</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36</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95"/>
        <w:gridCol w:w="2586"/>
        <w:gridCol w:w="2587"/>
      </w:tblGrid>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165,668,861.84</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4,997,731.23</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6,286,748.50</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2,357,464.71</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13,416,005.98</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11,405,884.64</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4,461,310.61</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4,320,135.22</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3,035,592.99</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4,272,928.49</w:t>
            </w:r>
          </w:p>
        </w:tc>
      </w:tr>
      <w:tr>
        <w:trPr>
          <w:trHeight w:val="714"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4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20,510.02</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40,360.15</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741,629.76</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3,016.00</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-8,132,492.40</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-196,534.63</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-1,420,114,315.77</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-207,252,050.87</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3,559,221,214.23</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657,906,502.24</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38,312,558.92</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-1,777,892.92</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2,362,917,624.68</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476,077,544.26</w:t>
            </w:r>
          </w:p>
        </w:tc>
      </w:tr>
      <w:tr>
        <w:trPr>
          <w:trHeight w:val="400"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76"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395"/>
        <w:gridCol w:w="2586"/>
        <w:gridCol w:w="2587"/>
      </w:tblGrid>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229" w:right="0"/>
              <w:jc w:val="left"/>
              <w:rPr>
                <w:rFonts w:ascii="Times New Roman" w:hAnsi="Times New Roman" w:cs="Times New Roman" w:eastAsia="Times New Roman" w:hint="default"/>
                <w:sz w:val="18"/>
                <w:szCs w:val="18"/>
              </w:rPr>
            </w:pPr>
            <w:r>
              <w:rPr>
                <w:rFonts w:ascii="Times New Roman"/>
                <w:sz w:val="18"/>
              </w:rPr>
              <w:t>--</w:t>
            </w:r>
          </w:p>
        </w:tc>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4" w:right="0"/>
              <w:jc w:val="left"/>
              <w:rPr>
                <w:rFonts w:ascii="Times New Roman" w:hAnsi="Times New Roman" w:cs="Times New Roman" w:eastAsia="Times New Roman" w:hint="default"/>
                <w:sz w:val="18"/>
                <w:szCs w:val="18"/>
              </w:rPr>
            </w:pPr>
            <w:r>
              <w:rPr>
                <w:rFonts w:ascii="Times New Roman"/>
                <w:sz w:val="18"/>
              </w:rPr>
              <w:t>4,034,198,710.83</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1,746,390,212.17</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94" w:right="0"/>
              <w:jc w:val="left"/>
              <w:rPr>
                <w:rFonts w:ascii="Times New Roman" w:hAnsi="Times New Roman" w:cs="Times New Roman" w:eastAsia="Times New Roman" w:hint="default"/>
                <w:sz w:val="18"/>
                <w:szCs w:val="18"/>
              </w:rPr>
            </w:pPr>
            <w:r>
              <w:rPr>
                <w:rFonts w:ascii="Times New Roman"/>
                <w:sz w:val="18"/>
              </w:rPr>
              <w:t>1,746,390,212.17</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1,526,871,263.72</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4" w:right="0"/>
              <w:jc w:val="left"/>
              <w:rPr>
                <w:rFonts w:ascii="Times New Roman" w:hAnsi="Times New Roman" w:cs="Times New Roman" w:eastAsia="Times New Roman" w:hint="default"/>
                <w:sz w:val="18"/>
                <w:szCs w:val="18"/>
              </w:rPr>
            </w:pPr>
            <w:r>
              <w:rPr>
                <w:rFonts w:ascii="Times New Roman"/>
                <w:sz w:val="18"/>
              </w:rPr>
              <w:t>2,287,808,498.66</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219,518,948.45</w:t>
            </w:r>
          </w:p>
        </w:tc>
      </w:tr>
    </w:tbl>
    <w:p>
      <w:pPr>
        <w:spacing w:line="240" w:lineRule="auto" w:before="3"/>
        <w:rPr>
          <w:rFonts w:ascii="宋体" w:hAnsi="宋体" w:cs="宋体" w:eastAsia="宋体" w:hint="default"/>
          <w:sz w:val="19"/>
          <w:szCs w:val="19"/>
        </w:rPr>
      </w:pPr>
    </w:p>
    <w:p>
      <w:pPr>
        <w:pStyle w:val="Heading5"/>
        <w:spacing w:line="240" w:lineRule="auto" w:before="34"/>
        <w:ind w:right="1682"/>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
        <w:rPr>
          <w:rFonts w:ascii="宋体" w:hAnsi="宋体" w:cs="宋体" w:eastAsia="宋体" w:hint="default"/>
          <w:b/>
          <w:bCs/>
          <w:sz w:val="23"/>
          <w:szCs w:val="23"/>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4,034,198,710.83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1,746,390,212.17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119,043.11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160,931.96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4,028,373,722.65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1,746,098,623.99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5,705,945.07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130,656.22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4,034,198,710.83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1,746,390,212.17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2,706,422,794.94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545,999,762.62</w:t>
            </w:r>
          </w:p>
        </w:tc>
      </w:tr>
    </w:tbl>
    <w:p>
      <w:pPr>
        <w:spacing w:line="240" w:lineRule="auto" w:before="4"/>
        <w:rPr>
          <w:rFonts w:ascii="宋体" w:hAnsi="宋体" w:cs="宋体" w:eastAsia="宋体" w:hint="default"/>
          <w:sz w:val="19"/>
          <w:szCs w:val="19"/>
        </w:rPr>
      </w:pPr>
    </w:p>
    <w:p>
      <w:pPr>
        <w:pStyle w:val="Heading5"/>
        <w:spacing w:line="240" w:lineRule="auto" w:before="34"/>
        <w:ind w:right="1682"/>
        <w:jc w:val="left"/>
        <w:rPr>
          <w:b w:val="0"/>
          <w:bCs w:val="0"/>
        </w:rPr>
      </w:pPr>
      <w:r>
        <w:rPr>
          <w:rFonts w:ascii="Times New Roman" w:hAnsi="Times New Roman" w:cs="Times New Roman" w:eastAsia="Times New Roman" w:hint="default"/>
        </w:rPr>
        <w:t>37</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43"/>
        <w:gridCol w:w="1701"/>
        <w:gridCol w:w="6024"/>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6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2,706,422,794.94</w:t>
            </w:r>
          </w:p>
        </w:tc>
        <w:tc>
          <w:tcPr>
            <w:tcW w:w="6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上海天天基金销售有限公司代理买卖证券业务存放在监管银行的客户资金</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2,706,422,794.94</w:t>
            </w:r>
          </w:p>
        </w:tc>
        <w:tc>
          <w:tcPr>
            <w:tcW w:w="6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4"/>
        <w:ind w:right="1682"/>
        <w:jc w:val="left"/>
        <w:rPr>
          <w:b w:val="0"/>
          <w:bCs w:val="0"/>
        </w:rPr>
      </w:pPr>
      <w:r>
        <w:rPr>
          <w:rFonts w:ascii="Times New Roman" w:hAnsi="Times New Roman" w:cs="Times New Roman" w:eastAsia="Times New Roman" w:hint="default"/>
        </w:rPr>
        <w:t>38</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682"/>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3"/>
          <w:szCs w:val="23"/>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26" w:right="0"/>
              <w:jc w:val="left"/>
              <w:rPr>
                <w:rFonts w:ascii="Times New Roman" w:hAnsi="Times New Roman" w:cs="Times New Roman" w:eastAsia="Times New Roman" w:hint="default"/>
                <w:sz w:val="18"/>
                <w:szCs w:val="18"/>
              </w:rPr>
            </w:pPr>
            <w:r>
              <w:rPr>
                <w:rFonts w:ascii="Times New Roman"/>
                <w:sz w:val="18"/>
              </w:rPr>
              <w:t>76,569,335.75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0.7889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1" w:right="0"/>
              <w:jc w:val="left"/>
              <w:rPr>
                <w:rFonts w:ascii="Times New Roman" w:hAnsi="Times New Roman" w:cs="Times New Roman" w:eastAsia="Times New Roman" w:hint="default"/>
                <w:sz w:val="18"/>
                <w:szCs w:val="18"/>
              </w:rPr>
            </w:pPr>
            <w:r>
              <w:rPr>
                <w:rFonts w:ascii="Times New Roman"/>
                <w:sz w:val="18"/>
              </w:rPr>
              <w:t>60,405,548.97</w:t>
            </w:r>
          </w:p>
        </w:tc>
      </w:tr>
    </w:tbl>
    <w:p>
      <w:pPr>
        <w:spacing w:line="240" w:lineRule="auto" w:before="4"/>
        <w:rPr>
          <w:rFonts w:ascii="宋体" w:hAnsi="宋体" w:cs="宋体" w:eastAsia="宋体" w:hint="default"/>
          <w:sz w:val="19"/>
          <w:szCs w:val="19"/>
        </w:rPr>
      </w:pPr>
    </w:p>
    <w:p>
      <w:pPr>
        <w:pStyle w:val="Heading5"/>
        <w:spacing w:line="256" w:lineRule="auto" w:before="34"/>
        <w:ind w:right="130"/>
        <w:jc w:val="left"/>
        <w:rPr>
          <w:b w:val="0"/>
          <w:bCs w:val="0"/>
        </w:rPr>
      </w:pP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spacing w:before="0"/>
        <w:ind w:left="112" w:right="16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76" w:footer="978" w:top="1100" w:bottom="1160" w:left="1020" w:right="1000"/>
        </w:sectPr>
      </w:pPr>
    </w:p>
    <w:p>
      <w:pPr>
        <w:spacing w:line="240" w:lineRule="auto" w:before="10"/>
        <w:rPr>
          <w:rFonts w:ascii="宋体" w:hAnsi="宋体" w:cs="宋体" w:eastAsia="宋体" w:hint="default"/>
          <w:sz w:val="19"/>
          <w:szCs w:val="19"/>
        </w:rPr>
      </w:pPr>
    </w:p>
    <w:p>
      <w:pPr>
        <w:pStyle w:val="Heading4"/>
        <w:spacing w:line="240" w:lineRule="auto" w:before="26"/>
        <w:ind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、处置子公司</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7"/>
        <w:ind w:left="112" w:right="3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3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73" w:lineRule="auto" w:before="92"/>
        <w:ind w:left="532" w:right="0"/>
        <w:jc w:val="left"/>
      </w:pPr>
      <w:r>
        <w:rPr>
          <w:w w:val="95"/>
        </w:rPr>
        <w:t>（1）本期合并范围增加五家公司，增加原因为新设全资子公司（含一家孙公司），五家公司为：</w:t>
      </w:r>
      <w:r>
        <w:rPr>
          <w:spacing w:val="27"/>
          <w:w w:val="95"/>
        </w:rPr>
        <w:t> </w:t>
      </w:r>
      <w:r>
        <w:rPr>
          <w:spacing w:val="27"/>
          <w:w w:val="95"/>
        </w:rPr>
      </w:r>
      <w:r>
        <w:rPr/>
        <w:t>东方财富（香港）有限公司</w:t>
      </w:r>
    </w:p>
    <w:p>
      <w:pPr>
        <w:pStyle w:val="BodyText"/>
        <w:spacing w:line="273" w:lineRule="auto"/>
        <w:ind w:left="532" w:right="6164"/>
        <w:jc w:val="left"/>
      </w:pPr>
      <w:r>
        <w:rPr/>
        <w:t>上海东睿资产管理有限公司</w:t>
      </w:r>
      <w:r>
        <w:rPr>
          <w:w w:val="99"/>
        </w:rPr>
        <w:t> </w:t>
      </w:r>
      <w:r>
        <w:rPr/>
        <w:t>上海东鑫互联网金融服务有限公司</w:t>
      </w:r>
      <w:r>
        <w:rPr>
          <w:w w:val="99"/>
        </w:rPr>
        <w:t> </w:t>
      </w:r>
      <w:r>
        <w:rPr/>
        <w:t>上海长盛电子商务有限公司</w:t>
      </w:r>
      <w:r>
        <w:rPr>
          <w:w w:val="99"/>
        </w:rPr>
        <w:t> </w:t>
      </w:r>
      <w:r>
        <w:rPr/>
        <w:t>深圳东财金融数据服务有限公司</w:t>
      </w:r>
    </w:p>
    <w:p>
      <w:pPr>
        <w:pStyle w:val="BodyText"/>
        <w:spacing w:line="240" w:lineRule="auto"/>
        <w:ind w:left="532" w:right="0"/>
        <w:jc w:val="left"/>
      </w:pPr>
      <w:r>
        <w:rPr/>
        <w:t>上述五家子公司相关情况详见“九、（一）在子公司中的权益”。</w:t>
      </w:r>
    </w:p>
    <w:p>
      <w:pPr>
        <w:pStyle w:val="BodyText"/>
        <w:spacing w:line="273" w:lineRule="auto" w:before="37"/>
        <w:ind w:left="532" w:right="2489"/>
        <w:jc w:val="left"/>
      </w:pPr>
      <w:r>
        <w:rPr/>
        <w:t>（2）本期合并范围减少三家公司，减少原因为注销子公司，三家公司为：</w:t>
      </w:r>
      <w:r>
        <w:rPr>
          <w:w w:val="99"/>
        </w:rPr>
        <w:t> </w:t>
      </w:r>
      <w:r>
        <w:rPr/>
        <w:t>上海东银软件科技有限公司</w:t>
      </w:r>
    </w:p>
    <w:p>
      <w:pPr>
        <w:pStyle w:val="BodyText"/>
        <w:spacing w:line="273" w:lineRule="auto"/>
        <w:ind w:left="532" w:right="6794"/>
        <w:jc w:val="left"/>
      </w:pPr>
      <w:r>
        <w:rPr/>
        <w:t>上海中经商务咨询有限公司</w:t>
      </w:r>
      <w:r>
        <w:rPr>
          <w:w w:val="99"/>
        </w:rPr>
        <w:t> </w:t>
      </w:r>
      <w:r>
        <w:rPr/>
        <w:t>上海东方财富管理专修学院</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977"/>
        <w:gridCol w:w="709"/>
        <w:gridCol w:w="709"/>
        <w:gridCol w:w="1701"/>
        <w:gridCol w:w="850"/>
        <w:gridCol w:w="709"/>
        <w:gridCol w:w="1916"/>
      </w:tblGrid>
      <w:tr>
        <w:trPr>
          <w:trHeight w:val="402" w:hRule="exact"/>
        </w:trPr>
        <w:tc>
          <w:tcPr>
            <w:tcW w:w="29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68" w:right="78" w:hanging="89"/>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977" w:type="dxa"/>
            <w:vMerge/>
            <w:tcBorders>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1701" w:type="dxa"/>
            <w:vMerge/>
            <w:tcBorders>
              <w:left w:val="single" w:sz="4" w:space="0" w:color="000000"/>
              <w:bottom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北京京东财信息科技有限公司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广州东财信息科技有限公司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金融电子商务服务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上海东方财富置业有限公司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房地产开发经营服务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上海长盛电子商务有限公司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76" w:footer="978" w:top="1100" w:bottom="1160" w:left="1020" w:right="102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2977"/>
        <w:gridCol w:w="709"/>
        <w:gridCol w:w="709"/>
        <w:gridCol w:w="1701"/>
        <w:gridCol w:w="850"/>
        <w:gridCol w:w="709"/>
        <w:gridCol w:w="1916"/>
      </w:tblGrid>
      <w:tr>
        <w:trPr>
          <w:trHeight w:val="71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7"/>
              <w:jc w:val="left"/>
              <w:rPr>
                <w:rFonts w:ascii="宋体" w:hAnsi="宋体" w:cs="宋体" w:eastAsia="宋体" w:hint="default"/>
                <w:sz w:val="18"/>
                <w:szCs w:val="18"/>
              </w:rPr>
            </w:pPr>
            <w:r>
              <w:rPr>
                <w:rFonts w:ascii="宋体" w:hAnsi="宋体" w:cs="宋体" w:eastAsia="宋体" w:hint="default"/>
                <w:sz w:val="18"/>
                <w:szCs w:val="18"/>
              </w:rPr>
              <w:t>互联网信息服务、互 联网金融服务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上海东睿资产管理有限公司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受托资产管理、资产 管理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上海东鑫互联网金融服务有限公司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互联网金融信息服务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pacing w:val="-3"/>
                <w:sz w:val="18"/>
                <w:szCs w:val="18"/>
              </w:rPr>
              <w:t>深圳东财金融数据服务有限公司（注</w:t>
            </w:r>
            <w:r>
              <w:rPr>
                <w:rFonts w:ascii="宋体" w:hAnsi="宋体" w:cs="宋体" w:eastAsia="宋体" w:hint="default"/>
                <w:sz w:val="18"/>
                <w:szCs w:val="18"/>
              </w:rPr>
              <w:t> 该公司为孙公司）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接受金融机构委托， 从事金融外包服务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line="360" w:lineRule="auto" w:before="50"/>
        <w:ind w:left="112" w:right="1274" w:firstLine="0"/>
        <w:jc w:val="left"/>
        <w:rPr>
          <w:rFonts w:ascii="宋体" w:hAnsi="宋体" w:cs="宋体" w:eastAsia="宋体" w:hint="default"/>
          <w:sz w:val="18"/>
          <w:szCs w:val="18"/>
        </w:rPr>
      </w:pPr>
      <w:r>
        <w:rPr/>
        <w:pict>
          <v:shape style="position:absolute;margin-left:199.679504pt;margin-top:-35.778259pt;width:41.25pt;height:35.450pt;mso-position-horizontal-relative:page;mso-position-vertical-relative:paragraph;z-index:-625240"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05.699997pt;margin-top:-35.778259pt;width:35.2pt;height:35.450pt;mso-position-horizontal-relative:page;mso-position-vertical-relative:paragraph;z-index:-625216" coordorigin="4114,-716" coordsize="704,709">
            <v:shape style="position:absolute;left:4114;top:-716;width:704;height:709" coordorigin="4114,-716" coordsize="704,709" path="m4114,-716l4818,-716,4818,-7,4114,-7,4114,-716xe" filled="true" fillcolor="#ffffff" stroked="false">
              <v:path arrowok="t"/>
              <v:fill type="solid"/>
            </v:shape>
            <w10:wrap type="none"/>
          </v:group>
        </w:pict>
      </w:r>
      <w:r>
        <w:rPr>
          <w:rFonts w:ascii="宋体" w:hAnsi="宋体" w:cs="宋体" w:eastAsia="宋体" w:hint="default"/>
          <w:sz w:val="18"/>
          <w:szCs w:val="18"/>
        </w:rPr>
        <w:t>在子公司的持股比例不同于表决权比例的说明：不适用 持有半数或以下表决权但仍控制被投资单位、以及持有半数以上表决权但不控制被投资单位的依据：不适用 对于纳入合并范围的重要的结构化主体，控制的依据：不适用</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590" w:lineRule="atLeast" w:before="22"/>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2014年3月24日，公司与上海优优商务咨询有限公司少数股东黄敏签订股权转让协议，由本公司受让</w:t>
      </w:r>
      <w:r>
        <w:rPr>
          <w:rFonts w:ascii="宋体" w:hAnsi="宋体" w:cs="宋体" w:eastAsia="宋体" w:hint="default"/>
          <w:spacing w:val="2"/>
          <w:sz w:val="21"/>
          <w:szCs w:val="21"/>
        </w:rPr>
      </w:r>
    </w:p>
    <w:p>
      <w:pPr>
        <w:pStyle w:val="BodyText"/>
        <w:spacing w:line="273" w:lineRule="auto" w:before="37"/>
        <w:ind w:right="0"/>
        <w:jc w:val="left"/>
      </w:pPr>
      <w:r>
        <w:rPr>
          <w:w w:val="95"/>
        </w:rPr>
        <w:t>黄敏持有的上海优优商务咨询有限公司15%股权，转让价格为11,033.55元，转让后上海优优商务咨询有限</w:t>
      </w:r>
      <w:r>
        <w:rPr>
          <w:spacing w:val="40"/>
          <w:w w:val="95"/>
        </w:rPr>
        <w:t> </w:t>
      </w:r>
      <w:r>
        <w:rPr>
          <w:spacing w:val="40"/>
          <w:w w:val="95"/>
        </w:rPr>
      </w:r>
      <w:r>
        <w:rPr/>
        <w:t>公司变更为全资子公司。</w:t>
      </w:r>
    </w:p>
    <w:p>
      <w:pPr>
        <w:spacing w:line="240" w:lineRule="auto" w:before="9"/>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25"/>
          <w:szCs w:val="25"/>
        </w:rPr>
      </w:pPr>
    </w:p>
    <w:tbl>
      <w:tblPr>
        <w:tblW w:w="0" w:type="auto"/>
        <w:jc w:val="left"/>
        <w:tblInd w:w="404" w:type="dxa"/>
        <w:tblLayout w:type="fixed"/>
        <w:tblCellMar>
          <w:top w:w="0" w:type="dxa"/>
          <w:left w:w="0" w:type="dxa"/>
          <w:bottom w:w="0" w:type="dxa"/>
          <w:right w:w="0" w:type="dxa"/>
        </w:tblCellMar>
        <w:tblLook w:val="01E0"/>
      </w:tblPr>
      <w:tblGrid>
        <w:gridCol w:w="5753"/>
        <w:gridCol w:w="3295"/>
      </w:tblGrid>
      <w:tr>
        <w:trPr>
          <w:trHeight w:val="343" w:hRule="exact"/>
        </w:trPr>
        <w:tc>
          <w:tcPr>
            <w:tcW w:w="575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329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0"/>
              <w:ind w:left="562"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r>
      <w:tr>
        <w:trPr>
          <w:trHeight w:val="343" w:hRule="exact"/>
        </w:trPr>
        <w:tc>
          <w:tcPr>
            <w:tcW w:w="5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购买成本对价</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w w:val="95"/>
                <w:sz w:val="21"/>
              </w:rPr>
              <w:t>11,033.55</w:t>
            </w:r>
            <w:r>
              <w:rPr>
                <w:rFonts w:ascii="Times New Roman"/>
                <w:sz w:val="21"/>
              </w:rPr>
            </w:r>
          </w:p>
        </w:tc>
      </w:tr>
      <w:tr>
        <w:trPr>
          <w:trHeight w:val="343" w:hRule="exact"/>
        </w:trPr>
        <w:tc>
          <w:tcPr>
            <w:tcW w:w="5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w w:val="95"/>
                <w:sz w:val="21"/>
              </w:rPr>
              <w:t>11,033.55</w:t>
            </w:r>
            <w:r>
              <w:rPr>
                <w:rFonts w:ascii="Times New Roman"/>
                <w:sz w:val="21"/>
              </w:rPr>
            </w:r>
          </w:p>
        </w:tc>
      </w:tr>
      <w:tr>
        <w:trPr>
          <w:trHeight w:val="342" w:hRule="exact"/>
        </w:trPr>
        <w:tc>
          <w:tcPr>
            <w:tcW w:w="5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购买成本对价合计</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w w:val="95"/>
                <w:sz w:val="21"/>
              </w:rPr>
              <w:t>11,033.55</w:t>
            </w:r>
            <w:r>
              <w:rPr>
                <w:rFonts w:ascii="Times New Roman"/>
                <w:sz w:val="21"/>
              </w:rPr>
            </w:r>
          </w:p>
        </w:tc>
      </w:tr>
      <w:tr>
        <w:trPr>
          <w:trHeight w:val="343" w:hRule="exact"/>
        </w:trPr>
        <w:tc>
          <w:tcPr>
            <w:tcW w:w="5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 w:right="0"/>
              <w:jc w:val="left"/>
              <w:rPr>
                <w:rFonts w:ascii="宋体" w:hAnsi="宋体" w:cs="宋体" w:eastAsia="宋体" w:hint="default"/>
                <w:sz w:val="18"/>
                <w:szCs w:val="18"/>
              </w:rPr>
            </w:pPr>
            <w:r>
              <w:rPr>
                <w:rFonts w:ascii="宋体" w:hAnsi="宋体" w:cs="宋体" w:eastAsia="宋体" w:hint="default"/>
                <w:sz w:val="18"/>
                <w:szCs w:val="18"/>
              </w:rPr>
              <w:t>减：按取得的股权比例计算的子公司净资产份额</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21"/>
                <w:szCs w:val="21"/>
              </w:rPr>
            </w:pPr>
            <w:r>
              <w:rPr>
                <w:rFonts w:ascii="Times New Roman"/>
                <w:w w:val="95"/>
                <w:sz w:val="21"/>
              </w:rPr>
              <w:t>11,033.55</w:t>
            </w:r>
            <w:r>
              <w:rPr>
                <w:rFonts w:ascii="Times New Roman"/>
                <w:sz w:val="21"/>
              </w:rPr>
            </w:r>
          </w:p>
        </w:tc>
      </w:tr>
      <w:tr>
        <w:trPr>
          <w:trHeight w:val="343" w:hRule="exact"/>
        </w:trPr>
        <w:tc>
          <w:tcPr>
            <w:tcW w:w="5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3" w:hRule="exact"/>
        </w:trPr>
        <w:tc>
          <w:tcPr>
            <w:tcW w:w="5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3" w:hRule="exact"/>
        </w:trPr>
        <w:tc>
          <w:tcPr>
            <w:tcW w:w="5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2" w:hRule="exact"/>
        </w:trPr>
        <w:tc>
          <w:tcPr>
            <w:tcW w:w="5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pStyle w:val="Heading4"/>
        <w:spacing w:line="240" w:lineRule="auto" w:before="26"/>
        <w:ind w:right="0"/>
        <w:jc w:val="left"/>
        <w:rPr>
          <w:b w:val="0"/>
          <w:bCs w:val="0"/>
        </w:rPr>
      </w:pPr>
      <w:r>
        <w:rPr/>
        <w:t>十、公允价值的披露</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footerReference w:type="default" r:id="rId35"/>
          <w:pgSz w:w="11910" w:h="16840"/>
          <w:pgMar w:footer="978" w:header="776" w:top="1100" w:bottom="1160" w:left="1020" w:right="1020"/>
          <w:pgNumType w:start="11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892"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变动计入当期损益的金 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88,200,000.00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4" w:right="0"/>
              <w:jc w:val="left"/>
              <w:rPr>
                <w:rFonts w:ascii="Times New Roman" w:hAnsi="Times New Roman" w:cs="Times New Roman" w:eastAsia="Times New Roman" w:hint="default"/>
                <w:sz w:val="18"/>
                <w:szCs w:val="18"/>
              </w:rPr>
            </w:pPr>
            <w:r>
              <w:rPr>
                <w:rFonts w:ascii="Times New Roman"/>
                <w:sz w:val="18"/>
              </w:rPr>
              <w:t>88,200,000.00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4" w:right="0"/>
              <w:jc w:val="left"/>
              <w:rPr>
                <w:rFonts w:ascii="Times New Roman" w:hAnsi="Times New Roman" w:cs="Times New Roman" w:eastAsia="Times New Roman" w:hint="default"/>
                <w:sz w:val="18"/>
                <w:szCs w:val="18"/>
              </w:rPr>
            </w:pPr>
            <w:r>
              <w:rPr>
                <w:rFonts w:ascii="Times New Roman"/>
                <w:sz w:val="18"/>
              </w:rPr>
              <w:t>88,200,000.00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出租用的土地使用权</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持有并准备增值后转让 的土地使用权</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（四）生物资产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生产性生物资产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88,200,000.00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44" w:right="0"/>
              <w:jc w:val="left"/>
              <w:rPr>
                <w:rFonts w:ascii="Times New Roman" w:hAnsi="Times New Roman" w:cs="Times New Roman" w:eastAsia="Times New Roman" w:hint="default"/>
                <w:sz w:val="18"/>
                <w:szCs w:val="18"/>
              </w:rPr>
            </w:pPr>
            <w:r>
              <w:rPr>
                <w:rFonts w:ascii="Times New Roman"/>
                <w:sz w:val="18"/>
              </w:rPr>
              <w:t>88,200,000.00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（五）交易性金融负债</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其中：发行的交易性债券</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（六）指定为以公允价值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计量且变动计入当期损 益的金融负债</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6"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（一）持有待售资产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59"/>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非持续以公允价值计量 的负债总额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line="506" w:lineRule="auto" w:before="34"/>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w w:val="95"/>
          <w:sz w:val="21"/>
          <w:szCs w:val="21"/>
        </w:rPr>
        <w:t>可供出售金融资产期末公允价值是基于资产管理人2014年12月31日的估值报告计量。</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506" w:lineRule="auto" w:before="131"/>
        <w:ind w:left="112" w:right="5234" w:firstLine="0"/>
        <w:jc w:val="left"/>
        <w:rPr>
          <w:rFonts w:ascii="宋体" w:hAnsi="宋体" w:cs="宋体" w:eastAsia="宋体" w:hint="default"/>
          <w:sz w:val="18"/>
          <w:szCs w:val="18"/>
        </w:rPr>
      </w:pPr>
      <w:r>
        <w:rPr>
          <w:rFonts w:ascii="宋体" w:hAnsi="宋体" w:cs="宋体" w:eastAsia="宋体" w:hint="default"/>
          <w:b/>
          <w:bCs/>
          <w:sz w:val="24"/>
          <w:szCs w:val="24"/>
        </w:rPr>
        <w:t>十一、关联方及关联交易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本企业子公司的情况详见附注九、在其他主体中的权益。</w:t>
      </w:r>
    </w:p>
    <w:p>
      <w:pPr>
        <w:pStyle w:val="Heading5"/>
        <w:spacing w:line="240" w:lineRule="auto" w:before="153"/>
        <w:ind w:right="0"/>
        <w:jc w:val="left"/>
        <w:rPr>
          <w:b w:val="0"/>
          <w:bCs w:val="0"/>
        </w:rPr>
      </w:pPr>
      <w:r>
        <w:rPr>
          <w:rFonts w:ascii="Times New Roman" w:hAnsi="Times New Roman" w:cs="Times New Roman" w:eastAsia="Times New Roman" w:hint="default"/>
        </w:rPr>
        <w:t>2</w:t>
      </w:r>
      <w:r>
        <w:rPr/>
        <w:t>、关联交易情况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）关键管理人员报酬</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3,087,000.00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1,872,100.00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4"/>
        <w:spacing w:line="240" w:lineRule="auto" w:before="26"/>
        <w:ind w:right="0"/>
        <w:jc w:val="left"/>
        <w:rPr>
          <w:b w:val="0"/>
          <w:bCs w:val="0"/>
        </w:rPr>
      </w:pPr>
      <w:r>
        <w:rPr/>
        <w:t>十二、股份支付</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193,018,500.00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1,413,900.00</w:t>
            </w:r>
          </w:p>
        </w:tc>
      </w:tr>
      <w:tr>
        <w:trPr>
          <w:trHeight w:val="1338"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年股票期权激励计划首次授予的期权将于</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 </w:t>
            </w:r>
            <w:r>
              <w:rPr>
                <w:rFonts w:ascii="宋体" w:hAnsi="宋体" w:cs="宋体" w:eastAsia="宋体" w:hint="default"/>
                <w:spacing w:val="-5"/>
                <w:sz w:val="18"/>
                <w:szCs w:val="18"/>
              </w:rPr>
              <w:t>日到期，目前行权价为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6.14 </w:t>
            </w:r>
            <w:r>
              <w:rPr>
                <w:rFonts w:ascii="宋体" w:hAnsi="宋体" w:cs="宋体" w:eastAsia="宋体" w:hint="default"/>
                <w:spacing w:val="-11"/>
                <w:sz w:val="18"/>
                <w:szCs w:val="18"/>
              </w:rPr>
              <w:t>元；公司</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年股票期权激励计划首次授予的期权将于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日到期，目前行权价为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left="832" w:right="0"/>
        <w:jc w:val="left"/>
        <w:rPr>
          <w:b w:val="0"/>
          <w:bCs w:val="0"/>
        </w:rPr>
      </w:pPr>
      <w:r>
        <w:rPr/>
        <w:t>关于公司</w:t>
      </w:r>
      <w:r>
        <w:rPr>
          <w:rFonts w:ascii="Times New Roman" w:hAnsi="Times New Roman" w:cs="Times New Roman" w:eastAsia="Times New Roman" w:hint="default"/>
        </w:rPr>
        <w:t>2011</w:t>
      </w:r>
      <w:r>
        <w:rPr/>
        <w:t>年股票期权激励计划的情况：</w:t>
      </w:r>
      <w:r>
        <w:rPr>
          <w:b w:val="0"/>
          <w:bCs w:val="0"/>
        </w:rPr>
      </w:r>
    </w:p>
    <w:p>
      <w:pPr>
        <w:pStyle w:val="BodyText"/>
        <w:spacing w:line="273" w:lineRule="auto" w:before="21"/>
        <w:ind w:left="532" w:right="0"/>
        <w:jc w:val="left"/>
      </w:pPr>
      <w:r>
        <w:rPr/>
        <w:t>（1）2011年股票期权激励计划的基本情况</w:t>
      </w:r>
      <w:r>
        <w:rPr>
          <w:w w:val="99"/>
        </w:rPr>
        <w:t> </w:t>
      </w:r>
      <w:r>
        <w:rPr>
          <w:w w:val="95"/>
        </w:rPr>
        <w:t>1）2010年11月1日，公司第一届董事会第十五次会议审议通过了《东方财富信息股份有限公司股票期</w:t>
      </w:r>
      <w:r>
        <w:rPr/>
      </w:r>
    </w:p>
    <w:p>
      <w:pPr>
        <w:pStyle w:val="BodyText"/>
        <w:spacing w:line="273" w:lineRule="auto"/>
        <w:ind w:left="532" w:right="0" w:hanging="420"/>
        <w:jc w:val="left"/>
      </w:pPr>
      <w:r>
        <w:rPr/>
        <w:t>权激励计划（草案）》。</w:t>
      </w:r>
      <w:r>
        <w:rPr>
          <w:w w:val="99"/>
        </w:rPr>
        <w:t> </w:t>
      </w:r>
      <w:r>
        <w:rPr>
          <w:spacing w:val="2"/>
          <w:w w:val="95"/>
        </w:rPr>
        <w:t>2）根据中国证监会的反馈意见，公司对《东方财富信息股份有限公司股票期权激励计划（草案）》</w:t>
      </w:r>
      <w:r>
        <w:rPr>
          <w:spacing w:val="2"/>
        </w:rPr>
      </w:r>
    </w:p>
    <w:p>
      <w:pPr>
        <w:pStyle w:val="BodyText"/>
        <w:spacing w:line="273" w:lineRule="auto"/>
        <w:ind w:right="110"/>
        <w:jc w:val="both"/>
      </w:pPr>
      <w:r>
        <w:rPr>
          <w:w w:val="95"/>
        </w:rPr>
        <w:t>进行了适应性修订，形成了《东方财富信息股份有限公司股票期权激励计划（草案修订稿）》（以下简称</w:t>
      </w:r>
      <w:r>
        <w:rPr>
          <w:spacing w:val="42"/>
          <w:w w:val="95"/>
        </w:rPr>
        <w:t> </w:t>
      </w:r>
      <w:r>
        <w:rPr>
          <w:spacing w:val="42"/>
          <w:w w:val="95"/>
        </w:rPr>
      </w:r>
      <w:r>
        <w:rPr>
          <w:spacing w:val="2"/>
          <w:w w:val="95"/>
        </w:rPr>
        <w:t>“《股票期权激励计划》”），并报中国证监会审核无异议；2011年5月10日，公司第二届董事会第五次</w:t>
      </w:r>
      <w:r>
        <w:rPr>
          <w:spacing w:val="41"/>
          <w:w w:val="95"/>
        </w:rPr>
        <w:t> </w:t>
      </w:r>
      <w:r>
        <w:rPr>
          <w:spacing w:val="41"/>
          <w:w w:val="95"/>
        </w:rPr>
      </w:r>
      <w:r>
        <w:rPr/>
        <w:t>会议审议通过了《股票期权激励计划》。</w:t>
      </w:r>
    </w:p>
    <w:p>
      <w:pPr>
        <w:pStyle w:val="BodyText"/>
        <w:spacing w:line="273" w:lineRule="auto"/>
        <w:ind w:right="107" w:firstLine="420"/>
        <w:jc w:val="both"/>
      </w:pPr>
      <w:r>
        <w:rPr>
          <w:w w:val="95"/>
        </w:rPr>
        <w:t>3）2011年5月25日，公司召开2010年年度股东大会，审议通过了《股票期权激励计划》、《关于提请</w:t>
      </w:r>
      <w:r>
        <w:rPr>
          <w:spacing w:val="-94"/>
          <w:w w:val="95"/>
        </w:rPr>
        <w:t> </w:t>
      </w:r>
      <w:r>
        <w:rPr>
          <w:spacing w:val="-94"/>
          <w:w w:val="95"/>
        </w:rPr>
      </w:r>
      <w:r>
        <w:rPr>
          <w:spacing w:val="-5"/>
          <w:w w:val="99"/>
        </w:rPr>
        <w:t>股东大会授权董事会办理股票期权激励计划相关事宜的议案》、《公司股票期权激励计划实施考核办法（修</w:t>
      </w:r>
      <w:r>
        <w:rPr>
          <w:spacing w:val="-76"/>
          <w:w w:val="99"/>
        </w:rPr>
        <w:t> </w:t>
      </w:r>
      <w:r>
        <w:rPr>
          <w:spacing w:val="-76"/>
          <w:w w:val="99"/>
        </w:rPr>
      </w:r>
      <w:r>
        <w:rPr>
          <w:w w:val="95"/>
        </w:rPr>
        <w:t>订稿）》等议案，董事会被授权确定期权授权日、在激励对象符合条件时向激励对象授予股票期权并办理</w:t>
      </w:r>
      <w:r>
        <w:rPr>
          <w:spacing w:val="41"/>
          <w:w w:val="95"/>
        </w:rPr>
        <w:t> </w:t>
      </w:r>
      <w:r>
        <w:rPr>
          <w:spacing w:val="41"/>
          <w:w w:val="95"/>
        </w:rPr>
      </w:r>
      <w:r>
        <w:rPr/>
        <w:t>授予股票期权所必须的全部事宜。</w:t>
      </w:r>
    </w:p>
    <w:p>
      <w:pPr>
        <w:pStyle w:val="BodyText"/>
        <w:spacing w:line="273" w:lineRule="auto"/>
        <w:ind w:right="109" w:firstLine="420"/>
        <w:jc w:val="both"/>
      </w:pPr>
      <w:r>
        <w:rPr>
          <w:w w:val="95"/>
        </w:rPr>
        <w:t>4）2011年5月27日，公司第二届董事会第六次会议审议通过了《关于公司股权激励计划所涉股票期权</w:t>
      </w:r>
      <w:r>
        <w:rPr>
          <w:spacing w:val="-97"/>
          <w:w w:val="95"/>
        </w:rPr>
        <w:t> </w:t>
      </w:r>
      <w:r>
        <w:rPr>
          <w:spacing w:val="-97"/>
          <w:w w:val="95"/>
        </w:rPr>
      </w:r>
      <w:r>
        <w:rPr>
          <w:w w:val="95"/>
        </w:rPr>
        <w:t>首期授予的议案》、《关于公司首期股权激励计划人员调整的议案》、《关于对&lt;公司股票期权激励计划&gt;</w:t>
      </w:r>
      <w:r>
        <w:rPr>
          <w:spacing w:val="41"/>
          <w:w w:val="95"/>
        </w:rPr>
        <w:t> </w:t>
      </w:r>
      <w:r>
        <w:rPr>
          <w:spacing w:val="41"/>
          <w:w w:val="95"/>
        </w:rPr>
      </w:r>
      <w:r>
        <w:rPr>
          <w:spacing w:val="-2"/>
          <w:w w:val="95"/>
        </w:rPr>
        <w:t>涉及的股票期权数量和行权价格进行调整的议案》，根据股东大会的授权，同意授予152名激励对象453.00</w:t>
      </w:r>
      <w:r>
        <w:rPr>
          <w:spacing w:val="47"/>
          <w:w w:val="95"/>
        </w:rPr>
        <w:t> </w:t>
      </w:r>
      <w:r>
        <w:rPr>
          <w:spacing w:val="47"/>
          <w:w w:val="95"/>
        </w:rPr>
      </w:r>
      <w:r>
        <w:rPr>
          <w:spacing w:val="2"/>
          <w:w w:val="95"/>
        </w:rPr>
        <w:t>万份股票期权，确定公司此次股票期权的授予日为2011年5月27日，并依据《股票期权激励计划》所列的</w:t>
      </w:r>
      <w:r>
        <w:rPr>
          <w:spacing w:val="42"/>
          <w:w w:val="95"/>
        </w:rPr>
        <w:t> </w:t>
      </w:r>
      <w:r>
        <w:rPr>
          <w:spacing w:val="42"/>
          <w:w w:val="95"/>
        </w:rPr>
      </w:r>
      <w:r>
        <w:rPr>
          <w:w w:val="95"/>
        </w:rPr>
        <w:t>调整方法将股票期权的行权价格调整为35.70元，预留期权数量调整为37.50万份。股票期权的有效期自首</w:t>
      </w:r>
      <w:r>
        <w:rPr>
          <w:spacing w:val="37"/>
          <w:w w:val="95"/>
        </w:rPr>
        <w:t> </w:t>
      </w:r>
      <w:r>
        <w:rPr>
          <w:spacing w:val="37"/>
          <w:w w:val="95"/>
        </w:rPr>
      </w:r>
      <w:r>
        <w:rPr>
          <w:spacing w:val="2"/>
          <w:w w:val="95"/>
        </w:rPr>
        <w:t>次股票期权授予之日起计算，最长不超过6年。自授权日起满12个月后，激励对象应在未来48个月内分四</w:t>
      </w:r>
      <w:r>
        <w:rPr>
          <w:spacing w:val="43"/>
          <w:w w:val="95"/>
        </w:rPr>
        <w:t> </w:t>
      </w:r>
      <w:r>
        <w:rPr>
          <w:spacing w:val="43"/>
          <w:w w:val="95"/>
        </w:rPr>
      </w:r>
      <w:r>
        <w:rPr/>
        <w:t>次行权，每一个行权期可行权数量占获授权数量的25%。</w:t>
      </w:r>
    </w:p>
    <w:p>
      <w:pPr>
        <w:pStyle w:val="BodyText"/>
        <w:spacing w:line="273" w:lineRule="auto"/>
        <w:ind w:right="110" w:firstLine="420"/>
        <w:jc w:val="both"/>
      </w:pPr>
      <w:r>
        <w:rPr>
          <w:spacing w:val="2"/>
          <w:w w:val="95"/>
        </w:rPr>
        <w:t>5）2012年3月29日，公司召开了第二届董事会第十三次会议，审议通过了《关于对&lt;股票期权激励计</w:t>
      </w:r>
      <w:r>
        <w:rPr>
          <w:spacing w:val="-90"/>
          <w:w w:val="95"/>
        </w:rPr>
        <w:t> </w:t>
      </w:r>
      <w:r>
        <w:rPr>
          <w:spacing w:val="-90"/>
          <w:w w:val="95"/>
        </w:rPr>
      </w:r>
      <w:r>
        <w:rPr>
          <w:w w:val="95"/>
        </w:rPr>
        <w:t>划&gt;激励对象及所涉股票期权数量进行调整的议案》，截至2012年3月20日，《股票期权激励计划》中首次</w:t>
      </w:r>
      <w:r>
        <w:rPr>
          <w:spacing w:val="43"/>
          <w:w w:val="95"/>
        </w:rPr>
        <w:t> </w:t>
      </w:r>
      <w:r>
        <w:rPr>
          <w:spacing w:val="43"/>
          <w:w w:val="95"/>
        </w:rPr>
      </w:r>
      <w:r>
        <w:rPr>
          <w:spacing w:val="4"/>
        </w:rPr>
        <w:t>授予期权的激励对象方玉书等25人因个人原因在期权授予之后行权之前离职，所涉及股票期权数量共计</w:t>
      </w:r>
      <w:r>
        <w:rPr>
          <w:w w:val="99"/>
        </w:rPr>
        <w:t> </w:t>
      </w:r>
      <w:r>
        <w:rPr/>
        <w:t>97.20万份，根据《股票期权激励计划》，上述人员已不具备激励对象资格，所涉股票期权将注销。</w:t>
      </w:r>
    </w:p>
    <w:p>
      <w:pPr>
        <w:pStyle w:val="BodyText"/>
        <w:spacing w:line="273" w:lineRule="auto"/>
        <w:ind w:right="110" w:firstLine="420"/>
        <w:jc w:val="both"/>
      </w:pPr>
      <w:r>
        <w:rPr>
          <w:w w:val="95"/>
        </w:rPr>
        <w:t>6）2012年3月19日召开的2011年度股东大会审议通过了《关于2011年度资本公积金转增股本及利润分</w:t>
      </w:r>
      <w:r>
        <w:rPr>
          <w:w w:val="99"/>
        </w:rPr>
        <w:t> </w:t>
      </w:r>
      <w:r>
        <w:rPr>
          <w:w w:val="95"/>
        </w:rPr>
        <w:t>配预案及修订〈东方财富信息股份有限公司章程〉相应条款的议案》，使得股本由原来的21,000万股增加</w:t>
      </w:r>
      <w:r>
        <w:rPr>
          <w:spacing w:val="45"/>
          <w:w w:val="95"/>
        </w:rPr>
        <w:t> </w:t>
      </w:r>
      <w:r>
        <w:rPr>
          <w:spacing w:val="45"/>
          <w:w w:val="95"/>
        </w:rPr>
      </w:r>
      <w:r>
        <w:rPr>
          <w:w w:val="95"/>
        </w:rPr>
        <w:t>到33,600万股，根据股票激励计划的规定，若在行权前公司有资本公积转增资本、配送股票红利、股票细</w:t>
      </w:r>
      <w:r>
        <w:rPr>
          <w:spacing w:val="42"/>
          <w:w w:val="95"/>
        </w:rPr>
        <w:t> </w:t>
      </w:r>
      <w:r>
        <w:rPr>
          <w:spacing w:val="42"/>
          <w:w w:val="95"/>
        </w:rPr>
      </w:r>
      <w:r>
        <w:rPr>
          <w:w w:val="95"/>
        </w:rPr>
        <w:t>拆或缩股等事项，应当对股票期权的数量和行权价格进行调整，同时由于部分人员离职而导致股票期权数</w:t>
      </w:r>
      <w:r>
        <w:rPr>
          <w:spacing w:val="37"/>
          <w:w w:val="95"/>
        </w:rPr>
        <w:t> </w:t>
      </w:r>
      <w:r>
        <w:rPr>
          <w:spacing w:val="37"/>
          <w:w w:val="95"/>
        </w:rPr>
      </w:r>
      <w:r>
        <w:rPr>
          <w:w w:val="95"/>
        </w:rPr>
        <w:t>量变动，为此，2012年4月18日公司召开了第二届董事会第十四次会议，审议通过了《关于调整&lt;股票期权</w:t>
      </w:r>
      <w:r>
        <w:rPr>
          <w:spacing w:val="44"/>
          <w:w w:val="95"/>
        </w:rPr>
        <w:t> </w:t>
      </w:r>
      <w:r>
        <w:rPr>
          <w:spacing w:val="44"/>
          <w:w w:val="95"/>
        </w:rPr>
      </w:r>
      <w:r>
        <w:rPr>
          <w:spacing w:val="2"/>
          <w:w w:val="95"/>
        </w:rPr>
        <w:t>激励计划&gt;期权数量及行权价格的议案》，经此次调整后，首次授予股票期权数量为567.36万份，预留部</w:t>
      </w:r>
      <w:r>
        <w:rPr>
          <w:spacing w:val="42"/>
          <w:w w:val="95"/>
        </w:rPr>
        <w:t> </w:t>
      </w:r>
      <w:r>
        <w:rPr>
          <w:spacing w:val="42"/>
          <w:w w:val="95"/>
        </w:rPr>
      </w:r>
      <w:r>
        <w:rPr/>
        <w:t>分股票期权数量为60.00万份。首次授予的股票期权的行权价格为22.25元。</w:t>
      </w:r>
    </w:p>
    <w:p>
      <w:pPr>
        <w:pStyle w:val="BodyText"/>
        <w:spacing w:line="273" w:lineRule="auto"/>
        <w:ind w:right="112" w:firstLine="420"/>
        <w:jc w:val="both"/>
      </w:pPr>
      <w:r>
        <w:rPr>
          <w:w w:val="95"/>
        </w:rPr>
        <w:t>7)2012年5月3日，公司第二届董事会第十五次会议审议通过了《关于公司首期股票期权激励计划预留</w:t>
      </w:r>
      <w:r>
        <w:rPr>
          <w:w w:val="99"/>
        </w:rPr>
        <w:t> </w:t>
      </w:r>
      <w:r>
        <w:rPr>
          <w:spacing w:val="2"/>
          <w:w w:val="95"/>
        </w:rPr>
        <w:t>期权授予相关事项的议案》，同意授予12名激励对象60.00万份股票期权，确定公司预留股票期权的授予</w:t>
      </w:r>
      <w:r>
        <w:rPr>
          <w:spacing w:val="42"/>
          <w:w w:val="95"/>
        </w:rPr>
        <w:t> </w:t>
      </w:r>
      <w:r>
        <w:rPr>
          <w:spacing w:val="42"/>
          <w:w w:val="95"/>
        </w:rPr>
      </w:r>
      <w:r>
        <w:rPr/>
        <w:t>日为2012年5月3日，行权价格为15.09元。</w:t>
      </w:r>
    </w:p>
    <w:p>
      <w:pPr>
        <w:pStyle w:val="BodyText"/>
        <w:spacing w:line="273" w:lineRule="auto"/>
        <w:ind w:right="115" w:firstLine="420"/>
        <w:jc w:val="both"/>
      </w:pPr>
      <w:r>
        <w:rPr>
          <w:w w:val="95"/>
        </w:rPr>
        <w:t>8)2013年10月23日，公司第二届董事会第二十二次会议审议通过了《关于注销公司股权激励计划部分</w:t>
      </w:r>
      <w:r>
        <w:rPr>
          <w:w w:val="99"/>
        </w:rPr>
        <w:t> </w:t>
      </w:r>
      <w:r>
        <w:rPr/>
        <w:t>已授期权的议案》，就下列事项而对部分股票期权进行注销:</w:t>
      </w:r>
    </w:p>
    <w:p>
      <w:pPr>
        <w:pStyle w:val="BodyText"/>
        <w:spacing w:line="240" w:lineRule="auto"/>
        <w:ind w:left="532" w:right="0"/>
        <w:jc w:val="left"/>
      </w:pPr>
      <w:r>
        <w:rPr/>
        <w:t>①截至 2013 年 10 月 15 日，首次授予期权的激励对象廖双辉等 33</w:t>
      </w:r>
      <w:r>
        <w:rPr>
          <w:spacing w:val="-42"/>
        </w:rPr>
        <w:t> </w:t>
      </w:r>
      <w:r>
        <w:rPr/>
        <w:t>人因个人原因在期权授予之后</w:t>
      </w:r>
    </w:p>
    <w:p>
      <w:pPr>
        <w:pStyle w:val="BodyText"/>
        <w:spacing w:line="273" w:lineRule="auto" w:before="37"/>
        <w:ind w:right="196"/>
        <w:jc w:val="both"/>
      </w:pPr>
      <w:r>
        <w:rPr/>
        <w:t>行权之前离职，所涉及股票期权数量 64.08</w:t>
      </w:r>
      <w:r>
        <w:rPr>
          <w:spacing w:val="-21"/>
        </w:rPr>
        <w:t> </w:t>
      </w:r>
      <w:r>
        <w:rPr/>
        <w:t>万份，根据《股票期权激励计划》，其已不具备激励对象资</w:t>
      </w:r>
      <w:r>
        <w:rPr>
          <w:w w:val="99"/>
        </w:rPr>
        <w:t> </w:t>
      </w:r>
      <w:r>
        <w:rPr/>
        <w:t>格，所授予的股票期权将注销。</w:t>
      </w:r>
    </w:p>
    <w:p>
      <w:pPr>
        <w:pStyle w:val="BodyText"/>
        <w:spacing w:line="273" w:lineRule="auto"/>
        <w:ind w:right="112" w:firstLine="420"/>
        <w:jc w:val="both"/>
      </w:pPr>
      <w:r>
        <w:rPr>
          <w:w w:val="95"/>
        </w:rPr>
        <w:t>②公司首次授予期权的第一个行权期为2012年5月27日至2013年5月26日，行权有效期内，公司股价一</w:t>
      </w:r>
      <w:r>
        <w:rPr>
          <w:w w:val="99"/>
        </w:rPr>
        <w:t> </w:t>
      </w:r>
      <w:r>
        <w:rPr>
          <w:w w:val="95"/>
        </w:rPr>
        <w:t>直低于行权价格，未有激励对象申请行权。根据《股票期权激励计划》，已获授但未在相应的行权期内行</w:t>
      </w:r>
      <w:r>
        <w:rPr>
          <w:spacing w:val="37"/>
          <w:w w:val="95"/>
        </w:rPr>
        <w:t> </w:t>
      </w:r>
      <w:r>
        <w:rPr>
          <w:spacing w:val="37"/>
          <w:w w:val="95"/>
        </w:rPr>
      </w:r>
      <w:r>
        <w:rPr/>
        <w:t>权的股票期权不得行权，由公司注销。</w:t>
      </w:r>
    </w:p>
    <w:p>
      <w:pPr>
        <w:pStyle w:val="BodyText"/>
        <w:spacing w:line="273" w:lineRule="auto"/>
        <w:ind w:right="112" w:firstLine="420"/>
        <w:jc w:val="both"/>
      </w:pPr>
      <w:r>
        <w:rPr>
          <w:w w:val="95"/>
        </w:rPr>
        <w:t>③首次授予期权的第二个行权期业绩未达到行权条件。根据《股票期权激励计划》，如公司业绩考核</w:t>
      </w:r>
      <w:r>
        <w:rPr>
          <w:w w:val="99"/>
        </w:rPr>
        <w:t> </w:t>
      </w:r>
      <w:r>
        <w:rPr/>
        <w:t>达不到行权条件，则激励对象相对应行权期所获授的可行权数量由公司注销。</w:t>
      </w:r>
    </w:p>
    <w:p>
      <w:pPr>
        <w:pStyle w:val="BodyText"/>
        <w:spacing w:line="240" w:lineRule="auto"/>
        <w:ind w:left="532" w:right="0"/>
        <w:jc w:val="left"/>
      </w:pPr>
      <w:r>
        <w:rPr/>
        <w:t>经过此次调整注销后首次期权授予的激励对象人数减少至93人，首次授予的股票期权数量减少为</w:t>
      </w:r>
    </w:p>
    <w:p>
      <w:pPr>
        <w:spacing w:after="0" w:line="240" w:lineRule="auto"/>
        <w:jc w:val="left"/>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BodyText"/>
        <w:spacing w:line="240" w:lineRule="auto" w:before="34"/>
        <w:ind w:right="105"/>
        <w:jc w:val="left"/>
      </w:pPr>
      <w:r>
        <w:rPr/>
        <w:t>251.64万份。授予的预留期权的数量减少为45.00万份。</w:t>
      </w:r>
    </w:p>
    <w:p>
      <w:pPr>
        <w:pStyle w:val="BodyText"/>
        <w:spacing w:line="273" w:lineRule="auto" w:before="37"/>
        <w:ind w:right="105" w:firstLine="420"/>
        <w:jc w:val="left"/>
      </w:pPr>
      <w:r>
        <w:rPr>
          <w:w w:val="95"/>
        </w:rPr>
        <w:t>9)2013年10月23日，公司第二届董事会第二十二次会议审议通过了《关于调整公司股权激励计划期权</w:t>
      </w:r>
      <w:r>
        <w:rPr>
          <w:w w:val="99"/>
        </w:rPr>
        <w:t> </w:t>
      </w:r>
      <w:r>
        <w:rPr/>
        <w:t>数量和行权价格的议案》，因下列事项对股权激励计划的股票期权数量和行权价格进行调整：</w:t>
      </w:r>
    </w:p>
    <w:p>
      <w:pPr>
        <w:pStyle w:val="BodyText"/>
        <w:spacing w:line="273" w:lineRule="auto"/>
        <w:ind w:right="105" w:firstLine="420"/>
        <w:jc w:val="left"/>
      </w:pPr>
      <w:r>
        <w:rPr>
          <w:w w:val="95"/>
        </w:rPr>
        <w:t>公司2012年年度股东大会审议通过了《关于2012年度资本公积金转增股本及利润分配预案及修订〈东</w:t>
      </w:r>
      <w:r>
        <w:rPr>
          <w:w w:val="99"/>
        </w:rPr>
        <w:t> </w:t>
      </w:r>
      <w:r>
        <w:rPr>
          <w:w w:val="95"/>
        </w:rPr>
        <w:t>方财富信息股份有限公司章程〉相应条款的议案》，以总股本33,600万股为基础，用资本公积金向全体股</w:t>
      </w:r>
      <w:r>
        <w:rPr>
          <w:spacing w:val="38"/>
          <w:w w:val="95"/>
        </w:rPr>
        <w:t> </w:t>
      </w:r>
      <w:r>
        <w:rPr>
          <w:spacing w:val="38"/>
          <w:w w:val="95"/>
        </w:rPr>
      </w:r>
      <w:r>
        <w:rPr>
          <w:w w:val="95"/>
        </w:rPr>
        <w:t>东每10股转增10股，同时，每10股派发现金股利人民币1.00元（含税）。此次资本公积金转增股本及利润</w:t>
      </w:r>
      <w:r>
        <w:rPr>
          <w:spacing w:val="37"/>
          <w:w w:val="95"/>
        </w:rPr>
        <w:t> </w:t>
      </w:r>
      <w:r>
        <w:rPr>
          <w:spacing w:val="37"/>
          <w:w w:val="95"/>
        </w:rPr>
      </w:r>
      <w:r>
        <w:rPr/>
        <w:t>分配已于2013年5月17日实施完毕。根据《股票期权激励计划》的规定，需对公司股权激励计划的股票期</w:t>
      </w:r>
      <w:r>
        <w:rPr>
          <w:w w:val="99"/>
        </w:rPr>
        <w:t> </w:t>
      </w:r>
      <w:r>
        <w:rPr/>
        <w:t>权数量和行权价格进行调整。</w:t>
      </w:r>
    </w:p>
    <w:p>
      <w:pPr>
        <w:pStyle w:val="BodyText"/>
        <w:spacing w:line="273" w:lineRule="auto"/>
        <w:ind w:right="105" w:firstLine="420"/>
        <w:jc w:val="left"/>
      </w:pPr>
      <w:r>
        <w:rPr>
          <w:w w:val="95"/>
        </w:rPr>
        <w:t>经此次调整后，首次授予股票期权数量为503.28万份，行权价为11.08元，授予的预留部分股票期权</w:t>
      </w:r>
      <w:r>
        <w:rPr>
          <w:spacing w:val="-85"/>
          <w:w w:val="95"/>
        </w:rPr>
        <w:t> </w:t>
      </w:r>
      <w:r>
        <w:rPr>
          <w:spacing w:val="-85"/>
          <w:w w:val="95"/>
        </w:rPr>
      </w:r>
      <w:r>
        <w:rPr/>
        <w:t>数量为90.00万份，行权价为7.50元。</w:t>
      </w:r>
    </w:p>
    <w:p>
      <w:pPr>
        <w:pStyle w:val="BodyText"/>
        <w:spacing w:line="273" w:lineRule="auto"/>
        <w:ind w:right="105" w:firstLine="420"/>
        <w:jc w:val="left"/>
      </w:pPr>
      <w:r>
        <w:rPr>
          <w:w w:val="95"/>
        </w:rPr>
        <w:t>10)2014年8月21日，公司第三届董事会第六次会议审议通过了《关于注销公司股权激励计划部分已授</w:t>
      </w:r>
      <w:r>
        <w:rPr>
          <w:w w:val="99"/>
        </w:rPr>
        <w:t> </w:t>
      </w:r>
      <w:r>
        <w:rPr/>
        <w:t>期权的议案》，就下列事项而对部分股票期权进行注销:</w:t>
      </w:r>
    </w:p>
    <w:p>
      <w:pPr>
        <w:pStyle w:val="BodyText"/>
        <w:spacing w:line="240" w:lineRule="auto"/>
        <w:ind w:left="532" w:right="105"/>
        <w:jc w:val="left"/>
      </w:pPr>
      <w:r>
        <w:rPr/>
        <w:t>①首次授予期权的激励对象邹纯洁等 9</w:t>
      </w:r>
      <w:r>
        <w:rPr>
          <w:spacing w:val="-22"/>
        </w:rPr>
        <w:t> </w:t>
      </w:r>
      <w:r>
        <w:rPr/>
        <w:t>人因个人原因在期权授予之后行权之前离职，所涉及股票期</w:t>
      </w:r>
    </w:p>
    <w:p>
      <w:pPr>
        <w:pStyle w:val="BodyText"/>
        <w:spacing w:line="240" w:lineRule="auto" w:before="37"/>
        <w:ind w:right="0"/>
        <w:jc w:val="left"/>
      </w:pPr>
      <w:r>
        <w:rPr/>
        <w:t>权数量 10.08</w:t>
      </w:r>
      <w:r>
        <w:rPr>
          <w:spacing w:val="-44"/>
        </w:rPr>
        <w:t> </w:t>
      </w:r>
      <w:r>
        <w:rPr/>
        <w:t>万份，根据《股票期权激励计划》，其已不具备激励对象资格，所授予的股票期权将注销。</w:t>
      </w:r>
    </w:p>
    <w:p>
      <w:pPr>
        <w:pStyle w:val="BodyText"/>
        <w:spacing w:line="273" w:lineRule="auto" w:before="37"/>
        <w:ind w:right="105" w:firstLine="420"/>
        <w:jc w:val="left"/>
      </w:pPr>
      <w:r>
        <w:rPr>
          <w:w w:val="95"/>
        </w:rPr>
        <w:t>②第三个行权期业绩未达到行权条件,根据《股票期权激励计划》，如公司业绩考核达不到行权条件，</w:t>
      </w:r>
      <w:r>
        <w:rPr>
          <w:spacing w:val="-96"/>
          <w:w w:val="95"/>
        </w:rPr>
        <w:t> </w:t>
      </w:r>
      <w:r>
        <w:rPr>
          <w:spacing w:val="-96"/>
          <w:w w:val="95"/>
        </w:rPr>
      </w:r>
      <w:r>
        <w:rPr/>
        <w:t>则激励对象相对应行权期所获授的可行权数量由公司注销。因此，公司将注销第三个行权期内的股票期权</w:t>
      </w:r>
      <w:r>
        <w:rPr>
          <w:w w:val="99"/>
        </w:rPr>
        <w:t> </w:t>
      </w:r>
      <w:r>
        <w:rPr/>
        <w:t>246.24万份。</w:t>
      </w:r>
    </w:p>
    <w:p>
      <w:pPr>
        <w:pStyle w:val="BodyText"/>
        <w:spacing w:line="273" w:lineRule="auto"/>
        <w:ind w:right="214" w:firstLine="420"/>
        <w:jc w:val="left"/>
      </w:pPr>
      <w:r>
        <w:rPr/>
        <w:t>③授予预留期权的激励对象崔沁因个人原因在期权授予之后行权之前离职，所涉及股票期权数量</w:t>
      </w:r>
      <w:r>
        <w:rPr>
          <w:w w:val="99"/>
        </w:rPr>
        <w:t> </w:t>
      </w:r>
      <w:r>
        <w:rPr/>
        <w:t>4.80</w:t>
      </w:r>
      <w:r>
        <w:rPr>
          <w:spacing w:val="-12"/>
        </w:rPr>
        <w:t> </w:t>
      </w:r>
      <w:r>
        <w:rPr/>
        <w:t>万份，根据《股票期权激励计划》，其已不具备激励对象资格，所授予的股票期权将注销。第二个</w:t>
      </w:r>
      <w:r>
        <w:rPr>
          <w:w w:val="99"/>
        </w:rPr>
        <w:t> </w:t>
      </w:r>
      <w:r>
        <w:rPr/>
        <w:t>行权期业绩未达到行权条件,根据《股票期权激励计划》，如公司业绩考核达不到行权条件，则激励对象</w:t>
      </w:r>
      <w:r>
        <w:rPr>
          <w:w w:val="99"/>
        </w:rPr>
        <w:t> </w:t>
      </w:r>
      <w:r>
        <w:rPr>
          <w:w w:val="95"/>
        </w:rPr>
        <w:t>相对应行权期所获授的可行权数量由公司注销。因此，公司将注销预留授予期权第二个行权期的股票期权</w:t>
      </w:r>
      <w:r>
        <w:rPr/>
      </w:r>
    </w:p>
    <w:p>
      <w:pPr>
        <w:pStyle w:val="BodyText"/>
        <w:spacing w:line="240" w:lineRule="auto"/>
        <w:ind w:right="105"/>
        <w:jc w:val="left"/>
      </w:pPr>
      <w:r>
        <w:rPr/>
        <w:t>28.40</w:t>
      </w:r>
      <w:r>
        <w:rPr>
          <w:spacing w:val="-3"/>
        </w:rPr>
        <w:t> </w:t>
      </w:r>
      <w:r>
        <w:rPr/>
        <w:t>万份。</w:t>
      </w:r>
    </w:p>
    <w:p>
      <w:pPr>
        <w:pStyle w:val="BodyText"/>
        <w:spacing w:line="273" w:lineRule="auto" w:before="37"/>
        <w:ind w:right="105" w:firstLine="420"/>
        <w:jc w:val="left"/>
      </w:pPr>
      <w:r>
        <w:rPr>
          <w:w w:val="95"/>
        </w:rPr>
        <w:t>经过本次注销，首次期权授予的激励对象人数减少至84人，首次授予的股票期权数量减少至246.24万</w:t>
      </w:r>
      <w:r>
        <w:rPr>
          <w:w w:val="99"/>
        </w:rPr>
        <w:t> </w:t>
      </w:r>
      <w:r>
        <w:rPr/>
        <w:t>份，授予预留期权的激励对象人数减少至11人，授予的预留期权数量减少至56.80万份。</w:t>
      </w:r>
    </w:p>
    <w:p>
      <w:pPr>
        <w:pStyle w:val="BodyText"/>
        <w:spacing w:line="273" w:lineRule="auto"/>
        <w:ind w:right="105" w:firstLine="420"/>
        <w:jc w:val="left"/>
      </w:pPr>
      <w:r>
        <w:rPr/>
        <w:t>11）2014年8月21日，公司第三届董事会第六次会议审议通过了《关于调整公司股权激励计划期权数</w:t>
      </w:r>
      <w:r>
        <w:rPr>
          <w:w w:val="99"/>
        </w:rPr>
        <w:t> </w:t>
      </w:r>
      <w:r>
        <w:rPr>
          <w:w w:val="95"/>
        </w:rPr>
        <w:t>量和行权价格的议案》，就下列事项对首次授予期权、授予的预留期权的股票期权数量和行权价格分别进</w:t>
      </w:r>
      <w:r>
        <w:rPr>
          <w:spacing w:val="37"/>
          <w:w w:val="95"/>
        </w:rPr>
        <w:t> </w:t>
      </w:r>
      <w:r>
        <w:rPr>
          <w:spacing w:val="37"/>
          <w:w w:val="95"/>
        </w:rPr>
      </w:r>
      <w:r>
        <w:rPr/>
        <w:t>行调整：公司 2013 年年度股东大会审议通过了《关于 2013</w:t>
      </w:r>
      <w:r>
        <w:rPr>
          <w:spacing w:val="-45"/>
        </w:rPr>
        <w:t> </w:t>
      </w:r>
      <w:r>
        <w:rPr/>
        <w:t>年度资本公积金转增股本及利润分配预案及</w:t>
      </w:r>
    </w:p>
    <w:p>
      <w:pPr>
        <w:pStyle w:val="BodyText"/>
        <w:spacing w:line="240" w:lineRule="auto"/>
        <w:ind w:right="105"/>
        <w:jc w:val="left"/>
      </w:pPr>
      <w:r>
        <w:rPr/>
        <w:t>修订〈东方财富信息股份有限公司章程〉相应条款的议案》，以总股本 67,200</w:t>
      </w:r>
      <w:r>
        <w:rPr>
          <w:spacing w:val="-45"/>
        </w:rPr>
        <w:t> </w:t>
      </w:r>
      <w:r>
        <w:rPr/>
        <w:t>万股为基础，用资本公积</w:t>
      </w:r>
    </w:p>
    <w:p>
      <w:pPr>
        <w:pStyle w:val="BodyText"/>
        <w:spacing w:line="273" w:lineRule="auto" w:before="37"/>
        <w:ind w:right="105"/>
        <w:jc w:val="left"/>
      </w:pPr>
      <w:r>
        <w:rPr/>
        <w:t>金向全体股东每10 股转增 8 股，同时，每 10 股派发现金股利人民币 0.20</w:t>
      </w:r>
      <w:r>
        <w:rPr>
          <w:spacing w:val="-43"/>
        </w:rPr>
        <w:t> </w:t>
      </w:r>
      <w:r>
        <w:rPr/>
        <w:t>元（含税）。根据《股票期</w:t>
      </w:r>
      <w:r>
        <w:rPr>
          <w:w w:val="99"/>
        </w:rPr>
        <w:t> </w:t>
      </w:r>
      <w:r>
        <w:rPr/>
        <w:t>权激励计划》的规定，需对公司股权激励计划的股票期权数量和行权价格进行调整。</w:t>
      </w:r>
    </w:p>
    <w:p>
      <w:pPr>
        <w:pStyle w:val="BodyText"/>
        <w:spacing w:line="273" w:lineRule="auto"/>
        <w:ind w:right="105" w:firstLine="420"/>
        <w:jc w:val="left"/>
      </w:pPr>
      <w:r>
        <w:rPr>
          <w:w w:val="95"/>
        </w:rPr>
        <w:t>经此次调整后，首次授予股票期权数量为443.232万份，行权价为6.14元，授予的预留股票期权数量</w:t>
      </w:r>
      <w:r>
        <w:rPr>
          <w:spacing w:val="-85"/>
          <w:w w:val="95"/>
        </w:rPr>
        <w:t> </w:t>
      </w:r>
      <w:r>
        <w:rPr>
          <w:spacing w:val="-85"/>
          <w:w w:val="95"/>
        </w:rPr>
      </w:r>
      <w:r>
        <w:rPr/>
        <w:t>为102.24万份，行权价为4.16元。</w:t>
      </w:r>
    </w:p>
    <w:p>
      <w:pPr>
        <w:pStyle w:val="BodyText"/>
        <w:spacing w:line="273" w:lineRule="auto"/>
        <w:ind w:left="532" w:right="212"/>
        <w:jc w:val="left"/>
      </w:pPr>
      <w:r>
        <w:rPr/>
        <w:t>（2）2011年股票期权激励计划授予日权益工具公允价值的确定方法：</w:t>
      </w:r>
      <w:r>
        <w:rPr>
          <w:w w:val="99"/>
        </w:rPr>
        <w:t> </w:t>
      </w:r>
      <w:r>
        <w:rPr>
          <w:spacing w:val="2"/>
          <w:w w:val="95"/>
        </w:rPr>
        <w:t>公司采用期权定价模型（black-scholes模型）的方式估计确定首次实施股票期权激励计划在授予日</w:t>
      </w:r>
      <w:r>
        <w:rPr>
          <w:spacing w:val="2"/>
        </w:rPr>
      </w:r>
    </w:p>
    <w:p>
      <w:pPr>
        <w:pStyle w:val="BodyText"/>
        <w:spacing w:line="240" w:lineRule="auto"/>
        <w:ind w:right="105"/>
        <w:jc w:val="left"/>
      </w:pPr>
      <w:r>
        <w:rPr/>
        <w:t>的公允价值。</w:t>
      </w:r>
    </w:p>
    <w:p>
      <w:pPr>
        <w:pStyle w:val="BodyText"/>
        <w:spacing w:line="273" w:lineRule="auto" w:before="37"/>
        <w:ind w:right="105" w:firstLine="420"/>
        <w:jc w:val="left"/>
      </w:pPr>
      <w:r>
        <w:rPr>
          <w:w w:val="95"/>
        </w:rPr>
        <w:t>（3）根据《企业会计准则第11号——股份支付》的有关规定，公司将在等待期的每个资产负债表日，</w:t>
      </w:r>
      <w:r>
        <w:rPr>
          <w:spacing w:val="-93"/>
          <w:w w:val="95"/>
        </w:rPr>
        <w:t> </w:t>
      </w:r>
      <w:r>
        <w:rPr>
          <w:spacing w:val="-93"/>
          <w:w w:val="95"/>
        </w:rPr>
      </w:r>
      <w:r>
        <w:rPr/>
        <w:t>根据最新取得的可行权人数变动、业绩指标完成情况等后续信息，修正预计可行权的股票期权数量，并按</w:t>
      </w:r>
      <w:r>
        <w:rPr>
          <w:w w:val="99"/>
        </w:rPr>
        <w:t> </w:t>
      </w:r>
      <w:r>
        <w:rPr/>
        <w:t>照股票期权授权日的公允价值，将当期取得的服务计入相关成本或费用和资本公积。</w:t>
      </w:r>
    </w:p>
    <w:p>
      <w:pPr>
        <w:pStyle w:val="BodyText"/>
        <w:spacing w:line="273" w:lineRule="auto"/>
        <w:ind w:right="199" w:firstLine="420"/>
        <w:jc w:val="left"/>
      </w:pPr>
      <w:r>
        <w:rPr>
          <w:spacing w:val="8"/>
        </w:rPr>
        <w:t>截止</w:t>
      </w:r>
      <w:r>
        <w:rPr>
          <w:spacing w:val="-98"/>
        </w:rPr>
        <w:t> </w:t>
      </w:r>
      <w:r>
        <w:rPr>
          <w:spacing w:val="3"/>
        </w:rPr>
        <w:t>2014年</w:t>
      </w:r>
      <w:r>
        <w:rPr>
          <w:spacing w:val="-98"/>
        </w:rPr>
        <w:t> </w:t>
      </w:r>
      <w:r>
        <w:rPr>
          <w:spacing w:val="14"/>
        </w:rPr>
        <w:t>12月31日，2011年股权激励计划在资本公积中以权益结算的股份支付的累计金额为</w:t>
      </w:r>
      <w:r>
        <w:rPr>
          <w:w w:val="99"/>
        </w:rPr>
        <w:t> </w:t>
      </w:r>
      <w:r>
        <w:rPr/>
        <w:t>2,276,200.00元，以权益结算的股份支付确认的费用总额为2,276,200.00元。</w:t>
      </w:r>
    </w:p>
    <w:p>
      <w:pPr>
        <w:pStyle w:val="Heading5"/>
        <w:spacing w:line="240" w:lineRule="auto" w:before="7"/>
        <w:ind w:left="832" w:right="105"/>
        <w:jc w:val="left"/>
        <w:rPr>
          <w:b w:val="0"/>
          <w:bCs w:val="0"/>
        </w:rPr>
      </w:pPr>
      <w:r>
        <w:rPr/>
        <w:t>关于公司</w:t>
      </w:r>
      <w:r>
        <w:rPr>
          <w:rFonts w:ascii="Times New Roman" w:hAnsi="Times New Roman" w:cs="Times New Roman" w:eastAsia="Times New Roman" w:hint="default"/>
        </w:rPr>
        <w:t>2014</w:t>
      </w:r>
      <w:r>
        <w:rPr/>
        <w:t>年实施的股票期权激励计划的情况：</w:t>
      </w:r>
      <w:r>
        <w:rPr>
          <w:b w:val="0"/>
          <w:bCs w:val="0"/>
        </w:rPr>
      </w:r>
    </w:p>
    <w:p>
      <w:pPr>
        <w:pStyle w:val="BodyText"/>
        <w:spacing w:line="273" w:lineRule="auto" w:before="21"/>
        <w:ind w:left="532" w:right="105"/>
        <w:jc w:val="left"/>
      </w:pPr>
      <w:r>
        <w:rPr/>
        <w:t>（1）2014年股票期权激励计划的基本情况</w:t>
      </w:r>
      <w:r>
        <w:rPr>
          <w:w w:val="99"/>
        </w:rPr>
        <w:t> </w:t>
      </w:r>
      <w:r>
        <w:rPr>
          <w:w w:val="95"/>
        </w:rPr>
        <w:t>经本公司2014年第二次临时股东大会审议批准，公司于2014年11月21日起实行一项股份期权计划，据</w:t>
      </w:r>
      <w:r>
        <w:rPr/>
      </w:r>
    </w:p>
    <w:p>
      <w:pPr>
        <w:pStyle w:val="BodyText"/>
        <w:spacing w:line="240" w:lineRule="auto"/>
        <w:ind w:right="105"/>
        <w:jc w:val="left"/>
      </w:pPr>
      <w:r>
        <w:rPr>
          <w:spacing w:val="2"/>
        </w:rPr>
        <w:t>此，本公司董事会获授权酌情授予本公司高级管理人员及其他职工以13.03元的行权对价获得股份期权，</w:t>
      </w:r>
    </w:p>
    <w:p>
      <w:pPr>
        <w:spacing w:after="0" w:line="240" w:lineRule="auto"/>
        <w:jc w:val="left"/>
        <w:sectPr>
          <w:pgSz w:w="11910" w:h="16840"/>
          <w:pgMar w:header="776" w:footer="978" w:top="1100" w:bottom="1160" w:left="1020" w:right="920"/>
        </w:sectPr>
      </w:pPr>
    </w:p>
    <w:p>
      <w:pPr>
        <w:spacing w:line="240" w:lineRule="auto" w:before="12"/>
        <w:rPr>
          <w:rFonts w:ascii="宋体" w:hAnsi="宋体" w:cs="宋体" w:eastAsia="宋体" w:hint="default"/>
          <w:sz w:val="20"/>
          <w:szCs w:val="20"/>
        </w:rPr>
      </w:pPr>
    </w:p>
    <w:p>
      <w:pPr>
        <w:pStyle w:val="BodyText"/>
        <w:spacing w:line="273" w:lineRule="auto" w:before="34"/>
        <w:ind w:right="112"/>
        <w:jc w:val="both"/>
      </w:pPr>
      <w:r>
        <w:rPr>
          <w:spacing w:val="2"/>
          <w:w w:val="95"/>
        </w:rPr>
        <w:t>以认购本公司股份。股份期权的权利在授予日起分4个会计年度进行绩效考核并行权，以达到绩效考核目</w:t>
      </w:r>
      <w:r>
        <w:rPr>
          <w:spacing w:val="49"/>
          <w:w w:val="95"/>
        </w:rPr>
        <w:t> </w:t>
      </w:r>
      <w:r>
        <w:rPr>
          <w:spacing w:val="49"/>
          <w:w w:val="95"/>
        </w:rPr>
      </w:r>
      <w:r>
        <w:rPr>
          <w:w w:val="95"/>
        </w:rPr>
        <w:t>标作为激励对象的行权条件。2014年股票期权首次授予日为2014年11月21日，首次授予激励对象的人数为</w:t>
      </w:r>
      <w:r>
        <w:rPr>
          <w:spacing w:val="37"/>
          <w:w w:val="95"/>
        </w:rPr>
        <w:t> </w:t>
      </w:r>
      <w:r>
        <w:rPr>
          <w:spacing w:val="37"/>
          <w:w w:val="95"/>
        </w:rPr>
      </w:r>
      <w:r>
        <w:rPr/>
        <w:t>176人，股票期权为2655万份。</w:t>
      </w:r>
    </w:p>
    <w:p>
      <w:pPr>
        <w:pStyle w:val="BodyText"/>
        <w:spacing w:line="273" w:lineRule="auto"/>
        <w:ind w:left="532" w:right="112"/>
        <w:jc w:val="left"/>
      </w:pPr>
      <w:r>
        <w:rPr/>
        <w:t>（2）2014年股票期权激励计划授予日权益工具公允价值的确定方法：</w:t>
      </w:r>
      <w:r>
        <w:rPr>
          <w:w w:val="99"/>
        </w:rPr>
        <w:t> </w:t>
      </w:r>
      <w:r>
        <w:rPr>
          <w:spacing w:val="2"/>
          <w:w w:val="95"/>
        </w:rPr>
        <w:t>公司采用期权定价模型（black-scholes模型）的方式估计确定首次实施股票期权激励计划在授予日</w:t>
      </w:r>
      <w:r>
        <w:rPr>
          <w:spacing w:val="2"/>
        </w:rPr>
      </w:r>
    </w:p>
    <w:p>
      <w:pPr>
        <w:pStyle w:val="BodyText"/>
        <w:spacing w:line="240" w:lineRule="auto"/>
        <w:ind w:right="0"/>
        <w:jc w:val="both"/>
      </w:pPr>
      <w:r>
        <w:rPr/>
        <w:t>的公允价值。</w:t>
      </w:r>
    </w:p>
    <w:p>
      <w:pPr>
        <w:pStyle w:val="BodyText"/>
        <w:spacing w:line="273" w:lineRule="auto" w:before="37"/>
        <w:ind w:right="99" w:firstLine="420"/>
        <w:jc w:val="left"/>
      </w:pPr>
      <w:r>
        <w:rPr>
          <w:spacing w:val="8"/>
        </w:rPr>
        <w:t>截止</w:t>
      </w:r>
      <w:r>
        <w:rPr>
          <w:spacing w:val="-98"/>
        </w:rPr>
        <w:t> </w:t>
      </w:r>
      <w:r>
        <w:rPr>
          <w:spacing w:val="3"/>
        </w:rPr>
        <w:t>2014年</w:t>
      </w:r>
      <w:r>
        <w:rPr>
          <w:spacing w:val="-98"/>
        </w:rPr>
        <w:t> </w:t>
      </w:r>
      <w:r>
        <w:rPr>
          <w:spacing w:val="14"/>
        </w:rPr>
        <w:t>12月31日，2014年股权激励计划在资本公积中以权益结算的股份支付的累计金额为</w:t>
      </w:r>
      <w:r>
        <w:rPr>
          <w:w w:val="99"/>
        </w:rPr>
        <w:t> </w:t>
      </w:r>
      <w:r>
        <w:rPr/>
        <w:t>38,603,700.00元，以权益结算的股份支付确认的费用总额为38,603,700.00元。</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11"/>
        <w:gridCol w:w="5457"/>
      </w:tblGrid>
      <w:tr>
        <w:trPr>
          <w:trHeight w:val="714"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77"/>
              <w:jc w:val="left"/>
              <w:rPr>
                <w:rFonts w:ascii="宋体" w:hAnsi="宋体" w:cs="宋体" w:eastAsia="宋体" w:hint="default"/>
                <w:sz w:val="18"/>
                <w:szCs w:val="18"/>
              </w:rPr>
            </w:pPr>
            <w:r>
              <w:rPr>
                <w:rFonts w:ascii="宋体" w:hAnsi="宋体" w:cs="宋体" w:eastAsia="宋体" w:hint="default"/>
                <w:sz w:val="18"/>
                <w:szCs w:val="18"/>
              </w:rPr>
              <w:t>公司采用期权定价模型（</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模型）的方式估计确定首次实 施股票期权激励计划在授予日的公允价值。</w:t>
            </w:r>
          </w:p>
        </w:tc>
      </w:tr>
      <w:tr>
        <w:trPr>
          <w:trHeight w:val="362" w:hRule="exact"/>
        </w:trPr>
        <w:tc>
          <w:tcPr>
            <w:tcW w:w="411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根据《企业会计准则第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股份支付》的有关规定，公司将在等</w:t>
            </w:r>
          </w:p>
        </w:tc>
      </w:tr>
      <w:tr>
        <w:trPr>
          <w:trHeight w:val="308" w:hRule="exact"/>
        </w:trPr>
        <w:tc>
          <w:tcPr>
            <w:tcW w:w="4111" w:type="dxa"/>
            <w:tcBorders>
              <w:top w:val="nil" w:sz="6" w:space="0" w:color="auto"/>
              <w:left w:val="single" w:sz="4" w:space="0" w:color="000000"/>
              <w:bottom w:val="nil" w:sz="6" w:space="0" w:color="auto"/>
              <w:right w:val="single" w:sz="4" w:space="0" w:color="000000"/>
            </w:tcBorders>
            <w:shd w:val="clear" w:color="auto" w:fill="D3D3D3"/>
          </w:tcPr>
          <w:p>
            <w:pPr/>
          </w:p>
        </w:tc>
        <w:tc>
          <w:tcPr>
            <w:tcW w:w="54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待期的每个资产负债表日，根据最新取得的可行权人数变动、业绩指</w:t>
            </w:r>
          </w:p>
        </w:tc>
      </w:tr>
      <w:tr>
        <w:trPr>
          <w:trHeight w:val="312" w:hRule="exact"/>
        </w:trPr>
        <w:tc>
          <w:tcPr>
            <w:tcW w:w="41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4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标完成情况等后续信息，修正预计可行权的股票期权数量，并按照股</w:t>
            </w:r>
          </w:p>
        </w:tc>
      </w:tr>
      <w:tr>
        <w:trPr>
          <w:trHeight w:val="312" w:hRule="exact"/>
        </w:trPr>
        <w:tc>
          <w:tcPr>
            <w:tcW w:w="4111" w:type="dxa"/>
            <w:tcBorders>
              <w:top w:val="nil" w:sz="6" w:space="0" w:color="auto"/>
              <w:left w:val="single" w:sz="4" w:space="0" w:color="000000"/>
              <w:bottom w:val="nil" w:sz="6" w:space="0" w:color="auto"/>
              <w:right w:val="single" w:sz="4" w:space="0" w:color="000000"/>
            </w:tcBorders>
            <w:shd w:val="clear" w:color="auto" w:fill="D3D3D3"/>
          </w:tcPr>
          <w:p>
            <w:pPr/>
          </w:p>
        </w:tc>
        <w:tc>
          <w:tcPr>
            <w:tcW w:w="54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票期权授权日的公允价值，将当期取得的服务计入相关成本或费用和</w:t>
            </w:r>
          </w:p>
        </w:tc>
      </w:tr>
      <w:tr>
        <w:trPr>
          <w:trHeight w:val="356" w:hRule="exact"/>
        </w:trPr>
        <w:tc>
          <w:tcPr>
            <w:tcW w:w="411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40,879,900.00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38,312,558.92</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7" w:lineRule="auto" w:before="0"/>
        <w:ind w:left="112" w:right="688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5"/>
        <w:spacing w:line="240" w:lineRule="auto" w:before="120"/>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spacing w:line="506" w:lineRule="auto" w:before="0"/>
        <w:ind w:left="112" w:right="7324" w:firstLine="0"/>
        <w:jc w:val="left"/>
        <w:rPr>
          <w:rFonts w:ascii="宋体" w:hAnsi="宋体" w:cs="宋体" w:eastAsia="宋体" w:hint="default"/>
          <w:sz w:val="18"/>
          <w:szCs w:val="18"/>
        </w:rPr>
      </w:pP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spacing w:after="0" w:line="506" w:lineRule="auto"/>
        <w:jc w:val="left"/>
        <w:rPr>
          <w:rFonts w:ascii="宋体" w:hAnsi="宋体" w:cs="宋体" w:eastAsia="宋体" w:hint="default"/>
          <w:sz w:val="18"/>
          <w:szCs w:val="18"/>
        </w:rPr>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公司没有需要披露的重要或有事项</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12" w:right="7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十四、资产负债表日后事项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7"/>
        <w:ind w:left="0" w:right="37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44"/>
        <w:ind w:left="0" w:right="384" w:firstLine="0"/>
        <w:jc w:val="right"/>
        <w:rPr>
          <w:rFonts w:ascii="宋体" w:hAnsi="宋体" w:cs="宋体" w:eastAsia="宋体" w:hint="default"/>
          <w:sz w:val="18"/>
          <w:szCs w:val="18"/>
        </w:rPr>
      </w:pPr>
      <w:r>
        <w:rPr/>
        <w:pict>
          <v:shape style="position:absolute;margin-left:56.459999pt;margin-top:-59.938271pt;width:479.15pt;height:118.7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4820"/>
                    <w:gridCol w:w="1701"/>
                    <w:gridCol w:w="1771"/>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94" w:right="34" w:hanging="360"/>
                          <w:jc w:val="left"/>
                          <w:rPr>
                            <w:rFonts w:ascii="宋体" w:hAnsi="宋体" w:cs="宋体" w:eastAsia="宋体" w:hint="default"/>
                            <w:sz w:val="18"/>
                            <w:szCs w:val="18"/>
                          </w:rPr>
                        </w:pPr>
                        <w:r>
                          <w:rPr>
                            <w:rFonts w:ascii="宋体" w:hAnsi="宋体" w:cs="宋体" w:eastAsia="宋体" w:hint="default"/>
                            <w:sz w:val="18"/>
                            <w:szCs w:val="18"/>
                          </w:rPr>
                          <w:t>对财务状况和经营成 果的影响数</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88" w:right="70" w:hanging="720"/>
                          <w:jc w:val="left"/>
                          <w:rPr>
                            <w:rFonts w:ascii="宋体" w:hAnsi="宋体" w:cs="宋体" w:eastAsia="宋体" w:hint="default"/>
                            <w:sz w:val="18"/>
                            <w:szCs w:val="18"/>
                          </w:rPr>
                        </w:pPr>
                        <w:r>
                          <w:rPr>
                            <w:rFonts w:ascii="宋体" w:hAnsi="宋体" w:cs="宋体" w:eastAsia="宋体" w:hint="default"/>
                            <w:sz w:val="18"/>
                            <w:szCs w:val="18"/>
                          </w:rPr>
                          <w:t>无法估计影响数的原 因</w:t>
                        </w:r>
                      </w:p>
                    </w:tc>
                  </w:tr>
                  <w:tr>
                    <w:trPr>
                      <w:trHeight w:val="361" w:hRule="exact"/>
                    </w:trPr>
                    <w:tc>
                      <w:tcPr>
                        <w:tcW w:w="1276"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日第三届董事会第十二次会议，审议通</w:t>
                        </w:r>
                      </w:p>
                    </w:tc>
                    <w:tc>
                      <w:tcPr>
                        <w:tcW w:w="1701" w:type="dxa"/>
                        <w:vMerge w:val="restart"/>
                        <w:tcBorders>
                          <w:top w:val="single" w:sz="4" w:space="0" w:color="000000"/>
                          <w:left w:val="single" w:sz="4" w:space="0" w:color="000000"/>
                          <w:right w:val="single" w:sz="4" w:space="0" w:color="000000"/>
                        </w:tcBorders>
                      </w:tcPr>
                      <w:p>
                        <w:pPr/>
                      </w:p>
                    </w:tc>
                    <w:tc>
                      <w:tcPr>
                        <w:tcW w:w="1771" w:type="dxa"/>
                        <w:tcBorders>
                          <w:top w:val="single" w:sz="4" w:space="0" w:color="000000"/>
                          <w:left w:val="single" w:sz="4" w:space="0" w:color="000000"/>
                          <w:bottom w:val="nil" w:sz="6" w:space="0" w:color="auto"/>
                          <w:right w:val="single" w:sz="4" w:space="0" w:color="000000"/>
                        </w:tcBorders>
                      </w:tcPr>
                      <w:p>
                        <w:pPr/>
                      </w:p>
                    </w:tc>
                  </w:tr>
                  <w:tr>
                    <w:trPr>
                      <w:trHeight w:val="932"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超募资金使用</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09" w:lineRule="auto" w:before="6"/>
                          <w:ind w:left="23" w:right="20"/>
                          <w:jc w:val="left"/>
                          <w:rPr>
                            <w:rFonts w:ascii="宋体" w:hAnsi="宋体" w:cs="宋体" w:eastAsia="宋体" w:hint="default"/>
                            <w:sz w:val="18"/>
                            <w:szCs w:val="18"/>
                          </w:rPr>
                        </w:pPr>
                        <w:r>
                          <w:rPr>
                            <w:rFonts w:ascii="宋体" w:hAnsi="宋体" w:cs="宋体" w:eastAsia="宋体" w:hint="default"/>
                            <w:sz w:val="18"/>
                            <w:szCs w:val="18"/>
                          </w:rPr>
                          <w:t>过了《关于使用部分超募资金购买低风险银行理财产品的议 </w:t>
                        </w:r>
                        <w:r>
                          <w:rPr>
                            <w:rFonts w:ascii="宋体" w:hAnsi="宋体" w:cs="宋体" w:eastAsia="宋体" w:hint="default"/>
                            <w:spacing w:val="-11"/>
                            <w:sz w:val="18"/>
                            <w:szCs w:val="18"/>
                          </w:rPr>
                          <w:t>案》，同意公司使用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万元超募资金购买低风险银行 理财产品。公司保荐机构中国国际金融有限公司核查同意公</w:t>
                        </w:r>
                      </w:p>
                    </w:tc>
                    <w:tc>
                      <w:tcPr>
                        <w:tcW w:w="1701" w:type="dxa"/>
                        <w:vMerge/>
                        <w:tcBorders>
                          <w:left w:val="single" w:sz="4" w:space="0" w:color="000000"/>
                          <w:right w:val="single" w:sz="4" w:space="0" w:color="000000"/>
                        </w:tcBorders>
                      </w:tcPr>
                      <w:p>
                        <w:pP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3" w:right="116"/>
                          <w:jc w:val="left"/>
                          <w:rPr>
                            <w:rFonts w:ascii="宋体" w:hAnsi="宋体" w:cs="宋体" w:eastAsia="宋体" w:hint="default"/>
                            <w:sz w:val="18"/>
                            <w:szCs w:val="18"/>
                          </w:rPr>
                        </w:pPr>
                        <w:r>
                          <w:rPr>
                            <w:rFonts w:ascii="宋体" w:hAnsi="宋体" w:cs="宋体" w:eastAsia="宋体" w:hint="default"/>
                            <w:sz w:val="18"/>
                            <w:szCs w:val="18"/>
                          </w:rPr>
                          <w:t>保本浮动型理财产品 无法估计影响数。</w:t>
                        </w:r>
                      </w:p>
                    </w:tc>
                  </w:tr>
                  <w:tr>
                    <w:trPr>
                      <w:trHeight w:val="356" w:hRule="exact"/>
                    </w:trPr>
                    <w:tc>
                      <w:tcPr>
                        <w:tcW w:w="1276"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万元超募资金购买低风险银行理财产品。</w:t>
                        </w:r>
                      </w:p>
                    </w:tc>
                    <w:tc>
                      <w:tcPr>
                        <w:tcW w:w="1701" w:type="dxa"/>
                        <w:vMerge/>
                        <w:tcBorders>
                          <w:left w:val="single" w:sz="4" w:space="0" w:color="000000"/>
                          <w:bottom w:val="single" w:sz="4" w:space="0" w:color="000000"/>
                          <w:right w:val="single" w:sz="4" w:space="0" w:color="000000"/>
                        </w:tcBorders>
                      </w:tcPr>
                      <w:p>
                        <w:pPr/>
                      </w:p>
                    </w:tc>
                    <w:tc>
                      <w:tcPr>
                        <w:tcW w:w="1771"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5"/>
        <w:spacing w:line="240" w:lineRule="auto" w:before="34"/>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spacing w:before="44"/>
        <w:ind w:left="0" w:right="37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314,496,000.00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4"/>
        <w:spacing w:line="240" w:lineRule="auto" w:before="26"/>
        <w:ind w:right="0"/>
        <w:jc w:val="left"/>
        <w:rPr>
          <w:b w:val="0"/>
          <w:bCs w:val="0"/>
        </w:rPr>
      </w:pPr>
      <w:r>
        <w:rPr/>
        <w:t>十五、其他重要事项</w:t>
      </w:r>
      <w:r>
        <w:rPr>
          <w:b w:val="0"/>
          <w:bCs w:val="0"/>
        </w:rPr>
      </w:r>
    </w:p>
    <w:p>
      <w:pPr>
        <w:spacing w:line="240" w:lineRule="auto" w:before="7"/>
        <w:rPr>
          <w:rFonts w:ascii="宋体" w:hAnsi="宋体" w:cs="宋体" w:eastAsia="宋体" w:hint="default"/>
          <w:b/>
          <w:bCs/>
          <w:sz w:val="24"/>
          <w:szCs w:val="24"/>
        </w:rPr>
      </w:pPr>
    </w:p>
    <w:p>
      <w:pPr>
        <w:spacing w:line="273" w:lineRule="auto" w:before="0"/>
        <w:ind w:left="112" w:right="5260" w:firstLine="0"/>
        <w:jc w:val="left"/>
        <w:rPr>
          <w:rFonts w:ascii="宋体" w:hAnsi="宋体" w:cs="宋体" w:eastAsia="宋体" w:hint="default"/>
          <w:sz w:val="21"/>
          <w:szCs w:val="21"/>
        </w:rPr>
      </w:pPr>
      <w:r>
        <w:rPr>
          <w:rFonts w:ascii="宋体" w:hAnsi="宋体" w:cs="宋体" w:eastAsia="宋体" w:hint="default"/>
          <w:b/>
          <w:bCs/>
          <w:sz w:val="21"/>
          <w:szCs w:val="21"/>
        </w:rPr>
        <w:t>1、经营租赁租入</w:t>
      </w:r>
      <w:r>
        <w:rPr>
          <w:rFonts w:ascii="宋体" w:hAnsi="宋体" w:cs="宋体" w:eastAsia="宋体" w:hint="default"/>
          <w:b/>
          <w:bCs/>
          <w:w w:val="99"/>
          <w:sz w:val="21"/>
          <w:szCs w:val="21"/>
        </w:rPr>
        <w:t> </w:t>
      </w:r>
      <w:r>
        <w:rPr>
          <w:rFonts w:ascii="宋体" w:hAnsi="宋体" w:cs="宋体" w:eastAsia="宋体" w:hint="default"/>
          <w:w w:val="95"/>
          <w:sz w:val="21"/>
          <w:szCs w:val="21"/>
        </w:rPr>
        <w:t>本公司主要经营租赁租入情况如下：</w:t>
      </w:r>
      <w:r>
        <w:rPr>
          <w:rFonts w:ascii="宋体" w:hAnsi="宋体" w:cs="宋体" w:eastAsia="宋体"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1851"/>
        <w:gridCol w:w="2685"/>
        <w:gridCol w:w="1385"/>
        <w:gridCol w:w="2017"/>
        <w:gridCol w:w="1952"/>
      </w:tblGrid>
      <w:tr>
        <w:trPr>
          <w:trHeight w:val="342"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出租方</w:t>
            </w:r>
          </w:p>
        </w:tc>
        <w:tc>
          <w:tcPr>
            <w:tcW w:w="2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物业地点</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面积</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月租金</w:t>
            </w:r>
          </w:p>
        </w:tc>
      </w:tr>
      <w:tr>
        <w:trPr>
          <w:trHeight w:val="654"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 w:right="33"/>
              <w:jc w:val="left"/>
              <w:rPr>
                <w:rFonts w:ascii="宋体" w:hAnsi="宋体" w:cs="宋体" w:eastAsia="宋体" w:hint="default"/>
                <w:sz w:val="18"/>
                <w:szCs w:val="18"/>
              </w:rPr>
            </w:pPr>
            <w:r>
              <w:rPr>
                <w:rFonts w:ascii="宋体" w:hAnsi="宋体" w:cs="宋体" w:eastAsia="宋体" w:hint="default"/>
                <w:sz w:val="18"/>
                <w:szCs w:val="18"/>
              </w:rPr>
              <w:t>上海巨航投资管理有限 公司</w:t>
            </w:r>
          </w:p>
        </w:tc>
        <w:tc>
          <w:tcPr>
            <w:tcW w:w="26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5" w:right="148"/>
              <w:jc w:val="left"/>
              <w:rPr>
                <w:rFonts w:ascii="宋体" w:hAnsi="宋体" w:cs="宋体" w:eastAsia="宋体" w:hint="default"/>
                <w:sz w:val="18"/>
                <w:szCs w:val="18"/>
              </w:rPr>
            </w:pPr>
            <w:r>
              <w:rPr>
                <w:rFonts w:ascii="宋体" w:hAnsi="宋体" w:cs="宋体" w:eastAsia="宋体" w:hint="default"/>
                <w:sz w:val="18"/>
                <w:szCs w:val="18"/>
              </w:rPr>
              <w:t>上海市徐汇区龙田路</w:t>
            </w:r>
            <w:r>
              <w:rPr>
                <w:rFonts w:ascii="Times New Roman" w:hAnsi="Times New Roman" w:cs="Times New Roman" w:eastAsia="Times New Roman" w:hint="default"/>
                <w:sz w:val="18"/>
                <w:szCs w:val="18"/>
              </w:rPr>
              <w:t>190</w:t>
            </w:r>
            <w:r>
              <w:rPr>
                <w:rFonts w:ascii="宋体" w:hAnsi="宋体" w:cs="宋体" w:eastAsia="宋体" w:hint="default"/>
                <w:sz w:val="18"/>
                <w:szCs w:val="18"/>
              </w:rPr>
              <w:t>号</w:t>
            </w:r>
            <w:r>
              <w:rPr>
                <w:rFonts w:ascii="Times New Roman" w:hAnsi="Times New Roman" w:cs="Times New Roman" w:eastAsia="Times New Roman" w:hint="default"/>
                <w:sz w:val="18"/>
                <w:szCs w:val="18"/>
              </w:rPr>
              <w:t>2</w:t>
            </w:r>
            <w:r>
              <w:rPr>
                <w:rFonts w:ascii="宋体" w:hAnsi="宋体" w:cs="宋体" w:eastAsia="宋体" w:hint="default"/>
                <w:sz w:val="18"/>
                <w:szCs w:val="18"/>
              </w:rPr>
              <w:t>幢全 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4,634.96</w:t>
            </w:r>
            <w:r>
              <w:rPr>
                <w:rFonts w:ascii="宋体" w:hAnsi="宋体" w:cs="宋体" w:eastAsia="宋体" w:hint="default"/>
                <w:sz w:val="18"/>
                <w:szCs w:val="18"/>
              </w:rPr>
              <w:t>平方米</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p>
          <w:p>
            <w:pPr>
              <w:pStyle w:val="TableParagraph"/>
              <w:spacing w:line="240" w:lineRule="auto" w:before="63"/>
              <w:ind w:left="5"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493,430.12</w:t>
            </w:r>
          </w:p>
        </w:tc>
      </w:tr>
      <w:tr>
        <w:trPr>
          <w:trHeight w:val="331" w:hRule="exact"/>
        </w:trPr>
        <w:tc>
          <w:tcPr>
            <w:tcW w:w="1851" w:type="dxa"/>
            <w:tcBorders>
              <w:top w:val="single" w:sz="4" w:space="0" w:color="000000"/>
              <w:left w:val="single" w:sz="4" w:space="0" w:color="000000"/>
              <w:bottom w:val="nil" w:sz="6" w:space="0" w:color="auto"/>
              <w:right w:val="single" w:sz="4" w:space="0" w:color="000000"/>
            </w:tcBorders>
          </w:tcPr>
          <w:p>
            <w:pPr/>
          </w:p>
        </w:tc>
        <w:tc>
          <w:tcPr>
            <w:tcW w:w="2685" w:type="dxa"/>
            <w:tcBorders>
              <w:top w:val="single" w:sz="4" w:space="0" w:color="000000"/>
              <w:left w:val="single" w:sz="4" w:space="0" w:color="000000"/>
              <w:bottom w:val="nil" w:sz="6" w:space="0" w:color="auto"/>
              <w:right w:val="single" w:sz="4" w:space="0" w:color="000000"/>
            </w:tcBorders>
          </w:tcPr>
          <w:p>
            <w:pPr/>
          </w:p>
        </w:tc>
        <w:tc>
          <w:tcPr>
            <w:tcW w:w="1385" w:type="dxa"/>
            <w:tcBorders>
              <w:top w:val="single" w:sz="4" w:space="0" w:color="000000"/>
              <w:left w:val="single" w:sz="4" w:space="0" w:color="000000"/>
              <w:bottom w:val="nil" w:sz="6" w:space="0" w:color="auto"/>
              <w:right w:val="single" w:sz="4" w:space="0" w:color="000000"/>
            </w:tcBorders>
          </w:tcPr>
          <w:p>
            <w:pPr/>
          </w:p>
        </w:tc>
        <w:tc>
          <w:tcPr>
            <w:tcW w:w="2017" w:type="dxa"/>
            <w:tcBorders>
              <w:top w:val="single" w:sz="4" w:space="0" w:color="000000"/>
              <w:left w:val="single" w:sz="4" w:space="0" w:color="000000"/>
              <w:bottom w:val="nil" w:sz="6" w:space="0" w:color="auto"/>
              <w:right w:val="single" w:sz="4" w:space="0" w:color="000000"/>
            </w:tcBorders>
          </w:tcPr>
          <w:p>
            <w:pPr/>
          </w:p>
        </w:tc>
        <w:tc>
          <w:tcPr>
            <w:tcW w:w="19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首期月租金</w:t>
            </w:r>
            <w:r>
              <w:rPr>
                <w:rFonts w:ascii="Times New Roman" w:hAnsi="Times New Roman" w:cs="Times New Roman" w:eastAsia="Times New Roman" w:hint="default"/>
                <w:sz w:val="18"/>
                <w:szCs w:val="18"/>
              </w:rPr>
              <w:t>310,250.00</w:t>
            </w:r>
            <w:r>
              <w:rPr>
                <w:rFonts w:ascii="宋体" w:hAnsi="宋体" w:cs="宋体" w:eastAsia="宋体" w:hint="default"/>
                <w:sz w:val="18"/>
                <w:szCs w:val="18"/>
              </w:rPr>
              <w:t>，</w:t>
            </w:r>
          </w:p>
        </w:tc>
      </w:tr>
      <w:tr>
        <w:trPr>
          <w:trHeight w:val="624" w:hRule="exact"/>
        </w:trPr>
        <w:tc>
          <w:tcPr>
            <w:tcW w:w="185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5" w:right="33"/>
              <w:jc w:val="left"/>
              <w:rPr>
                <w:rFonts w:ascii="宋体" w:hAnsi="宋体" w:cs="宋体" w:eastAsia="宋体" w:hint="default"/>
                <w:sz w:val="18"/>
                <w:szCs w:val="18"/>
              </w:rPr>
            </w:pPr>
            <w:r>
              <w:rPr>
                <w:rFonts w:ascii="宋体" w:hAnsi="宋体" w:cs="宋体" w:eastAsia="宋体" w:hint="default"/>
                <w:sz w:val="18"/>
                <w:szCs w:val="18"/>
              </w:rPr>
              <w:t>上海巨航投资管理有限 公司</w:t>
            </w:r>
          </w:p>
        </w:tc>
        <w:tc>
          <w:tcPr>
            <w:tcW w:w="2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z w:val="18"/>
                <w:szCs w:val="18"/>
              </w:rPr>
              <w:t>上海市徐家汇龙漕路</w:t>
            </w:r>
            <w:r>
              <w:rPr>
                <w:rFonts w:ascii="Times New Roman" w:hAnsi="Times New Roman" w:cs="Times New Roman" w:eastAsia="Times New Roman" w:hint="default"/>
                <w:sz w:val="18"/>
                <w:szCs w:val="18"/>
              </w:rPr>
              <w:t>299</w:t>
            </w:r>
            <w:r>
              <w:rPr>
                <w:rFonts w:ascii="宋体" w:hAnsi="宋体" w:cs="宋体" w:eastAsia="宋体" w:hint="default"/>
                <w:sz w:val="18"/>
                <w:szCs w:val="18"/>
              </w:rPr>
              <w:t>号园区内</w:t>
            </w:r>
          </w:p>
          <w:p>
            <w:pPr>
              <w:pStyle w:val="TableParagraph"/>
              <w:spacing w:line="240" w:lineRule="auto" w:before="63"/>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幢北部（</w:t>
            </w:r>
            <w:r>
              <w:rPr>
                <w:rFonts w:ascii="Times New Roman" w:hAnsi="Times New Roman" w:cs="Times New Roman" w:eastAsia="Times New Roman" w:hint="default"/>
                <w:sz w:val="18"/>
                <w:szCs w:val="18"/>
              </w:rPr>
              <w:t>C</w:t>
            </w:r>
            <w:r>
              <w:rPr>
                <w:rFonts w:ascii="宋体" w:hAnsi="宋体" w:cs="宋体" w:eastAsia="宋体" w:hint="default"/>
                <w:sz w:val="18"/>
                <w:szCs w:val="18"/>
              </w:rPr>
              <w:t>座）第七</w:t>
            </w:r>
            <w:r>
              <w:rPr>
                <w:rFonts w:ascii="Times New Roman" w:hAnsi="Times New Roman" w:cs="Times New Roman" w:eastAsia="Times New Roman" w:hint="default"/>
                <w:sz w:val="18"/>
                <w:szCs w:val="18"/>
              </w:rPr>
              <w:t>-</w:t>
            </w:r>
            <w:r>
              <w:rPr>
                <w:rFonts w:ascii="宋体" w:hAnsi="宋体" w:cs="宋体" w:eastAsia="宋体" w:hint="default"/>
                <w:sz w:val="18"/>
                <w:szCs w:val="18"/>
              </w:rPr>
              <w:t>第十整层</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3,400.00</w:t>
            </w:r>
            <w:r>
              <w:rPr>
                <w:rFonts w:ascii="宋体" w:hAnsi="宋体" w:cs="宋体" w:eastAsia="宋体" w:hint="default"/>
                <w:sz w:val="18"/>
                <w:szCs w:val="18"/>
              </w:rPr>
              <w:t>平方米</w:t>
            </w:r>
          </w:p>
        </w:tc>
        <w:tc>
          <w:tcPr>
            <w:tcW w:w="20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号至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p>
          <w:p>
            <w:pPr>
              <w:pStyle w:val="TableParagraph"/>
              <w:spacing w:line="240" w:lineRule="auto" w:before="63"/>
              <w:ind w:left="5"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号</w:t>
            </w:r>
          </w:p>
        </w:tc>
        <w:tc>
          <w:tcPr>
            <w:tcW w:w="195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w:t>
            </w:r>
            <w:r>
              <w:rPr>
                <w:rFonts w:ascii="Times New Roman" w:hAnsi="Times New Roman" w:cs="Times New Roman" w:eastAsia="Times New Roman" w:hint="default"/>
                <w:sz w:val="18"/>
                <w:szCs w:val="18"/>
              </w:rPr>
              <w:t>3</w:t>
            </w:r>
            <w:r>
              <w:rPr>
                <w:rFonts w:ascii="宋体" w:hAnsi="宋体" w:cs="宋体" w:eastAsia="宋体" w:hint="default"/>
                <w:sz w:val="18"/>
                <w:szCs w:val="18"/>
              </w:rPr>
              <w:t>年内不 </w:t>
            </w:r>
            <w:r>
              <w:rPr>
                <w:rFonts w:ascii="宋体" w:hAnsi="宋体" w:cs="宋体" w:eastAsia="宋体" w:hint="default"/>
                <w:spacing w:val="-4"/>
                <w:sz w:val="18"/>
                <w:szCs w:val="18"/>
              </w:rPr>
              <w:t>变；自</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日起租</w:t>
            </w:r>
          </w:p>
        </w:tc>
      </w:tr>
      <w:tr>
        <w:trPr>
          <w:trHeight w:val="321" w:hRule="exact"/>
        </w:trPr>
        <w:tc>
          <w:tcPr>
            <w:tcW w:w="1851" w:type="dxa"/>
            <w:tcBorders>
              <w:top w:val="nil" w:sz="6" w:space="0" w:color="auto"/>
              <w:left w:val="single" w:sz="4" w:space="0" w:color="000000"/>
              <w:bottom w:val="single" w:sz="4" w:space="0" w:color="000000"/>
              <w:right w:val="single" w:sz="4" w:space="0" w:color="000000"/>
            </w:tcBorders>
          </w:tcPr>
          <w:p>
            <w:pPr/>
          </w:p>
        </w:tc>
        <w:tc>
          <w:tcPr>
            <w:tcW w:w="2685" w:type="dxa"/>
            <w:tcBorders>
              <w:top w:val="nil" w:sz="6" w:space="0" w:color="auto"/>
              <w:left w:val="single" w:sz="4" w:space="0" w:color="000000"/>
              <w:bottom w:val="single" w:sz="4" w:space="0" w:color="000000"/>
              <w:right w:val="single" w:sz="4" w:space="0" w:color="000000"/>
            </w:tcBorders>
          </w:tcPr>
          <w:p>
            <w:pPr/>
          </w:p>
        </w:tc>
        <w:tc>
          <w:tcPr>
            <w:tcW w:w="1385" w:type="dxa"/>
            <w:tcBorders>
              <w:top w:val="nil" w:sz="6" w:space="0" w:color="auto"/>
              <w:left w:val="single" w:sz="4" w:space="0" w:color="000000"/>
              <w:bottom w:val="single" w:sz="4" w:space="0" w:color="000000"/>
              <w:right w:val="single" w:sz="4" w:space="0" w:color="000000"/>
            </w:tcBorders>
          </w:tcPr>
          <w:p>
            <w:pPr/>
          </w:p>
        </w:tc>
        <w:tc>
          <w:tcPr>
            <w:tcW w:w="2017" w:type="dxa"/>
            <w:tcBorders>
              <w:top w:val="nil" w:sz="6" w:space="0" w:color="auto"/>
              <w:left w:val="single" w:sz="4" w:space="0" w:color="000000"/>
              <w:bottom w:val="single" w:sz="4" w:space="0" w:color="000000"/>
              <w:right w:val="single" w:sz="4" w:space="0" w:color="000000"/>
            </w:tcBorders>
          </w:tcPr>
          <w:p>
            <w:pPr/>
          </w:p>
        </w:tc>
        <w:tc>
          <w:tcPr>
            <w:tcW w:w="19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金递增</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计算，以后每</w:t>
            </w:r>
          </w:p>
        </w:tc>
      </w:tr>
    </w:tbl>
    <w:p>
      <w:pPr>
        <w:spacing w:after="0" w:line="240" w:lineRule="auto"/>
        <w:jc w:val="left"/>
        <w:rPr>
          <w:rFonts w:ascii="宋体" w:hAnsi="宋体" w:cs="宋体" w:eastAsia="宋体" w:hint="default"/>
          <w:sz w:val="18"/>
          <w:szCs w:val="18"/>
        </w:rPr>
        <w:sectPr>
          <w:pgSz w:w="11910" w:h="16840"/>
          <w:pgMar w:header="776" w:footer="978" w:top="1100" w:bottom="1160" w:left="1020" w:right="760"/>
        </w:sectPr>
      </w:pPr>
    </w:p>
    <w:p>
      <w:pPr>
        <w:spacing w:line="240" w:lineRule="auto" w:before="8"/>
        <w:rPr>
          <w:rFonts w:ascii="宋体" w:hAnsi="宋体" w:cs="宋体" w:eastAsia="宋体" w:hint="default"/>
          <w:sz w:val="24"/>
          <w:szCs w:val="24"/>
        </w:rPr>
      </w:pPr>
    </w:p>
    <w:tbl>
      <w:tblPr>
        <w:tblW w:w="0" w:type="auto"/>
        <w:jc w:val="left"/>
        <w:tblInd w:w="649" w:type="dxa"/>
        <w:tblLayout w:type="fixed"/>
        <w:tblCellMar>
          <w:top w:w="0" w:type="dxa"/>
          <w:left w:w="0" w:type="dxa"/>
          <w:bottom w:w="0" w:type="dxa"/>
          <w:right w:w="0" w:type="dxa"/>
        </w:tblCellMar>
        <w:tblLook w:val="01E0"/>
      </w:tblPr>
      <w:tblGrid>
        <w:gridCol w:w="1851"/>
        <w:gridCol w:w="2685"/>
        <w:gridCol w:w="1385"/>
        <w:gridCol w:w="2017"/>
        <w:gridCol w:w="1952"/>
      </w:tblGrid>
      <w:tr>
        <w:trPr>
          <w:trHeight w:val="1277" w:hRule="exact"/>
        </w:trPr>
        <w:tc>
          <w:tcPr>
            <w:tcW w:w="1851" w:type="dxa"/>
            <w:tcBorders>
              <w:top w:val="single" w:sz="4" w:space="0" w:color="000000"/>
              <w:left w:val="single" w:sz="4" w:space="0" w:color="000000"/>
              <w:bottom w:val="single" w:sz="4" w:space="0" w:color="000000"/>
              <w:right w:val="single" w:sz="4" w:space="0" w:color="000000"/>
            </w:tcBorders>
          </w:tcPr>
          <w:p>
            <w:pPr/>
          </w:p>
        </w:tc>
        <w:tc>
          <w:tcPr>
            <w:tcW w:w="26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满</w:t>
            </w:r>
            <w:r>
              <w:rPr>
                <w:rFonts w:ascii="Times New Roman" w:hAnsi="Times New Roman" w:cs="Times New Roman" w:eastAsia="Times New Roman" w:hint="default"/>
                <w:sz w:val="18"/>
                <w:szCs w:val="18"/>
              </w:rPr>
              <w:t>2</w:t>
            </w:r>
            <w:r>
              <w:rPr>
                <w:rFonts w:ascii="宋体" w:hAnsi="宋体" w:cs="宋体" w:eastAsia="宋体" w:hint="default"/>
                <w:sz w:val="18"/>
                <w:szCs w:val="18"/>
              </w:rPr>
              <w:t>年按此标准执行。</w:t>
            </w:r>
          </w:p>
        </w:tc>
      </w:tr>
      <w:tr>
        <w:trPr>
          <w:trHeight w:val="654"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上海东湖宾馆</w:t>
            </w:r>
          </w:p>
        </w:tc>
        <w:tc>
          <w:tcPr>
            <w:tcW w:w="26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5" w:right="18"/>
              <w:jc w:val="left"/>
              <w:rPr>
                <w:rFonts w:ascii="宋体" w:hAnsi="宋体" w:cs="宋体" w:eastAsia="宋体" w:hint="default"/>
                <w:sz w:val="18"/>
                <w:szCs w:val="18"/>
              </w:rPr>
            </w:pPr>
            <w:r>
              <w:rPr>
                <w:rFonts w:ascii="宋体" w:hAnsi="宋体" w:cs="宋体" w:eastAsia="宋体" w:hint="default"/>
                <w:sz w:val="18"/>
                <w:szCs w:val="18"/>
              </w:rPr>
              <w:t>上海市徐汇区淮海中路</w:t>
            </w:r>
            <w:r>
              <w:rPr>
                <w:rFonts w:ascii="Times New Roman" w:hAnsi="Times New Roman" w:cs="Times New Roman" w:eastAsia="Times New Roman" w:hint="default"/>
                <w:sz w:val="18"/>
                <w:szCs w:val="18"/>
              </w:rPr>
              <w:t>1110</w:t>
            </w:r>
            <w:r>
              <w:rPr>
                <w:rFonts w:ascii="宋体" w:hAnsi="宋体" w:cs="宋体" w:eastAsia="宋体" w:hint="default"/>
                <w:sz w:val="18"/>
                <w:szCs w:val="18"/>
              </w:rPr>
              <w:t>号</w:t>
            </w:r>
            <w:r>
              <w:rPr>
                <w:rFonts w:ascii="Times New Roman" w:hAnsi="Times New Roman" w:cs="Times New Roman" w:eastAsia="Times New Roman" w:hint="default"/>
                <w:sz w:val="18"/>
                <w:szCs w:val="18"/>
              </w:rPr>
              <w:t>A</w:t>
            </w:r>
            <w:r>
              <w:rPr>
                <w:rFonts w:ascii="宋体" w:hAnsi="宋体" w:cs="宋体" w:eastAsia="宋体" w:hint="default"/>
                <w:sz w:val="18"/>
                <w:szCs w:val="18"/>
              </w:rPr>
              <w:t>座 别墅</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约</w:t>
            </w:r>
            <w:r>
              <w:rPr>
                <w:rFonts w:ascii="Times New Roman" w:hAnsi="Times New Roman" w:cs="Times New Roman" w:eastAsia="Times New Roman" w:hint="default"/>
                <w:sz w:val="18"/>
                <w:szCs w:val="18"/>
              </w:rPr>
              <w:t>181.00</w:t>
            </w:r>
            <w:r>
              <w:rPr>
                <w:rFonts w:ascii="宋体" w:hAnsi="宋体" w:cs="宋体" w:eastAsia="宋体" w:hint="default"/>
                <w:sz w:val="18"/>
                <w:szCs w:val="18"/>
              </w:rPr>
              <w:t>平方米</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号至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p>
          <w:p>
            <w:pPr>
              <w:pStyle w:val="TableParagraph"/>
              <w:spacing w:line="240" w:lineRule="auto" w:before="63"/>
              <w:ind w:left="5"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号</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71,798.60</w:t>
            </w:r>
          </w:p>
        </w:tc>
      </w:tr>
      <w:tr>
        <w:trPr>
          <w:trHeight w:val="654"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上海东湖宾馆</w:t>
            </w:r>
          </w:p>
        </w:tc>
        <w:tc>
          <w:tcPr>
            <w:tcW w:w="2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z w:val="18"/>
                <w:szCs w:val="18"/>
              </w:rPr>
              <w:t>上海市徐汇区东湖路</w:t>
            </w:r>
            <w:r>
              <w:rPr>
                <w:rFonts w:ascii="Times New Roman" w:hAnsi="Times New Roman" w:cs="Times New Roman" w:eastAsia="Times New Roman" w:hint="default"/>
                <w:sz w:val="18"/>
                <w:szCs w:val="18"/>
              </w:rPr>
              <w:t>7</w:t>
            </w:r>
            <w:r>
              <w:rPr>
                <w:rFonts w:ascii="宋体" w:hAnsi="宋体" w:cs="宋体" w:eastAsia="宋体" w:hint="default"/>
                <w:sz w:val="18"/>
                <w:szCs w:val="18"/>
              </w:rPr>
              <w:t>号东湖宾馆</w:t>
            </w:r>
          </w:p>
          <w:p>
            <w:pPr>
              <w:pStyle w:val="TableParagraph"/>
              <w:spacing w:line="240" w:lineRule="auto" w:before="63"/>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号楼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约</w:t>
            </w:r>
            <w:r>
              <w:rPr>
                <w:rFonts w:ascii="Times New Roman" w:hAnsi="Times New Roman" w:cs="Times New Roman" w:eastAsia="Times New Roman" w:hint="default"/>
                <w:sz w:val="18"/>
                <w:szCs w:val="18"/>
              </w:rPr>
              <w:t>1,330.00</w:t>
            </w:r>
            <w:r>
              <w:rPr>
                <w:rFonts w:ascii="宋体" w:hAnsi="宋体" w:cs="宋体" w:eastAsia="宋体" w:hint="default"/>
                <w:sz w:val="18"/>
                <w:szCs w:val="18"/>
              </w:rPr>
              <w:t>平方米</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号至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p>
          <w:p>
            <w:pPr>
              <w:pStyle w:val="TableParagraph"/>
              <w:spacing w:line="240" w:lineRule="auto" w:before="63"/>
              <w:ind w:left="5"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号</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458,334.00</w:t>
            </w:r>
          </w:p>
        </w:tc>
      </w:tr>
      <w:tr>
        <w:trPr>
          <w:trHeight w:val="654"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上海聚鑫置业有限公司</w:t>
            </w:r>
          </w:p>
        </w:tc>
        <w:tc>
          <w:tcPr>
            <w:tcW w:w="26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5" w:right="59"/>
              <w:jc w:val="left"/>
              <w:rPr>
                <w:rFonts w:ascii="宋体" w:hAnsi="宋体" w:cs="宋体" w:eastAsia="宋体" w:hint="default"/>
                <w:sz w:val="18"/>
                <w:szCs w:val="18"/>
              </w:rPr>
            </w:pPr>
            <w:r>
              <w:rPr>
                <w:rFonts w:ascii="宋体" w:hAnsi="宋体" w:cs="宋体" w:eastAsia="宋体" w:hint="default"/>
                <w:sz w:val="18"/>
                <w:szCs w:val="18"/>
              </w:rPr>
              <w:t>上海市徐汇区平福路</w:t>
            </w:r>
            <w:r>
              <w:rPr>
                <w:rFonts w:ascii="Times New Roman" w:hAnsi="Times New Roman" w:cs="Times New Roman" w:eastAsia="Times New Roman" w:hint="default"/>
                <w:sz w:val="18"/>
                <w:szCs w:val="18"/>
              </w:rPr>
              <w:t>188</w:t>
            </w:r>
            <w:r>
              <w:rPr>
                <w:rFonts w:ascii="宋体" w:hAnsi="宋体" w:cs="宋体" w:eastAsia="宋体" w:hint="default"/>
                <w:sz w:val="18"/>
                <w:szCs w:val="18"/>
              </w:rPr>
              <w:t>号漕河泾 聚鑫园区内</w:t>
            </w:r>
            <w:r>
              <w:rPr>
                <w:rFonts w:ascii="Times New Roman" w:hAnsi="Times New Roman" w:cs="Times New Roman" w:eastAsia="Times New Roman" w:hint="default"/>
                <w:sz w:val="18"/>
                <w:szCs w:val="18"/>
              </w:rPr>
              <w:t>1</w:t>
            </w:r>
            <w:r>
              <w:rPr>
                <w:rFonts w:ascii="宋体" w:hAnsi="宋体" w:cs="宋体" w:eastAsia="宋体" w:hint="default"/>
                <w:sz w:val="18"/>
                <w:szCs w:val="18"/>
              </w:rPr>
              <w:t>幢第三层</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宋体" w:hAnsi="宋体" w:cs="宋体" w:eastAsia="宋体" w:hint="default"/>
                <w:sz w:val="18"/>
                <w:szCs w:val="18"/>
              </w:rPr>
              <w:t>平方米</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 w:right="0"/>
              <w:jc w:val="left"/>
              <w:rPr>
                <w:rFonts w:ascii="Times New Roman" w:hAnsi="Times New Roman" w:cs="Times New Roman" w:eastAsia="Times New Roman" w:hint="default"/>
                <w:sz w:val="18"/>
                <w:szCs w:val="18"/>
              </w:rPr>
            </w:pPr>
            <w:r>
              <w:rPr>
                <w:rFonts w:ascii="Times New Roman"/>
                <w:sz w:val="18"/>
              </w:rPr>
              <w:t>2013.04.01-2019.03.31</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228,125.00</w:t>
            </w:r>
          </w:p>
        </w:tc>
      </w:tr>
    </w:tbl>
    <w:p>
      <w:pPr>
        <w:spacing w:line="240" w:lineRule="auto" w:before="3"/>
        <w:rPr>
          <w:rFonts w:ascii="宋体" w:hAnsi="宋体" w:cs="宋体" w:eastAsia="宋体" w:hint="default"/>
          <w:sz w:val="20"/>
          <w:szCs w:val="20"/>
        </w:rPr>
      </w:pPr>
    </w:p>
    <w:p>
      <w:pPr>
        <w:pStyle w:val="Heading5"/>
        <w:spacing w:line="240" w:lineRule="auto" w:before="34"/>
        <w:ind w:left="652" w:right="669"/>
        <w:jc w:val="left"/>
        <w:rPr>
          <w:b w:val="0"/>
          <w:bCs w:val="0"/>
        </w:rPr>
      </w:pPr>
      <w:r>
        <w:rPr/>
        <w:t>2、拟收购宝华世纪证券有限公司的事项</w:t>
      </w:r>
      <w:r>
        <w:rPr>
          <w:b w:val="0"/>
          <w:bCs w:val="0"/>
        </w:rPr>
      </w:r>
    </w:p>
    <w:p>
      <w:pPr>
        <w:pStyle w:val="BodyText"/>
        <w:spacing w:line="273" w:lineRule="auto" w:before="37"/>
        <w:ind w:left="652" w:right="672" w:firstLine="420"/>
        <w:jc w:val="both"/>
      </w:pPr>
      <w:r>
        <w:rPr>
          <w:w w:val="95"/>
        </w:rPr>
        <w:t>2014年12月16日，公司第三届董事会第十一次会议审议了《关于全资子公司东方财富（香港）有限公</w:t>
      </w:r>
      <w:r>
        <w:rPr>
          <w:w w:val="99"/>
        </w:rPr>
        <w:t> </w:t>
      </w:r>
      <w:r>
        <w:rPr>
          <w:w w:val="95"/>
        </w:rPr>
        <w:t>司收购宝华世纪证券有限公司的议案》，同意公司全资子公司东方财富（香港）有限公司使用自有资金收</w:t>
      </w:r>
      <w:r>
        <w:rPr>
          <w:spacing w:val="40"/>
          <w:w w:val="95"/>
        </w:rPr>
        <w:t> </w:t>
      </w:r>
      <w:r>
        <w:rPr>
          <w:spacing w:val="40"/>
          <w:w w:val="95"/>
        </w:rPr>
      </w:r>
      <w:r>
        <w:rPr>
          <w:w w:val="95"/>
        </w:rPr>
        <w:t>购宝华世纪证券有限公司（以下简称“宝华世纪”）100%的股权。本次投资不构成《上市公司重大资产重</w:t>
      </w:r>
      <w:r>
        <w:rPr>
          <w:spacing w:val="41"/>
          <w:w w:val="95"/>
        </w:rPr>
        <w:t> </w:t>
      </w:r>
      <w:r>
        <w:rPr>
          <w:spacing w:val="41"/>
          <w:w w:val="95"/>
        </w:rPr>
      </w:r>
      <w:r>
        <w:rPr>
          <w:w w:val="95"/>
        </w:rPr>
        <w:t>组管理办法》规定的重大资产重组，本次收购宝华世纪股权事项尚需取得香港证券及期货事务监察委员会</w:t>
      </w:r>
      <w:r>
        <w:rPr>
          <w:spacing w:val="37"/>
          <w:w w:val="95"/>
        </w:rPr>
        <w:t> </w:t>
      </w:r>
      <w:r>
        <w:rPr>
          <w:spacing w:val="37"/>
          <w:w w:val="95"/>
        </w:rPr>
      </w:r>
      <w:r>
        <w:rPr/>
        <w:t>审批确认。</w:t>
      </w:r>
    </w:p>
    <w:p>
      <w:pPr>
        <w:pStyle w:val="BodyText"/>
        <w:spacing w:line="273" w:lineRule="auto"/>
        <w:ind w:left="652" w:right="669" w:firstLine="420"/>
        <w:jc w:val="left"/>
      </w:pPr>
      <w:r>
        <w:rPr>
          <w:w w:val="95"/>
        </w:rPr>
        <w:t>宝华世纪是注册在香港的一家提供网上及电话证券交易的公司，注册资本为港币3200万元，目前骏坚</w:t>
      </w:r>
      <w:r>
        <w:rPr>
          <w:w w:val="99"/>
        </w:rPr>
        <w:t> </w:t>
      </w:r>
      <w:r>
        <w:rPr/>
        <w:t>有限公司持有其100%的股份。</w:t>
      </w:r>
    </w:p>
    <w:p>
      <w:pPr>
        <w:pStyle w:val="BodyText"/>
        <w:spacing w:line="273" w:lineRule="auto"/>
        <w:ind w:left="652" w:right="669" w:firstLine="420"/>
        <w:jc w:val="left"/>
      </w:pPr>
      <w:r>
        <w:rPr/>
        <w:t>根据公司与股东骏坚有限公司的约定，股权转让价格以宝华世纪于成交日成交账目内之净资产为基</w:t>
      </w:r>
      <w:r>
        <w:rPr>
          <w:w w:val="99"/>
        </w:rPr>
        <w:t> </w:t>
      </w:r>
      <w:r>
        <w:rPr>
          <w:w w:val="95"/>
        </w:rPr>
        <w:t>础，并在此净资产基础上加价港币叁佰伍拾万元(HK$3,500,000)，且转让股份的总转让代价不得高于港币</w:t>
      </w:r>
      <w:r>
        <w:rPr>
          <w:spacing w:val="40"/>
          <w:w w:val="95"/>
        </w:rPr>
        <w:t> </w:t>
      </w:r>
      <w:r>
        <w:rPr>
          <w:spacing w:val="40"/>
          <w:w w:val="95"/>
        </w:rPr>
      </w:r>
      <w:r>
        <w:rPr>
          <w:w w:val="95"/>
        </w:rPr>
        <w:t>壹仟叁佰万元(HK$13,000,000)。支付方式及期限为：（1）于签署协议书后五个工作日内，东方财富（香</w:t>
      </w:r>
      <w:r>
        <w:rPr>
          <w:spacing w:val="40"/>
          <w:w w:val="95"/>
        </w:rPr>
        <w:t> </w:t>
      </w:r>
      <w:r>
        <w:rPr>
          <w:spacing w:val="40"/>
          <w:w w:val="95"/>
        </w:rPr>
      </w:r>
      <w:r>
        <w:rPr/>
        <w:t>港）有限公司须按骏坚有限公司要求支付港币壹佰万元(HK$1,000,000)</w:t>
      </w:r>
      <w:r>
        <w:rPr>
          <w:spacing w:val="-35"/>
        </w:rPr>
        <w:t> </w:t>
      </w:r>
      <w:r>
        <w:rPr/>
        <w:t>订金；（2）在协议各方履行完协</w:t>
      </w:r>
      <w:r>
        <w:rPr>
          <w:w w:val="99"/>
        </w:rPr>
        <w:t> </w:t>
      </w:r>
      <w:r>
        <w:rPr>
          <w:w w:val="95"/>
        </w:rPr>
        <w:t>议规定的各项条款后，转让代价的余款于出具成交账目之后三个工作日内由东方财富（香港）有限公司向</w:t>
      </w:r>
      <w:r>
        <w:rPr>
          <w:spacing w:val="40"/>
          <w:w w:val="95"/>
        </w:rPr>
        <w:t> </w:t>
      </w:r>
      <w:r>
        <w:rPr>
          <w:spacing w:val="40"/>
          <w:w w:val="95"/>
        </w:rPr>
      </w:r>
      <w:r>
        <w:rPr/>
        <w:t>骏坚有限公司以银行转账支付。</w:t>
      </w:r>
    </w:p>
    <w:p>
      <w:pPr>
        <w:spacing w:line="240" w:lineRule="auto" w:before="10"/>
        <w:rPr>
          <w:rFonts w:ascii="宋体" w:hAnsi="宋体" w:cs="宋体" w:eastAsia="宋体" w:hint="default"/>
          <w:sz w:val="21"/>
          <w:szCs w:val="21"/>
        </w:rPr>
      </w:pPr>
    </w:p>
    <w:p>
      <w:pPr>
        <w:pStyle w:val="Heading4"/>
        <w:spacing w:line="240" w:lineRule="auto"/>
        <w:ind w:left="652" w:right="669"/>
        <w:jc w:val="left"/>
        <w:rPr>
          <w:b w:val="0"/>
          <w:bCs w:val="0"/>
        </w:rPr>
      </w:pPr>
      <w:r>
        <w:rPr/>
        <w:t>十六、母公司财务报表主要项目注释</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652" w:right="669"/>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652" w:right="669"/>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6"/>
          <w:szCs w:val="26"/>
        </w:rPr>
      </w:pPr>
    </w:p>
    <w:p>
      <w:pPr>
        <w:spacing w:before="0"/>
        <w:ind w:left="0" w:right="67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276"/>
        <w:gridCol w:w="1221"/>
        <w:gridCol w:w="762"/>
        <w:gridCol w:w="1070"/>
        <w:gridCol w:w="531"/>
        <w:gridCol w:w="1245"/>
        <w:gridCol w:w="1166"/>
        <w:gridCol w:w="708"/>
        <w:gridCol w:w="1069"/>
        <w:gridCol w:w="522"/>
        <w:gridCol w:w="1160"/>
      </w:tblGrid>
      <w:tr>
        <w:trPr>
          <w:trHeight w:val="402" w:hRule="exact"/>
        </w:trPr>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2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2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276" w:type="dxa"/>
            <w:vMerge/>
            <w:tcBorders>
              <w:left w:val="single" w:sz="4" w:space="0" w:color="000000"/>
              <w:right w:val="single" w:sz="4" w:space="0" w:color="000000"/>
            </w:tcBorders>
            <w:shd w:val="clear" w:color="auto" w:fill="D3D3D3"/>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9" w:right="79"/>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45" w:type="dxa"/>
            <w:vMerge/>
            <w:tcBorders>
              <w:left w:val="single" w:sz="4" w:space="0" w:color="000000"/>
              <w:bottom w:val="single" w:sz="4" w:space="0" w:color="000000"/>
              <w:right w:val="single" w:sz="4" w:space="0" w:color="000000"/>
            </w:tcBorders>
            <w:shd w:val="clear" w:color="auto" w:fill="D3D3D3"/>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3"/>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60" w:type="dxa"/>
            <w:vMerge/>
            <w:tcBorders>
              <w:left w:val="single" w:sz="4" w:space="0" w:color="000000"/>
              <w:bottom w:val="single" w:sz="4" w:space="0" w:color="000000"/>
              <w:right w:val="single" w:sz="4" w:space="0" w:color="000000"/>
            </w:tcBorders>
            <w:shd w:val="clear" w:color="auto" w:fill="D3D3D3"/>
          </w:tcPr>
          <w:p>
            <w:pP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60"/>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账准备的应收 账款</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363,101,176.32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5,517,503.69</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1.52%</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357,583,672.63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58,049,349.77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4,095,001.03</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53,954,348.74</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center"/>
              <w:rPr>
                <w:rFonts w:ascii="Times New Roman" w:hAnsi="Times New Roman" w:cs="Times New Roman" w:eastAsia="Times New Roman" w:hint="default"/>
                <w:sz w:val="18"/>
                <w:szCs w:val="18"/>
              </w:rPr>
            </w:pPr>
            <w:r>
              <w:rPr>
                <w:rFonts w:ascii="Times New Roman"/>
                <w:sz w:val="18"/>
              </w:rPr>
              <w:t>363,101,176.32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center"/>
              <w:rPr>
                <w:rFonts w:ascii="Times New Roman" w:hAnsi="Times New Roman" w:cs="Times New Roman" w:eastAsia="Times New Roman" w:hint="default"/>
                <w:sz w:val="18"/>
                <w:szCs w:val="18"/>
              </w:rPr>
            </w:pPr>
            <w:r>
              <w:rPr>
                <w:rFonts w:ascii="Times New Roman"/>
                <w:sz w:val="18"/>
              </w:rPr>
              <w:t>100.00%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5,517,503.69</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1.52%</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center"/>
              <w:rPr>
                <w:rFonts w:ascii="Times New Roman" w:hAnsi="Times New Roman" w:cs="Times New Roman" w:eastAsia="Times New Roman" w:hint="default"/>
                <w:sz w:val="18"/>
                <w:szCs w:val="18"/>
              </w:rPr>
            </w:pPr>
            <w:r>
              <w:rPr>
                <w:rFonts w:ascii="Times New Roman"/>
                <w:sz w:val="18"/>
              </w:rPr>
              <w:t>357,583,672.63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center"/>
              <w:rPr>
                <w:rFonts w:ascii="Times New Roman" w:hAnsi="Times New Roman" w:cs="Times New Roman" w:eastAsia="Times New Roman" w:hint="default"/>
                <w:sz w:val="18"/>
                <w:szCs w:val="18"/>
              </w:rPr>
            </w:pPr>
            <w:r>
              <w:rPr>
                <w:rFonts w:ascii="Times New Roman"/>
                <w:sz w:val="18"/>
              </w:rPr>
              <w:t>58,049,349.77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100.00%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4,095,001.03</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53,954,348.74</w:t>
            </w:r>
          </w:p>
        </w:tc>
      </w:tr>
    </w:tbl>
    <w:p>
      <w:pPr>
        <w:spacing w:after="0" w:line="240" w:lineRule="auto"/>
        <w:jc w:val="right"/>
        <w:rPr>
          <w:rFonts w:ascii="Times New Roman" w:hAnsi="Times New Roman" w:cs="Times New Roman" w:eastAsia="Times New Roman" w:hint="default"/>
          <w:sz w:val="18"/>
          <w:szCs w:val="18"/>
        </w:rPr>
        <w:sectPr>
          <w:pgSz w:w="11910" w:h="16840"/>
          <w:pgMar w:header="776" w:footer="978" w:top="1100" w:bottom="1160" w:left="480" w:right="460"/>
        </w:sectPr>
      </w:pPr>
    </w:p>
    <w:p>
      <w:pPr>
        <w:spacing w:line="240" w:lineRule="auto" w:before="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76" w:footer="978" w:top="1100" w:bottom="1160" w:left="1020" w:right="92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组合中，按账龄分析法计提坏账准备的应收账款：</w:t>
      </w:r>
    </w:p>
    <w:p>
      <w:pPr>
        <w:spacing w:before="41"/>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880" w:bottom="280" w:left="1020" w:right="920"/>
          <w:cols w:num="2" w:equalWidth="0">
            <w:col w:w="4253" w:space="4576"/>
            <w:col w:w="11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35,143,971.99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1,757,198.60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35,143,971.99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1,757,198.60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2,194,710.00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658,413.00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3,126,784.18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1,563,392.09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1,538,500.00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1,538,500.00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42,003,966.17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5,517,503.69</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0"/>
        <w:ind w:left="112" w:right="551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7"/>
        <w:ind w:left="112" w:right="5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组合中，采用其他方法计提坏账准备的应收账款：</w:t>
      </w:r>
    </w:p>
    <w:p>
      <w:pPr>
        <w:spacing w:before="43"/>
        <w:ind w:left="112" w:right="1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line="506" w:lineRule="auto" w:before="0"/>
        <w:ind w:left="532" w:right="10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w w:val="95"/>
          <w:sz w:val="21"/>
          <w:szCs w:val="21"/>
        </w:rPr>
        <w:t>本期计提坏账准备金额1,422,502.66元；本期收回或转回坏账准备金额0.00元。</w:t>
      </w:r>
      <w:r>
        <w:rPr>
          <w:rFonts w:ascii="宋体" w:hAnsi="宋体" w:cs="宋体" w:eastAsia="宋体" w:hint="default"/>
          <w:sz w:val="21"/>
          <w:szCs w:val="21"/>
        </w:rPr>
      </w:r>
    </w:p>
    <w:p>
      <w:pPr>
        <w:pStyle w:val="Heading5"/>
        <w:spacing w:line="240" w:lineRule="auto" w:before="104"/>
        <w:ind w:right="105"/>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590" w:lineRule="atLeast" w:before="51"/>
        <w:ind w:left="532" w:right="10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w w:val="95"/>
          <w:sz w:val="21"/>
          <w:szCs w:val="21"/>
        </w:rPr>
        <w:t>按欠款方集中度归集的期末余额前五名（不包含集团内部往来）应收账款汇总金额16,445,000.00元，</w:t>
      </w:r>
      <w:r>
        <w:rPr>
          <w:rFonts w:ascii="宋体" w:hAnsi="宋体" w:cs="宋体" w:eastAsia="宋体" w:hint="default"/>
          <w:sz w:val="21"/>
          <w:szCs w:val="21"/>
        </w:rPr>
      </w:r>
    </w:p>
    <w:p>
      <w:pPr>
        <w:pStyle w:val="BodyText"/>
        <w:spacing w:line="240" w:lineRule="auto" w:before="37"/>
        <w:ind w:right="105"/>
        <w:jc w:val="left"/>
      </w:pPr>
      <w:r>
        <w:rPr/>
        <w:t>占应收账款期末余额合计数的比例4.53%，相应计提的坏账准备期末余额汇总金额822,250.00元。</w:t>
      </w:r>
    </w:p>
    <w:p>
      <w:pPr>
        <w:spacing w:line="240" w:lineRule="auto" w:before="12"/>
        <w:rPr>
          <w:rFonts w:ascii="宋体" w:hAnsi="宋体" w:cs="宋体" w:eastAsia="宋体" w:hint="default"/>
          <w:sz w:val="25"/>
          <w:szCs w:val="25"/>
        </w:rPr>
      </w:pPr>
    </w:p>
    <w:p>
      <w:pPr>
        <w:pStyle w:val="Heading5"/>
        <w:spacing w:line="240" w:lineRule="auto"/>
        <w:ind w:right="105"/>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5"/>
        <w:spacing w:line="240" w:lineRule="auto"/>
        <w:ind w:right="105"/>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12" w:right="10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880" w:bottom="280" w:left="1020" w:right="920"/>
        </w:sectPr>
      </w:pPr>
    </w:p>
    <w:p>
      <w:pPr>
        <w:spacing w:line="240" w:lineRule="auto" w:before="12"/>
        <w:rPr>
          <w:rFonts w:ascii="宋体" w:hAnsi="宋体" w:cs="宋体" w:eastAsia="宋体" w:hint="default"/>
          <w:sz w:val="20"/>
          <w:szCs w:val="20"/>
        </w:rPr>
      </w:pPr>
    </w:p>
    <w:p>
      <w:pPr>
        <w:pStyle w:val="Heading5"/>
        <w:spacing w:line="240" w:lineRule="auto" w:before="34"/>
        <w:ind w:left="612" w:right="5734"/>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612" w:right="5734"/>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spacing w:before="44"/>
        <w:ind w:left="0" w:right="6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276"/>
        <w:gridCol w:w="1221"/>
        <w:gridCol w:w="762"/>
        <w:gridCol w:w="1066"/>
        <w:gridCol w:w="571"/>
        <w:gridCol w:w="1209"/>
        <w:gridCol w:w="1186"/>
        <w:gridCol w:w="762"/>
        <w:gridCol w:w="813"/>
        <w:gridCol w:w="541"/>
        <w:gridCol w:w="1210"/>
      </w:tblGrid>
      <w:tr>
        <w:trPr>
          <w:trHeight w:val="402" w:hRule="exact"/>
        </w:trPr>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2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1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276" w:type="dxa"/>
            <w:vMerge/>
            <w:tcBorders>
              <w:left w:val="single" w:sz="4" w:space="0" w:color="000000"/>
              <w:right w:val="single" w:sz="4" w:space="0" w:color="000000"/>
            </w:tcBorders>
            <w:shd w:val="clear" w:color="auto" w:fill="D3D3D3"/>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2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9" w:right="99"/>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09" w:type="dxa"/>
            <w:vMerge/>
            <w:tcBorders>
              <w:left w:val="single" w:sz="4" w:space="0" w:color="000000"/>
              <w:bottom w:val="single" w:sz="4" w:space="0" w:color="000000"/>
              <w:right w:val="single" w:sz="4" w:space="0" w:color="000000"/>
            </w:tcBorders>
            <w:shd w:val="clear" w:color="auto" w:fill="D3D3D3"/>
          </w:tcPr>
          <w:p>
            <w:pPr/>
          </w:p>
        </w:tc>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5" w:right="84"/>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10" w:type="dxa"/>
            <w:vMerge/>
            <w:tcBorders>
              <w:left w:val="single" w:sz="4" w:space="0" w:color="000000"/>
              <w:bottom w:val="single" w:sz="4" w:space="0" w:color="000000"/>
              <w:right w:val="single" w:sz="4" w:space="0" w:color="000000"/>
            </w:tcBorders>
            <w:shd w:val="clear" w:color="auto" w:fill="D3D3D3"/>
          </w:tcPr>
          <w:p>
            <w:pP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账准备的其他 应收款</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517,265,035.60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3,535,072.79</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0.68%</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513,729,962.81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252,244,727.83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2,295,655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0.91%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249,949,072.38</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517,265,035.60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3,535,072.79</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0.68%</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513,729,962.81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252,244,727.83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2,295,655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0.91%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249,949,072.38</w:t>
            </w:r>
          </w:p>
        </w:tc>
      </w:tr>
    </w:tbl>
    <w:p>
      <w:pPr>
        <w:spacing w:after="0" w:line="240" w:lineRule="auto"/>
        <w:jc w:val="left"/>
        <w:rPr>
          <w:rFonts w:ascii="Times New Roman" w:hAnsi="Times New Roman" w:cs="Times New Roman" w:eastAsia="Times New Roman" w:hint="default"/>
          <w:sz w:val="18"/>
          <w:szCs w:val="18"/>
        </w:rPr>
        <w:sectPr>
          <w:pgSz w:w="11910" w:h="16840"/>
          <w:pgMar w:header="776" w:footer="978" w:top="1100" w:bottom="1160" w:left="520" w:right="520"/>
        </w:sectPr>
      </w:pPr>
    </w:p>
    <w:p>
      <w:pPr>
        <w:spacing w:before="49"/>
        <w:ind w:left="6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7"/>
        <w:ind w:left="6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组合中，按账龄分析法计提坏账准备的其他应收款：</w:t>
      </w:r>
    </w:p>
    <w:p>
      <w:pPr>
        <w:spacing w:before="39"/>
        <w:ind w:left="6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6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880" w:bottom="280" w:left="520" w:right="520"/>
          <w:cols w:num="2" w:equalWidth="0">
            <w:col w:w="4933" w:space="3896"/>
            <w:col w:w="2041"/>
          </w:cols>
        </w:sectPr>
      </w:pPr>
    </w:p>
    <w:p>
      <w:pPr>
        <w:spacing w:line="240" w:lineRule="auto" w:before="2"/>
        <w:rPr>
          <w:rFonts w:ascii="宋体" w:hAnsi="宋体" w:cs="宋体" w:eastAsia="宋体" w:hint="default"/>
          <w:sz w:val="8"/>
          <w:szCs w:val="8"/>
        </w:rPr>
      </w:pPr>
    </w:p>
    <w:tbl>
      <w:tblPr>
        <w:tblW w:w="0" w:type="auto"/>
        <w:jc w:val="left"/>
        <w:tblInd w:w="6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1,487,527.74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74,376.39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1,487,527.74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74,376.39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645,088.00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193,526.40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211,080.00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105,540.00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3,161,630.00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3,161,630.00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5,505,325.74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3,535,072.79</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612" w:right="57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5"/>
        <w:ind w:left="612" w:right="6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组合中，采用其他方法计提坏账准备的其他应收款：</w:t>
      </w:r>
    </w:p>
    <w:p>
      <w:pPr>
        <w:spacing w:before="41"/>
        <w:ind w:left="612" w:right="57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506" w:lineRule="auto" w:before="0"/>
        <w:ind w:left="10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w w:val="95"/>
          <w:sz w:val="21"/>
          <w:szCs w:val="21"/>
        </w:rPr>
        <w:t>本期计提坏账准备金额1,702,516.22元；本期收回或转回坏账准备金额0.00元。</w:t>
      </w:r>
      <w:r>
        <w:rPr>
          <w:rFonts w:ascii="宋体" w:hAnsi="宋体" w:cs="宋体" w:eastAsia="宋体" w:hint="default"/>
          <w:sz w:val="21"/>
          <w:szCs w:val="21"/>
        </w:rPr>
      </w:r>
    </w:p>
    <w:p>
      <w:pPr>
        <w:spacing w:after="0" w:line="506" w:lineRule="auto"/>
        <w:jc w:val="left"/>
        <w:rPr>
          <w:rFonts w:ascii="宋体" w:hAnsi="宋体" w:cs="宋体" w:eastAsia="宋体" w:hint="default"/>
          <w:sz w:val="21"/>
          <w:szCs w:val="21"/>
        </w:rPr>
        <w:sectPr>
          <w:type w:val="continuous"/>
          <w:pgSz w:w="11910" w:h="16840"/>
          <w:pgMar w:top="880" w:bottom="280" w:left="520" w:right="5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集团公司内部往来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511,759,709.86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247,472,988.82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4,310,372.34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4,004,792.34</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应收第三方支付平台款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1,194,953.40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766,946.67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517,265,035.60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252,244,727.83</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8"/>
        <w:gridCol w:w="1134"/>
        <w:gridCol w:w="1276"/>
        <w:gridCol w:w="1661"/>
        <w:gridCol w:w="1615"/>
        <w:gridCol w:w="1615"/>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上海东湖宾馆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租房押金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1,681,000.00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上海巨航投资管理有限公司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租房押金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1,607,360.00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29.20%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1,473,429.00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566,483.54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28,324.18</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快钱信息服务有限公司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585,786.39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29,289.32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上海聚鑫置业有限公司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租房押金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456,250.00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136,875.00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4,896,879.93</w:t>
            </w:r>
          </w:p>
        </w:tc>
        <w:tc>
          <w:tcPr>
            <w:tcW w:w="1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88.95%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3,348,917.50</w:t>
            </w:r>
          </w:p>
        </w:tc>
      </w:tr>
    </w:tbl>
    <w:p>
      <w:pPr>
        <w:spacing w:line="240" w:lineRule="auto" w:before="3"/>
        <w:rPr>
          <w:rFonts w:ascii="宋体" w:hAnsi="宋体" w:cs="宋体" w:eastAsia="宋体" w:hint="default"/>
          <w:sz w:val="8"/>
          <w:szCs w:val="8"/>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6"/>
        <w:rPr>
          <w:rFonts w:ascii="宋体" w:hAnsi="宋体" w:cs="宋体" w:eastAsia="宋体" w:hint="default"/>
          <w:b/>
          <w:bCs/>
          <w:sz w:val="15"/>
          <w:szCs w:val="1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6"/>
        <w:rPr>
          <w:rFonts w:ascii="宋体" w:hAnsi="宋体" w:cs="宋体" w:eastAsia="宋体" w:hint="default"/>
          <w:b/>
          <w:bCs/>
          <w:sz w:val="15"/>
          <w:szCs w:val="1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1"/>
        <w:rPr>
          <w:rFonts w:ascii="宋体" w:hAnsi="宋体" w:cs="宋体" w:eastAsia="宋体" w:hint="default"/>
          <w:sz w:val="15"/>
          <w:szCs w:val="15"/>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宋体" w:hAnsi="宋体" w:cs="宋体" w:eastAsia="宋体" w:hint="default"/>
          <w:b/>
          <w:bCs/>
          <w:sz w:val="15"/>
          <w:szCs w:val="1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4102"/>
        <w:gridCol w:w="4101"/>
      </w:tblGrid>
      <w:tr>
        <w:trPr>
          <w:trHeight w:val="4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36"/>
          <w:pgSz w:w="11910" w:h="16840"/>
          <w:pgMar w:footer="978" w:header="776" w:top="1100" w:bottom="1160" w:left="1020" w:right="1020"/>
          <w:pgNumType w:start="1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412,951,933.55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412,951,933.55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365,502,000.00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365,502,000.00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412,951,933.55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412,951,933.55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365,502,000.00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365,502,000.00</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77"/>
        <w:gridCol w:w="1276"/>
        <w:gridCol w:w="1134"/>
        <w:gridCol w:w="1134"/>
        <w:gridCol w:w="1276"/>
        <w:gridCol w:w="850"/>
        <w:gridCol w:w="919"/>
      </w:tblGrid>
      <w:tr>
        <w:trPr>
          <w:trHeight w:val="714"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9" w:right="5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4" w:right="9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上海东银软件科技有限公司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上海中经商务咨询有限公司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11,033.55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181,033.55</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北京京东财信息科技有限公司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广州东财科技有限公司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上海东方财富管理专修学院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850,000.00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9,982,000.00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9,982,000.00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上海东方财富置业有限公司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上海长盛电子商务有限公司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788,900.00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788,900.00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365,502,000.00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50,799,933.55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412,951,933.55</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3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0"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8" w:right="0"/>
              <w:jc w:val="left"/>
              <w:rPr>
                <w:rFonts w:ascii="Times New Roman" w:hAnsi="Times New Roman" w:cs="Times New Roman" w:eastAsia="Times New Roman" w:hint="default"/>
                <w:sz w:val="18"/>
                <w:szCs w:val="18"/>
              </w:rPr>
            </w:pPr>
            <w:r>
              <w:rPr>
                <w:rFonts w:ascii="Times New Roman"/>
                <w:sz w:val="18"/>
              </w:rPr>
              <w:t>456,877,360.39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97,880,512.59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4" w:right="0"/>
              <w:jc w:val="left"/>
              <w:rPr>
                <w:rFonts w:ascii="Times New Roman" w:hAnsi="Times New Roman" w:cs="Times New Roman" w:eastAsia="Times New Roman" w:hint="default"/>
                <w:sz w:val="18"/>
                <w:szCs w:val="18"/>
              </w:rPr>
            </w:pPr>
            <w:r>
              <w:rPr>
                <w:rFonts w:ascii="Times New Roman"/>
                <w:sz w:val="18"/>
              </w:rPr>
              <w:t>202,346,954.46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97,809,540.29</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8" w:right="0"/>
              <w:jc w:val="left"/>
              <w:rPr>
                <w:rFonts w:ascii="Times New Roman" w:hAnsi="Times New Roman" w:cs="Times New Roman" w:eastAsia="Times New Roman" w:hint="default"/>
                <w:sz w:val="18"/>
                <w:szCs w:val="18"/>
              </w:rPr>
            </w:pPr>
            <w:r>
              <w:rPr>
                <w:rFonts w:ascii="Times New Roman"/>
                <w:sz w:val="18"/>
              </w:rPr>
              <w:t>456,877,360.39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97,880,512.59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4" w:right="0"/>
              <w:jc w:val="left"/>
              <w:rPr>
                <w:rFonts w:ascii="Times New Roman" w:hAnsi="Times New Roman" w:cs="Times New Roman" w:eastAsia="Times New Roman" w:hint="default"/>
                <w:sz w:val="18"/>
                <w:szCs w:val="18"/>
              </w:rPr>
            </w:pPr>
            <w:r>
              <w:rPr>
                <w:rFonts w:ascii="Times New Roman"/>
                <w:sz w:val="18"/>
              </w:rPr>
              <w:t>202,346,954.46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97,809,540.29</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6,979,238.54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6,979,238.54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Heading5"/>
        <w:spacing w:line="240" w:lineRule="auto" w:before="34"/>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right="0"/>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103"/>
        <w:gridCol w:w="2268"/>
        <w:gridCol w:w="2198"/>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-20,510.02</w:t>
            </w:r>
          </w:p>
        </w:tc>
        <w:tc>
          <w:tcPr>
            <w:tcW w:w="21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 标准定额或定量享受的政府补助除外）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4,874,542.76</w:t>
            </w:r>
          </w:p>
        </w:tc>
        <w:tc>
          <w:tcPr>
            <w:tcW w:w="21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-1,486,617.00</w:t>
            </w:r>
          </w:p>
        </w:tc>
        <w:tc>
          <w:tcPr>
            <w:tcW w:w="21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514,264.12</w:t>
            </w:r>
          </w:p>
        </w:tc>
        <w:tc>
          <w:tcPr>
            <w:tcW w:w="21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2,853,151.62</w:t>
            </w:r>
          </w:p>
        </w:tc>
        <w:tc>
          <w:tcPr>
            <w:tcW w:w="2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12" w:right="10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2"/>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3D3D3"/>
          </w:tcPr>
          <w:p>
            <w:pPr/>
          </w:p>
        </w:tc>
        <w:tc>
          <w:tcPr>
            <w:tcW w:w="3080" w:type="dxa"/>
            <w:vMerge/>
            <w:tcBorders>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00"/>
              <w:jc w:val="right"/>
              <w:rPr>
                <w:rFonts w:ascii="Times New Roman" w:hAnsi="Times New Roman" w:cs="Times New Roman" w:eastAsia="Times New Roman" w:hint="default"/>
                <w:sz w:val="18"/>
                <w:szCs w:val="18"/>
              </w:rPr>
            </w:pPr>
            <w:r>
              <w:rPr>
                <w:rFonts w:ascii="Times New Roman"/>
                <w:spacing w:val="-1"/>
                <w:sz w:val="18"/>
              </w:rPr>
              <w:t>9.38%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0.1370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0.1370</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300"/>
              <w:jc w:val="right"/>
              <w:rPr>
                <w:rFonts w:ascii="Times New Roman" w:hAnsi="Times New Roman" w:cs="Times New Roman" w:eastAsia="Times New Roman" w:hint="default"/>
                <w:sz w:val="18"/>
                <w:szCs w:val="18"/>
              </w:rPr>
            </w:pPr>
            <w:r>
              <w:rPr>
                <w:rFonts w:ascii="Times New Roman"/>
                <w:spacing w:val="-1"/>
                <w:sz w:val="18"/>
              </w:rPr>
              <w:t>9.22%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0.1346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0.1346</w:t>
            </w:r>
          </w:p>
        </w:tc>
      </w:tr>
    </w:tbl>
    <w:p>
      <w:pPr>
        <w:spacing w:line="240" w:lineRule="auto" w:before="3"/>
        <w:rPr>
          <w:rFonts w:ascii="宋体" w:hAnsi="宋体" w:cs="宋体" w:eastAsia="宋体" w:hint="default"/>
          <w:b/>
          <w:bCs/>
          <w:sz w:val="19"/>
          <w:szCs w:val="19"/>
        </w:rPr>
      </w:pPr>
    </w:p>
    <w:p>
      <w:pPr>
        <w:pStyle w:val="Heading5"/>
        <w:spacing w:line="240" w:lineRule="auto" w:before="34"/>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76" w:footer="978" w:top="1100" w:bottom="1160" w:left="1020" w:right="1020"/>
        </w:sectPr>
      </w:pPr>
    </w:p>
    <w:p>
      <w:pPr>
        <w:spacing w:line="240" w:lineRule="auto" w:before="12"/>
        <w:rPr>
          <w:rFonts w:ascii="宋体" w:hAnsi="宋体" w:cs="宋体" w:eastAsia="宋体" w:hint="default"/>
          <w:sz w:val="20"/>
          <w:szCs w:val="20"/>
        </w:rPr>
      </w:pPr>
    </w:p>
    <w:p>
      <w:pPr>
        <w:pStyle w:val="Heading5"/>
        <w:spacing w:line="259" w:lineRule="auto" w:before="34"/>
        <w:ind w:right="130"/>
        <w:jc w:val="left"/>
        <w:rPr>
          <w:b w:val="0"/>
          <w:bCs w:val="0"/>
        </w:rPr>
      </w:pP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5"/>
        <w:spacing w:line="240" w:lineRule="auto"/>
        <w:ind w:right="1682"/>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7"/>
        <w:rPr>
          <w:rFonts w:ascii="宋体" w:hAnsi="宋体" w:cs="宋体" w:eastAsia="宋体" w:hint="default"/>
          <w:b/>
          <w:bCs/>
          <w:sz w:val="26"/>
          <w:szCs w:val="26"/>
        </w:rPr>
      </w:pPr>
    </w:p>
    <w:p>
      <w:pPr>
        <w:spacing w:before="0"/>
        <w:ind w:left="112" w:right="16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1682"/>
        <w:jc w:val="left"/>
        <w:rPr>
          <w:b w:val="0"/>
          <w:bCs w:val="0"/>
        </w:rPr>
      </w:pP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76" w:footer="978" w:top="1100" w:bottom="1160" w:left="1020" w:right="100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1"/>
        <w:spacing w:line="240" w:lineRule="auto"/>
        <w:ind w:left="3391" w:right="3411"/>
        <w:jc w:val="center"/>
        <w:rPr>
          <w:b w:val="0"/>
          <w:bCs w:val="0"/>
        </w:rPr>
      </w:pPr>
      <w:bookmarkStart w:name="_TOC_250000" w:id="10"/>
      <w:r>
        <w:rPr/>
        <w:t>第十节</w:t>
      </w:r>
      <w:r>
        <w:rPr>
          <w:spacing w:val="-10"/>
        </w:rPr>
        <w:t> </w:t>
      </w:r>
      <w:r>
        <w:rPr/>
        <w:t>备查文件目录</w:t>
      </w:r>
      <w:bookmarkEnd w:id="10"/>
      <w:r>
        <w:rPr>
          <w:b w:val="0"/>
          <w:bCs w:val="0"/>
        </w:rPr>
      </w:r>
    </w:p>
    <w:p>
      <w:pPr>
        <w:spacing w:line="240" w:lineRule="auto" w:before="7"/>
        <w:rPr>
          <w:rFonts w:ascii="宋体" w:hAnsi="宋体" w:cs="宋体" w:eastAsia="宋体" w:hint="default"/>
          <w:b/>
          <w:bCs/>
          <w:sz w:val="40"/>
          <w:szCs w:val="40"/>
        </w:rPr>
      </w:pPr>
    </w:p>
    <w:p>
      <w:pPr>
        <w:pStyle w:val="BodyText"/>
        <w:spacing w:line="266" w:lineRule="auto" w:before="0"/>
        <w:ind w:right="130"/>
        <w:jc w:val="left"/>
      </w:pPr>
      <w:r>
        <w:rPr/>
        <w:t>一、载有董事长其实签名的</w:t>
      </w:r>
      <w:r>
        <w:rPr>
          <w:rFonts w:ascii="Times New Roman" w:hAnsi="Times New Roman" w:cs="Times New Roman" w:eastAsia="Times New Roman" w:hint="default"/>
        </w:rPr>
        <w:t>2014</w:t>
      </w:r>
      <w:r>
        <w:rPr/>
        <w:t>年年度报告文件原件；</w:t>
      </w:r>
      <w:r>
        <w:rPr>
          <w:w w:val="99"/>
        </w:rPr>
        <w:t> </w:t>
      </w:r>
      <w:r>
        <w:rPr>
          <w:w w:val="95"/>
        </w:rPr>
        <w:t>二、载有法定代表人其实、主管会计工作负责人陆威、会计机构负责人叶露签名并盖章的财务报告文本；</w:t>
      </w:r>
      <w:r>
        <w:rPr>
          <w:spacing w:val="61"/>
          <w:w w:val="95"/>
        </w:rPr>
        <w:t> </w:t>
      </w:r>
      <w:r>
        <w:rPr>
          <w:spacing w:val="61"/>
          <w:w w:val="95"/>
        </w:rPr>
      </w:r>
      <w:r>
        <w:rPr/>
        <w:t>三、报告期内在中国证监会指定报纸上公开披露过的所有公司文件的正本及公告的原稿；</w:t>
      </w:r>
      <w:r>
        <w:rPr>
          <w:w w:val="99"/>
        </w:rPr>
        <w:t> </w:t>
      </w:r>
      <w:r>
        <w:rPr/>
        <w:t>四、其它相关资料。</w:t>
      </w:r>
    </w:p>
    <w:p>
      <w:pPr>
        <w:pStyle w:val="BodyText"/>
        <w:spacing w:line="240" w:lineRule="auto" w:before="14"/>
        <w:ind w:right="1682"/>
        <w:jc w:val="left"/>
      </w:pPr>
      <w:r>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before="0"/>
        <w:ind w:left="0" w:right="135"/>
        <w:jc w:val="right"/>
      </w:pPr>
      <w:r>
        <w:rPr>
          <w:w w:val="95"/>
        </w:rPr>
        <w:t>东方财富信息股份有限公司</w:t>
      </w:r>
      <w:r>
        <w:rPr/>
      </w:r>
    </w:p>
    <w:p>
      <w:pPr>
        <w:pStyle w:val="BodyText"/>
        <w:spacing w:line="273" w:lineRule="auto" w:before="37"/>
        <w:ind w:left="7651" w:right="135" w:firstLine="840"/>
        <w:jc w:val="right"/>
      </w:pPr>
      <w:r>
        <w:rPr>
          <w:w w:val="95"/>
        </w:rPr>
        <w:t>董事长：其实</w:t>
      </w:r>
      <w:r>
        <w:rPr>
          <w:w w:val="99"/>
        </w:rPr>
        <w:t> </w:t>
      </w:r>
      <w:r>
        <w:rPr>
          <w:w w:val="95"/>
        </w:rPr>
        <w:t>二〇一五年二月十四日</w:t>
      </w:r>
      <w:r>
        <w:rPr/>
      </w:r>
    </w:p>
    <w:sectPr>
      <w:pgSz w:w="11910" w:h="16840"/>
      <w:pgMar w:header="776" w:footer="978" w:top="1100" w:bottom="1160" w:left="10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995pt;margin-top:782.007935pt;width:8.5pt;height:11pt;mso-position-horizontal-relative:page;mso-position-vertical-relative:page;z-index:-625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5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5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625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2.007935pt;width:17.4pt;height:11pt;mso-position-horizontal-relative:page;mso-position-vertical-relative:page;z-index:-625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625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2pt;height:11pt;mso-position-horizontal-relative:page;mso-position-vertical-relative:page;z-index:-625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5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5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5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5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5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5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5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599998pt;margin-top:38.800026pt;width:61.9pt;height:15.4pt;mso-position-horizontal-relative:page;mso-position-vertical-relative:page;z-index:-626056" type="#_x0000_t75" stroked="false">
          <v:imagedata r:id="rId1" o:title=""/>
        </v:shape>
      </w:pict>
    </w:r>
    <w:r>
      <w:rPr/>
      <w:pict>
        <v:group style="position:absolute;margin-left:56.700001pt;margin-top:55.560009pt;width:463.9pt;height:.1pt;mso-position-horizontal-relative:page;mso-position-vertical-relative:page;z-index:-626032" coordorigin="1134,1111" coordsize="9278,2">
          <v:shape style="position:absolute;left:1134;top:1111;width:9278;height:2" coordorigin="1134,1111" coordsize="9278,0" path="m1134,1111l10412,1111e" filled="false" stroked="true" strokeweight=".719971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5.640015pt;margin-top:42.915649pt;width:195.6pt;height:11.5pt;mso-position-horizontal-relative:page;mso-position-vertical-relative:page;z-index:-6260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r>
      <w:rPr/>
      <w:pict>
        <v:shape style="position:absolute;margin-left:213.199997pt;margin-top:43.407959pt;width:29.1pt;height:11pt;mso-position-horizontal-relative:page;mso-position-vertical-relative:page;z-index:-6259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300059</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9"/>
      <w:ind w:left="112"/>
    </w:pPr>
    <w:rPr>
      <w:rFonts w:ascii="宋体" w:hAnsi="宋体" w:eastAsia="宋体"/>
      <w:b/>
      <w:bCs/>
      <w:sz w:val="24"/>
      <w:szCs w:val="24"/>
    </w:rPr>
  </w:style>
  <w:style w:styleId="BodyText" w:type="paragraph">
    <w:name w:val="Body Text"/>
    <w:basedOn w:val="Normal"/>
    <w:uiPriority w:val="1"/>
    <w:qFormat/>
    <w:pPr>
      <w:spacing w:before="7"/>
      <w:ind w:left="112"/>
    </w:pPr>
    <w:rPr>
      <w:rFonts w:ascii="宋体" w:hAnsi="宋体" w:eastAsia="宋体"/>
      <w:sz w:val="21"/>
      <w:szCs w:val="21"/>
    </w:rPr>
  </w:style>
  <w:style w:styleId="Heading1" w:type="paragraph">
    <w:name w:val="Heading 1"/>
    <w:basedOn w:val="Normal"/>
    <w:uiPriority w:val="1"/>
    <w:qFormat/>
    <w:pPr>
      <w:ind w:left="2743"/>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8"/>
      <w:szCs w:val="28"/>
    </w:rPr>
  </w:style>
  <w:style w:styleId="Heading3" w:type="paragraph">
    <w:name w:val="Heading 3"/>
    <w:basedOn w:val="Normal"/>
    <w:uiPriority w:val="1"/>
    <w:qFormat/>
    <w:pPr>
      <w:spacing w:before="61"/>
      <w:ind w:left="112"/>
      <w:outlineLvl w:val="3"/>
    </w:pPr>
    <w:rPr>
      <w:rFonts w:ascii="宋体" w:hAnsi="宋体" w:eastAsia="宋体"/>
      <w:sz w:val="28"/>
      <w:szCs w:val="28"/>
    </w:rPr>
  </w:style>
  <w:style w:styleId="Heading4" w:type="paragraph">
    <w:name w:val="Heading 4"/>
    <w:basedOn w:val="Normal"/>
    <w:uiPriority w:val="1"/>
    <w:qFormat/>
    <w:pPr>
      <w:ind w:left="112"/>
      <w:outlineLvl w:val="4"/>
    </w:pPr>
    <w:rPr>
      <w:rFonts w:ascii="宋体" w:hAnsi="宋体" w:eastAsia="宋体"/>
      <w:b/>
      <w:bCs/>
      <w:sz w:val="24"/>
      <w:szCs w:val="24"/>
    </w:rPr>
  </w:style>
  <w:style w:styleId="Heading5" w:type="paragraph">
    <w:name w:val="Heading 5"/>
    <w:basedOn w:val="Normal"/>
    <w:uiPriority w:val="1"/>
    <w:qFormat/>
    <w:pPr>
      <w:ind w:left="11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eastmoney.com/" TargetMode="External"/><Relationship Id="rId9" Type="http://schemas.openxmlformats.org/officeDocument/2006/relationships/hyperlink" Target="http://www.18.com.cn/" TargetMode="External"/><Relationship Id="rId10" Type="http://schemas.openxmlformats.org/officeDocument/2006/relationships/hyperlink" Target="http://www.1234567.com.cn/" TargetMode="External"/><Relationship Id="rId11" Type="http://schemas.openxmlformats.org/officeDocument/2006/relationships/hyperlink" Target="http://www.chinarank.org.cn/" TargetMode="External"/><Relationship Id="rId12" Type="http://schemas.openxmlformats.org/officeDocument/2006/relationships/hyperlink" Target="mailto:dongmi@eastmoney.com" TargetMode="External"/><Relationship Id="rId13" Type="http://schemas.openxmlformats.org/officeDocument/2006/relationships/hyperlink" Target="http://www.cninfo.com.cn/" TargetMode="Externa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footer" Target="footer5.xml"/><Relationship Id="rId27" Type="http://schemas.openxmlformats.org/officeDocument/2006/relationships/image" Target="media/image11.jpeg"/><Relationship Id="rId28" Type="http://schemas.openxmlformats.org/officeDocument/2006/relationships/footer" Target="footer6.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footer" Target="footer13.xml"/><Relationship Id="rId36" Type="http://schemas.openxmlformats.org/officeDocument/2006/relationships/footer" Target="footer1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2020-05-06T18:36:19Z</dcterms:created>
  <dcterms:modified xsi:type="dcterms:W3CDTF">2020-05-06T18:36:19Z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2015-02-13T00:00:00Z</vt:filetime>
  </property>
  <property fmtid="{D5CDD505-2E9C-101B-9397-08002B2CF9AE}" pid="3" name="LastSaved">
    <vt:filetime>2020-05-06T00:00:00Z</vt:filetime>
  </property>
</Properties>
</file>