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6.650002pt;margin-top:35.999985pt;width:85.55pt;height:21.6pt;mso-position-horizontal-relative:page;mso-position-vertical-relative:page;z-index:0" type="#_x0000_t75" stroked="false">
            <v:imagedata r:id="rId7" o:title=""/>
          </v:shape>
        </w:pict>
      </w:r>
      <w:r>
        <w:rPr/>
        <w:pict>
          <v:group style="position:absolute;margin-left:55.200001pt;margin-top:61.679981pt;width:484.9pt;height:.1pt;mso-position-horizontal-relative:page;mso-position-vertical-relative:page;z-index:1048" coordorigin="1104,1234" coordsize="9698,2">
            <v:shape style="position:absolute;left:1104;top:1234;width:9698;height:2" coordorigin="1104,1234" coordsize="9698,0" path="m1104,1234l10802,1234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1072" w:lineRule="exact"/>
        <w:ind w:left="256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2740134" cy="68122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2740134" cy="681227"/>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8"/>
        <w:rPr>
          <w:rFonts w:ascii="Times New Roman" w:hAnsi="Times New Roman" w:cs="Times New Roman" w:eastAsia="Times New Roman" w:hint="default"/>
          <w:sz w:val="26"/>
          <w:szCs w:val="26"/>
        </w:rPr>
      </w:pPr>
    </w:p>
    <w:p>
      <w:pPr>
        <w:spacing w:line="460" w:lineRule="exact" w:before="0"/>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东方财富信息股份有限公司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3"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27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997" w:footer="979" w:top="1300" w:bottom="1160" w:left="980" w:right="980"/>
        </w:sectPr>
      </w:pPr>
    </w:p>
    <w:p>
      <w:pPr>
        <w:spacing w:line="240" w:lineRule="auto" w:before="11"/>
        <w:rPr>
          <w:rFonts w:ascii="宋体" w:hAnsi="宋体" w:cs="宋体" w:eastAsia="宋体" w:hint="default"/>
          <w:b/>
          <w:bCs/>
          <w:sz w:val="2"/>
          <w:szCs w:val="2"/>
        </w:rPr>
      </w:pPr>
      <w:r>
        <w:rPr/>
        <w:pict>
          <v:shape style="position:absolute;margin-left:56.650002pt;margin-top:42.599983pt;width:85.55pt;height:21.6pt;mso-position-horizontal-relative:page;mso-position-vertical-relative:page;z-index:1096"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23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386" w:lineRule="auto" w:before="163"/>
        <w:ind w:right="231" w:firstLine="562"/>
        <w:jc w:val="both"/>
        <w:rPr>
          <w:b w:val="0"/>
          <w:bCs w:val="0"/>
        </w:rPr>
      </w:pPr>
      <w:r>
        <w:rPr>
          <w:w w:val="95"/>
        </w:rPr>
        <w:t>公司负责人其实、主管会计工作负责人陆威及会计机构负责人</w:t>
      </w:r>
      <w:r>
        <w:rPr>
          <w:rFonts w:ascii="Times New Roman" w:hAnsi="Times New Roman" w:cs="Times New Roman" w:eastAsia="Times New Roman" w:hint="default"/>
          <w:w w:val="95"/>
        </w:rPr>
        <w:t>(</w:t>
      </w:r>
      <w:r>
        <w:rPr>
          <w:w w:val="95"/>
        </w:rPr>
        <w:t>会计主管人</w:t>
      </w:r>
      <w:r>
        <w:rPr>
          <w:w w:val="99"/>
        </w:rPr>
        <w:t> </w:t>
      </w:r>
      <w:r>
        <w:rPr/>
        <w:t>员</w:t>
      </w:r>
      <w:r>
        <w:rPr>
          <w:rFonts w:ascii="Times New Roman" w:hAnsi="Times New Roman" w:cs="Times New Roman" w:eastAsia="Times New Roman" w:hint="default"/>
        </w:rPr>
        <w:t>)</w:t>
      </w:r>
      <w:r>
        <w:rPr/>
        <w:t>叶露声明：保证年度报告中财务报告的真实、准确、完整。</w:t>
      </w:r>
      <w:r>
        <w:rPr>
          <w:b w:val="0"/>
          <w:bCs w:val="0"/>
        </w:rPr>
      </w:r>
    </w:p>
    <w:p>
      <w:pPr>
        <w:pStyle w:val="Heading2"/>
        <w:spacing w:line="472" w:lineRule="auto" w:before="148"/>
        <w:ind w:left="714" w:right="0"/>
        <w:jc w:val="left"/>
        <w:rPr>
          <w:b w:val="0"/>
          <w:bCs w:val="0"/>
        </w:rPr>
      </w:pPr>
      <w:r>
        <w:rPr/>
        <w:t>所有董事均已出席了审议本报告的董事会会议。</w:t>
      </w:r>
      <w:r>
        <w:rPr>
          <w:w w:val="99"/>
        </w:rPr>
        <w:t> </w:t>
      </w:r>
      <w:r>
        <w:rPr>
          <w:spacing w:val="10"/>
        </w:rPr>
        <w:t>公司在本报告第四节</w:t>
      </w:r>
      <w:r>
        <w:rPr>
          <w:rFonts w:ascii="Times New Roman" w:hAnsi="Times New Roman" w:cs="Times New Roman" w:eastAsia="Times New Roman" w:hint="default"/>
          <w:spacing w:val="10"/>
        </w:rPr>
        <w:t>“</w:t>
      </w:r>
      <w:r>
        <w:rPr>
          <w:spacing w:val="10"/>
        </w:rPr>
        <w:t>管理层分析与讨论</w:t>
      </w:r>
      <w:r>
        <w:rPr>
          <w:rFonts w:ascii="Times New Roman" w:hAnsi="Times New Roman" w:cs="Times New Roman" w:eastAsia="Times New Roman" w:hint="default"/>
          <w:spacing w:val="10"/>
        </w:rPr>
        <w:t>”</w:t>
      </w:r>
      <w:r>
        <w:rPr>
          <w:spacing w:val="10"/>
        </w:rPr>
        <w:t>中的</w:t>
      </w:r>
      <w:r>
        <w:rPr>
          <w:rFonts w:ascii="Times New Roman" w:hAnsi="Times New Roman" w:cs="Times New Roman" w:eastAsia="Times New Roman" w:hint="default"/>
          <w:spacing w:val="10"/>
        </w:rPr>
        <w:t>“</w:t>
      </w:r>
      <w:r>
        <w:rPr>
          <w:spacing w:val="10"/>
        </w:rPr>
        <w:t>公司未来发展的展望</w:t>
      </w:r>
      <w:r>
        <w:rPr>
          <w:rFonts w:ascii="Times New Roman" w:hAnsi="Times New Roman" w:cs="Times New Roman" w:eastAsia="Times New Roman" w:hint="default"/>
          <w:spacing w:val="10"/>
        </w:rPr>
        <w:t>”</w:t>
      </w:r>
      <w:r>
        <w:rPr>
          <w:spacing w:val="10"/>
        </w:rPr>
        <w:t>部</w:t>
      </w:r>
      <w:r>
        <w:rPr>
          <w:b w:val="0"/>
          <w:bCs w:val="0"/>
          <w:spacing w:val="10"/>
        </w:rPr>
      </w:r>
    </w:p>
    <w:p>
      <w:pPr>
        <w:pStyle w:val="Heading2"/>
        <w:spacing w:line="302" w:lineRule="exact"/>
        <w:ind w:right="0"/>
        <w:jc w:val="left"/>
        <w:rPr>
          <w:b w:val="0"/>
          <w:bCs w:val="0"/>
        </w:rPr>
      </w:pPr>
      <w:r>
        <w:rPr>
          <w:spacing w:val="2"/>
        </w:rPr>
        <w:t>分，详细描述了公司经营中可能存在的风险及应对措施，敬请投资者关注相关</w:t>
      </w:r>
      <w:r>
        <w:rPr>
          <w:b w:val="0"/>
          <w:bCs w:val="0"/>
          <w:spacing w:val="2"/>
        </w:rPr>
      </w:r>
    </w:p>
    <w:p>
      <w:pPr>
        <w:spacing w:line="240" w:lineRule="auto" w:before="9"/>
        <w:rPr>
          <w:rFonts w:ascii="宋体" w:hAnsi="宋体" w:cs="宋体" w:eastAsia="宋体" w:hint="default"/>
          <w:b/>
          <w:bCs/>
          <w:sz w:val="19"/>
          <w:szCs w:val="19"/>
        </w:rPr>
      </w:pPr>
    </w:p>
    <w:p>
      <w:pPr>
        <w:pStyle w:val="Heading2"/>
        <w:spacing w:line="240" w:lineRule="auto"/>
        <w:ind w:right="0"/>
        <w:jc w:val="left"/>
        <w:rPr>
          <w:b w:val="0"/>
          <w:bCs w:val="0"/>
        </w:rPr>
      </w:pPr>
      <w:r>
        <w:rPr/>
        <w:t>内容。</w:t>
      </w:r>
      <w:r>
        <w:rPr>
          <w:b w:val="0"/>
          <w:bCs w:val="0"/>
        </w:rPr>
      </w:r>
    </w:p>
    <w:p>
      <w:pPr>
        <w:spacing w:line="240" w:lineRule="auto" w:before="5"/>
        <w:rPr>
          <w:rFonts w:ascii="宋体" w:hAnsi="宋体" w:cs="宋体" w:eastAsia="宋体" w:hint="default"/>
          <w:b/>
          <w:bCs/>
          <w:sz w:val="27"/>
          <w:szCs w:val="27"/>
        </w:rPr>
      </w:pPr>
    </w:p>
    <w:p>
      <w:pPr>
        <w:pStyle w:val="Heading2"/>
        <w:spacing w:line="240" w:lineRule="auto"/>
        <w:ind w:left="714" w:right="0"/>
        <w:jc w:val="left"/>
        <w:rPr>
          <w:b w:val="0"/>
          <w:bCs w:val="0"/>
        </w:rPr>
      </w:pPr>
      <w:r>
        <w:rPr/>
        <w:t>公司经本次董事会审议通过的利润分配预案为：以股本</w:t>
      </w:r>
      <w:r>
        <w:rPr>
          <w:spacing w:val="-66"/>
        </w:rPr>
        <w:t> </w:t>
      </w:r>
      <w:r>
        <w:rPr>
          <w:rFonts w:ascii="Times New Roman" w:hAnsi="Times New Roman" w:cs="Times New Roman" w:eastAsia="Times New Roman" w:hint="default"/>
        </w:rPr>
        <w:t>1,853,892,052</w:t>
      </w:r>
      <w:r>
        <w:rPr>
          <w:rFonts w:ascii="Times New Roman" w:hAnsi="Times New Roman" w:cs="Times New Roman" w:eastAsia="Times New Roman" w:hint="default"/>
          <w:spacing w:val="4"/>
        </w:rPr>
        <w:t> </w:t>
      </w:r>
      <w:r>
        <w:rPr/>
        <w:t>股为</w:t>
      </w:r>
      <w:r>
        <w:rPr>
          <w:b w:val="0"/>
          <w:bCs w:val="0"/>
        </w:rPr>
      </w:r>
    </w:p>
    <w:p>
      <w:pPr>
        <w:pStyle w:val="Heading2"/>
        <w:spacing w:line="240" w:lineRule="auto" w:before="236"/>
        <w:ind w:right="0"/>
        <w:jc w:val="left"/>
        <w:rPr>
          <w:b w:val="0"/>
          <w:bCs w:val="0"/>
        </w:rPr>
      </w:pPr>
      <w:r>
        <w:rPr>
          <w:w w:val="99"/>
        </w:rPr>
        <w:t>基数</w:t>
      </w:r>
      <w:r>
        <w:rPr>
          <w:spacing w:val="2"/>
          <w:w w:val="99"/>
        </w:rPr>
        <w:t>，</w:t>
      </w:r>
      <w:r>
        <w:rPr>
          <w:w w:val="99"/>
        </w:rPr>
        <w:t>向全体股东每</w:t>
      </w:r>
      <w:r>
        <w:rPr>
          <w:spacing w:val="-68"/>
        </w:rPr>
        <w:t> </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99"/>
        </w:rPr>
        <w:t>股派发现金红利</w:t>
      </w:r>
      <w:r>
        <w:rPr>
          <w:spacing w:val="-69"/>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spacing w:val="-1"/>
        </w:rPr>
        <w:t> </w:t>
      </w:r>
      <w:r>
        <w:rPr>
          <w:w w:val="99"/>
        </w:rPr>
        <w:t>元（含</w:t>
      </w:r>
      <w:r>
        <w:rPr>
          <w:spacing w:val="2"/>
          <w:w w:val="99"/>
        </w:rPr>
        <w:t>税</w:t>
      </w:r>
      <w:r>
        <w:rPr>
          <w:spacing w:val="-142"/>
          <w:w w:val="99"/>
        </w:rPr>
        <w:t>）</w:t>
      </w:r>
      <w:r>
        <w:rPr>
          <w:w w:val="99"/>
        </w:rPr>
        <w:t>，送</w:t>
      </w:r>
      <w:r>
        <w:rPr>
          <w:spacing w:val="2"/>
          <w:w w:val="99"/>
        </w:rPr>
        <w:t>红</w:t>
      </w:r>
      <w:r>
        <w:rPr>
          <w:w w:val="99"/>
        </w:rPr>
        <w:t>股</w:t>
      </w:r>
      <w:r>
        <w:rPr>
          <w:spacing w:val="-71"/>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99"/>
        </w:rPr>
        <w:t>股（含</w:t>
      </w:r>
      <w:r>
        <w:rPr>
          <w:spacing w:val="2"/>
          <w:w w:val="99"/>
        </w:rPr>
        <w:t>税</w:t>
      </w:r>
      <w:r>
        <w:rPr>
          <w:spacing w:val="-142"/>
          <w:w w:val="99"/>
        </w:rPr>
        <w:t>）</w:t>
      </w:r>
      <w:r>
        <w:rPr>
          <w:w w:val="99"/>
        </w:rPr>
        <w:t>，</w:t>
      </w:r>
      <w:r>
        <w:rPr>
          <w:b w:val="0"/>
          <w:bCs w:val="0"/>
        </w:rPr>
      </w:r>
    </w:p>
    <w:p>
      <w:pPr>
        <w:pStyle w:val="Heading2"/>
        <w:spacing w:line="240" w:lineRule="auto" w:before="236"/>
        <w:ind w:right="0"/>
        <w:jc w:val="left"/>
        <w:rPr>
          <w:b w:val="0"/>
          <w:bCs w:val="0"/>
        </w:rPr>
      </w:pPr>
      <w:r>
        <w:rPr/>
        <w:t>以资本公积金向全体股东每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70"/>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股。</w:t>
      </w:r>
      <w:r>
        <w:rPr>
          <w:b w:val="0"/>
          <w:bCs w:val="0"/>
        </w:rPr>
      </w:r>
    </w:p>
    <w:p>
      <w:pPr>
        <w:spacing w:after="0" w:line="240" w:lineRule="auto"/>
        <w:jc w:val="left"/>
        <w:sectPr>
          <w:footerReference w:type="default" r:id="rId9"/>
          <w:pgSz w:w="11910" w:h="16840"/>
          <w:pgMar w:footer="979" w:header="997" w:top="1300" w:bottom="1160" w:left="980" w:right="900"/>
          <w:pgNumType w:start="2"/>
        </w:sectPr>
      </w:pPr>
    </w:p>
    <w:p>
      <w:pPr>
        <w:spacing w:line="240" w:lineRule="auto" w:before="11"/>
        <w:rPr>
          <w:rFonts w:ascii="宋体" w:hAnsi="宋体" w:cs="宋体" w:eastAsia="宋体" w:hint="default"/>
          <w:b/>
          <w:bCs/>
          <w:sz w:val="2"/>
          <w:szCs w:val="2"/>
        </w:rPr>
      </w:pPr>
      <w:r>
        <w:rPr/>
        <w:pict>
          <v:shape style="position:absolute;margin-left:56.650002pt;margin-top:42.599983pt;width:85.55pt;height:21.6pt;mso-position-horizontal-relative:page;mso-position-vertical-relative:page;z-index:1144"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spacing w:line="460" w:lineRule="exact" w:before="0"/>
        <w:ind w:left="2784" w:right="2784"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150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997" w:footer="979" w:top="1300" w:bottom="1160" w:left="980" w:right="980"/>
        </w:sectPr>
      </w:pPr>
    </w:p>
    <w:p>
      <w:pPr>
        <w:spacing w:before="693"/>
        <w:ind w:left="2784" w:right="278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422"/>
        <w:gridCol w:w="687"/>
        <w:gridCol w:w="6462"/>
      </w:tblGrid>
      <w:tr>
        <w:trPr>
          <w:trHeight w:val="40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东方财富、公司、本公司</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东方财富网</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www.eastmoney.com</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2">
              <w:r>
                <w:rPr>
                  <w:rFonts w:ascii="Times New Roman" w:hAnsi="Times New Roman" w:cs="Times New Roman" w:eastAsia="Times New Roman" w:hint="default"/>
                  <w:sz w:val="18"/>
                  <w:szCs w:val="18"/>
                </w:rPr>
                <w:t>www.18.com.cn</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的网站</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天天基金网</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Times New Roman" w:hAnsi="Times New Roman" w:cs="Times New Roman" w:eastAsia="Times New Roman" w:hint="default"/>
                <w:sz w:val="18"/>
                <w:szCs w:val="18"/>
              </w:rPr>
              <w:t>"</w:t>
            </w:r>
            <w:hyperlink r:id="rId13">
              <w:r>
                <w:rPr>
                  <w:rFonts w:ascii="Times New Roman" w:hAnsi="Times New Roman" w:cs="Times New Roman" w:eastAsia="Times New Roman" w:hint="default"/>
                  <w:sz w:val="18"/>
                  <w:szCs w:val="18"/>
                </w:rPr>
                <w:t>www.1234567.com.cn</w:t>
              </w:r>
            </w:hyperlink>
            <w:r>
              <w:rPr>
                <w:rFonts w:ascii="Times New Roman" w:hAnsi="Times New Roman" w:cs="Times New Roman" w:eastAsia="Times New Roman" w:hint="default"/>
                <w:sz w:val="18"/>
                <w:szCs w:val="18"/>
              </w:rPr>
              <w:t>"</w:t>
            </w:r>
            <w:r>
              <w:rPr>
                <w:rFonts w:ascii="宋体" w:hAnsi="宋体" w:cs="宋体" w:eastAsia="宋体" w:hint="default"/>
                <w:sz w:val="18"/>
                <w:szCs w:val="18"/>
              </w:rPr>
              <w:t>的网站</w:t>
            </w:r>
          </w:p>
        </w:tc>
      </w:tr>
      <w:tr>
        <w:trPr>
          <w:trHeight w:val="404"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宇通集团</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西藏投资</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西藏自治区投资有限公司</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东财研究所</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天天基金</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同信证券</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西藏同信证券股份有限公司</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上海漫道</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上海漫道金融信息服务股份有限公司，原名：易真网络科技股份有限公司</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东财国际</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东方财富国际证券有限公司，原名：宝华世纪证券有限公司</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中金公司</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立信事务所、立信</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东方财富信息股份有限公司股东大会</w:t>
            </w:r>
          </w:p>
        </w:tc>
      </w:tr>
      <w:tr>
        <w:trPr>
          <w:trHeight w:val="403"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w:t>
            </w:r>
          </w:p>
        </w:tc>
      </w:tr>
      <w:tr>
        <w:trPr>
          <w:trHeight w:val="401" w:hRule="exact"/>
        </w:trPr>
        <w:tc>
          <w:tcPr>
            <w:tcW w:w="24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东方财富信息股份有限公司的监事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w:t>
            </w:r>
          </w:p>
        </w:tc>
      </w:tr>
      <w:tr>
        <w:trPr>
          <w:trHeight w:val="317" w:hRule="exact"/>
        </w:trPr>
        <w:tc>
          <w:tcPr>
            <w:tcW w:w="2422" w:type="dxa"/>
            <w:tcBorders>
              <w:top w:val="single" w:sz="4" w:space="0" w:color="000000"/>
              <w:left w:val="single" w:sz="4" w:space="0" w:color="000000"/>
              <w:bottom w:val="nil" w:sz="6" w:space="0" w:color="auto"/>
              <w:right w:val="single" w:sz="4" w:space="0" w:color="000000"/>
            </w:tcBorders>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iResearch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艾瑞咨询集团，是一家专注于网络媒体、电子商务、网络游戏、无线增</w:t>
            </w:r>
          </w:p>
        </w:tc>
      </w:tr>
      <w:tr>
        <w:trPr>
          <w:trHeight w:val="394" w:hRule="exact"/>
        </w:trPr>
        <w:tc>
          <w:tcPr>
            <w:tcW w:w="2422" w:type="dxa"/>
            <w:tcBorders>
              <w:top w:val="nil" w:sz="6" w:space="0" w:color="auto"/>
              <w:left w:val="single" w:sz="4" w:space="0" w:color="000000"/>
              <w:bottom w:val="nil" w:sz="6" w:space="0" w:color="auto"/>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艾瑞咨询</w:t>
            </w: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nil" w:sz="6" w:space="0" w:color="auto"/>
              <w:left w:val="single" w:sz="13" w:space="0" w:color="D2D2D2"/>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值等新经济领域，研究和了解消费者行为，并为网络行业及传统行业客户提供数据</w:t>
            </w:r>
          </w:p>
        </w:tc>
      </w:tr>
      <w:tr>
        <w:trPr>
          <w:trHeight w:val="317" w:hRule="exact"/>
        </w:trPr>
        <w:tc>
          <w:tcPr>
            <w:tcW w:w="2422" w:type="dxa"/>
            <w:tcBorders>
              <w:top w:val="nil" w:sz="6" w:space="0" w:color="auto"/>
              <w:left w:val="single" w:sz="4" w:space="0" w:color="000000"/>
              <w:bottom w:val="single" w:sz="4" w:space="0" w:color="000000"/>
              <w:right w:val="single" w:sz="4" w:space="0" w:color="000000"/>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产品服务和研究咨询服务的专业机构</w:t>
            </w:r>
          </w:p>
        </w:tc>
      </w:tr>
      <w:tr>
        <w:trPr>
          <w:trHeight w:val="361" w:hRule="exact"/>
        </w:trPr>
        <w:tc>
          <w:tcPr>
            <w:tcW w:w="2422" w:type="dxa"/>
            <w:tcBorders>
              <w:top w:val="single" w:sz="4" w:space="0" w:color="000000"/>
              <w:left w:val="single" w:sz="4" w:space="0" w:color="000000"/>
              <w:bottom w:val="nil" w:sz="6" w:space="0" w:color="auto"/>
              <w:right w:val="single" w:sz="4" w:space="0" w:color="000000"/>
            </w:tcBorders>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64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中国互联网络信息中</w:t>
            </w:r>
            <w:r>
              <w:rPr>
                <w:rFonts w:ascii="宋体" w:hAnsi="宋体" w:cs="宋体" w:eastAsia="宋体" w:hint="default"/>
                <w:spacing w:val="-39"/>
                <w:sz w:val="18"/>
                <w:szCs w:val="18"/>
              </w:rPr>
              <w:t>心</w:t>
            </w:r>
            <w:r>
              <w:rPr>
                <w:rFonts w:ascii="宋体" w:hAnsi="宋体" w:cs="宋体" w:eastAsia="宋体" w:hint="default"/>
                <w:sz w:val="18"/>
                <w:szCs w:val="18"/>
              </w:rPr>
              <w:t>（</w:t>
            </w:r>
            <w:r>
              <w:rPr>
                <w:rFonts w:ascii="Times New Roman" w:hAnsi="Times New Roman" w:cs="Times New Roman" w:eastAsia="Times New Roman" w:hint="default"/>
                <w:sz w:val="18"/>
                <w:szCs w:val="18"/>
              </w:rPr>
              <w:t>Chi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tern</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t </w:t>
            </w:r>
            <w:r>
              <w:rPr>
                <w:rFonts w:ascii="Times New Roman" w:hAnsi="Times New Roman" w:cs="Times New Roman" w:eastAsia="Times New Roman" w:hint="default"/>
                <w:w w:val="99"/>
                <w:sz w:val="18"/>
                <w:szCs w:val="18"/>
              </w:rPr>
              <w:t>N</w:t>
            </w:r>
            <w:r>
              <w:rPr>
                <w:rFonts w:ascii="Times New Roman" w:hAnsi="Times New Roman" w:cs="Times New Roman" w:eastAsia="Times New Roman" w:hint="default"/>
                <w:spacing w:val="-2"/>
                <w:w w:val="99"/>
                <w:sz w:val="18"/>
                <w:szCs w:val="18"/>
              </w:rPr>
              <w:t>e</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rk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pacing w:val="-1"/>
                <w:sz w:val="18"/>
                <w:szCs w:val="18"/>
              </w:rPr>
              <w:t>ma</w:t>
            </w:r>
            <w:r>
              <w:rPr>
                <w:rFonts w:ascii="Times New Roman" w:hAnsi="Times New Roman" w:cs="Times New Roman" w:eastAsia="Times New Roman" w:hint="default"/>
                <w:sz w:val="18"/>
                <w:szCs w:val="18"/>
              </w:rPr>
              <w:t>ti</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4"/>
                <w:sz w:val="18"/>
                <w:szCs w:val="18"/>
              </w:rPr>
              <w:t>e</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te</w:t>
            </w:r>
            <w:r>
              <w:rPr>
                <w:rFonts w:ascii="Times New Roman" w:hAnsi="Times New Roman" w:cs="Times New Roman" w:eastAsia="Times New Roman" w:hint="default"/>
                <w:spacing w:val="2"/>
                <w:sz w:val="18"/>
                <w:szCs w:val="18"/>
              </w:rPr>
              <w:t>r</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是经国家主管</w:t>
            </w:r>
          </w:p>
        </w:tc>
      </w:tr>
      <w:tr>
        <w:trPr>
          <w:trHeight w:val="112" w:hRule="exact"/>
        </w:trPr>
        <w:tc>
          <w:tcPr>
            <w:tcW w:w="2422" w:type="dxa"/>
            <w:vMerge w:val="restart"/>
            <w:tcBorders>
              <w:top w:val="nil" w:sz="6" w:space="0" w:color="auto"/>
              <w:left w:val="single" w:sz="4" w:space="0" w:color="000000"/>
              <w:right w:val="single" w:sz="13" w:space="0" w:color="D2D2D2"/>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CNNIC</w:t>
            </w:r>
          </w:p>
        </w:tc>
        <w:tc>
          <w:tcPr>
            <w:tcW w:w="687" w:type="dxa"/>
            <w:vMerge/>
            <w:tcBorders>
              <w:left w:val="single" w:sz="4" w:space="0" w:color="000000"/>
              <w:bottom w:val="nil" w:sz="6" w:space="0" w:color="auto"/>
              <w:right w:val="single" w:sz="4" w:space="0" w:color="000000"/>
            </w:tcBorders>
            <w:shd w:val="clear" w:color="auto" w:fill="D2D2D2"/>
          </w:tcPr>
          <w:p>
            <w:pPr/>
          </w:p>
        </w:tc>
        <w:tc>
          <w:tcPr>
            <w:tcW w:w="6462" w:type="dxa"/>
            <w:vMerge w:val="restart"/>
            <w:tcBorders>
              <w:top w:val="nil" w:sz="6" w:space="0" w:color="auto"/>
              <w:left w:val="single" w:sz="13" w:space="0" w:color="D2D2D2"/>
              <w:right w:val="single" w:sz="4" w:space="0" w:color="000000"/>
            </w:tcBorders>
          </w:tcPr>
          <w:p>
            <w:pPr>
              <w:pStyle w:val="TableParagraph"/>
              <w:spacing w:line="300" w:lineRule="auto" w:before="6"/>
              <w:ind w:left="23" w:right="20"/>
              <w:jc w:val="left"/>
              <w:rPr>
                <w:rFonts w:ascii="宋体" w:hAnsi="宋体" w:cs="宋体" w:eastAsia="宋体" w:hint="default"/>
                <w:sz w:val="18"/>
                <w:szCs w:val="18"/>
              </w:rPr>
            </w:pPr>
            <w:r>
              <w:rPr>
                <w:rFonts w:ascii="宋体" w:hAnsi="宋体" w:cs="宋体" w:eastAsia="宋体" w:hint="default"/>
                <w:sz w:val="18"/>
                <w:szCs w:val="18"/>
              </w:rPr>
              <w:t>部门批准，于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日组建的管理和服务机构，行使国家互联网络信息中 </w:t>
            </w:r>
            <w:r>
              <w:rPr>
                <w:rFonts w:ascii="宋体" w:hAnsi="宋体" w:cs="宋体" w:eastAsia="宋体" w:hint="default"/>
                <w:spacing w:val="-3"/>
                <w:sz w:val="18"/>
                <w:szCs w:val="18"/>
              </w:rPr>
              <w:t>心的职责，负责管理维护中国互联网地址系统，引领中国互联网地址行业发展，权</w:t>
            </w:r>
          </w:p>
        </w:tc>
      </w:tr>
      <w:tr>
        <w:trPr>
          <w:trHeight w:val="392" w:hRule="exact"/>
        </w:trPr>
        <w:tc>
          <w:tcPr>
            <w:tcW w:w="2422" w:type="dxa"/>
            <w:vMerge/>
            <w:tcBorders>
              <w:left w:val="single" w:sz="4" w:space="0" w:color="000000"/>
              <w:right w:val="single" w:sz="13"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3" w:space="0" w:color="D2D2D2"/>
              <w:right w:val="single" w:sz="4" w:space="0" w:color="000000"/>
            </w:tcBorders>
          </w:tcPr>
          <w:p>
            <w:pPr/>
          </w:p>
        </w:tc>
      </w:tr>
      <w:tr>
        <w:trPr>
          <w:trHeight w:val="115" w:hRule="exact"/>
        </w:trPr>
        <w:tc>
          <w:tcPr>
            <w:tcW w:w="2422" w:type="dxa"/>
            <w:vMerge/>
            <w:tcBorders>
              <w:left w:val="single" w:sz="4" w:space="0" w:color="000000"/>
              <w:bottom w:val="nil" w:sz="6" w:space="0" w:color="auto"/>
              <w:right w:val="single" w:sz="13" w:space="0" w:color="D2D2D2"/>
            </w:tcBorders>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6462" w:type="dxa"/>
            <w:vMerge/>
            <w:tcBorders>
              <w:left w:val="single" w:sz="13" w:space="0" w:color="D2D2D2"/>
              <w:bottom w:val="nil" w:sz="6" w:space="0" w:color="auto"/>
              <w:right w:val="single" w:sz="4" w:space="0" w:color="000000"/>
            </w:tcBorders>
          </w:tcPr>
          <w:p>
            <w:pPr/>
          </w:p>
        </w:tc>
      </w:tr>
      <w:tr>
        <w:trPr>
          <w:trHeight w:val="357" w:hRule="exact"/>
        </w:trPr>
        <w:tc>
          <w:tcPr>
            <w:tcW w:w="2422" w:type="dxa"/>
            <w:tcBorders>
              <w:top w:val="nil" w:sz="6" w:space="0" w:color="auto"/>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4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威发布中国互联网统计信息，代表中国参与国际互联网社群</w:t>
            </w:r>
          </w:p>
        </w:tc>
      </w:tr>
      <w:tr>
        <w:trPr>
          <w:trHeight w:val="360" w:hRule="exact"/>
        </w:trPr>
        <w:tc>
          <w:tcPr>
            <w:tcW w:w="2422" w:type="dxa"/>
            <w:tcBorders>
              <w:top w:val="single" w:sz="4" w:space="0" w:color="000000"/>
              <w:left w:val="single" w:sz="4" w:space="0" w:color="000000"/>
              <w:bottom w:val="nil" w:sz="6" w:space="0" w:color="auto"/>
              <w:right w:val="single" w:sz="4" w:space="0" w:color="000000"/>
            </w:tcBorders>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64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网址为</w:t>
            </w:r>
            <w:r>
              <w:rPr>
                <w:rFonts w:ascii="宋体" w:hAnsi="宋体" w:cs="宋体" w:eastAsia="宋体" w:hint="default"/>
                <w:spacing w:val="-60"/>
                <w:sz w:val="18"/>
                <w:szCs w:val="18"/>
              </w:rPr>
              <w:t> </w:t>
            </w:r>
            <w:hyperlink r:id="rId14">
              <w:r>
                <w:rPr>
                  <w:rFonts w:ascii="Times New Roman" w:hAnsi="Times New Roman" w:cs="Times New Roman" w:eastAsia="Times New Roman" w:hint="default"/>
                  <w:sz w:val="18"/>
                  <w:szCs w:val="18"/>
                </w:rPr>
                <w:t>www.chinarank.org.cn</w:t>
              </w:r>
            </w:hyperlink>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的网站，是由中国互联网协会主办，国务院新闻办公</w:t>
            </w:r>
          </w:p>
        </w:tc>
      </w:tr>
      <w:tr>
        <w:trPr>
          <w:trHeight w:val="113" w:hRule="exact"/>
        </w:trPr>
        <w:tc>
          <w:tcPr>
            <w:tcW w:w="2422" w:type="dxa"/>
            <w:vMerge w:val="restart"/>
            <w:tcBorders>
              <w:top w:val="nil" w:sz="6" w:space="0" w:color="auto"/>
              <w:left w:val="single" w:sz="4" w:space="0" w:color="000000"/>
              <w:right w:val="single" w:sz="13" w:space="0" w:color="D2D2D2"/>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中国网站排名网</w:t>
            </w:r>
          </w:p>
        </w:tc>
        <w:tc>
          <w:tcPr>
            <w:tcW w:w="687" w:type="dxa"/>
            <w:vMerge/>
            <w:tcBorders>
              <w:left w:val="single" w:sz="4" w:space="0" w:color="000000"/>
              <w:bottom w:val="nil" w:sz="6" w:space="0" w:color="auto"/>
              <w:right w:val="single" w:sz="4" w:space="0" w:color="000000"/>
            </w:tcBorders>
            <w:shd w:val="clear" w:color="auto" w:fill="D2D2D2"/>
          </w:tcPr>
          <w:p>
            <w:pPr/>
          </w:p>
        </w:tc>
        <w:tc>
          <w:tcPr>
            <w:tcW w:w="6462" w:type="dxa"/>
            <w:vMerge w:val="restart"/>
            <w:tcBorders>
              <w:top w:val="nil" w:sz="6" w:space="0" w:color="auto"/>
              <w:left w:val="single" w:sz="13" w:space="0" w:color="D2D2D2"/>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pacing w:val="-3"/>
                <w:sz w:val="18"/>
                <w:szCs w:val="18"/>
              </w:rPr>
              <w:t>室网络局、信息产业部电信管理局指导，北京中乾网润信息技术有限公司提供技术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支持的大型网站排名项目。以网站访问流量统计数据为依据适时发布</w:t>
            </w:r>
            <w:r>
              <w:rPr>
                <w:rFonts w:ascii="Times New Roman" w:hAnsi="Times New Roman" w:cs="Times New Roman" w:eastAsia="Times New Roman" w:hint="default"/>
                <w:sz w:val="18"/>
                <w:szCs w:val="18"/>
              </w:rPr>
              <w:t>"</w:t>
            </w:r>
            <w:r>
              <w:rPr>
                <w:rFonts w:ascii="宋体" w:hAnsi="宋体" w:cs="宋体" w:eastAsia="宋体" w:hint="default"/>
                <w:sz w:val="18"/>
                <w:szCs w:val="18"/>
              </w:rPr>
              <w:t>中国网站排</w:t>
            </w:r>
          </w:p>
        </w:tc>
      </w:tr>
      <w:tr>
        <w:trPr>
          <w:trHeight w:val="394" w:hRule="exact"/>
        </w:trPr>
        <w:tc>
          <w:tcPr>
            <w:tcW w:w="2422" w:type="dxa"/>
            <w:vMerge/>
            <w:tcBorders>
              <w:left w:val="single" w:sz="4" w:space="0" w:color="000000"/>
              <w:right w:val="single" w:sz="13"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47"/>
              <w:jc w:val="right"/>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13" w:space="0" w:color="D2D2D2"/>
              <w:right w:val="single" w:sz="4" w:space="0" w:color="000000"/>
            </w:tcBorders>
          </w:tcPr>
          <w:p>
            <w:pPr/>
          </w:p>
        </w:tc>
      </w:tr>
      <w:tr>
        <w:trPr>
          <w:trHeight w:val="118" w:hRule="exact"/>
        </w:trPr>
        <w:tc>
          <w:tcPr>
            <w:tcW w:w="2422" w:type="dxa"/>
            <w:vMerge/>
            <w:tcBorders>
              <w:left w:val="single" w:sz="4" w:space="0" w:color="000000"/>
              <w:bottom w:val="nil" w:sz="6" w:space="0" w:color="auto"/>
              <w:right w:val="single" w:sz="13" w:space="0" w:color="D2D2D2"/>
            </w:tcBorders>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6462" w:type="dxa"/>
            <w:vMerge/>
            <w:tcBorders>
              <w:left w:val="single" w:sz="13" w:space="0" w:color="D2D2D2"/>
              <w:bottom w:val="nil" w:sz="6" w:space="0" w:color="auto"/>
              <w:right w:val="single" w:sz="4" w:space="0" w:color="000000"/>
            </w:tcBorders>
          </w:tcPr>
          <w:p>
            <w:pPr/>
          </w:p>
        </w:tc>
      </w:tr>
      <w:tr>
        <w:trPr>
          <w:trHeight w:val="355" w:hRule="exact"/>
        </w:trPr>
        <w:tc>
          <w:tcPr>
            <w:tcW w:w="2422" w:type="dxa"/>
            <w:tcBorders>
              <w:top w:val="nil" w:sz="6" w:space="0" w:color="auto"/>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4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名</w:t>
            </w: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注：本报告中若出现总数与各分项数值之和尾数差异的情况，均属四舍五入原因所致。</w:t>
      </w:r>
    </w:p>
    <w:p>
      <w:pPr>
        <w:spacing w:after="0"/>
        <w:jc w:val="left"/>
        <w:rPr>
          <w:rFonts w:ascii="宋体" w:hAnsi="宋体" w:cs="宋体" w:eastAsia="宋体" w:hint="default"/>
          <w:sz w:val="18"/>
          <w:szCs w:val="18"/>
        </w:rPr>
        <w:sectPr>
          <w:headerReference w:type="default" r:id="rId10"/>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pict>
          <v:group style="position:absolute;margin-left:172.339996pt;margin-top:114.681595pt;width:361.55pt;height:19.75pt;mso-position-horizontal-relative:page;mso-position-vertical-relative:paragraph;z-index:-870280" coordorigin="3447,2294" coordsize="7231,395">
            <v:shape style="position:absolute;left:3447;top:2294;width:7231;height:395" coordorigin="3447,2294" coordsize="7231,395"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44"/>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300059</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东方财富</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East Money Information</w:t>
            </w:r>
            <w:r>
              <w:rPr>
                <w:rFonts w:ascii="Times New Roman"/>
                <w:spacing w:val="-6"/>
                <w:sz w:val="18"/>
              </w:rPr>
              <w:t> </w:t>
            </w:r>
            <w:r>
              <w:rPr>
                <w:rFonts w:ascii="Times New Roman"/>
                <w:sz w:val="18"/>
              </w:rPr>
              <w:t>Co.,Ltd.</w:t>
            </w:r>
          </w:p>
        </w:tc>
      </w:tr>
      <w:tr>
        <w:trPr>
          <w:trHeight w:val="404"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Eastmoney</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其实</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上海市嘉定区宝安公路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201801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200235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www.eastmoney.com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5">
              <w:r>
                <w:rPr>
                  <w:rFonts w:ascii="Times New Roman"/>
                  <w:sz w:val="18"/>
                </w:rPr>
                <w:t>dongmi@eastmoney.com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荣兴</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上海市龙田路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195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楼</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021-64382978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021-64382978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021-64389508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dongmi@eastmoney.com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dongmi@eastmoney.com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6">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852" w:footer="979" w:top="1360" w:bottom="1160" w:left="980" w:right="980"/>
        </w:sectPr>
      </w:pP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杨志平 </w:t>
            </w:r>
            <w:r>
              <w:rPr>
                <w:rFonts w:ascii="宋体" w:hAnsi="宋体" w:cs="宋体" w:eastAsia="宋体" w:hint="default"/>
                <w:spacing w:val="2"/>
                <w:sz w:val="18"/>
                <w:szCs w:val="18"/>
              </w:rPr>
              <w:t> </w:t>
            </w:r>
            <w:r>
              <w:rPr>
                <w:rFonts w:ascii="宋体" w:hAnsi="宋体" w:cs="宋体" w:eastAsia="宋体" w:hint="default"/>
                <w:sz w:val="18"/>
                <w:szCs w:val="18"/>
              </w:rPr>
              <w:t>钱骁玲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738"/>
        <w:gridCol w:w="3049"/>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号国贸大厦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唐加威、许滢</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7"/>
        <w:gridCol w:w="1642"/>
        <w:gridCol w:w="1630"/>
        <w:gridCol w:w="1702"/>
        <w:gridCol w:w="1488"/>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2,925,879,408.31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612,007,004.55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248,474,867.84</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1,848,571,186.42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165,723,821.57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5,001,337.41</w:t>
            </w:r>
          </w:p>
        </w:tc>
      </w:tr>
      <w:tr>
        <w:trPr>
          <w:trHeight w:val="71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1,795,670,723.88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162,870,669.95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-2,615,754.67</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547,373,124.97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2,362,917,624.68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476,077,544.26</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0.0030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0.0030</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1"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23,733,475,657.81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6,182,773,998.84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2,432,782,397.40</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8,169,289,461.16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1,879,707,467.72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1,689,108,559.23</w:t>
            </w:r>
          </w:p>
        </w:tc>
      </w:tr>
    </w:tbl>
    <w:p>
      <w:pPr>
        <w:spacing w:line="309" w:lineRule="auto" w:before="8"/>
        <w:ind w:left="152" w:right="148" w:firstLine="0"/>
        <w:jc w:val="both"/>
        <w:rPr>
          <w:rFonts w:ascii="宋体" w:hAnsi="宋体" w:cs="宋体" w:eastAsia="宋体" w:hint="default"/>
          <w:sz w:val="18"/>
          <w:szCs w:val="18"/>
        </w:rPr>
      </w:pPr>
      <w:r>
        <w:rPr>
          <w:rFonts w:ascii="宋体" w:hAnsi="宋体" w:cs="宋体" w:eastAsia="宋体" w:hint="default"/>
          <w:spacing w:val="-3"/>
          <w:sz w:val="18"/>
          <w:szCs w:val="18"/>
        </w:rPr>
        <w:t>注：报告期内，公司完成了同信证券收购相关事项，同信证券自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月起纳入合并报表范围，证券服务业务成为公司 </w:t>
      </w:r>
      <w:r>
        <w:rPr>
          <w:rFonts w:ascii="宋体" w:hAnsi="宋体" w:cs="宋体" w:eastAsia="宋体" w:hint="default"/>
          <w:spacing w:val="-2"/>
          <w:sz w:val="18"/>
          <w:szCs w:val="18"/>
        </w:rPr>
        <w:t>主要业务之一，为客观、完整披露公司主要业务收入情况，本章节披露营业总收入数据，包括了公司原有业务实现的营业收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入及证券服务业务实现的利息净收入、手续费及佣金净收入等。</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r>
        <w:rPr/>
        <w:t>六、分季度主要财务指标</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383,422,506.21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1,186,539,419.22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724,646,017.32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631,271,465.56</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198,756,467.93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843,133,610.14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433,519,696.91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373,161,411.44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60" w:bottom="1160" w:left="980" w:right="980"/>
        </w:sectPr>
      </w:pPr>
    </w:p>
    <w:p>
      <w:pPr>
        <w:spacing w:line="240" w:lineRule="auto" w:before="4"/>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198,981,929.00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834,072,959.09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433,745,903.17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328,869,932.62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2,053,155,717.33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967,483,617.43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-2,647,023,161.99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173,756,952.20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1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1430"/>
        <w:gridCol w:w="1416"/>
        <w:gridCol w:w="1419"/>
        <w:gridCol w:w="922"/>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 部分）</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-131,821.38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-20,510.02</w:t>
            </w:r>
          </w:p>
        </w:tc>
        <w:tc>
          <w:tcPr>
            <w:tcW w:w="141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62,306,800.02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4,874,542.76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8,911,878.77</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2,878,132.77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-2,104,787.92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-1,486,617.00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-548,665.15</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10,047,860.95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514,264.12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746,121.54</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52,900,462.54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2,853,151.62</w:t>
            </w:r>
          </w:p>
        </w:tc>
        <w:tc>
          <w:tcPr>
            <w:tcW w:w="141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7,617,092.08</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52" w:footer="979" w:top="13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1"/>
        <w:spacing w:line="240" w:lineRule="auto"/>
        <w:ind w:left="2783" w:right="2784"/>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left"/>
        <w:rPr>
          <w:b w:val="0"/>
          <w:bCs w:val="0"/>
        </w:rPr>
      </w:pPr>
      <w:r>
        <w:rPr/>
        <w:t>一、报告期内公司从事的主要业务</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left="573" w:right="0"/>
        <w:jc w:val="left"/>
      </w:pPr>
      <w:r>
        <w:rPr/>
        <w:t>（一）公司所从事的主要业务情况</w:t>
      </w:r>
      <w:r>
        <w:rPr>
          <w:w w:val="100"/>
        </w:rPr>
        <w:t> </w:t>
      </w:r>
      <w:r>
        <w:rPr>
          <w:spacing w:val="-2"/>
        </w:rPr>
        <w:t>公司作为国内领先的互联网金融服务平台综合运营商，通过搭建互联网财经门户平台、金融电子商务</w:t>
      </w:r>
    </w:p>
    <w:p>
      <w:pPr>
        <w:pStyle w:val="BodyText"/>
        <w:spacing w:line="273" w:lineRule="auto" w:before="7"/>
        <w:ind w:right="0"/>
        <w:jc w:val="left"/>
      </w:pPr>
      <w:r>
        <w:rPr>
          <w:spacing w:val="-2"/>
        </w:rPr>
        <w:t>平台、金融终端平台及移动端平台等为一体的互联网金融服务大平台，向广大互联网用户提供基于互联网</w:t>
      </w:r>
      <w:r>
        <w:rPr>
          <w:spacing w:val="-42"/>
        </w:rPr>
        <w:t> </w:t>
      </w:r>
      <w:r>
        <w:rPr>
          <w:spacing w:val="-42"/>
        </w:rPr>
      </w:r>
      <w:r>
        <w:rPr/>
        <w:t>平台应用的产品和服务。</w:t>
      </w:r>
    </w:p>
    <w:p>
      <w:pPr>
        <w:pStyle w:val="BodyText"/>
        <w:spacing w:line="259" w:lineRule="auto" w:before="7"/>
        <w:ind w:right="146" w:firstLine="420"/>
        <w:jc w:val="both"/>
      </w:pPr>
      <w:r>
        <w:rPr>
          <w:spacing w:val="-2"/>
        </w:rPr>
        <w:t>报告期内，公司主要业务有金融电子商务服务业务、金融数据服务业务、互联网广告服务业务及</w:t>
      </w:r>
      <w:r>
        <w:rPr>
          <w:rFonts w:ascii="Times New Roman" w:hAnsi="Times New Roman" w:cs="Times New Roman" w:eastAsia="Times New Roman" w:hint="default"/>
          <w:spacing w:val="-2"/>
        </w:rPr>
        <w:t>2015</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月份完成同信证券收购后新增的证券服务业务等。</w:t>
      </w:r>
    </w:p>
    <w:p>
      <w:pPr>
        <w:pStyle w:val="BodyText"/>
        <w:spacing w:line="271" w:lineRule="auto" w:before="2"/>
        <w:ind w:right="146" w:firstLine="420"/>
        <w:jc w:val="both"/>
      </w:pPr>
      <w:r>
        <w:rPr>
          <w:spacing w:val="-3"/>
        </w:rPr>
        <w:t>报告期内，公司坚持以用户需求为中心，积极抓住互联网金融发展的机遇，努力克服困难，全力做好</w:t>
      </w:r>
      <w:r>
        <w:rPr>
          <w:w w:val="100"/>
        </w:rPr>
        <w:t> </w:t>
      </w:r>
      <w:r>
        <w:rPr>
          <w:spacing w:val="-2"/>
        </w:rPr>
        <w:t>主营业务的发展，同时做好并购重组工作，整体实现了健康快速发展。报告期内，公司进一步做好基金第</w:t>
      </w:r>
      <w:r>
        <w:rPr>
          <w:spacing w:val="-50"/>
        </w:rPr>
        <w:t> </w:t>
      </w:r>
      <w:r>
        <w:rPr>
          <w:spacing w:val="-50"/>
        </w:rPr>
      </w:r>
      <w:r>
        <w:rPr>
          <w:spacing w:val="-2"/>
        </w:rPr>
        <w:t>三方销售服务业务，持续提升服务质量和水平，公司互联网金融电子商务平台基金投资者规模和基金销售</w:t>
      </w:r>
      <w:r>
        <w:rPr>
          <w:spacing w:val="-43"/>
        </w:rPr>
        <w:t> </w:t>
      </w:r>
      <w:r>
        <w:rPr>
          <w:spacing w:val="-43"/>
        </w:rPr>
      </w:r>
      <w:r>
        <w:rPr>
          <w:spacing w:val="-2"/>
        </w:rPr>
        <w:t>规模同比大幅增长，金融电子商务服务业务收入同比实现大幅增长；报告期内，公司进一步加强金融数据</w:t>
      </w:r>
      <w:r>
        <w:rPr>
          <w:spacing w:val="-43"/>
        </w:rPr>
        <w:t> </w:t>
      </w:r>
      <w:r>
        <w:rPr>
          <w:spacing w:val="-43"/>
        </w:rPr>
      </w:r>
      <w:r>
        <w:rPr>
          <w:spacing w:val="-2"/>
        </w:rPr>
        <w:t>服务业务的发展，持续加强海量财经金融数据库的优化和完善工作，进一步加强个人终端产品的研发创新</w:t>
      </w:r>
      <w:r>
        <w:rPr>
          <w:spacing w:val="-44"/>
        </w:rPr>
        <w:t> </w:t>
      </w:r>
      <w:r>
        <w:rPr>
          <w:spacing w:val="-44"/>
        </w:rPr>
      </w:r>
      <w:r>
        <w:rPr>
          <w:spacing w:val="-2"/>
        </w:rPr>
        <w:t>工作，新增并持续完善投资组合功能及证券开户交易等相关服务，进一步加强金融数据机构终端产品的升</w:t>
      </w:r>
      <w:r>
        <w:rPr>
          <w:spacing w:val="-42"/>
        </w:rPr>
        <w:t> </w:t>
      </w:r>
      <w:r>
        <w:rPr>
          <w:spacing w:val="-42"/>
        </w:rPr>
      </w:r>
      <w:r>
        <w:rPr/>
        <w:t>级完善工作，新增新三板和私募市场信息等服务</w:t>
      </w:r>
      <w:r>
        <w:rPr>
          <w:rFonts w:ascii="宋体" w:hAnsi="宋体" w:cs="宋体" w:eastAsia="宋体" w:hint="default"/>
        </w:rPr>
        <w:t>,</w:t>
      </w:r>
      <w:r>
        <w:rPr/>
        <w:t>进一步提升用户体验，进一步加强产品的推广力度，努</w:t>
      </w:r>
      <w:r>
        <w:rPr>
          <w:spacing w:val="-23"/>
        </w:rPr>
        <w:t> </w:t>
      </w:r>
      <w:r>
        <w:rPr>
          <w:spacing w:val="-23"/>
        </w:rPr>
      </w:r>
      <w:r>
        <w:rPr>
          <w:spacing w:val="-2"/>
        </w:rPr>
        <w:t>力提升用户规模和市场份额，报告期内，金融数据服务业务收入实现良好增长；报告期内，公司进一步加</w:t>
      </w:r>
      <w:r>
        <w:rPr>
          <w:spacing w:val="-44"/>
        </w:rPr>
        <w:t> </w:t>
      </w:r>
      <w:r>
        <w:rPr>
          <w:spacing w:val="-44"/>
        </w:rPr>
      </w:r>
      <w:r>
        <w:rPr>
          <w:spacing w:val="-2"/>
        </w:rPr>
        <w:t>强互联网广告服务业务的发展，互联网广告服务业务收入同比实现一定增长；报告期内，同比新增同信证</w:t>
      </w:r>
      <w:r>
        <w:rPr>
          <w:spacing w:val="-44"/>
        </w:rPr>
        <w:t> </w:t>
      </w:r>
      <w:r>
        <w:rPr>
          <w:spacing w:val="-44"/>
        </w:rPr>
      </w:r>
      <w:r>
        <w:rPr>
          <w:spacing w:val="-2"/>
        </w:rPr>
        <w:t>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月份证券服务业务相关收入。综合以上主要业务收入变动的影响，报告期内，公司营业总收入</w:t>
      </w:r>
      <w:r>
        <w:rPr>
          <w:spacing w:val="-38"/>
        </w:rPr>
        <w:t> </w:t>
      </w:r>
      <w:r>
        <w:rPr>
          <w:spacing w:val="-38"/>
        </w:rPr>
      </w:r>
      <w:r>
        <w:rPr/>
        <w:t>同比实现大幅增长。</w:t>
      </w:r>
    </w:p>
    <w:p>
      <w:pPr>
        <w:pStyle w:val="BodyText"/>
        <w:spacing w:line="273" w:lineRule="auto" w:before="10"/>
        <w:ind w:left="573" w:right="0"/>
        <w:jc w:val="left"/>
      </w:pPr>
      <w:r>
        <w:rPr/>
        <w:t>（二）公司所属行业发展情况及公司所处的行业地位</w:t>
      </w:r>
      <w:r>
        <w:rPr>
          <w:w w:val="100"/>
        </w:rPr>
        <w:t> </w:t>
      </w:r>
      <w:r>
        <w:rPr>
          <w:spacing w:val="-2"/>
        </w:rPr>
        <w:t>公司所处的互联网金融服务行业，是互联网与金融服务交叉行业，是新兴朝阳行业，未来发展空间广</w:t>
      </w:r>
    </w:p>
    <w:p>
      <w:pPr>
        <w:pStyle w:val="BodyText"/>
        <w:spacing w:line="240" w:lineRule="auto" w:before="7"/>
        <w:ind w:right="0"/>
        <w:jc w:val="left"/>
      </w:pPr>
      <w:r>
        <w:rPr/>
        <w:t>阔。</w:t>
      </w:r>
    </w:p>
    <w:p>
      <w:pPr>
        <w:pStyle w:val="BodyText"/>
        <w:spacing w:line="240" w:lineRule="auto" w:before="37"/>
        <w:ind w:left="573" w:right="0"/>
        <w:jc w:val="left"/>
      </w:pPr>
      <w:r>
        <w:rPr>
          <w:rFonts w:ascii="Times New Roman" w:hAnsi="Times New Roman" w:cs="Times New Roman" w:eastAsia="Times New Roman" w:hint="default"/>
        </w:rPr>
        <w:t>1</w:t>
      </w:r>
      <w:r>
        <w:rPr/>
        <w:t>、公司所处行业的宏观经济趋势</w:t>
      </w:r>
    </w:p>
    <w:p>
      <w:pPr>
        <w:pStyle w:val="BodyText"/>
        <w:spacing w:line="256" w:lineRule="auto" w:before="21"/>
        <w:ind w:left="57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）国家政策支持互联网金融行业的规范发展，未来空间广阔</w:t>
      </w:r>
      <w:r>
        <w:rPr>
          <w:w w:val="100"/>
        </w:rPr>
        <w:t> </w:t>
      </w:r>
      <w:r>
        <w:rPr>
          <w:spacing w:val="-6"/>
        </w:rPr>
        <w:t>从</w:t>
      </w:r>
      <w:r>
        <w:rPr>
          <w:rFonts w:ascii="Times New Roman" w:hAnsi="Times New Roman" w:cs="Times New Roman" w:eastAsia="Times New Roman" w:hint="default"/>
          <w:spacing w:val="-6"/>
        </w:rPr>
        <w:t>2014</w:t>
      </w:r>
      <w:r>
        <w:rPr>
          <w:spacing w:val="-6"/>
        </w:rPr>
        <w:t>年开始，互联网金融已连续三年被写入政府工作报告，从最初提出促进互联网金融发展，到</w:t>
      </w:r>
      <w:r>
        <w:rPr>
          <w:rFonts w:ascii="Times New Roman" w:hAnsi="Times New Roman" w:cs="Times New Roman" w:eastAsia="Times New Roman" w:hint="default"/>
          <w:spacing w:val="-6"/>
        </w:rPr>
        <w:t>2016</w:t>
      </w:r>
    </w:p>
    <w:p>
      <w:pPr>
        <w:pStyle w:val="BodyText"/>
        <w:spacing w:line="256" w:lineRule="auto" w:before="5"/>
        <w:ind w:right="0"/>
        <w:jc w:val="left"/>
      </w:pP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日政府工作报告中提出要“规范发展互联网金融”。随着国家相关政策和措施的不断出台，互联网</w:t>
      </w:r>
      <w:r>
        <w:rPr>
          <w:spacing w:val="-42"/>
        </w:rPr>
        <w:t> </w:t>
      </w:r>
      <w:r>
        <w:rPr>
          <w:spacing w:val="-42"/>
        </w:rPr>
      </w:r>
      <w:r>
        <w:rPr/>
        <w:t>金融服务行业，将迎来更加广阔的发展空间。</w:t>
      </w:r>
    </w:p>
    <w:p>
      <w:pPr>
        <w:pStyle w:val="BodyText"/>
        <w:spacing w:line="256" w:lineRule="auto" w:before="22"/>
        <w:ind w:right="156" w:firstLine="420"/>
        <w:jc w:val="both"/>
      </w:pPr>
      <w:r>
        <w:rPr/>
        <w:t>（</w:t>
      </w:r>
      <w:r>
        <w:rPr>
          <w:rFonts w:ascii="Times New Roman" w:hAnsi="Times New Roman" w:cs="Times New Roman" w:eastAsia="Times New Roman" w:hint="default"/>
        </w:rPr>
        <w:t>2</w:t>
      </w:r>
      <w:r>
        <w:rPr/>
        <w:t>）网络技术的持续完善，互联网普及率及手机网民规模的不断提升，为互联网金融行业发展奠定</w:t>
      </w:r>
      <w:r>
        <w:rPr>
          <w:w w:val="100"/>
        </w:rPr>
        <w:t> </w:t>
      </w:r>
      <w:r>
        <w:rPr/>
        <w:t>庞大用户基础</w:t>
      </w:r>
    </w:p>
    <w:p>
      <w:pPr>
        <w:pStyle w:val="BodyText"/>
        <w:spacing w:line="240" w:lineRule="auto" w:before="23"/>
        <w:ind w:left="573" w:right="0"/>
        <w:jc w:val="left"/>
      </w:pPr>
      <w:r>
        <w:rPr>
          <w:spacing w:val="-3"/>
        </w:rPr>
        <w:t>根据中国互联网络信息中心（</w:t>
      </w:r>
      <w:r>
        <w:rPr>
          <w:rFonts w:ascii="Times New Roman" w:hAnsi="Times New Roman" w:cs="Times New Roman" w:eastAsia="Times New Roman" w:hint="default"/>
          <w:spacing w:val="-3"/>
        </w:rPr>
        <w:t>CNNIC</w:t>
      </w:r>
      <w:r>
        <w:rPr>
          <w:spacing w:val="-3"/>
        </w:rPr>
        <w:t>）发布的《第</w:t>
      </w:r>
      <w:r>
        <w:rPr>
          <w:rFonts w:ascii="Times New Roman" w:hAnsi="Times New Roman" w:cs="Times New Roman" w:eastAsia="Times New Roman" w:hint="default"/>
          <w:spacing w:val="-3"/>
        </w:rPr>
        <w:t>37</w:t>
      </w:r>
      <w:r>
        <w:rPr>
          <w:spacing w:val="-3"/>
        </w:rPr>
        <w:t>次中国互联网络发展状况统计报告》显示，截至</w:t>
      </w:r>
    </w:p>
    <w:p>
      <w:pPr>
        <w:pStyle w:val="BodyText"/>
        <w:spacing w:line="240" w:lineRule="auto" w:before="21"/>
        <w:ind w:right="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月底，我国网民规模达</w:t>
      </w:r>
      <w:r>
        <w:rPr>
          <w:rFonts w:ascii="Times New Roman" w:hAnsi="Times New Roman" w:cs="Times New Roman" w:eastAsia="Times New Roman" w:hint="default"/>
          <w:spacing w:val="3"/>
        </w:rPr>
        <w:t>6.88</w:t>
      </w:r>
      <w:r>
        <w:rPr>
          <w:spacing w:val="3"/>
        </w:rPr>
        <w:t>亿，手机网民规模达</w:t>
      </w:r>
      <w:r>
        <w:rPr>
          <w:rFonts w:ascii="Times New Roman" w:hAnsi="Times New Roman" w:cs="Times New Roman" w:eastAsia="Times New Roman" w:hint="default"/>
          <w:spacing w:val="3"/>
        </w:rPr>
        <w:t>6.20</w:t>
      </w:r>
      <w:r>
        <w:rPr>
          <w:spacing w:val="3"/>
        </w:rPr>
        <w:t>亿，网民中使用手机上网的人群占比达到</w:t>
      </w:r>
    </w:p>
    <w:p>
      <w:pPr>
        <w:pStyle w:val="BodyText"/>
        <w:spacing w:line="240" w:lineRule="auto" w:before="21"/>
        <w:ind w:right="0"/>
        <w:jc w:val="left"/>
      </w:pPr>
      <w:r>
        <w:rPr>
          <w:rFonts w:ascii="Times New Roman" w:hAnsi="Times New Roman" w:cs="Times New Roman" w:eastAsia="Times New Roman" w:hint="default"/>
        </w:rPr>
        <w:t>90.1%</w:t>
      </w:r>
      <w:r>
        <w:rPr>
          <w:rFonts w:ascii="Times New Roman" w:hAnsi="Times New Roman" w:cs="Times New Roman" w:eastAsia="Times New Roman" w:hint="default"/>
          <w:spacing w:val="31"/>
        </w:rPr>
        <w:t> </w:t>
      </w:r>
      <w:r>
        <w:rPr/>
        <w:t>。如图所示：</w:t>
      </w:r>
    </w:p>
    <w:p>
      <w:pPr>
        <w:spacing w:after="0" w:line="240" w:lineRule="auto"/>
        <w:jc w:val="left"/>
        <w:sectPr>
          <w:pgSz w:w="11910" w:h="16840"/>
          <w:pgMar w:header="852" w:footer="979" w:top="1360" w:bottom="1160" w:left="980" w:right="980"/>
        </w:sectPr>
      </w:pPr>
    </w:p>
    <w:p>
      <w:pPr>
        <w:spacing w:line="240" w:lineRule="auto" w:before="9"/>
        <w:rPr>
          <w:rFonts w:ascii="宋体" w:hAnsi="宋体" w:cs="宋体" w:eastAsia="宋体" w:hint="default"/>
          <w:sz w:val="5"/>
          <w:szCs w:val="5"/>
        </w:rPr>
      </w:pPr>
    </w:p>
    <w:p>
      <w:pPr>
        <w:spacing w:line="4982" w:lineRule="exact"/>
        <w:ind w:left="513"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5244093" cy="316372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5244093" cy="3163728"/>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2"/>
        <w:rPr>
          <w:rFonts w:ascii="宋体" w:hAnsi="宋体" w:cs="宋体" w:eastAsia="宋体" w:hint="default"/>
          <w:sz w:val="25"/>
          <w:szCs w:val="25"/>
        </w:rPr>
      </w:pPr>
    </w:p>
    <w:p>
      <w:pPr>
        <w:spacing w:line="4966" w:lineRule="exact"/>
        <w:ind w:left="573"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202888" cy="315372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5202888" cy="3153727"/>
                    </a:xfrm>
                    <a:prstGeom prst="rect">
                      <a:avLst/>
                    </a:prstGeom>
                  </pic:spPr>
                </pic:pic>
              </a:graphicData>
            </a:graphic>
          </wp:inline>
        </w:drawing>
      </w:r>
      <w:r>
        <w:rPr>
          <w:rFonts w:ascii="宋体" w:hAnsi="宋体" w:cs="宋体" w:eastAsia="宋体" w:hint="default"/>
          <w:position w:val="-98"/>
          <w:sz w:val="20"/>
          <w:szCs w:val="20"/>
        </w:rPr>
      </w:r>
    </w:p>
    <w:p>
      <w:pPr>
        <w:pStyle w:val="BodyText"/>
        <w:spacing w:line="273" w:lineRule="auto" w:before="43"/>
        <w:ind w:right="0" w:firstLine="420"/>
        <w:jc w:val="left"/>
      </w:pPr>
      <w:r>
        <w:rPr>
          <w:spacing w:val="-2"/>
        </w:rPr>
        <w:t>随着网络技术的不断完善，上网速度和网络安全性都将进一步提升，网络环境将日趋完善，用户体验</w:t>
      </w:r>
      <w:r>
        <w:rPr>
          <w:w w:val="100"/>
        </w:rPr>
        <w:t> </w:t>
      </w:r>
      <w:r>
        <w:rPr/>
        <w:t>将不断得到提升，为互联网金融行业发展奠定了庞大的用户基础。</w:t>
      </w:r>
    </w:p>
    <w:p>
      <w:pPr>
        <w:pStyle w:val="BodyText"/>
        <w:spacing w:line="290" w:lineRule="auto" w:before="46"/>
        <w:ind w:left="573" w:right="0"/>
        <w:jc w:val="left"/>
      </w:pPr>
      <w:r>
        <w:rPr/>
        <w:t>（</w:t>
      </w:r>
      <w:r>
        <w:rPr>
          <w:rFonts w:ascii="Times New Roman" w:hAnsi="Times New Roman" w:cs="Times New Roman" w:eastAsia="Times New Roman" w:hint="default"/>
        </w:rPr>
        <w:t>3</w:t>
      </w:r>
      <w:r>
        <w:rPr/>
        <w:t>）持续增长的投资需求，将促进互联网金融行业的发展</w:t>
      </w:r>
      <w:r>
        <w:rPr>
          <w:w w:val="100"/>
        </w:rPr>
        <w:t> </w:t>
      </w:r>
      <w:r>
        <w:rPr>
          <w:spacing w:val="-2"/>
        </w:rPr>
        <w:t>投资者的投资需求持续增长，根据中国证券登记结算有限责任公司最新统计，投资者数量持续增加，</w:t>
      </w:r>
    </w:p>
    <w:p>
      <w:pPr>
        <w:pStyle w:val="BodyText"/>
        <w:spacing w:line="290" w:lineRule="auto"/>
        <w:ind w:left="573" w:right="0" w:hanging="421"/>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月，期末投资者数为</w:t>
      </w:r>
      <w:r>
        <w:rPr>
          <w:rFonts w:ascii="Times New Roman" w:hAnsi="Times New Roman" w:cs="Times New Roman" w:eastAsia="Times New Roman" w:hint="default"/>
        </w:rPr>
        <w:t>10,161.08</w:t>
      </w:r>
      <w:r>
        <w:rPr/>
        <w:t>万。</w:t>
      </w:r>
      <w:r>
        <w:rPr>
          <w:w w:val="100"/>
        </w:rPr>
        <w:t> </w:t>
      </w:r>
      <w:r>
        <w:rPr>
          <w:spacing w:val="-4"/>
        </w:rPr>
        <w:t>同时，根据中国证券投资基金业协会的统计数据，截至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月底，我国境内共有基金管理公司</w:t>
      </w:r>
      <w:r>
        <w:rPr>
          <w:rFonts w:ascii="Times New Roman" w:hAnsi="Times New Roman" w:cs="Times New Roman" w:eastAsia="Times New Roman" w:hint="default"/>
          <w:spacing w:val="-4"/>
        </w:rPr>
        <w:t>101</w:t>
      </w:r>
    </w:p>
    <w:p>
      <w:pPr>
        <w:pStyle w:val="BodyText"/>
        <w:spacing w:line="263" w:lineRule="exact"/>
        <w:ind w:right="0"/>
        <w:jc w:val="left"/>
      </w:pPr>
      <w:r>
        <w:rPr/>
        <w:t>家，其中中外合资公司</w:t>
      </w:r>
      <w:r>
        <w:rPr>
          <w:rFonts w:ascii="Times New Roman" w:hAnsi="Times New Roman" w:cs="Times New Roman" w:eastAsia="Times New Roman" w:hint="default"/>
        </w:rPr>
        <w:t>45</w:t>
      </w:r>
      <w:r>
        <w:rPr/>
        <w:t>家，内资公司</w:t>
      </w:r>
      <w:r>
        <w:rPr>
          <w:rFonts w:ascii="Times New Roman" w:hAnsi="Times New Roman" w:cs="Times New Roman" w:eastAsia="Times New Roman" w:hint="default"/>
        </w:rPr>
        <w:t>56</w:t>
      </w:r>
      <w:r>
        <w:rPr/>
        <w:t>家；取得公募基金管理资格的证券公司或证券公司资管子公司共</w:t>
      </w:r>
    </w:p>
    <w:p>
      <w:pPr>
        <w:pStyle w:val="BodyText"/>
        <w:spacing w:line="290" w:lineRule="auto" w:before="21"/>
        <w:ind w:left="573" w:right="0" w:hanging="421"/>
        <w:jc w:val="left"/>
      </w:pPr>
      <w:r>
        <w:rPr>
          <w:rFonts w:ascii="Times New Roman" w:hAnsi="Times New Roman" w:cs="Times New Roman" w:eastAsia="Times New Roman" w:hint="default"/>
        </w:rPr>
        <w:t>10</w:t>
      </w:r>
      <w:r>
        <w:rPr/>
        <w:t>家，保险资管公司</w:t>
      </w:r>
      <w:r>
        <w:rPr>
          <w:rFonts w:ascii="Times New Roman" w:hAnsi="Times New Roman" w:cs="Times New Roman" w:eastAsia="Times New Roman" w:hint="default"/>
        </w:rPr>
        <w:t>1</w:t>
      </w:r>
      <w:r>
        <w:rPr/>
        <w:t>家，以上机构管理的公募基金资产合计</w:t>
      </w:r>
      <w:r>
        <w:rPr>
          <w:rFonts w:ascii="Times New Roman" w:hAnsi="Times New Roman" w:cs="Times New Roman" w:eastAsia="Times New Roman" w:hint="default"/>
        </w:rPr>
        <w:t>8.4</w:t>
      </w:r>
      <w:r>
        <w:rPr/>
        <w:t>万亿元。</w:t>
      </w:r>
      <w:r>
        <w:rPr>
          <w:w w:val="100"/>
        </w:rPr>
        <w:t> </w:t>
      </w:r>
      <w:r>
        <w:rPr>
          <w:spacing w:val="-2"/>
        </w:rPr>
        <w:t>投资需求的持续增长，基金资产管理规模的不断扩大，国家对互联网金融的支持，以及经过前期市场</w:t>
      </w:r>
    </w:p>
    <w:p>
      <w:pPr>
        <w:pStyle w:val="BodyText"/>
        <w:spacing w:line="273" w:lineRule="auto"/>
        <w:ind w:right="0"/>
        <w:jc w:val="left"/>
      </w:pPr>
      <w:r>
        <w:rPr>
          <w:spacing w:val="-2"/>
        </w:rPr>
        <w:t>发展后，用户对互联网理财已产生较强的安全感知，为互联网金融行业的发展奠定了良好基础，互联网金</w:t>
      </w:r>
      <w:r>
        <w:rPr>
          <w:spacing w:val="-43"/>
        </w:rPr>
        <w:t> </w:t>
      </w:r>
      <w:r>
        <w:rPr>
          <w:spacing w:val="-43"/>
        </w:rPr>
      </w:r>
      <w:r>
        <w:rPr/>
        <w:t>融行业将迎来非常大的发展机遇。</w:t>
      </w:r>
    </w:p>
    <w:p>
      <w:pPr>
        <w:spacing w:after="0" w:line="273" w:lineRule="auto"/>
        <w:jc w:val="left"/>
        <w:sectPr>
          <w:pgSz w:w="11910" w:h="16840"/>
          <w:pgMar w:header="852" w:footer="979" w:top="1360" w:bottom="1160" w:left="980" w:right="980"/>
        </w:sectPr>
      </w:pPr>
    </w:p>
    <w:p>
      <w:pPr>
        <w:pStyle w:val="BodyText"/>
        <w:spacing w:line="292" w:lineRule="auto" w:before="57"/>
        <w:ind w:left="573" w:right="0"/>
        <w:jc w:val="left"/>
      </w:pPr>
      <w:r>
        <w:rPr>
          <w:rFonts w:ascii="Times New Roman" w:hAnsi="Times New Roman" w:cs="Times New Roman" w:eastAsia="Times New Roman" w:hint="default"/>
        </w:rPr>
        <w:t>2</w:t>
      </w:r>
      <w:r>
        <w:rPr/>
        <w:t>、公司行业地位和优势</w:t>
      </w:r>
      <w:r>
        <w:rPr>
          <w:w w:val="100"/>
        </w:rPr>
        <w:t> </w:t>
      </w:r>
      <w:r>
        <w:rPr>
          <w:spacing w:val="-2"/>
        </w:rPr>
        <w:t>报告期内，公司进一步加强互联网金融服务大平台的持续升级和优化，进一步加强整体战略投入，强</w:t>
      </w:r>
    </w:p>
    <w:p>
      <w:pPr>
        <w:pStyle w:val="BodyText"/>
        <w:spacing w:line="273" w:lineRule="auto"/>
        <w:ind w:right="146"/>
        <w:jc w:val="both"/>
      </w:pPr>
      <w:r>
        <w:rPr>
          <w:spacing w:val="-2"/>
        </w:rPr>
        <w:t>化研发创新。同时，进一步延伸和完善服务链条，拓展服务范围，进一步提升用户体验，互联网金融大平</w:t>
      </w:r>
      <w:r>
        <w:rPr>
          <w:spacing w:val="-43"/>
        </w:rPr>
        <w:t> </w:t>
      </w:r>
      <w:r>
        <w:rPr>
          <w:spacing w:val="-43"/>
        </w:rPr>
      </w:r>
      <w:r>
        <w:rPr>
          <w:spacing w:val="-2"/>
        </w:rPr>
        <w:t>台的服务能力和水平得到了全面提高，用户访问量和用户黏性优势进一步增强，进一步巩固和夯实了公司</w:t>
      </w:r>
      <w:r>
        <w:rPr>
          <w:spacing w:val="-44"/>
        </w:rPr>
        <w:t> </w:t>
      </w:r>
      <w:r>
        <w:rPr>
          <w:spacing w:val="-44"/>
        </w:rPr>
      </w:r>
      <w:r>
        <w:rPr/>
        <w:t>的核心竞争力和市场地位。</w:t>
      </w:r>
    </w:p>
    <w:p>
      <w:pPr>
        <w:pStyle w:val="BodyText"/>
        <w:spacing w:line="240" w:lineRule="auto" w:before="46"/>
        <w:ind w:left="573" w:right="0"/>
        <w:jc w:val="left"/>
      </w:pPr>
      <w:r>
        <w:rPr/>
        <w:t>（</w:t>
      </w:r>
      <w:r>
        <w:rPr>
          <w:rFonts w:ascii="Times New Roman" w:hAnsi="Times New Roman" w:cs="Times New Roman" w:eastAsia="Times New Roman" w:hint="default"/>
        </w:rPr>
        <w:t>1</w:t>
      </w:r>
      <w:r>
        <w:rPr/>
        <w:t>）用户访问量指标</w:t>
      </w:r>
    </w:p>
    <w:p>
      <w:pPr>
        <w:spacing w:line="240" w:lineRule="auto" w:before="6"/>
        <w:rPr>
          <w:rFonts w:ascii="宋体" w:hAnsi="宋体" w:cs="宋体" w:eastAsia="宋体" w:hint="default"/>
          <w:sz w:val="14"/>
          <w:szCs w:val="14"/>
        </w:rPr>
      </w:pPr>
    </w:p>
    <w:p>
      <w:pPr>
        <w:spacing w:line="5070" w:lineRule="exact"/>
        <w:ind w:left="513"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999004" cy="321945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9" cstate="print"/>
                    <a:stretch>
                      <a:fillRect/>
                    </a:stretch>
                  </pic:blipFill>
                  <pic:spPr>
                    <a:xfrm>
                      <a:off x="0" y="0"/>
                      <a:ext cx="4999004" cy="3219450"/>
                    </a:xfrm>
                    <a:prstGeom prst="rect">
                      <a:avLst/>
                    </a:prstGeom>
                  </pic:spPr>
                </pic:pic>
              </a:graphicData>
            </a:graphic>
          </wp:inline>
        </w:drawing>
      </w:r>
      <w:r>
        <w:rPr>
          <w:rFonts w:ascii="宋体" w:hAnsi="宋体" w:cs="宋体" w:eastAsia="宋体" w:hint="default"/>
          <w:position w:val="-100"/>
          <w:sz w:val="20"/>
          <w:szCs w:val="20"/>
        </w:rPr>
      </w:r>
    </w:p>
    <w:p>
      <w:pPr>
        <w:pStyle w:val="BodyText"/>
        <w:spacing w:line="256" w:lineRule="auto" w:before="148"/>
        <w:ind w:right="0" w:firstLine="420"/>
        <w:jc w:val="left"/>
      </w:pPr>
      <w:r>
        <w:rPr>
          <w:spacing w:val="-3"/>
        </w:rPr>
        <w:t>根据艾瑞咨询</w:t>
      </w:r>
      <w:r>
        <w:rPr>
          <w:rFonts w:ascii="Times New Roman" w:hAnsi="Times New Roman" w:cs="Times New Roman" w:eastAsia="Times New Roman" w:hint="default"/>
          <w:spacing w:val="-3"/>
        </w:rPr>
        <w:t>iUserTracker</w:t>
      </w:r>
      <w:r>
        <w:rPr>
          <w:spacing w:val="-3"/>
        </w:rPr>
        <w:t>对我国网络用户行为研究的数据，东方财富网在我国财经类互联网网站中日</w:t>
      </w:r>
      <w:r>
        <w:rPr>
          <w:w w:val="100"/>
        </w:rPr>
        <w:t> </w:t>
      </w:r>
      <w:r>
        <w:rPr/>
        <w:t>均覆盖人数始终保持领先地位。</w:t>
      </w:r>
    </w:p>
    <w:p>
      <w:pPr>
        <w:pStyle w:val="BodyText"/>
        <w:spacing w:line="240" w:lineRule="auto" w:before="61"/>
        <w:ind w:left="573" w:right="0"/>
        <w:jc w:val="left"/>
      </w:pPr>
      <w:r>
        <w:rPr/>
        <w:t>（</w:t>
      </w:r>
      <w:r>
        <w:rPr>
          <w:rFonts w:ascii="Times New Roman" w:hAnsi="Times New Roman" w:cs="Times New Roman" w:eastAsia="Times New Roman" w:hint="default"/>
        </w:rPr>
        <w:t>2</w:t>
      </w:r>
      <w:r>
        <w:rPr/>
        <w:t>）用户黏性指标</w:t>
      </w:r>
    </w:p>
    <w:p>
      <w:pPr>
        <w:spacing w:line="240" w:lineRule="auto" w:before="2"/>
        <w:rPr>
          <w:rFonts w:ascii="宋体" w:hAnsi="宋体" w:cs="宋体" w:eastAsia="宋体" w:hint="default"/>
          <w:sz w:val="15"/>
          <w:szCs w:val="15"/>
        </w:rPr>
      </w:pPr>
    </w:p>
    <w:p>
      <w:pPr>
        <w:spacing w:line="5055" w:lineRule="exact"/>
        <w:ind w:left="513"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011776" cy="320992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0" cstate="print"/>
                    <a:stretch>
                      <a:fillRect/>
                    </a:stretch>
                  </pic:blipFill>
                  <pic:spPr>
                    <a:xfrm>
                      <a:off x="0" y="0"/>
                      <a:ext cx="5011776" cy="3209925"/>
                    </a:xfrm>
                    <a:prstGeom prst="rect">
                      <a:avLst/>
                    </a:prstGeom>
                  </pic:spPr>
                </pic:pic>
              </a:graphicData>
            </a:graphic>
          </wp:inline>
        </w:drawing>
      </w:r>
      <w:r>
        <w:rPr>
          <w:rFonts w:ascii="宋体" w:hAnsi="宋体" w:cs="宋体" w:eastAsia="宋体" w:hint="default"/>
          <w:position w:val="-100"/>
          <w:sz w:val="20"/>
          <w:szCs w:val="20"/>
        </w:rPr>
      </w:r>
    </w:p>
    <w:p>
      <w:pPr>
        <w:pStyle w:val="BodyText"/>
        <w:spacing w:line="240" w:lineRule="auto" w:before="113"/>
        <w:ind w:left="573" w:right="0"/>
        <w:jc w:val="left"/>
      </w:pPr>
      <w:r>
        <w:rPr/>
        <w:t>根据艾瑞咨询</w:t>
      </w:r>
      <w:r>
        <w:rPr>
          <w:rFonts w:ascii="Times New Roman" w:hAnsi="Times New Roman" w:cs="Times New Roman" w:eastAsia="Times New Roman" w:hint="default"/>
        </w:rPr>
        <w:t>iUserTracker</w:t>
      </w:r>
      <w:r>
        <w:rPr/>
        <w:t>数据，</w:t>
      </w:r>
      <w:r>
        <w:rPr>
          <w:rFonts w:ascii="Times New Roman" w:hAnsi="Times New Roman" w:cs="Times New Roman" w:eastAsia="Times New Roman" w:hint="default"/>
        </w:rPr>
        <w:t>“</w:t>
      </w:r>
      <w:r>
        <w:rPr/>
        <w:t>东方财富网</w:t>
      </w:r>
      <w:r>
        <w:rPr>
          <w:rFonts w:ascii="Times New Roman" w:hAnsi="Times New Roman" w:cs="Times New Roman" w:eastAsia="Times New Roman" w:hint="default"/>
        </w:rPr>
        <w:t>”</w:t>
      </w:r>
      <w:r>
        <w:rPr/>
        <w:t>在垂直财经网站中有效浏览时间处于绝对领先地位。</w:t>
      </w:r>
    </w:p>
    <w:p>
      <w:pPr>
        <w:spacing w:after="0" w:line="240" w:lineRule="auto"/>
        <w:jc w:val="left"/>
        <w:sectPr>
          <w:pgSz w:w="11910" w:h="16840"/>
          <w:pgMar w:header="852" w:footer="979" w:top="136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6"/>
        <w:ind w:right="10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公司增资入股上海漫道等</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报告期合并范围增加同信证券及购置大量服务器等</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报告期合并范围增加同信证券及购置大量软件等</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同信证券软件系统及装修工程等</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r>
        <w:rPr/>
        <w:t>三、核心竞争力分析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103"/>
        <w:jc w:val="left"/>
      </w:pPr>
      <w:r>
        <w:rPr/>
        <w:t>报告期内，公司核心竞争力得到进一步夯实，公司实现了健康快速发展。</w:t>
      </w:r>
    </w:p>
    <w:p>
      <w:pPr>
        <w:pStyle w:val="BodyText"/>
        <w:spacing w:line="240" w:lineRule="auto" w:before="37"/>
        <w:ind w:left="573" w:right="103"/>
        <w:jc w:val="left"/>
      </w:pPr>
      <w:r>
        <w:rPr/>
        <w:t>（一）主要核心竞争力</w:t>
      </w:r>
    </w:p>
    <w:p>
      <w:pPr>
        <w:pStyle w:val="BodyText"/>
        <w:spacing w:line="256" w:lineRule="auto" w:before="37"/>
        <w:ind w:left="573" w:right="103"/>
        <w:jc w:val="left"/>
      </w:pPr>
      <w:r>
        <w:rPr>
          <w:rFonts w:ascii="Times New Roman" w:hAnsi="Times New Roman" w:cs="Times New Roman" w:eastAsia="Times New Roman" w:hint="default"/>
        </w:rPr>
        <w:t>1</w:t>
      </w:r>
      <w:r>
        <w:rPr/>
        <w:t>、用户资源优势</w:t>
      </w:r>
      <w:r>
        <w:rPr>
          <w:w w:val="100"/>
        </w:rPr>
        <w:t> </w:t>
      </w:r>
      <w:r>
        <w:rPr>
          <w:spacing w:val="-2"/>
        </w:rPr>
        <w:t>经过多年的发展，公司运营的以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为核心的互联网金融服务大平台已成为我国用户访问量</w:t>
      </w:r>
    </w:p>
    <w:p>
      <w:pPr>
        <w:pStyle w:val="BodyText"/>
        <w:spacing w:line="268" w:lineRule="auto" w:before="5"/>
        <w:ind w:right="206"/>
        <w:jc w:val="both"/>
      </w:pPr>
      <w:r>
        <w:rPr>
          <w:spacing w:val="-2"/>
        </w:rPr>
        <w:t>最大、用户黏性最高的互联网金融服务平台，用户访问量指标和用户黏性指标在垂直财经领域均位于行业</w:t>
      </w:r>
      <w:r>
        <w:rPr>
          <w:spacing w:val="-42"/>
        </w:rPr>
        <w:t> </w:t>
      </w:r>
      <w:r>
        <w:rPr>
          <w:spacing w:val="-42"/>
        </w:rPr>
      </w:r>
      <w:r>
        <w:rPr>
          <w:spacing w:val="-2"/>
        </w:rPr>
        <w:t>首位，同时，公司积极推进一站式互联网金融服务大平台战略，不断拓展平台服务范围，提升服务能力和</w:t>
      </w:r>
      <w:r>
        <w:rPr>
          <w:spacing w:val="-47"/>
        </w:rPr>
        <w:t> </w:t>
      </w:r>
      <w:r>
        <w:rPr>
          <w:spacing w:val="-47"/>
        </w:rPr>
      </w:r>
      <w:r>
        <w:rPr>
          <w:spacing w:val="-2"/>
        </w:rPr>
        <w:t>质量，进一步提升和巩固访问量指标和用户黏性方面的优势，以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为核心的互联网金融服务大</w:t>
      </w:r>
      <w:r>
        <w:rPr>
          <w:spacing w:val="-21"/>
        </w:rPr>
        <w:t> </w:t>
      </w:r>
      <w:r>
        <w:rPr>
          <w:spacing w:val="-21"/>
        </w:rPr>
      </w:r>
      <w:r>
        <w:rPr>
          <w:spacing w:val="-2"/>
        </w:rPr>
        <w:t>平台所集聚的庞大的用户访问量和领先的用户黏性，已经形成了本公司最为核心的竞争优势，为推动公司</w:t>
      </w:r>
      <w:r>
        <w:rPr>
          <w:spacing w:val="-44"/>
        </w:rPr>
        <w:t> </w:t>
      </w:r>
      <w:r>
        <w:rPr>
          <w:spacing w:val="-44"/>
        </w:rPr>
      </w:r>
      <w:r>
        <w:rPr/>
        <w:t>持续健康发展奠定了坚实的大平台基础。</w:t>
      </w:r>
    </w:p>
    <w:p>
      <w:pPr>
        <w:pStyle w:val="BodyText"/>
        <w:spacing w:line="256" w:lineRule="auto" w:before="12"/>
        <w:ind w:left="573" w:right="103"/>
        <w:jc w:val="left"/>
      </w:pPr>
      <w:r>
        <w:rPr>
          <w:rFonts w:ascii="Times New Roman" w:hAnsi="Times New Roman" w:cs="Times New Roman" w:eastAsia="Times New Roman" w:hint="default"/>
        </w:rPr>
        <w:t>2</w:t>
      </w:r>
      <w:r>
        <w:rPr/>
        <w:t>、品牌知名度优势</w:t>
      </w:r>
      <w:r>
        <w:rPr>
          <w:w w:val="100"/>
        </w:rPr>
        <w:t> </w:t>
      </w:r>
      <w:r>
        <w:rPr>
          <w:spacing w:val="-2"/>
        </w:rPr>
        <w:t>公司依托于</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树立的品牌知名度和投资者认可度，形成了强大的品牌优势，公司持续加强</w:t>
      </w:r>
    </w:p>
    <w:p>
      <w:pPr>
        <w:pStyle w:val="BodyText"/>
        <w:spacing w:line="273" w:lineRule="auto" w:before="5"/>
        <w:ind w:right="206"/>
        <w:jc w:val="both"/>
      </w:pPr>
      <w:r>
        <w:rPr>
          <w:spacing w:val="-2"/>
        </w:rPr>
        <w:t>品牌推广与宣传力度，品牌影响力和知名度得到了进一步提升，本公司所形成的市场认可的品牌优势，进</w:t>
      </w:r>
      <w:r>
        <w:rPr>
          <w:spacing w:val="-43"/>
        </w:rPr>
        <w:t> </w:t>
      </w:r>
      <w:r>
        <w:rPr>
          <w:spacing w:val="-43"/>
        </w:rPr>
      </w:r>
      <w:r>
        <w:rPr/>
        <w:t>一步提升了公司的广告媒体价值，对公司各项业务的开展都将起到积极的促进作用。</w:t>
      </w:r>
    </w:p>
    <w:p>
      <w:pPr>
        <w:pStyle w:val="BodyText"/>
        <w:spacing w:line="256" w:lineRule="auto" w:before="7"/>
        <w:ind w:left="573" w:right="103"/>
        <w:jc w:val="left"/>
      </w:pPr>
      <w:r>
        <w:rPr>
          <w:rFonts w:ascii="Times New Roman" w:hAnsi="Times New Roman" w:cs="Times New Roman" w:eastAsia="Times New Roman" w:hint="default"/>
        </w:rPr>
        <w:t>3</w:t>
      </w:r>
      <w:r>
        <w:rPr/>
        <w:t>、营销渠道优势</w:t>
      </w:r>
      <w:r>
        <w:rPr>
          <w:w w:val="100"/>
        </w:rPr>
        <w:t> </w:t>
      </w:r>
      <w:r>
        <w:rPr>
          <w:spacing w:val="-2"/>
        </w:rPr>
        <w:t>与传统的营销渠道相比，互联网营销渠道不受地域、空间、时间的限制，可以提供全天候不间断的网</w:t>
      </w:r>
    </w:p>
    <w:p>
      <w:pPr>
        <w:pStyle w:val="BodyText"/>
        <w:spacing w:line="266" w:lineRule="auto" w:before="23"/>
        <w:ind w:right="206"/>
        <w:jc w:val="both"/>
      </w:pPr>
      <w:r>
        <w:rPr>
          <w:spacing w:val="-2"/>
        </w:rPr>
        <w:t>上营销信息发布、网上产品展示、互动交流的平台，用户覆盖区域广，营销渠道价值与网站用户数量和用</w:t>
      </w:r>
      <w:r>
        <w:rPr>
          <w:spacing w:val="-47"/>
        </w:rPr>
        <w:t> </w:t>
      </w:r>
      <w:r>
        <w:rPr>
          <w:spacing w:val="-47"/>
        </w:rPr>
      </w:r>
      <w:r>
        <w:rPr>
          <w:spacing w:val="-2"/>
        </w:rPr>
        <w:t>户访问量成正比。公司运营的以</w:t>
      </w:r>
      <w:r>
        <w:rPr>
          <w:rFonts w:ascii="Times New Roman" w:hAnsi="Times New Roman" w:cs="Times New Roman" w:eastAsia="Times New Roman" w:hint="default"/>
          <w:spacing w:val="-2"/>
        </w:rPr>
        <w:t>“</w:t>
      </w:r>
      <w:r>
        <w:rPr>
          <w:spacing w:val="-2"/>
        </w:rPr>
        <w:t>东方财富网</w:t>
      </w:r>
      <w:r>
        <w:rPr>
          <w:rFonts w:ascii="Times New Roman" w:hAnsi="Times New Roman" w:cs="Times New Roman" w:eastAsia="Times New Roman" w:hint="default"/>
          <w:spacing w:val="-2"/>
        </w:rPr>
        <w:t>”</w:t>
      </w:r>
      <w:r>
        <w:rPr>
          <w:spacing w:val="-2"/>
        </w:rPr>
        <w:t>为核心的互联网金融服务大平台，是我国用户访问量最大互</w:t>
      </w:r>
      <w:r>
        <w:rPr>
          <w:spacing w:val="-17"/>
        </w:rPr>
        <w:t> </w:t>
      </w:r>
      <w:r>
        <w:rPr>
          <w:spacing w:val="-17"/>
        </w:rPr>
      </w:r>
      <w:r>
        <w:rPr>
          <w:spacing w:val="-2"/>
        </w:rPr>
        <w:t>联网金融服务平台，拥有良好的互联网营销渠道优势。正是基于大平台庞大用户访问量的网络营销渠道优</w:t>
      </w:r>
      <w:r>
        <w:rPr>
          <w:spacing w:val="-43"/>
        </w:rPr>
        <w:t> </w:t>
      </w:r>
      <w:r>
        <w:rPr>
          <w:spacing w:val="-43"/>
        </w:rPr>
      </w:r>
      <w:r>
        <w:rPr/>
        <w:t>势，公司基金第三方销售服务业务实现了快速发展，未来这种渠道优势将会愈加明显。</w:t>
      </w:r>
    </w:p>
    <w:p>
      <w:pPr>
        <w:pStyle w:val="BodyText"/>
        <w:spacing w:line="256" w:lineRule="auto" w:before="14"/>
        <w:ind w:left="573" w:right="103"/>
        <w:jc w:val="left"/>
      </w:pPr>
      <w:r>
        <w:rPr>
          <w:rFonts w:ascii="Times New Roman" w:hAnsi="Times New Roman" w:cs="Times New Roman" w:eastAsia="Times New Roman" w:hint="default"/>
        </w:rPr>
        <w:t>4</w:t>
      </w:r>
      <w:r>
        <w:rPr/>
        <w:t>、管理团队优势</w:t>
      </w:r>
      <w:r>
        <w:rPr>
          <w:w w:val="100"/>
        </w:rPr>
        <w:t> </w:t>
      </w:r>
      <w:r>
        <w:rPr>
          <w:spacing w:val="-2"/>
        </w:rPr>
        <w:t>公司积极推行</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的人才战略，通过内部培养和外部引进，不断扩充和培养骨干队伍，同时，</w:t>
      </w:r>
    </w:p>
    <w:p>
      <w:pPr>
        <w:pStyle w:val="BodyText"/>
        <w:spacing w:line="273" w:lineRule="auto" w:before="5"/>
        <w:ind w:right="103"/>
        <w:jc w:val="both"/>
      </w:pPr>
      <w:r>
        <w:rPr/>
        <w:t>不断完善考核激励制度，先后推出两期股权激励计划，激励和稳定核心团队，形成了以创业团队为核心，</w:t>
      </w:r>
      <w:r>
        <w:rPr>
          <w:w w:val="100"/>
        </w:rPr>
        <w:t> </w:t>
      </w:r>
      <w:r>
        <w:rPr>
          <w:spacing w:val="-2"/>
        </w:rPr>
        <w:t>以资深经理人为骨干的管理团队。主要管理人员具有丰富的管理经验、互联网技术开发经验、金融证券研</w:t>
      </w:r>
      <w:r>
        <w:rPr>
          <w:spacing w:val="-43"/>
        </w:rPr>
        <w:t> </w:t>
      </w:r>
      <w:r>
        <w:rPr>
          <w:spacing w:val="-43"/>
        </w:rPr>
      </w:r>
      <w:r>
        <w:rPr>
          <w:spacing w:val="-5"/>
        </w:rPr>
        <w:t>究工作经验和多年市场营销经验，对互联网金融服务行业的相关技术、发展历程及未来趋势具有深刻理解。</w:t>
      </w:r>
    </w:p>
    <w:p>
      <w:pPr>
        <w:pStyle w:val="BodyText"/>
        <w:spacing w:line="256" w:lineRule="auto" w:before="7"/>
        <w:ind w:left="573" w:right="103"/>
        <w:jc w:val="left"/>
      </w:pPr>
      <w:r>
        <w:rPr>
          <w:rFonts w:ascii="Times New Roman" w:hAnsi="Times New Roman" w:cs="Times New Roman" w:eastAsia="Times New Roman" w:hint="default"/>
        </w:rPr>
        <w:t>5</w:t>
      </w:r>
      <w:r>
        <w:rPr/>
        <w:t>、研发、技术优势</w:t>
      </w:r>
      <w:r>
        <w:rPr>
          <w:w w:val="100"/>
        </w:rPr>
        <w:t> </w:t>
      </w:r>
      <w:r>
        <w:rPr>
          <w:spacing w:val="-2"/>
        </w:rPr>
        <w:t>通过多年网站平台的运营管理和研发，公司培养了一支稳定、过硬的技术研发团队，对互联网领域的</w:t>
      </w:r>
    </w:p>
    <w:p>
      <w:pPr>
        <w:spacing w:after="0" w:line="256" w:lineRule="auto"/>
        <w:jc w:val="left"/>
        <w:sectPr>
          <w:pgSz w:w="11910" w:h="16840"/>
          <w:pgMar w:header="852" w:footer="979" w:top="13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51"/>
        <w:ind w:right="0"/>
        <w:jc w:val="left"/>
      </w:pPr>
      <w:r>
        <w:rPr>
          <w:spacing w:val="-2"/>
        </w:rPr>
        <w:t>新技术和行业前瞻性技术有深入的研究和跟进，公司自主研发了一系列的网络核心技术，不断优化和完善</w:t>
      </w:r>
      <w:r>
        <w:rPr>
          <w:spacing w:val="-44"/>
        </w:rPr>
        <w:t> </w:t>
      </w:r>
      <w:r>
        <w:rPr>
          <w:spacing w:val="-44"/>
        </w:rPr>
      </w:r>
      <w:r>
        <w:rPr>
          <w:spacing w:val="-2"/>
        </w:rPr>
        <w:t>现有互联金融服务大平台系统。强大的技术研发力量和核心技术储备为公司后续发展奠定了坚实的基础。</w:t>
      </w:r>
    </w:p>
    <w:p>
      <w:pPr>
        <w:pStyle w:val="BodyText"/>
        <w:spacing w:line="240" w:lineRule="auto" w:before="7"/>
        <w:ind w:left="573" w:right="0"/>
        <w:jc w:val="left"/>
      </w:pPr>
      <w:r>
        <w:rPr/>
        <w:t>（二）报告期末公司拥有的商标、软件著作权及非专利技术等情况</w:t>
      </w:r>
    </w:p>
    <w:p>
      <w:pPr>
        <w:pStyle w:val="BodyText"/>
        <w:spacing w:line="256" w:lineRule="auto" w:before="37"/>
        <w:ind w:left="573" w:right="532"/>
        <w:jc w:val="left"/>
      </w:pPr>
      <w:r>
        <w:rPr>
          <w:rFonts w:ascii="Times New Roman" w:hAnsi="Times New Roman" w:cs="Times New Roman" w:eastAsia="Times New Roman" w:hint="default"/>
        </w:rPr>
        <w:t>1</w:t>
      </w:r>
      <w:r>
        <w:rPr/>
        <w:t>、商标</w:t>
      </w:r>
      <w:r>
        <w:rPr>
          <w:w w:val="100"/>
        </w:rPr>
        <w:t> </w:t>
      </w:r>
      <w:r>
        <w:rPr>
          <w:spacing w:val="-2"/>
        </w:rPr>
        <w:t>截至报告期末，根据有关商标的法律、法规及规章的规定，目前公司共获得注册的商标有</w:t>
      </w:r>
      <w:r>
        <w:rPr>
          <w:rFonts w:ascii="Times New Roman" w:hAnsi="Times New Roman" w:cs="Times New Roman" w:eastAsia="Times New Roman" w:hint="default"/>
          <w:spacing w:val="-2"/>
        </w:rPr>
        <w:t>8</w:t>
      </w:r>
      <w:r>
        <w:rPr>
          <w:spacing w:val="-2"/>
        </w:rPr>
        <w:t>项。</w:t>
      </w:r>
      <w:r>
        <w:rPr>
          <w:spacing w:val="-26"/>
        </w:rPr>
        <w:t> </w:t>
      </w:r>
      <w:r>
        <w:rPr>
          <w:rFonts w:ascii="Times New Roman" w:hAnsi="Times New Roman" w:cs="Times New Roman" w:eastAsia="Times New Roman" w:hint="default"/>
        </w:rPr>
        <w:t>2</w:t>
      </w:r>
      <w:r>
        <w:rPr/>
        <w:t>、软件著作权</w:t>
      </w:r>
    </w:p>
    <w:p>
      <w:pPr>
        <w:pStyle w:val="BodyText"/>
        <w:spacing w:line="240" w:lineRule="auto" w:before="5"/>
        <w:ind w:left="573" w:right="0"/>
        <w:jc w:val="left"/>
      </w:pPr>
      <w:r>
        <w:rPr/>
        <w:t>截至报告期末，公司及子公司获得国家版权局登记的软件著作权有</w:t>
      </w:r>
      <w:r>
        <w:rPr>
          <w:rFonts w:ascii="Times New Roman" w:hAnsi="Times New Roman" w:cs="Times New Roman" w:eastAsia="Times New Roman" w:hint="default"/>
        </w:rPr>
        <w:t>98</w:t>
      </w:r>
      <w:r>
        <w:rPr/>
        <w:t>项。</w:t>
      </w:r>
    </w:p>
    <w:p>
      <w:pPr>
        <w:pStyle w:val="BodyText"/>
        <w:spacing w:line="256" w:lineRule="auto" w:before="21"/>
        <w:ind w:left="573" w:right="3662"/>
        <w:jc w:val="left"/>
      </w:pPr>
      <w:r>
        <w:rPr>
          <w:rFonts w:ascii="Times New Roman" w:hAnsi="Times New Roman" w:cs="Times New Roman" w:eastAsia="Times New Roman" w:hint="default"/>
        </w:rPr>
        <w:t>3</w:t>
      </w:r>
      <w:r>
        <w:rPr/>
        <w:t>、非专利技术</w:t>
      </w:r>
      <w:r>
        <w:rPr>
          <w:w w:val="100"/>
        </w:rPr>
        <w:t> </w:t>
      </w:r>
      <w:r>
        <w:rPr>
          <w:spacing w:val="-2"/>
        </w:rPr>
        <w:t>截至报告期末，本公司拥有的非专利技术</w:t>
      </w:r>
      <w:r>
        <w:rPr>
          <w:rFonts w:ascii="Times New Roman" w:hAnsi="Times New Roman" w:cs="Times New Roman" w:eastAsia="Times New Roman" w:hint="default"/>
          <w:spacing w:val="-2"/>
        </w:rPr>
        <w:t>34</w:t>
      </w:r>
      <w:r>
        <w:rPr>
          <w:spacing w:val="-2"/>
        </w:rPr>
        <w:t>项。</w:t>
      </w:r>
      <w:r>
        <w:rPr/>
      </w:r>
    </w:p>
    <w:p>
      <w:pPr>
        <w:spacing w:after="0" w:line="256" w:lineRule="auto"/>
        <w:jc w:val="left"/>
        <w:sectPr>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125" w:right="103"/>
        <w:jc w:val="left"/>
        <w:rPr>
          <w:b w:val="0"/>
          <w:bCs w:val="0"/>
        </w:rPr>
      </w:pPr>
      <w:bookmarkStart w:name="_bookmark3" w:id="4"/>
      <w:bookmarkEnd w:id="4"/>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03"/>
        <w:jc w:val="left"/>
        <w:rPr>
          <w:b w:val="0"/>
          <w:bCs w:val="0"/>
        </w:rPr>
      </w:pPr>
      <w:r>
        <w:rPr/>
        <w:t>一、概述</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206" w:firstLine="420"/>
        <w:jc w:val="both"/>
      </w:pPr>
      <w:r>
        <w:rPr>
          <w:spacing w:val="-2"/>
        </w:rPr>
        <w:t>报告期内，面对复杂多变的国内外经济形势和压力，以及资本市场大幅波动的整体形势，公司全体员</w:t>
      </w:r>
      <w:r>
        <w:rPr>
          <w:w w:val="100"/>
        </w:rPr>
        <w:t> </w:t>
      </w:r>
      <w:r>
        <w:rPr>
          <w:spacing w:val="-2"/>
        </w:rPr>
        <w:t>工齐心协力，紧紧围绕实现一站式互联网金融服务的整体战略目标，努力克服困难，坚持以用户需求为中</w:t>
      </w:r>
      <w:r>
        <w:rPr>
          <w:spacing w:val="-43"/>
        </w:rPr>
        <w:t> </w:t>
      </w:r>
      <w:r>
        <w:rPr>
          <w:spacing w:val="-43"/>
        </w:rPr>
      </w:r>
      <w:r>
        <w:rPr>
          <w:spacing w:val="-2"/>
        </w:rPr>
        <w:t>心，全面落实</w:t>
      </w:r>
      <w:r>
        <w:rPr>
          <w:rFonts w:ascii="宋体" w:hAnsi="宋体" w:cs="宋体" w:eastAsia="宋体" w:hint="default"/>
          <w:spacing w:val="-2"/>
        </w:rPr>
        <w:t>2015</w:t>
      </w:r>
      <w:r>
        <w:rPr>
          <w:spacing w:val="-2"/>
        </w:rPr>
        <w:t>年度工作计划，努力做好经营管理工作，进一步加强产品和服务的研发创新，进一步优</w:t>
      </w:r>
      <w:r>
        <w:rPr>
          <w:spacing w:val="-45"/>
        </w:rPr>
        <w:t> </w:t>
      </w:r>
      <w:r>
        <w:rPr>
          <w:spacing w:val="-45"/>
        </w:rPr>
      </w:r>
      <w:r>
        <w:rPr>
          <w:spacing w:val="-2"/>
        </w:rPr>
        <w:t>化完善互联网金融服务大平台的建设，进一步拓展和完善服务链条，公司核心竞争力得到进一步的巩固和</w:t>
      </w:r>
      <w:r>
        <w:rPr>
          <w:spacing w:val="-44"/>
        </w:rPr>
        <w:t> </w:t>
      </w:r>
      <w:r>
        <w:rPr>
          <w:spacing w:val="-44"/>
        </w:rPr>
      </w:r>
      <w:r>
        <w:rPr/>
        <w:t>提升。</w:t>
      </w:r>
    </w:p>
    <w:p>
      <w:pPr>
        <w:pStyle w:val="BodyText"/>
        <w:spacing w:line="256" w:lineRule="auto" w:before="8"/>
        <w:ind w:right="103" w:firstLine="420"/>
        <w:jc w:val="left"/>
      </w:pPr>
      <w:r>
        <w:rPr/>
        <w:t>报告期内，公司实现营业总收入</w:t>
      </w:r>
      <w:r>
        <w:rPr>
          <w:rFonts w:ascii="Times New Roman" w:hAnsi="Times New Roman" w:cs="Times New Roman" w:eastAsia="Times New Roman" w:hint="default"/>
        </w:rPr>
        <w:t>2,925,879,408.31</w:t>
      </w:r>
      <w:r>
        <w:rPr/>
        <w:t>元，比上年同期大幅增长</w:t>
      </w:r>
      <w:r>
        <w:rPr>
          <w:rFonts w:ascii="Times New Roman" w:hAnsi="Times New Roman" w:cs="Times New Roman" w:eastAsia="Times New Roman" w:hint="default"/>
        </w:rPr>
        <w:t>378.08%</w:t>
      </w:r>
      <w:r>
        <w:rPr/>
        <w:t>，实现归属于上市</w:t>
      </w:r>
      <w:r>
        <w:rPr>
          <w:w w:val="100"/>
        </w:rPr>
        <w:t> </w:t>
      </w:r>
      <w:r>
        <w:rPr>
          <w:spacing w:val="-5"/>
        </w:rPr>
        <w:t>公司股东的净利润</w:t>
      </w:r>
      <w:r>
        <w:rPr>
          <w:rFonts w:ascii="Times New Roman" w:hAnsi="Times New Roman" w:cs="Times New Roman" w:eastAsia="Times New Roman" w:hint="default"/>
          <w:spacing w:val="-5"/>
        </w:rPr>
        <w:t>1,848,571,186.42</w:t>
      </w:r>
      <w:r>
        <w:rPr>
          <w:spacing w:val="-5"/>
        </w:rPr>
        <w:t>元，比上年同期大幅增长</w:t>
      </w:r>
      <w:r>
        <w:rPr>
          <w:rFonts w:ascii="Times New Roman" w:hAnsi="Times New Roman" w:cs="Times New Roman" w:eastAsia="Times New Roman" w:hint="default"/>
          <w:spacing w:val="-5"/>
        </w:rPr>
        <w:t>1,015.45%</w:t>
      </w:r>
      <w:r>
        <w:rPr>
          <w:spacing w:val="-5"/>
        </w:rPr>
        <w:t>。报告期内，公司财务状况健康良好，</w:t>
      </w:r>
      <w:r>
        <w:rPr>
          <w:spacing w:val="-11"/>
        </w:rPr>
        <w:t> </w:t>
      </w:r>
      <w:r>
        <w:rPr>
          <w:spacing w:val="-11"/>
        </w:rPr>
      </w:r>
      <w:r>
        <w:rPr/>
        <w:t>总资产和净资产规模实现大幅增长，为公司未来实现可持续健康发展，打下了坚实的基础。</w:t>
      </w:r>
    </w:p>
    <w:p>
      <w:pPr>
        <w:pStyle w:val="BodyText"/>
        <w:spacing w:line="273" w:lineRule="auto" w:before="22"/>
        <w:ind w:right="185" w:firstLine="420"/>
        <w:jc w:val="both"/>
      </w:pPr>
      <w:r>
        <w:rPr>
          <w:spacing w:val="-2"/>
        </w:rPr>
        <w:t>报告期内，公司积极抓住互联网金融服务行业发展机遇，全力做好基金第三方销售服务业务，持续加</w:t>
      </w:r>
      <w:r>
        <w:rPr>
          <w:spacing w:val="-3"/>
          <w:w w:val="100"/>
        </w:rPr>
        <w:t> </w:t>
      </w:r>
      <w:r>
        <w:rPr>
          <w:spacing w:val="-2"/>
        </w:rPr>
        <w:t>强产品和服务创新，加强品牌推广力度，不断丰富上线产品，拓展服务范围，持续提升服务质量和水平，</w:t>
      </w:r>
      <w:r>
        <w:rPr>
          <w:spacing w:val="-21"/>
        </w:rPr>
        <w:t> </w:t>
      </w:r>
      <w:r>
        <w:rPr>
          <w:spacing w:val="-21"/>
        </w:rPr>
      </w:r>
      <w:r>
        <w:rPr>
          <w:spacing w:val="-2"/>
        </w:rPr>
        <w:t>不断提升用户体验。报告期内，公司基金第三方销售服务业务实现了快速发展，公司互联网金融电子商务</w:t>
      </w:r>
      <w:r>
        <w:rPr>
          <w:spacing w:val="-43"/>
        </w:rPr>
        <w:t> </w:t>
      </w:r>
      <w:r>
        <w:rPr>
          <w:spacing w:val="-43"/>
        </w:rPr>
      </w:r>
      <w:r>
        <w:rPr/>
        <w:t>平台基金投资者规模和销售额同比大幅增长，互联网金融电子商务服务业务收入同比实现大幅增长。</w:t>
      </w:r>
    </w:p>
    <w:p>
      <w:pPr>
        <w:pStyle w:val="BodyText"/>
        <w:spacing w:line="273" w:lineRule="auto" w:before="7"/>
        <w:ind w:right="103" w:firstLine="420"/>
        <w:jc w:val="left"/>
      </w:pPr>
      <w:r>
        <w:rPr/>
        <w:t>报告期内，公司进一步加强了金融数据服务业务的发展，持续加强海量财经金融数据库的优化和完善</w:t>
      </w:r>
      <w:r>
        <w:rPr>
          <w:w w:val="100"/>
        </w:rPr>
        <w:t> </w:t>
      </w:r>
      <w:r>
        <w:rPr>
          <w:spacing w:val="-5"/>
        </w:rPr>
        <w:t>工作，进一步加强个人终端产品研发创新工作，新增并持续完善投资组合功能及证券开户交易等相关服务， </w:t>
      </w:r>
      <w:r>
        <w:rPr>
          <w:spacing w:val="-5"/>
        </w:rPr>
      </w:r>
      <w:r>
        <w:rPr>
          <w:spacing w:val="-2"/>
        </w:rPr>
        <w:t>同时进一步完善金融数据机构端服务产品，新增并持续完善新三板及私募市场等相关信息数据服务，进一</w:t>
      </w:r>
      <w:r>
        <w:rPr>
          <w:spacing w:val="-43"/>
        </w:rPr>
        <w:t> </w:t>
      </w:r>
      <w:r>
        <w:rPr>
          <w:spacing w:val="-43"/>
        </w:rPr>
      </w:r>
      <w:r>
        <w:rPr>
          <w:spacing w:val="-2"/>
        </w:rPr>
        <w:t>步提升服务质量和用户体验，进一步加强产品的推广力度，努力提升用户规模和市场份额。报告期内，金</w:t>
      </w:r>
      <w:r>
        <w:rPr>
          <w:spacing w:val="-47"/>
        </w:rPr>
        <w:t> </w:t>
      </w:r>
      <w:r>
        <w:rPr>
          <w:spacing w:val="-47"/>
        </w:rPr>
      </w:r>
      <w:r>
        <w:rPr/>
        <w:t>融数据服务业务收入同比实现大幅增长。</w:t>
      </w:r>
    </w:p>
    <w:p>
      <w:pPr>
        <w:pStyle w:val="BodyText"/>
        <w:spacing w:line="273" w:lineRule="auto" w:before="7"/>
        <w:ind w:right="103" w:firstLine="420"/>
        <w:jc w:val="left"/>
      </w:pPr>
      <w:r>
        <w:rPr>
          <w:spacing w:val="-2"/>
        </w:rPr>
        <w:t>报告期内，公司进一步加强了互联网广告服务业务的发展，公司互联网广告服务业务收入同比实现一</w:t>
      </w:r>
      <w:r>
        <w:rPr>
          <w:w w:val="100"/>
        </w:rPr>
        <w:t> </w:t>
      </w:r>
      <w:r>
        <w:rPr/>
        <w:t>定增长。</w:t>
      </w:r>
    </w:p>
    <w:p>
      <w:pPr>
        <w:pStyle w:val="BodyText"/>
        <w:spacing w:line="273" w:lineRule="auto" w:before="7"/>
        <w:ind w:right="103" w:firstLine="420"/>
        <w:jc w:val="left"/>
      </w:pPr>
      <w:r>
        <w:rPr>
          <w:spacing w:val="-3"/>
        </w:rPr>
        <w:t>报告期内，公司积极拓展外延式发展机会，努力做好并购重组工作，完成了收购同信证券、东财国际</w:t>
      </w:r>
      <w:r>
        <w:rPr>
          <w:w w:val="100"/>
        </w:rPr>
        <w:t> </w:t>
      </w:r>
      <w:r>
        <w:rPr/>
        <w:t>相关事项，增资入股了上海漫道，参股了证通股份有限公司和中证信用增进股份有限公司。</w:t>
      </w:r>
    </w:p>
    <w:p>
      <w:pPr>
        <w:pStyle w:val="BodyText"/>
        <w:spacing w:line="273" w:lineRule="auto" w:before="7"/>
        <w:ind w:right="103" w:firstLine="420"/>
        <w:jc w:val="left"/>
      </w:pPr>
      <w:r>
        <w:rPr>
          <w:spacing w:val="-2"/>
        </w:rPr>
        <w:t>报告期内，公司继续做好募投项目和超募资金投资项目的后期维护工作，进一步发挥募集资金投资项</w:t>
      </w:r>
      <w:r>
        <w:rPr>
          <w:w w:val="100"/>
        </w:rPr>
        <w:t> </w:t>
      </w:r>
      <w:r>
        <w:rPr/>
        <w:t>目整体协同效应。同时，公司进一步加强剩余超募资金的使用和管理工作，提升募集资金使用效率。</w:t>
      </w:r>
    </w:p>
    <w:p>
      <w:pPr>
        <w:pStyle w:val="BodyText"/>
        <w:spacing w:line="273" w:lineRule="auto" w:before="7"/>
        <w:ind w:right="103" w:firstLine="420"/>
        <w:jc w:val="left"/>
      </w:pPr>
      <w:r>
        <w:rPr>
          <w:spacing w:val="-5"/>
        </w:rPr>
        <w:t>报告期内，公司进一步加强财务管理工作，积极发挥财务职能作用。进一步加强了人力资源管理工作，</w:t>
      </w:r>
      <w:r>
        <w:rPr>
          <w:w w:val="100"/>
        </w:rPr>
        <w:t> </w:t>
      </w:r>
      <w:r>
        <w:rPr/>
        <w:t>进一步完善绩效考核和激励机制，推进股权激励相关工作，进一步加强人才引进和梯队建设工作。同时，</w:t>
      </w:r>
      <w:r>
        <w:rPr>
          <w:w w:val="100"/>
        </w:rPr>
        <w:t> </w:t>
      </w:r>
      <w:r>
        <w:rPr/>
        <w:t>公司进一步加强企业文化建设，不断增强企业活力和凝聚力，企业整体管理水平得到进一步提升。</w:t>
      </w:r>
    </w:p>
    <w:p>
      <w:pPr>
        <w:spacing w:line="240" w:lineRule="auto" w:before="8"/>
        <w:rPr>
          <w:rFonts w:ascii="宋体" w:hAnsi="宋体" w:cs="宋体" w:eastAsia="宋体" w:hint="default"/>
          <w:sz w:val="21"/>
          <w:szCs w:val="21"/>
        </w:rPr>
      </w:pPr>
    </w:p>
    <w:p>
      <w:pPr>
        <w:pStyle w:val="Heading4"/>
        <w:spacing w:line="240" w:lineRule="auto"/>
        <w:ind w:right="10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3"/>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03"/>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7"/>
        <w:rPr>
          <w:rFonts w:ascii="宋体" w:hAnsi="宋体" w:cs="宋体" w:eastAsia="宋体" w:hint="default"/>
          <w:sz w:val="24"/>
          <w:szCs w:val="24"/>
        </w:rPr>
      </w:pPr>
    </w:p>
    <w:p>
      <w:pPr>
        <w:pStyle w:val="Heading5"/>
        <w:spacing w:line="240" w:lineRule="auto"/>
        <w:ind w:right="103"/>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3"/>
        <w:jc w:val="left"/>
        <w:rPr>
          <w:b w:val="0"/>
          <w:bCs w:val="0"/>
        </w:rPr>
      </w:pPr>
      <w:r>
        <w:rPr/>
        <w:t>（</w:t>
      </w:r>
      <w:r>
        <w:rPr>
          <w:rFonts w:ascii="Times New Roman" w:hAnsi="Times New Roman" w:cs="Times New Roman" w:eastAsia="Times New Roman" w:hint="default"/>
        </w:rPr>
        <w:t>1</w:t>
      </w:r>
      <w:r>
        <w:rPr/>
        <w:t>）营业总收入构成</w:t>
      </w:r>
      <w:r>
        <w:rPr>
          <w:b w:val="0"/>
          <w:bCs w:val="0"/>
        </w:rPr>
      </w:r>
    </w:p>
    <w:p>
      <w:pPr>
        <w:spacing w:after="0" w:line="240" w:lineRule="auto"/>
        <w:jc w:val="left"/>
        <w:sectPr>
          <w:pgSz w:w="11910" w:h="16840"/>
          <w:pgMar w:header="852" w:footer="979" w:top="1300" w:bottom="1160" w:left="980" w:right="920"/>
        </w:sectPr>
      </w:pPr>
    </w:p>
    <w:p>
      <w:pPr>
        <w:spacing w:before="129"/>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76"/>
        <w:gridCol w:w="1600"/>
        <w:gridCol w:w="1590"/>
        <w:gridCol w:w="1598"/>
        <w:gridCol w:w="1587"/>
        <w:gridCol w:w="1597"/>
      </w:tblGrid>
      <w:tr>
        <w:trPr>
          <w:trHeight w:val="206" w:hRule="exact"/>
        </w:trPr>
        <w:tc>
          <w:tcPr>
            <w:tcW w:w="16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676" w:type="dxa"/>
            <w:vMerge w:val="restart"/>
            <w:tcBorders>
              <w:top w:val="nil" w:sz="6" w:space="0" w:color="auto"/>
              <w:left w:val="single" w:sz="4" w:space="0" w:color="000000"/>
              <w:right w:val="single" w:sz="4" w:space="0" w:color="000000"/>
            </w:tcBorders>
            <w:shd w:val="clear" w:color="auto" w:fill="D2D2D2"/>
          </w:tcPr>
          <w:p>
            <w:pPr/>
          </w:p>
        </w:tc>
        <w:tc>
          <w:tcPr>
            <w:tcW w:w="3190"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7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占营业总收入比重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7"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营业总收入合计</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2,925,879,408.31</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612,007,004.55</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378.08%</w:t>
            </w:r>
          </w:p>
        </w:tc>
      </w:tr>
      <w:tr>
        <w:trPr>
          <w:trHeight w:val="398" w:hRule="exact"/>
        </w:trPr>
        <w:tc>
          <w:tcPr>
            <w:tcW w:w="964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2,812,712,721.18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612,007,004.55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359.59%</w:t>
            </w: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证券服务业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113,166,687.13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4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249,035,377.47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144,705,457.83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23.64%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72.10%</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101,573,305.15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85,596,697.67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13.99%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18.66%</w:t>
            </w: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2,442,371,516.30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372,017,452.49</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60.79%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556.52%</w:t>
            </w:r>
          </w:p>
        </w:tc>
      </w:tr>
      <w:tr>
        <w:trPr>
          <w:trHeight w:val="401"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113,166,687.13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19,732,522.26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9,687,396.56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103.69%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）占公司营业总收入或营业利润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39"/>
        <w:gridCol w:w="1366"/>
        <w:gridCol w:w="1366"/>
        <w:gridCol w:w="1368"/>
        <w:gridCol w:w="1366"/>
        <w:gridCol w:w="1369"/>
        <w:gridCol w:w="1371"/>
      </w:tblGrid>
      <w:tr>
        <w:trPr>
          <w:trHeight w:val="71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74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2,812,712,721.18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324,054,378.17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12.75%</w:t>
            </w:r>
          </w:p>
        </w:tc>
      </w:tr>
      <w:tr>
        <w:trPr>
          <w:trHeight w:val="403" w:hRule="exact"/>
        </w:trPr>
        <w:tc>
          <w:tcPr>
            <w:tcW w:w="974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249,035,377.47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116,745,568.08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101,573,305.15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42,241,802.97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-20.99%</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2,442,371,516.30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152,755,553.24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980" w:right="900"/>
        </w:sectPr>
      </w:pPr>
    </w:p>
    <w:p>
      <w:pPr>
        <w:pStyle w:val="Heading5"/>
        <w:spacing w:line="240" w:lineRule="auto" w:before="108"/>
        <w:ind w:right="10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103"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19"/>
        <w:gridCol w:w="1618"/>
        <w:gridCol w:w="1618"/>
        <w:gridCol w:w="1618"/>
        <w:gridCol w:w="1618"/>
        <w:gridCol w:w="1618"/>
      </w:tblGrid>
      <w:tr>
        <w:trPr>
          <w:trHeight w:val="402" w:hRule="exact"/>
        </w:trPr>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2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19" w:type="dxa"/>
            <w:vMerge/>
            <w:tcBorders>
              <w:left w:val="single" w:sz="4" w:space="0" w:color="000000"/>
              <w:bottom w:val="single" w:sz="4" w:space="0" w:color="000000"/>
              <w:right w:val="single" w:sz="4" w:space="0" w:color="000000"/>
            </w:tcBorders>
            <w:shd w:val="clear" w:color="auto" w:fill="D2D2D2"/>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18" w:type="dxa"/>
            <w:vMerge/>
            <w:tcBorders>
              <w:left w:val="single" w:sz="4" w:space="0" w:color="000000"/>
              <w:bottom w:val="single" w:sz="4" w:space="0" w:color="000000"/>
              <w:right w:val="single" w:sz="4" w:space="0" w:color="000000"/>
            </w:tcBorders>
            <w:shd w:val="clear" w:color="auto" w:fill="D2D2D2"/>
          </w:tcPr>
          <w:p>
            <w:pPr/>
          </w:p>
        </w:tc>
      </w:tr>
      <w:tr>
        <w:trPr>
          <w:trHeight w:val="410"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8" w:right="0"/>
              <w:jc w:val="left"/>
              <w:rPr>
                <w:rFonts w:ascii="Times New Roman" w:hAnsi="Times New Roman" w:cs="Times New Roman" w:eastAsia="Times New Roman" w:hint="default"/>
                <w:sz w:val="18"/>
                <w:szCs w:val="18"/>
              </w:rPr>
            </w:pPr>
            <w:r>
              <w:rPr>
                <w:rFonts w:ascii="Times New Roman"/>
                <w:sz w:val="18"/>
              </w:rPr>
              <w:t>324,054,378.17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0" w:right="0"/>
              <w:jc w:val="left"/>
              <w:rPr>
                <w:rFonts w:ascii="Times New Roman" w:hAnsi="Times New Roman" w:cs="Times New Roman" w:eastAsia="Times New Roman" w:hint="default"/>
                <w:sz w:val="18"/>
                <w:szCs w:val="18"/>
              </w:rPr>
            </w:pPr>
            <w:r>
              <w:rPr>
                <w:rFonts w:ascii="Times New Roman"/>
                <w:sz w:val="18"/>
              </w:rPr>
              <w:t>100.00%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8" w:right="0"/>
              <w:jc w:val="left"/>
              <w:rPr>
                <w:rFonts w:ascii="Times New Roman" w:hAnsi="Times New Roman" w:cs="Times New Roman" w:eastAsia="Times New Roman" w:hint="default"/>
                <w:sz w:val="18"/>
                <w:szCs w:val="18"/>
              </w:rPr>
            </w:pPr>
            <w:r>
              <w:rPr>
                <w:rFonts w:ascii="Times New Roman"/>
                <w:sz w:val="18"/>
              </w:rPr>
              <w:t>148,569,133.68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1" w:right="0"/>
              <w:jc w:val="left"/>
              <w:rPr>
                <w:rFonts w:ascii="Times New Roman" w:hAnsi="Times New Roman" w:cs="Times New Roman" w:eastAsia="Times New Roman" w:hint="default"/>
                <w:sz w:val="18"/>
                <w:szCs w:val="18"/>
              </w:rPr>
            </w:pPr>
            <w:r>
              <w:rPr>
                <w:rFonts w:ascii="Times New Roman"/>
                <w:sz w:val="18"/>
              </w:rPr>
              <w:t>100.00%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45" w:right="0"/>
              <w:jc w:val="left"/>
              <w:rPr>
                <w:rFonts w:ascii="Times New Roman" w:hAnsi="Times New Roman" w:cs="Times New Roman" w:eastAsia="Times New Roman" w:hint="default"/>
                <w:sz w:val="18"/>
                <w:szCs w:val="18"/>
              </w:rPr>
            </w:pPr>
            <w:r>
              <w:rPr>
                <w:rFonts w:ascii="Times New Roman"/>
                <w:sz w:val="18"/>
              </w:rPr>
              <w:t>118.12%</w:t>
            </w:r>
          </w:p>
        </w:tc>
      </w:tr>
    </w:tbl>
    <w:p>
      <w:pPr>
        <w:spacing w:before="49"/>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3"/>
        <w:gridCol w:w="1621"/>
        <w:gridCol w:w="1620"/>
        <w:gridCol w:w="1620"/>
        <w:gridCol w:w="1621"/>
        <w:gridCol w:w="1620"/>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2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116,745,568.08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56,622,795.70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106.18%</w:t>
            </w:r>
          </w:p>
        </w:tc>
      </w:tr>
      <w:tr>
        <w:trPr>
          <w:trHeight w:val="401"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42,241,802.97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17,632,627.16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139.57%</w:t>
            </w:r>
          </w:p>
        </w:tc>
      </w:tr>
      <w:tr>
        <w:trPr>
          <w:trHeight w:val="466"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152,755,553.24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47.14%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72,481,529.53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48.79%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2"/>
                <w:sz w:val="18"/>
              </w:rPr>
              <w:t>110.75%</w:t>
            </w: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12,311,453.88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1,832,181.29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571.96%</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5"/>
        <w:spacing w:line="240" w:lineRule="auto" w:before="118"/>
        <w:ind w:right="10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40" w:lineRule="auto" w:before="81"/>
        <w:ind w:left="573" w:right="103"/>
        <w:jc w:val="left"/>
      </w:pPr>
      <w:r>
        <w:rPr>
          <w:rFonts w:ascii="Times New Roman" w:hAnsi="Times New Roman" w:cs="Times New Roman" w:eastAsia="Times New Roman" w:hint="default"/>
        </w:rPr>
        <w:t>1</w:t>
      </w:r>
      <w:r>
        <w:rPr/>
        <w:t>）报告期内，公司完成收购东财国际相关事项，</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月起，东财国际纳入合并报表范围。</w:t>
      </w:r>
    </w:p>
    <w:p>
      <w:pPr>
        <w:pStyle w:val="BodyText"/>
        <w:spacing w:line="240" w:lineRule="auto" w:before="21"/>
        <w:ind w:left="573" w:right="103"/>
        <w:jc w:val="left"/>
      </w:pPr>
      <w:r>
        <w:rPr>
          <w:rFonts w:ascii="Times New Roman" w:hAnsi="Times New Roman" w:cs="Times New Roman" w:eastAsia="Times New Roman" w:hint="default"/>
        </w:rPr>
        <w:t>2</w:t>
      </w:r>
      <w:r>
        <w:rPr/>
        <w:t>）报告期内，公司完成收购同信证券相关事项，</w:t>
      </w:r>
      <w:r>
        <w:rPr>
          <w:rFonts w:ascii="Times New Roman" w:hAnsi="Times New Roman" w:cs="Times New Roman" w:eastAsia="Times New Roman" w:hint="default"/>
        </w:rPr>
        <w:t>2015</w:t>
      </w:r>
      <w:r>
        <w:rPr/>
        <w:t>月</w:t>
      </w:r>
      <w:r>
        <w:rPr>
          <w:rFonts w:ascii="Times New Roman" w:hAnsi="Times New Roman" w:cs="Times New Roman" w:eastAsia="Times New Roman" w:hint="default"/>
        </w:rPr>
        <w:t>12</w:t>
      </w:r>
      <w:r>
        <w:rPr/>
        <w:t>月起，同信证券纳入合并报表范围。</w:t>
      </w:r>
    </w:p>
    <w:p>
      <w:pPr>
        <w:pStyle w:val="BodyText"/>
        <w:spacing w:line="256" w:lineRule="auto" w:before="21"/>
        <w:ind w:right="103" w:firstLine="42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月，公司新设全资子公司扬州东方财富金融信息服务有限公司，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月，公司新设控</w:t>
      </w:r>
      <w:r>
        <w:rPr>
          <w:w w:val="100"/>
        </w:rPr>
        <w:t> </w:t>
      </w:r>
      <w:r>
        <w:rPr/>
        <w:t>股子公司上海微兆信息科技有限公司，上述公司自设立当月起，纳入合并报表范围。</w:t>
      </w:r>
    </w:p>
    <w:p>
      <w:pPr>
        <w:pStyle w:val="BodyText"/>
        <w:spacing w:line="256" w:lineRule="auto" w:before="22"/>
        <w:ind w:right="103" w:firstLine="420"/>
        <w:jc w:val="left"/>
      </w:pPr>
      <w:r>
        <w:rPr>
          <w:rFonts w:ascii="Times New Roman" w:hAnsi="Times New Roman" w:cs="Times New Roman" w:eastAsia="Times New Roman" w:hint="default"/>
          <w:spacing w:val="-2"/>
        </w:rPr>
        <w:t>4</w:t>
      </w:r>
      <w:r>
        <w:rPr>
          <w:spacing w:val="-2"/>
        </w:rPr>
        <w:t>）国泰君安东睿富盈基金由天天基金以自有资金认购，为该基金的单一投资人，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月起纳入合</w:t>
      </w:r>
      <w:r>
        <w:rPr>
          <w:w w:val="100"/>
        </w:rPr>
        <w:t> </w:t>
      </w:r>
      <w:r>
        <w:rPr/>
        <w:t>并范围。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10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103" w:firstLine="420"/>
        <w:jc w:val="left"/>
      </w:pPr>
      <w:r>
        <w:rPr>
          <w:spacing w:val="-2"/>
        </w:rPr>
        <w:t>报告期内，公司完成了发行股份购买同信证券</w:t>
      </w:r>
      <w:r>
        <w:rPr>
          <w:rFonts w:ascii="Times New Roman" w:hAnsi="Times New Roman" w:cs="Times New Roman" w:eastAsia="Times New Roman" w:hint="default"/>
          <w:spacing w:val="-2"/>
        </w:rPr>
        <w:t>100%</w:t>
      </w:r>
      <w:r>
        <w:rPr>
          <w:spacing w:val="-2"/>
        </w:rPr>
        <w:t>股权的相关事项，公司主营业务由金融数据服务、</w:t>
      </w:r>
      <w:r>
        <w:rPr>
          <w:w w:val="100"/>
        </w:rPr>
        <w:t> </w:t>
      </w:r>
      <w:r>
        <w:rPr/>
        <w:t>互联网广告服务和金融电子商务服务业务，延伸至证券服务业务。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10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952,580,472.33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32.56%</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after="0"/>
        <w:jc w:val="left"/>
        <w:rPr>
          <w:rFonts w:ascii="宋体" w:hAnsi="宋体" w:cs="宋体" w:eastAsia="宋体" w:hint="default"/>
          <w:sz w:val="18"/>
          <w:szCs w:val="18"/>
        </w:rPr>
        <w:sectPr>
          <w:pgSz w:w="11910" w:h="16840"/>
          <w:pgMar w:header="852" w:footer="979" w:top="1300" w:bottom="1160" w:left="980" w:right="920"/>
        </w:sectPr>
      </w:pPr>
    </w:p>
    <w:p>
      <w:pPr>
        <w:spacing w:line="240" w:lineRule="auto" w:before="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228,195,736.58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218,412,000.29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186,918,793.22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6.39%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174,540,937.16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144,513,005.07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952,580,472.33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32.56%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218,628,737.44</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30.75%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62,615,910.00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49,212,643.54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30,104,380.00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46,440,533.90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30,255,270.00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218,628,737.44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30.75%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713"/>
        <w:gridCol w:w="1699"/>
        <w:gridCol w:w="1136"/>
        <w:gridCol w:w="3615"/>
      </w:tblGrid>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202,505,335.17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115,249,744.46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75.71%</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职工薪酬及市场推广费用较去年同期增加</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394,427,244.17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2" w:right="0"/>
              <w:jc w:val="left"/>
              <w:rPr>
                <w:rFonts w:ascii="Times New Roman" w:hAnsi="Times New Roman" w:cs="Times New Roman" w:eastAsia="Times New Roman" w:hint="default"/>
                <w:sz w:val="18"/>
                <w:szCs w:val="18"/>
              </w:rPr>
            </w:pPr>
            <w:r>
              <w:rPr>
                <w:rFonts w:ascii="Times New Roman"/>
                <w:sz w:val="18"/>
              </w:rPr>
              <w:t>183,892,483.26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114.49%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职工薪酬、研发费用等增长幅度较大</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-108,382,490.13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-59,693,215.78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81.57%</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利息收入增加较多</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2"/>
          <w:szCs w:val="12"/>
        </w:rPr>
      </w:pPr>
    </w:p>
    <w:p>
      <w:pPr>
        <w:pStyle w:val="BodyText"/>
        <w:spacing w:line="271" w:lineRule="auto"/>
        <w:ind w:right="146" w:firstLine="420"/>
        <w:jc w:val="both"/>
      </w:pPr>
      <w:r>
        <w:rPr>
          <w:spacing w:val="-2"/>
        </w:rPr>
        <w:t>报告期内，公司积极了解和把握行业技术和发展动向，进一步加大研发投入，积极做好新产品的研发</w:t>
      </w:r>
      <w:r>
        <w:rPr>
          <w:w w:val="100"/>
        </w:rPr>
        <w:t> </w:t>
      </w:r>
      <w:r>
        <w:rPr>
          <w:spacing w:val="-2"/>
        </w:rPr>
        <w:t>和技术储备工作，为公司进一步丰富互联网金融服务大平台的产品和服务，提升互联网金融服务大平台的</w:t>
      </w:r>
      <w:r>
        <w:rPr>
          <w:spacing w:val="-43"/>
        </w:rPr>
        <w:t> </w:t>
      </w:r>
      <w:r>
        <w:rPr>
          <w:spacing w:val="-43"/>
        </w:rPr>
      </w:r>
      <w:r>
        <w:rPr>
          <w:spacing w:val="-2"/>
        </w:rPr>
        <w:t>服务能力和竞争能力，实现一站式互联网金融服务整体战略目标打下坚实基础。报告期内，公司新增软件</w:t>
      </w:r>
      <w:r>
        <w:rPr>
          <w:spacing w:val="-44"/>
        </w:rPr>
        <w:t> </w:t>
      </w:r>
      <w:r>
        <w:rPr>
          <w:spacing w:val="-44"/>
        </w:rPr>
      </w:r>
      <w:r>
        <w:rPr/>
        <w:t>著作权</w:t>
      </w:r>
      <w:r>
        <w:rPr>
          <w:rFonts w:ascii="Times New Roman" w:hAnsi="Times New Roman" w:cs="Times New Roman" w:eastAsia="Times New Roman" w:hint="default"/>
        </w:rPr>
        <w:t>21</w:t>
      </w:r>
      <w:r>
        <w:rPr/>
        <w:t>项，新增非专利技术</w:t>
      </w:r>
      <w:r>
        <w:rPr>
          <w:rFonts w:ascii="Times New Roman" w:hAnsi="Times New Roman" w:cs="Times New Roman" w:eastAsia="Times New Roman" w:hint="default"/>
        </w:rPr>
        <w:t>4</w:t>
      </w:r>
      <w:r>
        <w:rPr/>
        <w:t>项。</w:t>
      </w:r>
    </w:p>
    <w:p>
      <w:pPr>
        <w:spacing w:line="240" w:lineRule="auto" w:before="0"/>
        <w:rPr>
          <w:rFonts w:ascii="宋体" w:hAnsi="宋体" w:cs="宋体" w:eastAsia="宋体" w:hint="default"/>
          <w:sz w:val="22"/>
          <w:szCs w:val="22"/>
        </w:rPr>
      </w:pPr>
    </w:p>
    <w:p>
      <w:pPr>
        <w:spacing w:before="196"/>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近三年公司研发投入金额及占营业总收入的比例</w:t>
      </w:r>
    </w:p>
    <w:p>
      <w:pPr>
        <w:spacing w:after="0"/>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522"/>
        <w:gridCol w:w="2019"/>
        <w:gridCol w:w="2009"/>
        <w:gridCol w:w="2009"/>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0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1,623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768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0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58.90%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0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148,935,933.99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70,670,134.93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39,678,000.00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研发投入占营业总收入比例</w:t>
            </w:r>
          </w:p>
        </w:tc>
        <w:tc>
          <w:tcPr>
            <w:tcW w:w="20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019" w:type="dxa"/>
            <w:tcBorders>
              <w:top w:val="single" w:sz="4" w:space="0" w:color="000000"/>
              <w:left w:val="single" w:sz="13" w:space="0" w:color="D2D2D2"/>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019" w:type="dxa"/>
            <w:tcBorders>
              <w:top w:val="single" w:sz="4" w:space="0" w:color="000000"/>
              <w:left w:val="single" w:sz="13" w:space="0" w:color="D2D2D2"/>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019" w:type="dxa"/>
            <w:tcBorders>
              <w:top w:val="single" w:sz="4" w:space="0" w:color="000000"/>
              <w:left w:val="single" w:sz="13" w:space="0" w:color="D2D2D2"/>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研发投入总额占营业总收入的比重较上年发生显著变化的原因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0" w:firstLine="420"/>
        <w:jc w:val="left"/>
      </w:pPr>
      <w:r>
        <w:rPr>
          <w:spacing w:val="-2"/>
        </w:rPr>
        <w:t>报告期内，公司研发投入总额较去年同期大幅增加</w:t>
      </w:r>
      <w:r>
        <w:rPr>
          <w:rFonts w:ascii="Times New Roman" w:hAnsi="Times New Roman" w:cs="Times New Roman" w:eastAsia="Times New Roman" w:hint="default"/>
          <w:spacing w:val="-2"/>
        </w:rPr>
        <w:t>110.75%</w:t>
      </w:r>
      <w:r>
        <w:rPr>
          <w:spacing w:val="-2"/>
        </w:rPr>
        <w:t>，占营业总收入比重较去年同期下降，主</w:t>
      </w:r>
      <w:r>
        <w:rPr>
          <w:w w:val="100"/>
        </w:rPr>
        <w:t> </w:t>
      </w:r>
      <w:r>
        <w:rPr/>
        <w:t>要由于公司报告期内实现营业总收入较去年同期大幅增长。</w:t>
      </w:r>
    </w:p>
    <w:p>
      <w:pPr>
        <w:spacing w:line="240" w:lineRule="auto" w:before="0"/>
        <w:rPr>
          <w:rFonts w:ascii="宋体" w:hAnsi="宋体" w:cs="宋体" w:eastAsia="宋体" w:hint="default"/>
          <w:sz w:val="20"/>
          <w:szCs w:val="20"/>
        </w:rPr>
      </w:pPr>
    </w:p>
    <w:p>
      <w:pPr>
        <w:spacing w:before="134"/>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line="340" w:lineRule="auto" w:before="115"/>
        <w:ind w:left="152" w:right="8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近两年专利数情况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55"/>
        <w:gridCol w:w="2245"/>
        <w:gridCol w:w="2246"/>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3,233,161,009.33</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2,886,258,053.44</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2,685,787,884.36</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523,340,428.76</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413.20%</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547,373,124.97</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2,362,917,624.68</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-76.83%</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10,033,640,530.20</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200,002,000.00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4,916.77%</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872,406,053.47</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261,146,150.38</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9,161,234,476.73</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-61,144,150.38</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15,083.01%</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29,867,064.96</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12,344.61%</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72,576,000.00</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13,463,345.88</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439.06%</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-42,708,935.04</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-13,223,345.88</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-222.98%</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9,669,358,406.66</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2,287,808,498.66</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0" w:firstLine="420"/>
        <w:jc w:val="left"/>
      </w:pPr>
      <w:r>
        <w:rPr>
          <w:spacing w:val="-2"/>
        </w:rPr>
        <w:t>（</w:t>
      </w:r>
      <w:r>
        <w:rPr>
          <w:rFonts w:ascii="宋体" w:hAnsi="宋体" w:cs="宋体" w:eastAsia="宋体" w:hint="default"/>
          <w:spacing w:val="-2"/>
        </w:rPr>
        <w:t>1</w:t>
      </w:r>
      <w:r>
        <w:rPr>
          <w:spacing w:val="-2"/>
        </w:rPr>
        <w:t>）报告期内，经营活动现金流入较去年同期增加，主要原因：公司金融电子商务服务业务收入同</w:t>
      </w:r>
      <w:r>
        <w:rPr>
          <w:w w:val="100"/>
        </w:rPr>
        <w:t> </w:t>
      </w:r>
      <w:r>
        <w:rPr/>
        <w:t>比大幅增加。</w:t>
      </w:r>
    </w:p>
    <w:p>
      <w:pPr>
        <w:pStyle w:val="BodyText"/>
        <w:spacing w:line="240" w:lineRule="auto" w:before="7"/>
        <w:ind w:left="573" w:right="0"/>
        <w:jc w:val="left"/>
        <w:rPr>
          <w:rFonts w:ascii="宋体" w:hAnsi="宋体" w:cs="宋体" w:eastAsia="宋体" w:hint="default"/>
        </w:rPr>
      </w:pPr>
      <w:r>
        <w:rPr/>
        <w:t>（</w:t>
      </w:r>
      <w:r>
        <w:rPr>
          <w:rFonts w:ascii="宋体" w:hAnsi="宋体" w:cs="宋体" w:eastAsia="宋体" w:hint="default"/>
        </w:rPr>
        <w:t>2</w:t>
      </w:r>
      <w:r>
        <w:rPr/>
        <w:t>）报告期内，经营活动现金流出较去年同期大幅增加，主要原因：代理买卖证券支付的现金流出</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852" w:footer="979" w:top="1300" w:bottom="1160" w:left="980" w:right="980"/>
        </w:sectPr>
      </w:pPr>
    </w:p>
    <w:p>
      <w:pPr>
        <w:pStyle w:val="BodyText"/>
        <w:spacing w:line="240" w:lineRule="auto" w:before="108"/>
        <w:ind w:right="0"/>
        <w:jc w:val="left"/>
      </w:pPr>
      <w:r>
        <w:rPr/>
        <w:t>各项税费支出增加</w:t>
      </w:r>
      <w:r>
        <w:rPr>
          <w:rFonts w:ascii="宋体" w:hAnsi="宋体" w:cs="宋体" w:eastAsia="宋体" w:hint="default"/>
        </w:rPr>
        <w:t>,</w:t>
      </w:r>
      <w:r>
        <w:rPr/>
        <w:t>工资薪酬支出增加等。</w:t>
      </w:r>
    </w:p>
    <w:p>
      <w:pPr>
        <w:pStyle w:val="BodyText"/>
        <w:spacing w:line="273" w:lineRule="auto" w:before="37"/>
        <w:ind w:right="0" w:firstLine="420"/>
        <w:jc w:val="left"/>
      </w:pPr>
      <w:r>
        <w:rPr>
          <w:spacing w:val="-2"/>
        </w:rPr>
        <w:t>（</w:t>
      </w:r>
      <w:r>
        <w:rPr>
          <w:rFonts w:ascii="宋体" w:hAnsi="宋体" w:cs="宋体" w:eastAsia="宋体" w:hint="default"/>
          <w:spacing w:val="-2"/>
        </w:rPr>
        <w:t>3</w:t>
      </w:r>
      <w:r>
        <w:rPr>
          <w:spacing w:val="-2"/>
        </w:rPr>
        <w:t>）报告期内，投资活动现金流入较去年同期大幅增加，主要原因：报告期内收购同信证券，购买</w:t>
      </w:r>
      <w:r>
        <w:rPr>
          <w:w w:val="100"/>
        </w:rPr>
        <w:t> </w:t>
      </w:r>
      <w:r>
        <w:rPr/>
        <w:t>日同信证券所持有现金并入，投资活动现金流入大幅增加。</w:t>
      </w:r>
    </w:p>
    <w:p>
      <w:pPr>
        <w:pStyle w:val="BodyText"/>
        <w:spacing w:line="273" w:lineRule="auto" w:before="7"/>
        <w:ind w:right="0" w:firstLine="420"/>
        <w:jc w:val="left"/>
      </w:pPr>
      <w:r>
        <w:rPr>
          <w:spacing w:val="-2"/>
        </w:rPr>
        <w:t>（</w:t>
      </w:r>
      <w:r>
        <w:rPr>
          <w:rFonts w:ascii="宋体" w:hAnsi="宋体" w:cs="宋体" w:eastAsia="宋体" w:hint="default"/>
          <w:spacing w:val="-2"/>
        </w:rPr>
        <w:t>4</w:t>
      </w:r>
      <w:r>
        <w:rPr>
          <w:spacing w:val="-2"/>
        </w:rPr>
        <w:t>）报告期内，投资活动现金流出较去年同期大幅增加，主要原因：公司固定资产投资增加及参股</w:t>
      </w:r>
      <w:r>
        <w:rPr>
          <w:w w:val="100"/>
        </w:rPr>
        <w:t> </w:t>
      </w:r>
      <w:r>
        <w:rPr/>
        <w:t>证通股份有限公司与中证信用增进股份有限公司</w:t>
      </w:r>
      <w:r>
        <w:rPr>
          <w:rFonts w:ascii="宋体" w:hAnsi="宋体" w:cs="宋体" w:eastAsia="宋体" w:hint="default"/>
        </w:rPr>
        <w:t>,</w:t>
      </w:r>
      <w:r>
        <w:rPr/>
        <w:t>增资入股上海漫道。</w:t>
      </w:r>
    </w:p>
    <w:p>
      <w:pPr>
        <w:pStyle w:val="BodyText"/>
        <w:spacing w:line="240" w:lineRule="auto" w:before="7"/>
        <w:ind w:left="573" w:right="0"/>
        <w:jc w:val="left"/>
      </w:pPr>
      <w:r>
        <w:rPr/>
        <w:t>（</w:t>
      </w:r>
      <w:r>
        <w:rPr>
          <w:rFonts w:ascii="宋体" w:hAnsi="宋体" w:cs="宋体" w:eastAsia="宋体" w:hint="default"/>
        </w:rPr>
        <w:t>5</w:t>
      </w:r>
      <w:r>
        <w:rPr/>
        <w:t>）报告期内，筹资活动现金流入较去年同期大幅增加，主要原因：收到股权激励行权款。</w:t>
      </w:r>
    </w:p>
    <w:p>
      <w:pPr>
        <w:pStyle w:val="BodyText"/>
        <w:spacing w:line="240" w:lineRule="auto" w:before="37"/>
        <w:ind w:left="573" w:right="0"/>
        <w:jc w:val="left"/>
      </w:pPr>
      <w:r>
        <w:rPr/>
        <w:t>（</w:t>
      </w:r>
      <w:r>
        <w:rPr>
          <w:rFonts w:ascii="宋体" w:hAnsi="宋体" w:cs="宋体" w:eastAsia="宋体" w:hint="default"/>
        </w:rPr>
        <w:t>6</w:t>
      </w:r>
      <w:r>
        <w:rPr/>
        <w:t>）报告期内，筹资活动现金流出较去年同期大幅增加，主要原因：报告期内现金分红同比增加。</w:t>
      </w:r>
    </w:p>
    <w:p>
      <w:pPr>
        <w:spacing w:line="240" w:lineRule="auto" w:before="0"/>
        <w:rPr>
          <w:rFonts w:ascii="宋体" w:hAnsi="宋体" w:cs="宋体" w:eastAsia="宋体" w:hint="default"/>
          <w:sz w:val="20"/>
          <w:szCs w:val="20"/>
        </w:rPr>
      </w:pPr>
    </w:p>
    <w:p>
      <w:pPr>
        <w:spacing w:before="1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0" w:firstLine="420"/>
        <w:jc w:val="left"/>
      </w:pPr>
      <w:r>
        <w:rPr>
          <w:spacing w:val="-2"/>
        </w:rPr>
        <w:t>报告期内公司经营活动产生的现金净流量与本年度净利润存在重大差异的原因是代理买卖证券支付</w:t>
      </w:r>
      <w:r>
        <w:rPr>
          <w:w w:val="100"/>
        </w:rPr>
        <w:t> </w:t>
      </w:r>
      <w:r>
        <w:rPr/>
        <w:t>的现金流出。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4"/>
        <w:spacing w:line="240" w:lineRule="auto"/>
        <w:ind w:right="0"/>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67"/>
        <w:gridCol w:w="761"/>
        <w:gridCol w:w="1508"/>
        <w:gridCol w:w="751"/>
        <w:gridCol w:w="797"/>
        <w:gridCol w:w="2919"/>
      </w:tblGrid>
      <w:tr>
        <w:trPr>
          <w:trHeight w:val="385" w:hRule="exact"/>
        </w:trPr>
        <w:tc>
          <w:tcPr>
            <w:tcW w:w="1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540" w:type="dxa"/>
            <w:vMerge w:val="restart"/>
            <w:tcBorders>
              <w:top w:val="nil" w:sz="6" w:space="0" w:color="auto"/>
              <w:left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105"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100" w:right="9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540" w:type="dxa"/>
            <w:vMerge/>
            <w:tcBorders>
              <w:left w:val="single" w:sz="4" w:space="0" w:color="000000"/>
              <w:bottom w:val="nil" w:sz="6" w:space="0" w:color="auto"/>
              <w:right w:val="single" w:sz="4" w:space="0" w:color="000000"/>
            </w:tcBorders>
            <w:shd w:val="clear" w:color="auto" w:fill="D2D2D2"/>
          </w:tcPr>
          <w:p>
            <w:pPr/>
          </w:p>
        </w:tc>
        <w:tc>
          <w:tcPr>
            <w:tcW w:w="14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540" w:type="dxa"/>
            <w:vMerge w:val="restart"/>
            <w:tcBorders>
              <w:top w:val="nil" w:sz="6" w:space="0" w:color="auto"/>
              <w:left w:val="single" w:sz="4" w:space="0" w:color="000000"/>
              <w:right w:val="single" w:sz="4" w:space="0" w:color="000000"/>
            </w:tcBorders>
            <w:shd w:val="clear" w:color="auto" w:fill="D2D2D2"/>
          </w:tcPr>
          <w:p>
            <w:pPr/>
          </w:p>
        </w:tc>
        <w:tc>
          <w:tcPr>
            <w:tcW w:w="1467"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1508"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40" w:type="dxa"/>
            <w:vMerge/>
            <w:tcBorders>
              <w:left w:val="single" w:sz="4" w:space="0" w:color="000000"/>
              <w:bottom w:val="single" w:sz="4" w:space="0" w:color="000000"/>
              <w:right w:val="single" w:sz="4" w:space="0" w:color="000000"/>
            </w:tcBorders>
            <w:shd w:val="clear" w:color="auto" w:fill="D2D2D2"/>
          </w:tcPr>
          <w:p>
            <w:pPr/>
          </w:p>
        </w:tc>
        <w:tc>
          <w:tcPr>
            <w:tcW w:w="14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12,248,736,007.30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51.61%</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4,028,492,765.76</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65.16%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-13.55%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主要由于报告期内同信证券纳入合 并范围，公司总资产大幅增加</w:t>
            </w:r>
          </w:p>
        </w:tc>
      </w:tr>
      <w:tr>
        <w:trPr>
          <w:trHeight w:val="394" w:hRule="exact"/>
        </w:trPr>
        <w:tc>
          <w:tcPr>
            <w:tcW w:w="15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7" w:type="dxa"/>
            <w:vMerge/>
            <w:tcBorders>
              <w:left w:val="single" w:sz="10"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1508"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7" w:type="dxa"/>
            <w:vMerge/>
            <w:tcBorders>
              <w:left w:val="single" w:sz="10"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1,451,449,900.30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1,556,989,021.19</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主要由于报告期内同信证券纳入合 并范围，公司总资产大幅增加</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2,932,170,828.21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4,731,868.08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主要由于报告期内完成同信证券收 购工作，增加商誉</w:t>
            </w: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1,359,969,072.99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5.73%</w:t>
            </w:r>
          </w:p>
        </w:tc>
        <w:tc>
          <w:tcPr>
            <w:tcW w:w="150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主要由于报告期内同信证券纳入合 并范围，增加了融出资金</w:t>
            </w:r>
          </w:p>
        </w:tc>
      </w:tr>
      <w:tr>
        <w:trPr>
          <w:trHeight w:val="1027"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8"/>
              <w:jc w:val="both"/>
              <w:rPr>
                <w:rFonts w:ascii="宋体" w:hAnsi="宋体" w:cs="宋体" w:eastAsia="宋体" w:hint="default"/>
                <w:sz w:val="18"/>
                <w:szCs w:val="18"/>
              </w:rPr>
            </w:pPr>
            <w:r>
              <w:rPr>
                <w:rFonts w:ascii="宋体" w:hAnsi="宋体" w:cs="宋体" w:eastAsia="宋体" w:hint="default"/>
                <w:spacing w:val="5"/>
                <w:sz w:val="18"/>
                <w:szCs w:val="18"/>
              </w:rPr>
              <w:t>以公允价值计量且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益的金融资产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1,967,549,345.37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w:t>
            </w:r>
          </w:p>
        </w:tc>
        <w:tc>
          <w:tcPr>
            <w:tcW w:w="1508"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主要由于报告期内同信证券纳入合 </w:t>
            </w:r>
            <w:r>
              <w:rPr>
                <w:rFonts w:ascii="宋体" w:hAnsi="宋体" w:cs="宋体" w:eastAsia="宋体" w:hint="default"/>
                <w:spacing w:val="-2"/>
                <w:sz w:val="18"/>
                <w:szCs w:val="18"/>
              </w:rPr>
              <w:t>并范围，增加了以公允价值计量且其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变动计入当期损益的金融资产</w:t>
            </w:r>
          </w:p>
        </w:tc>
      </w:tr>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11,897,234,271.83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50.13%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4,051,570,322.77</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11"/>
                <w:sz w:val="18"/>
                <w:szCs w:val="18"/>
              </w:rPr>
              <w:t>主要由于报告期内同信证券纳入合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并范围，公司总资产大幅增加</w:t>
            </w:r>
          </w:p>
        </w:tc>
      </w:tr>
    </w:tbl>
    <w:p>
      <w:pPr>
        <w:spacing w:after="0" w:line="316" w:lineRule="auto"/>
        <w:jc w:val="left"/>
        <w:rPr>
          <w:rFonts w:ascii="宋体" w:hAnsi="宋体" w:cs="宋体" w:eastAsia="宋体" w:hint="default"/>
          <w:sz w:val="18"/>
          <w:szCs w:val="18"/>
        </w:rPr>
        <w:sectPr>
          <w:pgSz w:w="11910" w:h="16840"/>
          <w:pgMar w:header="852" w:footer="979" w:top="1300" w:bottom="1160" w:left="980" w:right="900"/>
        </w:sectPr>
      </w:pPr>
    </w:p>
    <w:p>
      <w:pPr>
        <w:pStyle w:val="Heading5"/>
        <w:spacing w:line="240" w:lineRule="auto" w:before="108"/>
        <w:ind w:left="872"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8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8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760" w:type="dxa"/>
        <w:tblLayout w:type="fixed"/>
        <w:tblCellMar>
          <w:top w:w="0" w:type="dxa"/>
          <w:left w:w="0" w:type="dxa"/>
          <w:bottom w:w="0" w:type="dxa"/>
          <w:right w:w="0" w:type="dxa"/>
        </w:tblCellMar>
        <w:tblLook w:val="01E0"/>
      </w:tblPr>
      <w:tblGrid>
        <w:gridCol w:w="1541"/>
        <w:gridCol w:w="1085"/>
        <w:gridCol w:w="1085"/>
        <w:gridCol w:w="895"/>
        <w:gridCol w:w="1275"/>
        <w:gridCol w:w="1351"/>
        <w:gridCol w:w="1349"/>
        <w:gridCol w:w="1275"/>
      </w:tblGrid>
      <w:tr>
        <w:trPr>
          <w:trHeight w:val="1570"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5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77" w:right="175"/>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72" w:right="170"/>
              <w:jc w:val="both"/>
              <w:rPr>
                <w:rFonts w:ascii="宋体" w:hAnsi="宋体" w:cs="宋体" w:eastAsia="宋体" w:hint="default"/>
                <w:sz w:val="18"/>
                <w:szCs w:val="18"/>
              </w:rPr>
            </w:pPr>
            <w:r>
              <w:rPr>
                <w:rFonts w:ascii="宋体" w:hAnsi="宋体" w:cs="宋体" w:eastAsia="宋体" w:hint="default"/>
                <w:sz w:val="18"/>
                <w:szCs w:val="18"/>
              </w:rPr>
              <w:t>本期计 入权益 的累计 公允价 值变动</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64" w:right="358"/>
              <w:jc w:val="left"/>
              <w:rPr>
                <w:rFonts w:ascii="宋体" w:hAnsi="宋体" w:cs="宋体" w:eastAsia="宋体" w:hint="default"/>
                <w:sz w:val="18"/>
                <w:szCs w:val="18"/>
              </w:rPr>
            </w:pPr>
            <w:r>
              <w:rPr>
                <w:rFonts w:ascii="宋体" w:hAnsi="宋体" w:cs="宋体" w:eastAsia="宋体" w:hint="default"/>
                <w:sz w:val="18"/>
                <w:szCs w:val="18"/>
              </w:rPr>
              <w:t>本期合 并增加</w:t>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98" w:right="401"/>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1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98" w:right="398"/>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16" w:type="dxa"/>
            <w:gridSpan w:val="7"/>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8"/>
              <w:ind w:left="103"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15"/>
                <w:sz w:val="18"/>
                <w:szCs w:val="18"/>
              </w:rPr>
              <w:t>以公允价值计</w:t>
            </w:r>
            <w:r>
              <w:rPr>
                <w:rFonts w:ascii="宋体" w:hAnsi="宋体" w:cs="宋体" w:eastAsia="宋体" w:hint="default"/>
                <w:sz w:val="18"/>
                <w:szCs w:val="18"/>
              </w:rPr>
              <w:t> </w:t>
            </w:r>
            <w:r>
              <w:rPr>
                <w:rFonts w:ascii="宋体" w:hAnsi="宋体" w:cs="宋体" w:eastAsia="宋体" w:hint="default"/>
                <w:spacing w:val="8"/>
                <w:sz w:val="18"/>
                <w:szCs w:val="18"/>
              </w:rPr>
              <w:t>量且其变动计入</w:t>
            </w:r>
            <w:r>
              <w:rPr>
                <w:rFonts w:ascii="宋体" w:hAnsi="宋体" w:cs="宋体" w:eastAsia="宋体" w:hint="default"/>
                <w:sz w:val="18"/>
                <w:szCs w:val="18"/>
              </w:rPr>
              <w:t> </w:t>
            </w:r>
            <w:r>
              <w:rPr>
                <w:rFonts w:ascii="宋体" w:hAnsi="宋体" w:cs="宋体" w:eastAsia="宋体" w:hint="default"/>
                <w:spacing w:val="8"/>
                <w:sz w:val="18"/>
                <w:szCs w:val="18"/>
              </w:rPr>
              <w:t>当期损益的金融</w:t>
            </w:r>
            <w:r>
              <w:rPr>
                <w:rFonts w:ascii="宋体" w:hAnsi="宋体" w:cs="宋体" w:eastAsia="宋体" w:hint="default"/>
                <w:sz w:val="18"/>
                <w:szCs w:val="18"/>
              </w:rPr>
              <w:t> </w:t>
            </w:r>
            <w:r>
              <w:rPr>
                <w:rFonts w:ascii="宋体" w:hAnsi="宋体" w:cs="宋体" w:eastAsia="宋体" w:hint="default"/>
                <w:spacing w:val="8"/>
                <w:sz w:val="18"/>
                <w:szCs w:val="18"/>
              </w:rPr>
              <w:t>资产（不包含衍</w:t>
            </w:r>
            <w:r>
              <w:rPr>
                <w:rFonts w:ascii="宋体" w:hAnsi="宋体" w:cs="宋体" w:eastAsia="宋体" w:hint="default"/>
                <w:sz w:val="18"/>
                <w:szCs w:val="18"/>
              </w:rPr>
              <w:t> 生金融资产）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27,532,397.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85</w:t>
            </w:r>
          </w:p>
        </w:tc>
        <w:tc>
          <w:tcPr>
            <w:tcW w:w="8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1,649,459,535</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15,309,496,148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15,018,938,736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1,967,549,345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.37</w:t>
            </w:r>
          </w:p>
        </w:tc>
      </w:tr>
      <w:tr>
        <w:trPr>
          <w:trHeight w:val="324"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0" w:right="0"/>
              <w:jc w:val="left"/>
              <w:rPr>
                <w:rFonts w:ascii="Times New Roman" w:hAnsi="Times New Roman" w:cs="Times New Roman" w:eastAsia="Times New Roman" w:hint="default"/>
                <w:sz w:val="18"/>
                <w:szCs w:val="18"/>
              </w:rPr>
            </w:pPr>
            <w:r>
              <w:rPr>
                <w:rFonts w:ascii="Times New Roman"/>
                <w:sz w:val="18"/>
              </w:rPr>
              <w:t>737,719.51</w:t>
            </w:r>
          </w:p>
        </w:tc>
        <w:tc>
          <w:tcPr>
            <w:tcW w:w="8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3,126,497.30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3,864,216.81</w:t>
            </w:r>
          </w:p>
        </w:tc>
      </w:tr>
      <w:tr>
        <w:trPr>
          <w:trHeight w:val="634"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8"/>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pacing w:val="15"/>
                <w:sz w:val="18"/>
                <w:szCs w:val="18"/>
              </w:rPr>
              <w:t>可供出售金融</w:t>
            </w:r>
            <w:r>
              <w:rPr>
                <w:rFonts w:ascii="宋体" w:hAnsi="宋体" w:cs="宋体" w:eastAsia="宋体" w:hint="default"/>
                <w:sz w:val="18"/>
                <w:szCs w:val="18"/>
              </w:rPr>
              <w:t> 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88,200,000.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8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520,009.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15,896,125.70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30,000,000.00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118,200,000.00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16,416,135.18</w:t>
            </w:r>
          </w:p>
        </w:tc>
      </w:tr>
      <w:tr>
        <w:trPr>
          <w:trHeight w:val="634"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88,200,000.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28,270,117.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520,009.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1,668,482,158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15,339,496,148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15,137,138,736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1,987,829,697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.36</w:t>
            </w:r>
          </w:p>
        </w:tc>
      </w:tr>
      <w:tr>
        <w:trPr>
          <w:trHeight w:val="634"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88,200,000.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28,270,117.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36</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520,009.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1,668,482,158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.57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15,339,496,148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15,137,138,736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1,987,829,697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.36</w:t>
            </w:r>
          </w:p>
        </w:tc>
      </w:tr>
      <w:tr>
        <w:trPr>
          <w:trHeight w:val="322"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8316" w:type="dxa"/>
            <w:gridSpan w:val="7"/>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衍生金融负债</w:t>
            </w:r>
          </w:p>
        </w:tc>
        <w:tc>
          <w:tcPr>
            <w:tcW w:w="108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-5,914,271.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10</w:t>
            </w:r>
          </w:p>
        </w:tc>
        <w:tc>
          <w:tcPr>
            <w:tcW w:w="89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17,415,543.05</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23,329,814.15</w:t>
            </w:r>
          </w:p>
        </w:tc>
      </w:tr>
    </w:tbl>
    <w:p>
      <w:pPr>
        <w:spacing w:before="49"/>
        <w:ind w:left="87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8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4"/>
        <w:spacing w:line="240" w:lineRule="auto"/>
        <w:ind w:left="872"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872"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8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86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5,203,130,000.00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77,996,100.00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6,571.01%</w:t>
            </w:r>
          </w:p>
        </w:tc>
      </w:tr>
    </w:tbl>
    <w:p>
      <w:pPr>
        <w:spacing w:line="240" w:lineRule="auto" w:before="3"/>
        <w:rPr>
          <w:rFonts w:ascii="宋体" w:hAnsi="宋体" w:cs="宋体" w:eastAsia="宋体" w:hint="default"/>
          <w:sz w:val="19"/>
          <w:szCs w:val="19"/>
        </w:rPr>
      </w:pPr>
    </w:p>
    <w:p>
      <w:pPr>
        <w:pStyle w:val="Heading5"/>
        <w:spacing w:line="240" w:lineRule="auto" w:before="36"/>
        <w:ind w:left="872"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spacing w:before="44"/>
        <w:ind w:left="8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8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851"/>
        <w:gridCol w:w="1637"/>
        <w:gridCol w:w="425"/>
        <w:gridCol w:w="1371"/>
        <w:gridCol w:w="732"/>
        <w:gridCol w:w="449"/>
        <w:gridCol w:w="759"/>
        <w:gridCol w:w="598"/>
        <w:gridCol w:w="850"/>
        <w:gridCol w:w="569"/>
        <w:gridCol w:w="641"/>
        <w:gridCol w:w="646"/>
        <w:gridCol w:w="838"/>
        <w:gridCol w:w="785"/>
      </w:tblGrid>
      <w:tr>
        <w:trPr>
          <w:trHeight w:val="74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52" w:right="56" w:hanging="89"/>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8" w:right="2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182" w:right="17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40" w:right="3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112" w:right="113"/>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8" w:right="9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47" w:right="4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4"/>
              <w:ind w:left="139" w:right="13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5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3"/>
              <w:ind w:left="28" w:right="24" w:firstLine="180"/>
              <w:jc w:val="left"/>
              <w:rPr>
                <w:rFonts w:ascii="宋体" w:hAnsi="宋体" w:cs="宋体" w:eastAsia="宋体" w:hint="default"/>
                <w:sz w:val="18"/>
                <w:szCs w:val="18"/>
              </w:rPr>
            </w:pPr>
            <w:r>
              <w:rPr>
                <w:rFonts w:ascii="宋体" w:hAnsi="宋体" w:cs="宋体" w:eastAsia="宋体" w:hint="default"/>
                <w:sz w:val="18"/>
                <w:szCs w:val="18"/>
              </w:rPr>
              <w:t>披露 索引（如</w:t>
            </w:r>
          </w:p>
        </w:tc>
      </w:tr>
    </w:tbl>
    <w:p>
      <w:pPr>
        <w:spacing w:after="0" w:line="357" w:lineRule="auto"/>
        <w:jc w:val="left"/>
        <w:rPr>
          <w:rFonts w:ascii="宋体" w:hAnsi="宋体" w:cs="宋体" w:eastAsia="宋体" w:hint="default"/>
          <w:sz w:val="18"/>
          <w:szCs w:val="18"/>
        </w:rPr>
        <w:sectPr>
          <w:pgSz w:w="11910" w:h="16840"/>
          <w:pgMar w:header="852" w:footer="979" w:top="1300" w:bottom="1160" w:left="260" w:right="260"/>
        </w:sectPr>
      </w:pPr>
    </w:p>
    <w:p>
      <w:pPr>
        <w:spacing w:line="240" w:lineRule="auto" w:before="3"/>
        <w:rPr>
          <w:rFonts w:ascii="宋体" w:hAnsi="宋体" w:cs="宋体" w:eastAsia="宋体" w:hint="default"/>
          <w:sz w:val="9"/>
          <w:szCs w:val="9"/>
        </w:rPr>
      </w:pPr>
    </w:p>
    <w:tbl>
      <w:tblPr>
        <w:tblW w:w="0" w:type="auto"/>
        <w:jc w:val="left"/>
        <w:tblInd w:w="111" w:type="dxa"/>
        <w:tblLayout w:type="fixed"/>
        <w:tblCellMar>
          <w:top w:w="0" w:type="dxa"/>
          <w:left w:w="0" w:type="dxa"/>
          <w:bottom w:w="0" w:type="dxa"/>
          <w:right w:w="0" w:type="dxa"/>
        </w:tblCellMar>
        <w:tblLook w:val="01E0"/>
      </w:tblPr>
      <w:tblGrid>
        <w:gridCol w:w="852"/>
        <w:gridCol w:w="1637"/>
        <w:gridCol w:w="425"/>
        <w:gridCol w:w="1371"/>
        <w:gridCol w:w="732"/>
        <w:gridCol w:w="449"/>
        <w:gridCol w:w="759"/>
        <w:gridCol w:w="598"/>
        <w:gridCol w:w="850"/>
        <w:gridCol w:w="569"/>
        <w:gridCol w:w="641"/>
        <w:gridCol w:w="646"/>
        <w:gridCol w:w="838"/>
        <w:gridCol w:w="785"/>
      </w:tblGrid>
      <w:tr>
        <w:trPr>
          <w:trHeight w:val="36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有）</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西藏同信 证券股份 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收购</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4,404,630,000.00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发行 股份</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33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上海漫道 金融信息 服务股份 有限公司</w:t>
            </w:r>
          </w:p>
        </w:tc>
        <w:tc>
          <w:tcPr>
            <w:tcW w:w="1637"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6" w:right="-27"/>
              <w:jc w:val="left"/>
              <w:rPr>
                <w:rFonts w:ascii="宋体" w:hAnsi="宋体" w:cs="宋体" w:eastAsia="宋体" w:hint="default"/>
                <w:sz w:val="18"/>
                <w:szCs w:val="18"/>
              </w:rPr>
            </w:pPr>
            <w:r>
              <w:rPr>
                <w:rFonts w:ascii="宋体" w:hAnsi="宋体" w:cs="宋体" w:eastAsia="宋体" w:hint="default"/>
                <w:sz w:val="18"/>
                <w:szCs w:val="18"/>
              </w:rPr>
              <w:t>计算机软硬件的技 术开发、技术转让、 技术咨询、技术服 </w:t>
            </w:r>
            <w:r>
              <w:rPr>
                <w:rFonts w:ascii="宋体" w:hAnsi="宋体" w:cs="宋体" w:eastAsia="宋体" w:hint="default"/>
                <w:spacing w:val="-5"/>
                <w:sz w:val="18"/>
                <w:szCs w:val="18"/>
              </w:rPr>
              <w:t>务，计算机系统集成</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增资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16,256,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761.83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64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6" w:right="94"/>
              <w:jc w:val="both"/>
              <w:rPr>
                <w:rFonts w:ascii="宋体" w:hAnsi="宋体" w:cs="宋体" w:eastAsia="宋体" w:hint="default"/>
                <w:sz w:val="18"/>
                <w:szCs w:val="18"/>
              </w:rPr>
            </w:pPr>
            <w:r>
              <w:rPr>
                <w:rFonts w:ascii="宋体" w:hAnsi="宋体" w:cs="宋体" w:eastAsia="宋体" w:hint="default"/>
                <w:sz w:val="18"/>
                <w:szCs w:val="18"/>
              </w:rPr>
              <w:t>上海微兆 信息科技 有限公司</w:t>
            </w:r>
          </w:p>
        </w:tc>
        <w:tc>
          <w:tcPr>
            <w:tcW w:w="1637"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7"/>
              <w:jc w:val="left"/>
              <w:rPr>
                <w:rFonts w:ascii="宋体" w:hAnsi="宋体" w:cs="宋体" w:eastAsia="宋体" w:hint="default"/>
                <w:sz w:val="18"/>
                <w:szCs w:val="18"/>
              </w:rPr>
            </w:pPr>
            <w:r>
              <w:rPr>
                <w:rFonts w:ascii="宋体" w:hAnsi="宋体" w:cs="宋体" w:eastAsia="宋体" w:hint="default"/>
                <w:sz w:val="18"/>
                <w:szCs w:val="18"/>
              </w:rPr>
              <w:t>从事计算机技术领 </w:t>
            </w:r>
            <w:r>
              <w:rPr>
                <w:rFonts w:ascii="宋体" w:hAnsi="宋体" w:cs="宋体" w:eastAsia="宋体" w:hint="default"/>
                <w:spacing w:val="-5"/>
                <w:sz w:val="18"/>
                <w:szCs w:val="18"/>
              </w:rPr>
              <w:t>域内的技术开发、技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术转让、技术咨询、 技术服务</w:t>
            </w:r>
          </w:p>
        </w:tc>
        <w:tc>
          <w:tcPr>
            <w:tcW w:w="42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新设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hanging="1"/>
              <w:jc w:val="center"/>
              <w:rPr>
                <w:rFonts w:ascii="宋体" w:hAnsi="宋体" w:cs="宋体" w:eastAsia="宋体" w:hint="default"/>
                <w:sz w:val="18"/>
                <w:szCs w:val="18"/>
              </w:rPr>
            </w:pPr>
            <w:r>
              <w:rPr>
                <w:rFonts w:ascii="宋体" w:hAnsi="宋体" w:cs="宋体" w:eastAsia="宋体" w:hint="default"/>
                <w:sz w:val="18"/>
                <w:szCs w:val="18"/>
              </w:rPr>
              <w:t>上海胜 衍投资 管理中 </w:t>
            </w:r>
            <w:r>
              <w:rPr>
                <w:rFonts w:ascii="宋体" w:hAnsi="宋体" w:cs="宋体" w:eastAsia="宋体" w:hint="default"/>
                <w:spacing w:val="-5"/>
                <w:sz w:val="18"/>
                <w:szCs w:val="18"/>
              </w:rPr>
              <w:t>心（有限</w:t>
            </w:r>
            <w:r>
              <w:rPr>
                <w:rFonts w:ascii="宋体" w:hAnsi="宋体" w:cs="宋体" w:eastAsia="宋体" w:hint="default"/>
                <w:sz w:val="18"/>
                <w:szCs w:val="18"/>
              </w:rPr>
              <w:t> 合伙）</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65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94"/>
              <w:jc w:val="both"/>
              <w:rPr>
                <w:rFonts w:ascii="宋体" w:hAnsi="宋体" w:cs="宋体" w:eastAsia="宋体" w:hint="default"/>
                <w:sz w:val="18"/>
                <w:szCs w:val="18"/>
              </w:rPr>
            </w:pPr>
            <w:r>
              <w:rPr>
                <w:rFonts w:ascii="宋体" w:hAnsi="宋体" w:cs="宋体" w:eastAsia="宋体" w:hint="default"/>
                <w:sz w:val="18"/>
                <w:szCs w:val="18"/>
              </w:rPr>
              <w:t>扬州东方 财富金融 信息服务 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接受金融机构委托 从事金融信息技术 </w:t>
            </w:r>
            <w:r>
              <w:rPr>
                <w:rFonts w:ascii="宋体" w:hAnsi="宋体" w:cs="宋体" w:eastAsia="宋体" w:hint="default"/>
                <w:spacing w:val="-5"/>
                <w:sz w:val="18"/>
                <w:szCs w:val="18"/>
              </w:rPr>
              <w:t>外包、金融业务流程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外包、金融知识流程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外包</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新设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02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94"/>
              <w:jc w:val="left"/>
              <w:rPr>
                <w:rFonts w:ascii="宋体" w:hAnsi="宋体" w:cs="宋体" w:eastAsia="宋体" w:hint="default"/>
                <w:sz w:val="18"/>
                <w:szCs w:val="18"/>
              </w:rPr>
            </w:pPr>
            <w:r>
              <w:rPr>
                <w:rFonts w:ascii="宋体" w:hAnsi="宋体" w:cs="宋体" w:eastAsia="宋体" w:hint="default"/>
                <w:sz w:val="18"/>
                <w:szCs w:val="18"/>
              </w:rPr>
              <w:t>基金管理 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基金募集、基金销 </w:t>
            </w:r>
            <w:r>
              <w:rPr>
                <w:rFonts w:ascii="宋体" w:hAnsi="宋体" w:cs="宋体" w:eastAsia="宋体" w:hint="default"/>
                <w:spacing w:val="-5"/>
                <w:sz w:val="18"/>
                <w:szCs w:val="18"/>
              </w:rPr>
              <w:t>售、资产管理和中国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证监会许可的其他</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新设</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超募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0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上海天天 基金销售 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基金销售</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
              <w:jc w:val="center"/>
              <w:rPr>
                <w:rFonts w:ascii="宋体" w:hAnsi="宋体" w:cs="宋体" w:eastAsia="宋体" w:hint="default"/>
                <w:sz w:val="18"/>
                <w:szCs w:val="18"/>
              </w:rPr>
            </w:pPr>
            <w:r>
              <w:rPr>
                <w:rFonts w:ascii="宋体" w:hAnsi="宋体" w:cs="宋体" w:eastAsia="宋体" w:hint="default"/>
                <w:sz w:val="18"/>
                <w:szCs w:val="18"/>
              </w:rPr>
              <w:t>增资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超募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上海东方 财富证券 研究所有 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证券投资咨询</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增资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3"/>
              <w:jc w:val="left"/>
              <w:rPr>
                <w:rFonts w:ascii="宋体" w:hAnsi="宋体" w:cs="宋体" w:eastAsia="宋体" w:hint="default"/>
                <w:sz w:val="18"/>
                <w:szCs w:val="18"/>
              </w:rPr>
            </w:pPr>
            <w:r>
              <w:rPr>
                <w:rFonts w:ascii="宋体" w:hAnsi="宋体" w:cs="宋体" w:eastAsia="宋体" w:hint="default"/>
                <w:sz w:val="18"/>
                <w:szCs w:val="18"/>
              </w:rPr>
              <w:t>超募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0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both"/>
              <w:rPr>
                <w:rFonts w:ascii="宋体" w:hAnsi="宋体" w:cs="宋体" w:eastAsia="宋体" w:hint="default"/>
                <w:sz w:val="18"/>
                <w:szCs w:val="18"/>
              </w:rPr>
            </w:pPr>
            <w:r>
              <w:rPr>
                <w:rFonts w:ascii="宋体" w:hAnsi="宋体" w:cs="宋体" w:eastAsia="宋体" w:hint="default"/>
                <w:sz w:val="18"/>
                <w:szCs w:val="18"/>
              </w:rPr>
              <w:t>中证信用 增进股份 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各类信用主体及债 </w:t>
            </w:r>
            <w:r>
              <w:rPr>
                <w:rFonts w:ascii="宋体" w:hAnsi="宋体" w:cs="宋体" w:eastAsia="宋体" w:hint="default"/>
                <w:spacing w:val="-5"/>
                <w:sz w:val="18"/>
                <w:szCs w:val="18"/>
              </w:rPr>
              <w:t>项产品信用增进；征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信业务和信用评级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33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94"/>
              <w:jc w:val="left"/>
              <w:rPr>
                <w:rFonts w:ascii="宋体" w:hAnsi="宋体" w:cs="宋体" w:eastAsia="宋体" w:hint="default"/>
                <w:sz w:val="18"/>
                <w:szCs w:val="18"/>
              </w:rPr>
            </w:pPr>
            <w:r>
              <w:rPr>
                <w:rFonts w:ascii="宋体" w:hAnsi="宋体" w:cs="宋体" w:eastAsia="宋体" w:hint="default"/>
                <w:sz w:val="18"/>
                <w:szCs w:val="18"/>
              </w:rPr>
              <w:t>证通股份 有限公司</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证券行业联网互通 </w:t>
            </w:r>
            <w:r>
              <w:rPr>
                <w:rFonts w:ascii="宋体" w:hAnsi="宋体" w:cs="宋体" w:eastAsia="宋体" w:hint="default"/>
                <w:spacing w:val="-5"/>
                <w:sz w:val="18"/>
                <w:szCs w:val="18"/>
              </w:rPr>
              <w:t>平台建设，金融信息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服务，电子商务，投</w:t>
            </w:r>
            <w:r>
              <w:rPr>
                <w:rFonts w:ascii="宋体" w:hAnsi="宋体" w:cs="宋体" w:eastAsia="宋体" w:hint="default"/>
                <w:sz w:val="18"/>
                <w:szCs w:val="18"/>
              </w:rPr>
              <w:t> 资与资产管理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增资</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5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4" w:right="58"/>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5,203,130,000.00</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16,256,</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761.83</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left="872"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2"/>
        <w:rPr>
          <w:rFonts w:ascii="宋体" w:hAnsi="宋体" w:cs="宋体" w:eastAsia="宋体" w:hint="default"/>
          <w:b/>
          <w:bCs/>
          <w:sz w:val="26"/>
          <w:szCs w:val="26"/>
        </w:rPr>
      </w:pPr>
    </w:p>
    <w:p>
      <w:pPr>
        <w:spacing w:before="0"/>
        <w:ind w:left="8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260" w:right="260"/>
        </w:sectPr>
      </w:pPr>
    </w:p>
    <w:p>
      <w:pPr>
        <w:pStyle w:val="Heading5"/>
        <w:spacing w:line="240" w:lineRule="auto" w:before="108"/>
        <w:ind w:left="532"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spacing w:before="44"/>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5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852"/>
        <w:gridCol w:w="1351"/>
        <w:gridCol w:w="1201"/>
        <w:gridCol w:w="994"/>
        <w:gridCol w:w="1416"/>
        <w:gridCol w:w="1418"/>
        <w:gridCol w:w="1133"/>
        <w:gridCol w:w="1334"/>
        <w:gridCol w:w="792"/>
      </w:tblGrid>
      <w:tr>
        <w:trPr>
          <w:trHeight w:val="1106"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60" w:lineRule="auto"/>
              <w:ind w:left="146" w:right="14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40" w:right="41" w:firstLine="91"/>
              <w:jc w:val="both"/>
              <w:rPr>
                <w:rFonts w:ascii="宋体" w:hAnsi="宋体" w:cs="宋体" w:eastAsia="宋体" w:hint="default"/>
                <w:sz w:val="18"/>
                <w:szCs w:val="18"/>
              </w:rPr>
            </w:pPr>
            <w:r>
              <w:rPr>
                <w:rFonts w:ascii="宋体" w:hAnsi="宋体" w:cs="宋体" w:eastAsia="宋体" w:hint="default"/>
                <w:sz w:val="18"/>
                <w:szCs w:val="18"/>
              </w:rPr>
              <w:t>计入权益 的累计公 允价值变动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60" w:lineRule="auto"/>
              <w:ind w:left="343" w:right="341"/>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60" w:lineRule="auto"/>
              <w:ind w:left="345" w:right="341"/>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360" w:lineRule="auto"/>
              <w:ind w:left="381" w:right="200" w:hanging="180"/>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983,673,649.69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-6,352,150.31</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12,432,870,538.41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12,546,383,442.30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17,667,916.86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996,542,327.70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9,654,656.35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670,665.80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-1,682,955.14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15,336,239.60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436,362,604.13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27,245,260.38</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29,501,010.00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21,117,294.16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-4,164,198.01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442,437,850.13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531,375,175.00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5,968,621.98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-583,864.82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2,877,124,600.00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2,569,638,000.00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12,184,319.90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529,649,063.12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74"/>
              <w:jc w:val="left"/>
              <w:rPr>
                <w:rFonts w:ascii="宋体" w:hAnsi="宋体" w:cs="宋体" w:eastAsia="宋体" w:hint="default"/>
                <w:sz w:val="18"/>
                <w:szCs w:val="18"/>
              </w:rPr>
            </w:pPr>
            <w:r>
              <w:rPr>
                <w:rFonts w:ascii="宋体" w:hAnsi="宋体" w:cs="宋体" w:eastAsia="宋体" w:hint="default"/>
                <w:sz w:val="18"/>
                <w:szCs w:val="18"/>
              </w:rPr>
              <w:t>金融衍 生工具</w:t>
            </w:r>
          </w:p>
        </w:tc>
        <w:tc>
          <w:tcPr>
            <w:tcW w:w="135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737,719.51</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49,158.12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3,864,216.81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1,961,066,085.17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28,270,117.36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-583,864.82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15,339,496,148.41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15,137,138,736.46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24,054,241.73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1,987,829,697.36</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5"/>
        <w:spacing w:line="240" w:lineRule="auto" w:before="36"/>
        <w:ind w:left="532"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left="532"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5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567"/>
        <w:gridCol w:w="710"/>
        <w:gridCol w:w="991"/>
        <w:gridCol w:w="853"/>
        <w:gridCol w:w="991"/>
        <w:gridCol w:w="852"/>
        <w:gridCol w:w="850"/>
        <w:gridCol w:w="991"/>
        <w:gridCol w:w="853"/>
        <w:gridCol w:w="1039"/>
        <w:gridCol w:w="869"/>
      </w:tblGrid>
      <w:tr>
        <w:trPr>
          <w:trHeight w:val="1337"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8" w:right="96"/>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9" w:right="79"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00" w:right="38" w:hanging="360"/>
              <w:jc w:val="left"/>
              <w:rPr>
                <w:rFonts w:ascii="宋体" w:hAnsi="宋体" w:cs="宋体" w:eastAsia="宋体" w:hint="default"/>
                <w:sz w:val="18"/>
                <w:szCs w:val="18"/>
              </w:rPr>
            </w:pPr>
            <w:r>
              <w:rPr>
                <w:rFonts w:ascii="宋体" w:hAnsi="宋体" w:cs="宋体" w:eastAsia="宋体" w:hint="default"/>
                <w:sz w:val="18"/>
                <w:szCs w:val="18"/>
              </w:rPr>
              <w:t>募集资金总 额</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62"/>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60"/>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62"/>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5" w:hRule="exact"/>
        </w:trPr>
        <w:tc>
          <w:tcPr>
            <w:tcW w:w="567"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10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成立基金管</w:t>
            </w:r>
          </w:p>
        </w:tc>
        <w:tc>
          <w:tcPr>
            <w:tcW w:w="86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2010</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34"/>
              <w:jc w:val="left"/>
              <w:rPr>
                <w:rFonts w:ascii="宋体" w:hAnsi="宋体" w:cs="宋体" w:eastAsia="宋体" w:hint="default"/>
                <w:sz w:val="18"/>
                <w:szCs w:val="18"/>
              </w:rPr>
            </w:pPr>
            <w:r>
              <w:rPr>
                <w:rFonts w:ascii="宋体" w:hAnsi="宋体" w:cs="宋体" w:eastAsia="宋体" w:hint="default"/>
                <w:sz w:val="18"/>
                <w:szCs w:val="18"/>
              </w:rPr>
              <w:t>首次公 开发行</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130,455.45</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81,935.03</w:t>
            </w: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35.43%</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48,520.42</w:t>
            </w:r>
          </w:p>
        </w:tc>
        <w:tc>
          <w:tcPr>
            <w:tcW w:w="103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3"/>
              <w:jc w:val="left"/>
              <w:rPr>
                <w:rFonts w:ascii="宋体" w:hAnsi="宋体" w:cs="宋体" w:eastAsia="宋体" w:hint="default"/>
                <w:sz w:val="18"/>
                <w:szCs w:val="18"/>
              </w:rPr>
            </w:pPr>
            <w:r>
              <w:rPr>
                <w:rFonts w:ascii="宋体" w:hAnsi="宋体" w:cs="宋体" w:eastAsia="宋体" w:hint="default"/>
                <w:sz w:val="18"/>
                <w:szCs w:val="18"/>
              </w:rPr>
              <w:t>理公司及进 行现金管理</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48,520.42</w:t>
            </w:r>
          </w:p>
        </w:tc>
      </w:tr>
      <w:tr>
        <w:trPr>
          <w:trHeight w:val="360" w:hRule="exact"/>
        </w:trPr>
        <w:tc>
          <w:tcPr>
            <w:tcW w:w="567"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10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869"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130,455.45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81,935.03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35.43%</w:t>
            </w:r>
          </w:p>
        </w:tc>
        <w:tc>
          <w:tcPr>
            <w:tcW w:w="853"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48,520.42</w:t>
            </w:r>
          </w:p>
        </w:tc>
        <w:tc>
          <w:tcPr>
            <w:tcW w:w="1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48,520.42</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left="532"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5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52" w:footer="979" w:top="1300" w:bottom="1160" w:left="600" w:right="580"/>
        </w:sectPr>
      </w:pPr>
    </w:p>
    <w:p>
      <w:pPr>
        <w:spacing w:line="240" w:lineRule="auto" w:before="6"/>
        <w:rPr>
          <w:rFonts w:ascii="Times New Roman" w:hAnsi="Times New Roman" w:cs="Times New Roman" w:eastAsia="Times New Roman"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796"/>
        <w:gridCol w:w="739"/>
        <w:gridCol w:w="898"/>
        <w:gridCol w:w="794"/>
        <w:gridCol w:w="715"/>
        <w:gridCol w:w="821"/>
        <w:gridCol w:w="127"/>
        <w:gridCol w:w="718"/>
        <w:gridCol w:w="718"/>
        <w:gridCol w:w="793"/>
        <w:gridCol w:w="794"/>
        <w:gridCol w:w="718"/>
        <w:gridCol w:w="712"/>
      </w:tblGrid>
      <w:tr>
        <w:trPr>
          <w:trHeight w:val="1649"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533" w:right="81"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2" w:lineRule="auto"/>
              <w:ind w:left="64" w:right="62"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3" w:right="8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54"/>
              <w:ind w:left="31"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7"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69" w:right="65"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4"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1"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33" w:right="2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84"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4" w:right="7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1034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大型网络在线平台 系统升级项目</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11,739.56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11,739.56</w:t>
            </w:r>
          </w:p>
        </w:tc>
        <w:tc>
          <w:tcPr>
            <w:tcW w:w="715" w:type="dxa"/>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11,726.9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在线金融数据服务 系统升级项目</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13,676.79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13,676.79</w:t>
            </w:r>
          </w:p>
        </w:tc>
        <w:tc>
          <w:tcPr>
            <w:tcW w:w="715" w:type="dxa"/>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13,639.71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24,903.54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68,601.25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基于手机端的财经 信息服务系统项目</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4,571.89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4,571.89</w:t>
            </w:r>
          </w:p>
        </w:tc>
        <w:tc>
          <w:tcPr>
            <w:tcW w:w="715" w:type="dxa"/>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4,568.42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02"/>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29,988.24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29,988.24</w:t>
            </w:r>
          </w:p>
        </w:tc>
        <w:tc>
          <w:tcPr>
            <w:tcW w:w="715" w:type="dxa"/>
            <w:tcBorders>
              <w:top w:val="single" w:sz="4" w:space="0" w:color="000000"/>
              <w:left w:val="single" w:sz="4" w:space="0" w:color="000000"/>
              <w:bottom w:val="single" w:sz="4" w:space="0" w:color="000000"/>
              <w:right w:val="single" w:sz="4" w:space="0" w:color="000000"/>
            </w:tcBorders>
          </w:tcPr>
          <w:p>
            <w:pPr/>
          </w:p>
        </w:tc>
        <w:tc>
          <w:tcPr>
            <w:tcW w:w="948" w:type="dxa"/>
            <w:gridSpan w:val="2"/>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194" w:right="0"/>
              <w:jc w:val="left"/>
              <w:rPr>
                <w:rFonts w:ascii="Times New Roman" w:hAnsi="Times New Roman" w:cs="Times New Roman" w:eastAsia="Times New Roman" w:hint="default"/>
                <w:sz w:val="18"/>
                <w:szCs w:val="18"/>
              </w:rPr>
            </w:pPr>
            <w:r>
              <w:rPr>
                <w:rFonts w:ascii="Times New Roman"/>
                <w:sz w:val="18"/>
              </w:rPr>
              <w:t>29,935.03</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24,903.54</w:t>
            </w:r>
          </w:p>
        </w:tc>
        <w:tc>
          <w:tcPr>
            <w:tcW w:w="7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68,601.25</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0"/>
              <w:jc w:val="right"/>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1"/>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1034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建设研发基地与金 融信息服务中心</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46,214.82</w:t>
            </w:r>
          </w:p>
        </w:tc>
        <w:tc>
          <w:tcPr>
            <w:tcW w:w="79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45" w:type="dxa"/>
            <w:gridSpan w:val="2"/>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0" w:hRule="exact"/>
        </w:trPr>
        <w:tc>
          <w:tcPr>
            <w:tcW w:w="1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东方财富金融数据</w:t>
            </w:r>
          </w:p>
        </w:tc>
        <w:tc>
          <w:tcPr>
            <w:tcW w:w="73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15" w:type="dxa"/>
            <w:vMerge w:val="restart"/>
            <w:tcBorders>
              <w:top w:val="single" w:sz="4" w:space="0" w:color="000000"/>
              <w:left w:val="single" w:sz="4" w:space="0" w:color="000000"/>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845" w:type="dxa"/>
            <w:gridSpan w:val="2"/>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3"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机构服务平台系统项</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5,000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5,000</w:t>
            </w:r>
          </w:p>
        </w:tc>
        <w:tc>
          <w:tcPr>
            <w:tcW w:w="715" w:type="dxa"/>
            <w:vMerge/>
            <w:tcBorders>
              <w:left w:val="single" w:sz="4" w:space="0" w:color="000000"/>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5,000</w:t>
            </w:r>
          </w:p>
        </w:tc>
        <w:tc>
          <w:tcPr>
            <w:tcW w:w="84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65" w:right="0"/>
              <w:jc w:val="left"/>
              <w:rPr>
                <w:rFonts w:ascii="Times New Roman" w:hAnsi="Times New Roman" w:cs="Times New Roman" w:eastAsia="Times New Roman" w:hint="default"/>
                <w:sz w:val="18"/>
                <w:szCs w:val="18"/>
              </w:rPr>
            </w:pPr>
            <w:r>
              <w:rPr>
                <w:rFonts w:ascii="Times New Roman"/>
                <w:sz w:val="18"/>
              </w:rPr>
              <w:t>100.00%</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79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3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845" w:type="dxa"/>
            <w:gridSpan w:val="2"/>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增资全资子公司上</w:t>
            </w:r>
          </w:p>
        </w:tc>
        <w:tc>
          <w:tcPr>
            <w:tcW w:w="73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15" w:type="dxa"/>
            <w:vMerge w:val="restart"/>
            <w:tcBorders>
              <w:top w:val="single" w:sz="4" w:space="0" w:color="000000"/>
              <w:left w:val="single" w:sz="4" w:space="0" w:color="000000"/>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845" w:type="dxa"/>
            <w:gridSpan w:val="2"/>
            <w:tcBorders>
              <w:top w:val="single" w:sz="4" w:space="0" w:color="000000"/>
              <w:left w:val="single" w:sz="4" w:space="0" w:color="000000"/>
              <w:bottom w:val="nil" w:sz="6" w:space="0" w:color="auto"/>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93"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海天天基金销售有限</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5,000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5,000</w:t>
            </w:r>
          </w:p>
        </w:tc>
        <w:tc>
          <w:tcPr>
            <w:tcW w:w="715" w:type="dxa"/>
            <w:vMerge/>
            <w:tcBorders>
              <w:left w:val="single" w:sz="4" w:space="0" w:color="000000"/>
              <w:right w:val="single" w:sz="4" w:space="0" w:color="000000"/>
            </w:tcBorders>
          </w:tcPr>
          <w:p>
            <w:pP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5,000</w:t>
            </w:r>
          </w:p>
        </w:tc>
        <w:tc>
          <w:tcPr>
            <w:tcW w:w="84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65" w:right="0"/>
              <w:jc w:val="left"/>
              <w:rPr>
                <w:rFonts w:ascii="Times New Roman" w:hAnsi="Times New Roman" w:cs="Times New Roman" w:eastAsia="Times New Roman" w:hint="default"/>
                <w:sz w:val="18"/>
                <w:szCs w:val="18"/>
              </w:rPr>
            </w:pPr>
            <w:r>
              <w:rPr>
                <w:rFonts w:ascii="Times New Roman"/>
                <w:sz w:val="18"/>
              </w:rPr>
              <w:t>100.00%</w:t>
            </w:r>
          </w:p>
        </w:tc>
        <w:tc>
          <w:tcPr>
            <w:tcW w:w="718"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845" w:type="dxa"/>
            <w:gridSpan w:val="2"/>
            <w:tcBorders>
              <w:top w:val="nil" w:sz="6" w:space="0" w:color="auto"/>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增资全资子公司上</w:t>
            </w:r>
          </w:p>
        </w:tc>
        <w:tc>
          <w:tcPr>
            <w:tcW w:w="73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845" w:type="dxa"/>
            <w:gridSpan w:val="2"/>
            <w:tcBorders>
              <w:top w:val="single" w:sz="4" w:space="0" w:color="000000"/>
              <w:left w:val="single" w:sz="4" w:space="0" w:color="000000"/>
              <w:bottom w:val="nil" w:sz="6" w:space="0" w:color="auto"/>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93"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海天天基金销售有限</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84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65" w:right="0"/>
              <w:jc w:val="left"/>
              <w:rPr>
                <w:rFonts w:ascii="Times New Roman" w:hAnsi="Times New Roman" w:cs="Times New Roman" w:eastAsia="Times New Roman" w:hint="default"/>
                <w:sz w:val="18"/>
                <w:szCs w:val="18"/>
              </w:rPr>
            </w:pPr>
            <w:r>
              <w:rPr>
                <w:rFonts w:ascii="Times New Roman"/>
                <w:sz w:val="18"/>
              </w:rPr>
              <w:t>100.00%</w:t>
            </w:r>
          </w:p>
        </w:tc>
        <w:tc>
          <w:tcPr>
            <w:tcW w:w="718"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845" w:type="dxa"/>
            <w:gridSpan w:val="2"/>
            <w:tcBorders>
              <w:top w:val="nil" w:sz="6" w:space="0" w:color="auto"/>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增资全资子公司上</w:t>
            </w:r>
          </w:p>
        </w:tc>
        <w:tc>
          <w:tcPr>
            <w:tcW w:w="739"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c>
          <w:tcPr>
            <w:tcW w:w="821" w:type="dxa"/>
            <w:tcBorders>
              <w:top w:val="single" w:sz="4" w:space="0" w:color="000000"/>
              <w:left w:val="single" w:sz="4" w:space="0" w:color="000000"/>
              <w:bottom w:val="nil" w:sz="6" w:space="0" w:color="auto"/>
              <w:right w:val="single" w:sz="4" w:space="0" w:color="000000"/>
            </w:tcBorders>
          </w:tcPr>
          <w:p>
            <w:pPr/>
          </w:p>
        </w:tc>
        <w:tc>
          <w:tcPr>
            <w:tcW w:w="845" w:type="dxa"/>
            <w:gridSpan w:val="2"/>
            <w:tcBorders>
              <w:top w:val="single" w:sz="4" w:space="0" w:color="000000"/>
              <w:left w:val="single" w:sz="4" w:space="0" w:color="000000"/>
              <w:bottom w:val="nil" w:sz="6" w:space="0" w:color="auto"/>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93"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海东方财富证券研究</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4,000</w:t>
            </w:r>
          </w:p>
        </w:tc>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4,000</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4,000</w:t>
            </w:r>
          </w:p>
        </w:tc>
        <w:tc>
          <w:tcPr>
            <w:tcW w:w="82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4,000</w:t>
            </w:r>
          </w:p>
        </w:tc>
        <w:tc>
          <w:tcPr>
            <w:tcW w:w="84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165" w:right="0"/>
              <w:jc w:val="left"/>
              <w:rPr>
                <w:rFonts w:ascii="Times New Roman" w:hAnsi="Times New Roman" w:cs="Times New Roman" w:eastAsia="Times New Roman" w:hint="default"/>
                <w:sz w:val="18"/>
                <w:szCs w:val="18"/>
              </w:rPr>
            </w:pPr>
            <w:r>
              <w:rPr>
                <w:rFonts w:ascii="Times New Roman"/>
                <w:sz w:val="18"/>
              </w:rPr>
              <w:t>100.00%</w:t>
            </w:r>
          </w:p>
        </w:tc>
        <w:tc>
          <w:tcPr>
            <w:tcW w:w="718"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4" w:hRule="exact"/>
        </w:trPr>
        <w:tc>
          <w:tcPr>
            <w:tcW w:w="1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所有限公司</w:t>
            </w:r>
          </w:p>
        </w:tc>
        <w:tc>
          <w:tcPr>
            <w:tcW w:w="739"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c>
          <w:tcPr>
            <w:tcW w:w="821" w:type="dxa"/>
            <w:tcBorders>
              <w:top w:val="nil" w:sz="6" w:space="0" w:color="auto"/>
              <w:left w:val="single" w:sz="4" w:space="0" w:color="000000"/>
              <w:bottom w:val="single" w:sz="4" w:space="0" w:color="000000"/>
              <w:right w:val="single" w:sz="4" w:space="0" w:color="000000"/>
            </w:tcBorders>
          </w:tcPr>
          <w:p>
            <w:pPr/>
          </w:p>
        </w:tc>
        <w:tc>
          <w:tcPr>
            <w:tcW w:w="845" w:type="dxa"/>
            <w:gridSpan w:val="2"/>
            <w:tcBorders>
              <w:top w:val="nil" w:sz="6" w:space="0" w:color="auto"/>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2"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成立基金管理公司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45" w:type="dxa"/>
            <w:gridSpan w:val="2"/>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04" w:val="left" w:leader="none"/>
              </w:tabs>
              <w:spacing w:line="240" w:lineRule="auto" w:before="51"/>
              <w:ind w:left="-152" w:right="30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898" w:type="dxa"/>
            <w:tcBorders>
              <w:top w:val="single" w:sz="4" w:space="0" w:color="000000"/>
              <w:left w:val="single" w:sz="12" w:space="0" w:color="D2D2D2"/>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45" w:type="dxa"/>
            <w:gridSpan w:val="2"/>
            <w:tcBorders>
              <w:top w:val="single" w:sz="4" w:space="0" w:color="000000"/>
              <w:left w:val="single" w:sz="4" w:space="0" w:color="000000"/>
              <w:bottom w:val="single" w:sz="4" w:space="0" w:color="000000"/>
              <w:right w:val="single" w:sz="13"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0"/>
              <w:jc w:val="right"/>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85"/>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04" w:val="left" w:leader="none"/>
              </w:tabs>
              <w:spacing w:line="240" w:lineRule="auto" w:before="49"/>
              <w:ind w:left="-152" w:right="30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898" w:type="dxa"/>
            <w:tcBorders>
              <w:top w:val="single" w:sz="4" w:space="0" w:color="000000"/>
              <w:left w:val="single" w:sz="12" w:space="0" w:color="D2D2D2"/>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w:t>
            </w:r>
          </w:p>
        </w:tc>
        <w:tc>
          <w:tcPr>
            <w:tcW w:w="845" w:type="dxa"/>
            <w:gridSpan w:val="2"/>
            <w:tcBorders>
              <w:top w:val="single" w:sz="4" w:space="0" w:color="000000"/>
              <w:left w:val="single" w:sz="4" w:space="0" w:color="000000"/>
              <w:bottom w:val="single" w:sz="4" w:space="0" w:color="000000"/>
              <w:right w:val="single" w:sz="13"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02"/>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100,214.82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82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52,000</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0" w:space="0" w:color="D2D2D2"/>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13"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90"/>
              <w:jc w:val="right"/>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85"/>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130,203.06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83,988.24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24,000</w:t>
            </w:r>
          </w:p>
        </w:tc>
        <w:tc>
          <w:tcPr>
            <w:tcW w:w="82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81,935.03</w:t>
            </w:r>
          </w:p>
        </w:tc>
        <w:tc>
          <w:tcPr>
            <w:tcW w:w="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24,903.54</w:t>
            </w:r>
          </w:p>
        </w:tc>
        <w:tc>
          <w:tcPr>
            <w:tcW w:w="7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68,601.25</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0"/>
              <w:jc w:val="right"/>
              <w:rPr>
                <w:rFonts w:ascii="Times New Roman" w:hAnsi="Times New Roman" w:cs="Times New Roman" w:eastAsia="Times New Roman" w:hint="default"/>
                <w:sz w:val="18"/>
                <w:szCs w:val="18"/>
              </w:rPr>
            </w:pPr>
            <w:r>
              <w:rPr>
                <w:rFonts w:ascii="Times New Roman"/>
                <w:sz w:val="18"/>
              </w:rPr>
              <w:t>--</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sz w:val="18"/>
              </w:rPr>
              <w:t>--</w:t>
            </w:r>
          </w:p>
        </w:tc>
      </w:tr>
      <w:tr>
        <w:trPr>
          <w:trHeight w:val="366" w:hRule="exact"/>
        </w:trPr>
        <w:tc>
          <w:tcPr>
            <w:tcW w:w="179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8547" w:type="dxa"/>
            <w:gridSpan w:val="12"/>
            <w:tcBorders>
              <w:top w:val="single" w:sz="4" w:space="0" w:color="000000"/>
              <w:left w:val="single" w:sz="10" w:space="0" w:color="D2D2D2"/>
              <w:bottom w:val="nil" w:sz="6" w:space="0" w:color="auto"/>
              <w:right w:val="single" w:sz="4" w:space="0" w:color="000000"/>
            </w:tcBorders>
          </w:tcPr>
          <w:p>
            <w:pPr>
              <w:pStyle w:val="TableParagraph"/>
              <w:spacing w:line="240" w:lineRule="auto" w:before="70"/>
              <w:ind w:left="16" w:right="0"/>
              <w:jc w:val="left"/>
              <w:rPr>
                <w:rFonts w:ascii="宋体" w:hAnsi="宋体" w:cs="宋体" w:eastAsia="宋体" w:hint="default"/>
                <w:sz w:val="18"/>
                <w:szCs w:val="18"/>
              </w:rPr>
            </w:pPr>
            <w:r>
              <w:rPr>
                <w:rFonts w:ascii="宋体" w:hAnsi="宋体" w:cs="宋体" w:eastAsia="宋体" w:hint="default"/>
                <w:sz w:val="18"/>
                <w:szCs w:val="18"/>
              </w:rPr>
              <w:t>大型网络在线平台系统升级项目已建成，其建成后为公司现有服务及其他两个募集资金投资项目提供全面平</w:t>
            </w:r>
          </w:p>
        </w:tc>
      </w:tr>
      <w:tr>
        <w:trPr>
          <w:trHeight w:val="312" w:hRule="exact"/>
        </w:trPr>
        <w:tc>
          <w:tcPr>
            <w:tcW w:w="1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8547" w:type="dxa"/>
            <w:gridSpan w:val="12"/>
            <w:tcBorders>
              <w:top w:val="nil" w:sz="6" w:space="0" w:color="auto"/>
              <w:left w:val="single" w:sz="10" w:space="0" w:color="D2D2D2"/>
              <w:bottom w:val="nil" w:sz="6" w:space="0" w:color="auto"/>
              <w:right w:val="single" w:sz="4" w:space="0" w:color="000000"/>
            </w:tcBorders>
          </w:tcPr>
          <w:p>
            <w:pPr>
              <w:pStyle w:val="TableParagraph"/>
              <w:spacing w:line="240" w:lineRule="auto" w:before="21"/>
              <w:ind w:left="16" w:right="0"/>
              <w:jc w:val="left"/>
              <w:rPr>
                <w:rFonts w:ascii="宋体" w:hAnsi="宋体" w:cs="宋体" w:eastAsia="宋体" w:hint="default"/>
                <w:sz w:val="18"/>
                <w:szCs w:val="18"/>
              </w:rPr>
            </w:pPr>
            <w:r>
              <w:rPr>
                <w:rFonts w:ascii="宋体" w:hAnsi="宋体" w:cs="宋体" w:eastAsia="宋体" w:hint="default"/>
                <w:sz w:val="18"/>
                <w:szCs w:val="18"/>
              </w:rPr>
              <w:t>台支持，不单独核算投资效益。基于手机端的财经信息服务系统项目已建成，其建成后主要与公司现有服务</w:t>
            </w:r>
          </w:p>
        </w:tc>
      </w:tr>
      <w:tr>
        <w:trPr>
          <w:trHeight w:val="349" w:hRule="exact"/>
        </w:trPr>
        <w:tc>
          <w:tcPr>
            <w:tcW w:w="1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547" w:type="dxa"/>
            <w:gridSpan w:val="12"/>
            <w:tcBorders>
              <w:top w:val="nil" w:sz="6" w:space="0" w:color="auto"/>
              <w:left w:val="single" w:sz="10" w:space="0" w:color="D2D2D2"/>
              <w:bottom w:val="single" w:sz="4" w:space="0" w:color="000000"/>
              <w:right w:val="single" w:sz="4" w:space="0" w:color="000000"/>
            </w:tcBorders>
          </w:tcPr>
          <w:p>
            <w:pPr>
              <w:pStyle w:val="TableParagraph"/>
              <w:spacing w:line="240" w:lineRule="auto" w:before="21"/>
              <w:ind w:left="16" w:right="0"/>
              <w:jc w:val="left"/>
              <w:rPr>
                <w:rFonts w:ascii="宋体" w:hAnsi="宋体" w:cs="宋体" w:eastAsia="宋体" w:hint="default"/>
                <w:sz w:val="18"/>
                <w:szCs w:val="18"/>
              </w:rPr>
            </w:pPr>
            <w:r>
              <w:rPr>
                <w:rFonts w:ascii="宋体" w:hAnsi="宋体" w:cs="宋体" w:eastAsia="宋体" w:hint="default"/>
                <w:sz w:val="18"/>
                <w:szCs w:val="18"/>
              </w:rPr>
              <w:t>及其他两个募集资金投资项目相结合，实现协同效应，不单独进行手机端项目收费，不单独核算投资效益。</w:t>
            </w:r>
          </w:p>
        </w:tc>
      </w:tr>
    </w:tbl>
    <w:p>
      <w:pPr>
        <w:spacing w:after="0" w:line="240" w:lineRule="auto"/>
        <w:jc w:val="left"/>
        <w:rPr>
          <w:rFonts w:ascii="宋体" w:hAnsi="宋体" w:cs="宋体" w:eastAsia="宋体" w:hint="default"/>
          <w:sz w:val="18"/>
          <w:szCs w:val="18"/>
        </w:rPr>
        <w:sectPr>
          <w:pgSz w:w="11910" w:h="16840"/>
          <w:pgMar w:header="852" w:footer="979" w:top="1300" w:bottom="1160" w:left="660" w:right="660"/>
        </w:sectPr>
      </w:pPr>
    </w:p>
    <w:p>
      <w:pPr>
        <w:spacing w:line="240" w:lineRule="auto" w:before="0"/>
        <w:rPr>
          <w:rFonts w:ascii="Times New Roman" w:hAnsi="Times New Roman" w:cs="Times New Roman" w:eastAsia="Times New Roman" w:hint="default"/>
          <w:sz w:val="20"/>
          <w:szCs w:val="20"/>
        </w:rPr>
      </w:pPr>
      <w:r>
        <w:rPr/>
        <w:pict>
          <v:shape style="position:absolute;margin-left:38.82pt;margin-top:71.999985pt;width:518pt;height:687.3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4"/>
                    <w:gridCol w:w="8551"/>
                  </w:tblGrid>
                  <w:tr>
                    <w:trPr>
                      <w:trHeight w:val="223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54"/>
                          <w:jc w:val="both"/>
                          <w:rPr>
                            <w:rFonts w:ascii="宋体" w:hAnsi="宋体" w:cs="宋体" w:eastAsia="宋体" w:hint="default"/>
                            <w:sz w:val="18"/>
                            <w:szCs w:val="18"/>
                          </w:rPr>
                        </w:pPr>
                        <w:r>
                          <w:rPr>
                            <w:rFonts w:ascii="宋体" w:hAnsi="宋体" w:cs="宋体" w:eastAsia="宋体" w:hint="default"/>
                            <w:sz w:val="18"/>
                            <w:szCs w:val="18"/>
                          </w:rPr>
                          <w:t>研发基地和金融信息服务中心项目，鉴于公司业务发展、项目规划要求、周边配套和整体经济低迷等原因， 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日终止。受技术进步和智能终端快速发展的推动，互联网行业的发展和用户需求也不 断持续快速变化，为适应互联网行业发展变化的新形势，东方财富金融数据机构服务平台系统项目，作为子 平台，已成为公司一站式金融服务大平台的重要组成部分，为海量用户提供金融数据等服务，单独孤立计算 单个平台的效益，已无法完整体现其整体效益，该项目拓展了公司大平台的服务范围和内容，提升了大平台 的服务能力和水平，进一步提升了用户体验和黏性，促进了公司大平台整体效益的实现，整体上达到了预期 效益目标。</w:t>
                        </w:r>
                      </w:p>
                    </w:tc>
                  </w:tr>
                  <w:tr>
                    <w:trPr>
                      <w:trHeight w:val="102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研发基地和金融信息服务中心项目，鉴于公司业务发展、项目规划要求、周边配套和整体经济低迷等原因， 项目于</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日终止，公司已于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日完成了以自有资金置换已投入上海东方财富置业 有限公司的超募资金。</w:t>
                        </w:r>
                      </w:p>
                    </w:tc>
                  </w:tr>
                  <w:tr>
                    <w:trPr>
                      <w:trHeight w:val="403" w:hRule="exact"/>
                    </w:trPr>
                    <w:tc>
                      <w:tcPr>
                        <w:tcW w:w="1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6"/>
                            <w:sz w:val="18"/>
                            <w:szCs w:val="18"/>
                          </w:rPr>
                          <w:t>超募资金的金额、用途</w:t>
                        </w:r>
                        <w:r>
                          <w:rPr>
                            <w:rFonts w:ascii="宋体" w:hAnsi="宋体" w:cs="宋体" w:eastAsia="宋体" w:hint="default"/>
                            <w:sz w:val="18"/>
                            <w:szCs w:val="18"/>
                          </w:rPr>
                          <w:t> 及使用进展情况</w:t>
                        </w: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074" w:hRule="exact"/>
                    </w:trPr>
                    <w:tc>
                      <w:tcPr>
                        <w:tcW w:w="1794" w:type="dxa"/>
                        <w:vMerge/>
                        <w:tcBorders>
                          <w:left w:val="single" w:sz="4" w:space="0" w:color="000000"/>
                          <w:bottom w:val="single" w:sz="4" w:space="0" w:color="000000"/>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公司募集资金净额为 </w:t>
                        </w:r>
                        <w:r>
                          <w:rPr>
                            <w:rFonts w:ascii="Times New Roman" w:hAnsi="Times New Roman" w:cs="Times New Roman" w:eastAsia="Times New Roman" w:hint="default"/>
                            <w:sz w:val="18"/>
                            <w:szCs w:val="18"/>
                          </w:rPr>
                          <w:t>130,455.45 </w:t>
                        </w:r>
                        <w:r>
                          <w:rPr>
                            <w:rFonts w:ascii="宋体" w:hAnsi="宋体" w:cs="宋体" w:eastAsia="宋体" w:hint="default"/>
                            <w:sz w:val="18"/>
                            <w:szCs w:val="18"/>
                          </w:rPr>
                          <w:t>万元，其中超募资金为 </w:t>
                        </w:r>
                        <w:r>
                          <w:rPr>
                            <w:rFonts w:ascii="Times New Roman" w:hAnsi="Times New Roman" w:cs="Times New Roman" w:eastAsia="Times New Roman" w:hint="default"/>
                            <w:sz w:val="18"/>
                            <w:szCs w:val="18"/>
                          </w:rPr>
                          <w:t>100,467.21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、公司第一届董事会第十六次会</w:t>
                        </w:r>
                      </w:p>
                      <w:p>
                        <w:pPr>
                          <w:pStyle w:val="TableParagraph"/>
                          <w:spacing w:line="309" w:lineRule="auto" w:before="63"/>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议及</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年第二次临时股东大会审议通过了《关于超募资金的使用计划》，计划使用部分超募资金</w:t>
                        </w:r>
                        <w:r>
                          <w:rPr>
                            <w:rFonts w:ascii="宋体" w:hAnsi="宋体" w:cs="宋体" w:eastAsia="宋体" w:hint="default"/>
                            <w:spacing w:val="12"/>
                            <w:sz w:val="18"/>
                            <w:szCs w:val="18"/>
                          </w:rPr>
                          <w:t> </w:t>
                        </w:r>
                        <w:r>
                          <w:rPr>
                            <w:rFonts w:ascii="Times New Roman" w:hAnsi="Times New Roman" w:cs="Times New Roman" w:eastAsia="Times New Roman" w:hint="default"/>
                            <w:spacing w:val="-1"/>
                            <w:sz w:val="18"/>
                            <w:szCs w:val="18"/>
                          </w:rPr>
                          <w:t>46,214.82</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万元建设研发基地和金融信息服务中心。根据公司第二届董事会第三次会议审议通过的《关于成立项目公司 </w:t>
                        </w:r>
                        <w:r>
                          <w:rPr>
                            <w:rFonts w:ascii="宋体" w:hAnsi="宋体" w:cs="宋体" w:eastAsia="宋体" w:hint="default"/>
                            <w:spacing w:val="-3"/>
                            <w:sz w:val="18"/>
                            <w:szCs w:val="18"/>
                          </w:rPr>
                          <w:t>负责金融信息服务中心建设和运营管理工作的议案》，公司拟用超募资金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20,000.00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万元（包含</w:t>
                        </w:r>
                        <w:r>
                          <w:rPr>
                            <w:rFonts w:ascii="宋体" w:hAnsi="宋体" w:cs="宋体" w:eastAsia="宋体" w:hint="default"/>
                            <w:spacing w:val="7"/>
                            <w:sz w:val="18"/>
                            <w:szCs w:val="18"/>
                          </w:rPr>
                          <w:t> </w:t>
                        </w:r>
                        <w:r>
                          <w:rPr>
                            <w:rFonts w:ascii="Times New Roman" w:hAnsi="Times New Roman" w:cs="Times New Roman" w:eastAsia="Times New Roman" w:hint="default"/>
                            <w:spacing w:val="-1"/>
                            <w:sz w:val="18"/>
                            <w:szCs w:val="18"/>
                          </w:rPr>
                          <w:t>13,693.00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元的金融信息服务中心项目建设用地款）注册成立项目公司，负责金融信息服务中心项目的建设和运营管理 工作。公司独立董事、监事会、保荐机构都发表了相关意见，同意上述超募资金的使用计划。公司已于</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2011</w:t>
                        </w:r>
                      </w:p>
                      <w:p>
                        <w:pPr>
                          <w:pStyle w:val="TableParagraph"/>
                          <w:spacing w:line="309" w:lineRule="auto" w:before="5"/>
                          <w:ind w:left="24" w:right="2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日注册成立了全资子公司上海东方财富置业有限公司，公司投资金额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、根据公 </w:t>
                        </w:r>
                        <w:r>
                          <w:rPr>
                            <w:rFonts w:ascii="宋体" w:hAnsi="宋体" w:cs="宋体" w:eastAsia="宋体" w:hint="default"/>
                            <w:spacing w:val="-4"/>
                            <w:sz w:val="18"/>
                            <w:szCs w:val="18"/>
                          </w:rPr>
                          <w:t>司第一届董事会第十七次会议审议通过了《关于使用部分超募资金永久补充流动资金的议案》，公司计划使用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部分超募资金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万元永久补充流动资金，独立董事、监事会、保荐机构都发表了相关意见，同意上述</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超募资金的使用。公司已于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日完成补充流动资金事项。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、根据公司第二届董事会第七次会</w:t>
                        </w:r>
                      </w:p>
                      <w:p>
                        <w:pPr>
                          <w:pStyle w:val="TableParagraph"/>
                          <w:spacing w:line="309" w:lineRule="auto" w:before="63"/>
                          <w:ind w:left="24" w:right="21"/>
                          <w:jc w:val="both"/>
                          <w:rPr>
                            <w:rFonts w:ascii="宋体" w:hAnsi="宋体" w:cs="宋体" w:eastAsia="宋体" w:hint="default"/>
                            <w:sz w:val="18"/>
                            <w:szCs w:val="18"/>
                          </w:rPr>
                        </w:pPr>
                        <w:r>
                          <w:rPr>
                            <w:rFonts w:ascii="宋体" w:hAnsi="宋体" w:cs="宋体" w:eastAsia="宋体" w:hint="default"/>
                            <w:spacing w:val="-3"/>
                            <w:sz w:val="18"/>
                            <w:szCs w:val="18"/>
                          </w:rPr>
                          <w:t>议审议通过了《关于使用部分超募资金投资设立全资子公司的议案》，公司拟使用超募资金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万元投资设</w:t>
                        </w:r>
                        <w:r>
                          <w:rPr>
                            <w:rFonts w:ascii="宋体" w:hAnsi="宋体" w:cs="宋体" w:eastAsia="宋体" w:hint="default"/>
                            <w:spacing w:val="-88"/>
                            <w:sz w:val="18"/>
                            <w:szCs w:val="18"/>
                          </w:rPr>
                          <w:t> </w:t>
                        </w:r>
                        <w:r>
                          <w:rPr>
                            <w:rFonts w:ascii="宋体" w:hAnsi="宋体" w:cs="宋体" w:eastAsia="宋体" w:hint="default"/>
                            <w:sz w:val="18"/>
                            <w:szCs w:val="18"/>
                          </w:rPr>
                          <w:t>立全资子公司负责东方财富金融数据机构服务平台系统项目的具体建设和运营管理工作，公司独立董事、监 事会、保荐机构都发表了相关意见，同意上述超募资金的使用计划。公司已于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日注册成立了</w:t>
                        </w:r>
                      </w:p>
                      <w:p>
                        <w:pPr>
                          <w:pStyle w:val="TableParagraph"/>
                          <w:spacing w:line="300" w:lineRule="auto" w:before="5"/>
                          <w:ind w:left="24" w:right="20"/>
                          <w:jc w:val="left"/>
                          <w:rPr>
                            <w:rFonts w:ascii="宋体" w:hAnsi="宋体" w:cs="宋体" w:eastAsia="宋体" w:hint="default"/>
                            <w:sz w:val="18"/>
                            <w:szCs w:val="18"/>
                          </w:rPr>
                        </w:pPr>
                        <w:r>
                          <w:rPr>
                            <w:rFonts w:ascii="宋体" w:hAnsi="宋体" w:cs="宋体" w:eastAsia="宋体" w:hint="default"/>
                            <w:spacing w:val="-3"/>
                            <w:sz w:val="18"/>
                            <w:szCs w:val="18"/>
                          </w:rPr>
                          <w:t>全资子公司上海东方财富金融数据服务有限公司，公司投资金额</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万元，另支付了设立公司的验资费</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、根据公司第二届董事会第十二次会议审议通过了《关于使用部分超募资金永久补充流动资金的议案》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公司计划使用部分超募资金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万元永久补充流动资金，独立董事、监事会、保荐机构都发表了相关意</w:t>
                        </w:r>
                      </w:p>
                      <w:p>
                        <w:pPr>
                          <w:pStyle w:val="TableParagraph"/>
                          <w:spacing w:line="309" w:lineRule="auto" w:before="13"/>
                          <w:ind w:left="24" w:right="51"/>
                          <w:jc w:val="both"/>
                          <w:rPr>
                            <w:rFonts w:ascii="宋体" w:hAnsi="宋体" w:cs="宋体" w:eastAsia="宋体" w:hint="default"/>
                            <w:sz w:val="18"/>
                            <w:szCs w:val="18"/>
                          </w:rPr>
                        </w:pPr>
                        <w:r>
                          <w:rPr>
                            <w:rFonts w:ascii="宋体" w:hAnsi="宋体" w:cs="宋体" w:eastAsia="宋体" w:hint="default"/>
                            <w:sz w:val="18"/>
                            <w:szCs w:val="18"/>
                          </w:rPr>
                          <w:t>见，同意上述超募资金的使用。公司已于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日完成补充流动资金事项。</w:t>
                        </w:r>
                        <w:r>
                          <w:rPr>
                            <w:rFonts w:ascii="Times New Roman" w:hAnsi="Times New Roman" w:cs="Times New Roman" w:eastAsia="Times New Roman" w:hint="default"/>
                            <w:sz w:val="18"/>
                            <w:szCs w:val="18"/>
                          </w:rPr>
                          <w:t>5</w:t>
                        </w:r>
                        <w:r>
                          <w:rPr>
                            <w:rFonts w:ascii="宋体" w:hAnsi="宋体" w:cs="宋体" w:eastAsia="宋体" w:hint="default"/>
                            <w:sz w:val="18"/>
                            <w:szCs w:val="18"/>
                          </w:rPr>
                          <w:t>、根据公司第二届 董事会第二十一次会议审议通过了《关于公司使用部分超募资金对全资子公司上海天天基金销售有限公司进 </w:t>
                        </w:r>
                        <w:r>
                          <w:rPr>
                            <w:rFonts w:ascii="宋体" w:hAnsi="宋体" w:cs="宋体" w:eastAsia="宋体" w:hint="default"/>
                            <w:spacing w:val="-5"/>
                            <w:sz w:val="18"/>
                            <w:szCs w:val="18"/>
                          </w:rPr>
                          <w:t>行增资的议案》，公司计划使用部分超募资金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5,000.00</w:t>
                        </w:r>
                        <w:r>
                          <w:rPr>
                            <w:rFonts w:ascii="Times New Roman" w:hAnsi="Times New Roman" w:cs="Times New Roman" w:eastAsia="Times New Roman" w:hint="default"/>
                            <w:spacing w:val="39"/>
                            <w:sz w:val="18"/>
                            <w:szCs w:val="18"/>
                          </w:rPr>
                          <w:t> </w:t>
                        </w:r>
                        <w:r>
                          <w:rPr>
                            <w:rFonts w:ascii="宋体" w:hAnsi="宋体" w:cs="宋体" w:eastAsia="宋体" w:hint="default"/>
                            <w:spacing w:val="-1"/>
                            <w:sz w:val="18"/>
                            <w:szCs w:val="18"/>
                          </w:rPr>
                          <w:t>万元对全资子公司上海天天基金销售有限公司进行增</w:t>
                        </w:r>
                      </w:p>
                      <w:p>
                        <w:pPr>
                          <w:pStyle w:val="TableParagraph"/>
                          <w:spacing w:line="307" w:lineRule="auto" w:before="5"/>
                          <w:ind w:left="24" w:right="20"/>
                          <w:jc w:val="left"/>
                          <w:rPr>
                            <w:rFonts w:ascii="宋体" w:hAnsi="宋体" w:cs="宋体" w:eastAsia="宋体" w:hint="default"/>
                            <w:sz w:val="18"/>
                            <w:szCs w:val="18"/>
                          </w:rPr>
                        </w:pPr>
                        <w:r>
                          <w:rPr>
                            <w:rFonts w:ascii="宋体" w:hAnsi="宋体" w:cs="宋体" w:eastAsia="宋体" w:hint="default"/>
                            <w:sz w:val="18"/>
                            <w:szCs w:val="18"/>
                          </w:rPr>
                          <w:t>资，独立董事、监事会、保荐机构都发表了相关意见，同意上述超募资金的使用。公司已于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5"/>
                            <w:sz w:val="18"/>
                            <w:szCs w:val="18"/>
                          </w:rPr>
                          <w:t>号完成了增资事项。</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、根据公司第二届董事会第二十三次会议和二〇一四年第一次临时股东大会审议通过《关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于终止研发基地和金融信息服务中心超募资金投资项目并使用自有资金置换已投入超募资金的议案》，公司决</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定终止研发基地和金融信息服务中心超募资金投资项目，并使用自有资金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万元，置换已投入上海 东方财富置业有限公司的超募资金。独立董事、监事会、保荐机构都发表了相关意见，同意该事项。公司已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日完成了相关置换工作。</w:t>
                        </w:r>
                        <w:r>
                          <w:rPr>
                            <w:rFonts w:ascii="Times New Roman" w:hAnsi="Times New Roman" w:cs="Times New Roman" w:eastAsia="Times New Roman" w:hint="default"/>
                            <w:sz w:val="18"/>
                            <w:szCs w:val="18"/>
                          </w:rPr>
                          <w:t>7</w:t>
                        </w:r>
                        <w:r>
                          <w:rPr>
                            <w:rFonts w:ascii="宋体" w:hAnsi="宋体" w:cs="宋体" w:eastAsia="宋体" w:hint="default"/>
                            <w:sz w:val="18"/>
                            <w:szCs w:val="18"/>
                          </w:rPr>
                          <w:t>、根据公司第三届董事会第十九次会议及公司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时股东大会审议通过《关于公司拟使用部分超募资金对全资子公司上海天天基金销售有限公司进行增资的议 </w:t>
                        </w:r>
                        <w:r>
                          <w:rPr>
                            <w:rFonts w:ascii="宋体" w:hAnsi="宋体" w:cs="宋体" w:eastAsia="宋体" w:hint="default"/>
                            <w:spacing w:val="-7"/>
                            <w:sz w:val="18"/>
                            <w:szCs w:val="18"/>
                          </w:rPr>
                          <w:t>案》、《关于公司拟使用部分超募资金对全资子公司上海东方财富证券研究所有限公司进行增资的议案》及《关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于公司拟使用部分超募资金成立基金管理公司的议案》等议案，拟使用超募资金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44,000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万元投资如下三个项 目，其中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万元将用于对上海天天基金销售有限公司进行增资，</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万元将用于对上海东方财富证券 研究所有限公司进行增资，</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万元将用于设立基金管理公司。公司已于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日完成对上海天</w:t>
                        </w:r>
                      </w:p>
                      <w:p>
                        <w:pPr>
                          <w:pStyle w:val="TableParagraph"/>
                          <w:spacing w:line="240" w:lineRule="auto" w:before="7"/>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天基金销售有限公司增资款缴纳，并于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日完成了相关工商变更登记。公司已于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日完成对上海东方财富证券研究所有限公司增资款缴纳，并于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日完成相关工商变更登记。</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2"/>
        <w:ind w:left="0" w:right="10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2" w:footer="979" w:top="1300" w:bottom="1160" w:left="66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44"/>
        <w:ind w:left="0" w:right="99" w:firstLine="0"/>
        <w:jc w:val="right"/>
        <w:rPr>
          <w:rFonts w:ascii="宋体" w:hAnsi="宋体" w:cs="宋体" w:eastAsia="宋体" w:hint="default"/>
          <w:sz w:val="18"/>
          <w:szCs w:val="18"/>
        </w:rPr>
      </w:pPr>
      <w:r>
        <w:rPr/>
        <w:pict>
          <v:shape style="position:absolute;margin-left:38.82pt;margin-top:-188.218292pt;width:518pt;height:375.5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4"/>
                    <w:gridCol w:w="8551"/>
                  </w:tblGrid>
                  <w:tr>
                    <w:trPr>
                      <w:trHeight w:val="401" w:hRule="exact"/>
                    </w:trPr>
                    <w:tc>
                      <w:tcPr>
                        <w:tcW w:w="1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4" w:lineRule="auto"/>
                          <w:ind w:left="22" w:right="14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94" w:type="dxa"/>
                        <w:vMerge/>
                        <w:tcBorders>
                          <w:left w:val="single" w:sz="4" w:space="0" w:color="000000"/>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94" w:type="dxa"/>
                        <w:vMerge/>
                        <w:tcBorders>
                          <w:left w:val="single" w:sz="4" w:space="0" w:color="000000"/>
                          <w:bottom w:val="single" w:sz="4" w:space="0" w:color="000000"/>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4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94" w:type="dxa"/>
                        <w:vMerge/>
                        <w:tcBorders>
                          <w:left w:val="single" w:sz="4" w:space="0" w:color="000000"/>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4" w:type="dxa"/>
                        <w:vMerge/>
                        <w:tcBorders>
                          <w:left w:val="single" w:sz="4" w:space="0" w:color="000000"/>
                          <w:bottom w:val="single" w:sz="4" w:space="0" w:color="000000"/>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4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1794" w:type="dxa"/>
                        <w:vMerge/>
                        <w:tcBorders>
                          <w:left w:val="single" w:sz="4" w:space="0" w:color="000000"/>
                          <w:bottom w:val="single" w:sz="4" w:space="0" w:color="FFFFFF"/>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FFFFFF"/>
                          <w:right w:val="single" w:sz="4" w:space="0" w:color="000000"/>
                        </w:tcBorders>
                      </w:tcPr>
                      <w:p>
                        <w:pPr>
                          <w:pStyle w:val="TableParagraph"/>
                          <w:spacing w:line="312"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公司第一届董事会第十三次会议审议通过了《关于用募集资金置换预先投入募集资金投资项目的自筹资金的 </w:t>
                        </w:r>
                        <w:r>
                          <w:rPr>
                            <w:rFonts w:ascii="宋体" w:hAnsi="宋体" w:cs="宋体" w:eastAsia="宋体" w:hint="default"/>
                            <w:spacing w:val="-6"/>
                            <w:sz w:val="18"/>
                            <w:szCs w:val="18"/>
                          </w:rPr>
                          <w:t>议案》，在募集资金实际到账之前，同意以本次募集资金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1,698.00</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万元置换公司预先已投入募集资金投资项目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的自筹资金。立信会计师事务所有限公司对公司以自筹资金预先投入募投项目的情况进行了核验，并出具了 </w:t>
                        </w:r>
                        <w:r>
                          <w:rPr>
                            <w:rFonts w:ascii="宋体" w:hAnsi="宋体" w:cs="宋体" w:eastAsia="宋体" w:hint="default"/>
                            <w:spacing w:val="-8"/>
                            <w:sz w:val="18"/>
                            <w:szCs w:val="18"/>
                          </w:rPr>
                          <w:t>信会师报字（</w:t>
                        </w:r>
                        <w:r>
                          <w:rPr>
                            <w:rFonts w:ascii="Times New Roman" w:hAnsi="Times New Roman" w:cs="Times New Roman" w:eastAsia="Times New Roman" w:hint="default"/>
                            <w:spacing w:val="-8"/>
                            <w:sz w:val="18"/>
                            <w:szCs w:val="18"/>
                          </w:rPr>
                          <w:t>2010</w:t>
                        </w:r>
                        <w:r>
                          <w:rPr>
                            <w:rFonts w:ascii="宋体" w:hAnsi="宋体" w:cs="宋体" w:eastAsia="宋体" w:hint="default"/>
                            <w:spacing w:val="-8"/>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11856</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号《关于东方财富信息股份有限公司以自筹资金预先投入募投项目的鉴证报告》</w:t>
                        </w:r>
                        <w:r>
                          <w:rPr>
                            <w:rFonts w:ascii="宋体" w:hAnsi="宋体" w:cs="宋体" w:eastAsia="宋体" w:hint="default"/>
                            <w:sz w:val="18"/>
                            <w:szCs w:val="18"/>
                          </w:rPr>
                        </w:r>
                      </w:p>
                    </w:tc>
                  </w:tr>
                  <w:tr>
                    <w:trPr>
                      <w:trHeight w:val="401" w:hRule="exact"/>
                    </w:trPr>
                    <w:tc>
                      <w:tcPr>
                        <w:tcW w:w="179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4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5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94" w:type="dxa"/>
                        <w:vMerge/>
                        <w:tcBorders>
                          <w:left w:val="single" w:sz="4" w:space="0" w:color="000000"/>
                          <w:bottom w:val="single" w:sz="4" w:space="0" w:color="FFFFFF"/>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9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4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55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94" w:type="dxa"/>
                        <w:vMerge/>
                        <w:tcBorders>
                          <w:left w:val="single" w:sz="4" w:space="0" w:color="000000"/>
                          <w:bottom w:val="single" w:sz="4" w:space="0" w:color="000000"/>
                          <w:right w:val="single" w:sz="4" w:space="0" w:color="000000"/>
                        </w:tcBorders>
                        <w:shd w:val="clear" w:color="auto" w:fill="D2D2D2"/>
                      </w:tcPr>
                      <w:p>
                        <w:pPr/>
                      </w:p>
                    </w:tc>
                    <w:tc>
                      <w:tcPr>
                        <w:tcW w:w="855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1028"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before="36"/>
        <w:ind w:left="472" w:right="6714"/>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47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9"/>
          <w:szCs w:val="19"/>
        </w:rPr>
      </w:pPr>
    </w:p>
    <w:p>
      <w:pPr>
        <w:pStyle w:val="Heading4"/>
        <w:spacing w:line="240" w:lineRule="auto"/>
        <w:ind w:left="472" w:right="671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472" w:right="671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47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pStyle w:val="Heading5"/>
        <w:spacing w:line="240" w:lineRule="auto"/>
        <w:ind w:left="472" w:right="671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47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left="472" w:right="6714"/>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before="0"/>
        <w:ind w:left="47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660" w:right="620"/>
        </w:sectPr>
      </w:pPr>
    </w:p>
    <w:p>
      <w:pPr>
        <w:spacing w:before="129"/>
        <w:ind w:left="312"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104"/>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054"/>
        <w:gridCol w:w="790"/>
        <w:gridCol w:w="853"/>
        <w:gridCol w:w="991"/>
        <w:gridCol w:w="1416"/>
        <w:gridCol w:w="1330"/>
        <w:gridCol w:w="1371"/>
        <w:gridCol w:w="1121"/>
        <w:gridCol w:w="1124"/>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西藏同信证</w:t>
            </w:r>
          </w:p>
        </w:tc>
        <w:tc>
          <w:tcPr>
            <w:tcW w:w="79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71"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券股份有限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证券服务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55"/>
              <w:jc w:val="right"/>
              <w:rPr>
                <w:rFonts w:ascii="Times New Roman" w:hAnsi="Times New Roman" w:cs="Times New Roman" w:eastAsia="Times New Roman" w:hint="default"/>
                <w:sz w:val="18"/>
                <w:szCs w:val="18"/>
              </w:rPr>
            </w:pPr>
            <w:r>
              <w:rPr>
                <w:rFonts w:ascii="Times New Roman"/>
                <w:spacing w:val="-1"/>
                <w:sz w:val="18"/>
              </w:rPr>
              <w:t>600,000,000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12,432,839,568.05</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1,548,465,319.33</w:t>
            </w:r>
          </w:p>
        </w:tc>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114,082,021.12</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61,335,787.39</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0" w:right="0"/>
              <w:jc w:val="center"/>
              <w:rPr>
                <w:rFonts w:ascii="Times New Roman" w:hAnsi="Times New Roman" w:cs="Times New Roman" w:eastAsia="Times New Roman" w:hint="default"/>
                <w:sz w:val="18"/>
                <w:szCs w:val="18"/>
              </w:rPr>
            </w:pPr>
            <w:r>
              <w:rPr>
                <w:rFonts w:ascii="Times New Roman"/>
                <w:sz w:val="18"/>
              </w:rPr>
              <w:t>57,564,793.69</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71"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上海东方财</w:t>
            </w:r>
          </w:p>
        </w:tc>
        <w:tc>
          <w:tcPr>
            <w:tcW w:w="790"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71"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富证券研究</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44"/>
              <w:jc w:val="right"/>
              <w:rPr>
                <w:rFonts w:ascii="Times New Roman" w:hAnsi="Times New Roman" w:cs="Times New Roman" w:eastAsia="Times New Roman" w:hint="default"/>
                <w:sz w:val="18"/>
                <w:szCs w:val="18"/>
              </w:rPr>
            </w:pPr>
            <w:r>
              <w:rPr>
                <w:rFonts w:ascii="Times New Roman"/>
                <w:spacing w:val="-1"/>
                <w:sz w:val="18"/>
              </w:rPr>
              <w:t>50,000,000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186,179,692.39</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64,952,400.56</w:t>
            </w:r>
          </w:p>
        </w:tc>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180,403,638.91</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7,663,145.61</w:t>
            </w: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35" w:right="0"/>
              <w:jc w:val="center"/>
              <w:rPr>
                <w:rFonts w:ascii="Times New Roman" w:hAnsi="Times New Roman" w:cs="Times New Roman" w:eastAsia="Times New Roman" w:hint="default"/>
                <w:sz w:val="18"/>
                <w:szCs w:val="18"/>
              </w:rPr>
            </w:pPr>
            <w:r>
              <w:rPr>
                <w:rFonts w:ascii="Times New Roman"/>
                <w:sz w:val="18"/>
              </w:rPr>
              <w:t>11,092,966.03</w:t>
            </w:r>
          </w:p>
        </w:tc>
      </w:tr>
      <w:tr>
        <w:trPr>
          <w:trHeight w:val="355"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所有限公司</w:t>
            </w:r>
          </w:p>
        </w:tc>
        <w:tc>
          <w:tcPr>
            <w:tcW w:w="790"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71"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上海天天基 金销售有限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z w:val="18"/>
                <w:szCs w:val="18"/>
              </w:rPr>
              <w:t>金融电子 商务服务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6,694,574,143.31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342,788,309.58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2,450,575,715.54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68,782,993.78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60,420,985.57</w:t>
            </w:r>
          </w:p>
        </w:tc>
      </w:tr>
    </w:tbl>
    <w:p>
      <w:pPr>
        <w:spacing w:before="49"/>
        <w:ind w:left="31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3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307"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西藏同信证券股份有限公司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发行股份购买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延伸服务链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扬州东方财富金融信息服务有限公司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延伸服务链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上海微兆信息科技有限公司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延伸服务链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东方财富国际证券有限公司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现金购买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延伸服务链</w:t>
            </w:r>
          </w:p>
        </w:tc>
      </w:tr>
    </w:tbl>
    <w:p>
      <w:pPr>
        <w:spacing w:before="49"/>
        <w:ind w:left="31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BodyText"/>
        <w:spacing w:line="240" w:lineRule="auto" w:before="94"/>
        <w:ind w:left="733" w:right="0"/>
        <w:jc w:val="left"/>
      </w:pPr>
      <w:r>
        <w:rPr/>
        <w:t>报告期内，公司增资入股上海漫道，持股比例为</w:t>
      </w:r>
      <w:r>
        <w:rPr>
          <w:spacing w:val="-58"/>
        </w:rPr>
        <w:t> </w:t>
      </w:r>
      <w:r>
        <w:rPr>
          <w:rFonts w:ascii="宋体" w:hAnsi="宋体" w:cs="宋体" w:eastAsia="宋体" w:hint="default"/>
        </w:rPr>
        <w:t>27%</w:t>
      </w:r>
      <w:r>
        <w:rPr/>
        <w:t>。</w:t>
      </w:r>
    </w:p>
    <w:p>
      <w:pPr>
        <w:spacing w:line="240" w:lineRule="auto" w:before="11"/>
        <w:rPr>
          <w:rFonts w:ascii="宋体" w:hAnsi="宋体" w:cs="宋体" w:eastAsia="宋体" w:hint="default"/>
          <w:sz w:val="23"/>
          <w:szCs w:val="23"/>
        </w:rPr>
      </w:pPr>
    </w:p>
    <w:p>
      <w:pPr>
        <w:pStyle w:val="Heading4"/>
        <w:spacing w:line="240" w:lineRule="auto"/>
        <w:ind w:left="312"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3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left="312" w:right="0"/>
        <w:jc w:val="left"/>
        <w:rPr>
          <w:b w:val="0"/>
          <w:bCs w:val="0"/>
        </w:rPr>
      </w:pP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733" w:right="0"/>
        <w:jc w:val="left"/>
      </w:pPr>
      <w:r>
        <w:rPr/>
        <w:t>（一）报告期经营计划执行情况</w:t>
      </w:r>
    </w:p>
    <w:p>
      <w:pPr>
        <w:pStyle w:val="BodyText"/>
        <w:spacing w:line="268" w:lineRule="auto" w:before="37"/>
        <w:ind w:left="312" w:right="326" w:firstLine="420"/>
        <w:jc w:val="both"/>
      </w:pPr>
      <w:r>
        <w:rPr>
          <w:rFonts w:ascii="Times New Roman" w:hAnsi="Times New Roman" w:cs="Times New Roman" w:eastAsia="Times New Roman" w:hint="default"/>
        </w:rPr>
        <w:t>1</w:t>
      </w:r>
      <w:r>
        <w:rPr/>
        <w:t>、报告期内，公司紧紧围绕实现一站式互联网金融服务的整体战略目标，进一步加大研发和创新力</w:t>
      </w:r>
      <w:r>
        <w:rPr>
          <w:w w:val="100"/>
        </w:rPr>
        <w:t> </w:t>
      </w:r>
      <w:r>
        <w:rPr>
          <w:spacing w:val="-2"/>
        </w:rPr>
        <w:t>度，加大战略投入，积极推进互联网金融服务大平台的优化和完善，加强核心海量数据库的升级和完善工</w:t>
      </w:r>
      <w:r>
        <w:rPr>
          <w:spacing w:val="-44"/>
        </w:rPr>
        <w:t> </w:t>
      </w:r>
      <w:r>
        <w:rPr>
          <w:spacing w:val="-44"/>
        </w:rPr>
      </w:r>
      <w:r>
        <w:rPr>
          <w:spacing w:val="-2"/>
        </w:rPr>
        <w:t>作，提升海量数据的处理和响应能力，互联网金融大平台的服务能力和水平得到了进一步提升，进一步巩</w:t>
      </w:r>
      <w:r>
        <w:rPr>
          <w:spacing w:val="-42"/>
        </w:rPr>
        <w:t> </w:t>
      </w:r>
      <w:r>
        <w:rPr>
          <w:spacing w:val="-42"/>
        </w:rPr>
      </w:r>
      <w:r>
        <w:rPr/>
        <w:t>固和强化了公司核心竞争力。</w:t>
      </w:r>
    </w:p>
    <w:p>
      <w:pPr>
        <w:pStyle w:val="BodyText"/>
        <w:spacing w:line="264" w:lineRule="auto" w:before="12"/>
        <w:ind w:left="312" w:right="0" w:firstLine="420"/>
        <w:jc w:val="left"/>
      </w:pPr>
      <w:r>
        <w:rPr>
          <w:rFonts w:ascii="Times New Roman" w:hAnsi="Times New Roman" w:cs="Times New Roman" w:eastAsia="Times New Roman" w:hint="default"/>
          <w:spacing w:val="-2"/>
        </w:rPr>
        <w:t>2</w:t>
      </w:r>
      <w:r>
        <w:rPr>
          <w:spacing w:val="-2"/>
        </w:rPr>
        <w:t>、报告期内，公司积极抓住互联网金融行业发展的历史机遇，进一步做好基金第三方销售服务业务。</w:t>
      </w:r>
      <w:r>
        <w:rPr>
          <w:w w:val="100"/>
        </w:rPr>
        <w:t> </w:t>
      </w:r>
      <w:r>
        <w:rPr>
          <w:spacing w:val="-2"/>
        </w:rPr>
        <w:t>公司进一步加快推进业务发展，加强产品的开发和创新，进一步丰富产品线，拓展服务范围，持续提升服</w:t>
      </w:r>
      <w:r>
        <w:rPr>
          <w:spacing w:val="-47"/>
        </w:rPr>
        <w:t> </w:t>
      </w:r>
      <w:r>
        <w:rPr>
          <w:spacing w:val="-47"/>
        </w:rPr>
      </w:r>
      <w:r>
        <w:rPr/>
        <w:t>务能力、质量和水平，公司互联网金融电子商务平台基金投资者规模和基金销售额同比实现大幅增长。截</w:t>
      </w:r>
      <w:r>
        <w:rPr>
          <w:w w:val="100"/>
        </w:rPr>
        <w:t> </w:t>
      </w:r>
      <w:r>
        <w:rPr>
          <w:spacing w:val="-2"/>
        </w:rPr>
        <w:t>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日，共上线</w:t>
      </w:r>
      <w:r>
        <w:rPr>
          <w:rFonts w:ascii="Times New Roman" w:hAnsi="Times New Roman" w:cs="Times New Roman" w:eastAsia="Times New Roman" w:hint="default"/>
          <w:spacing w:val="-2"/>
        </w:rPr>
        <w:t>97</w:t>
      </w:r>
      <w:r>
        <w:rPr>
          <w:spacing w:val="-2"/>
        </w:rPr>
        <w:t>家公募基金管理人管理的</w:t>
      </w:r>
      <w:r>
        <w:rPr>
          <w:rFonts w:ascii="Times New Roman" w:hAnsi="Times New Roman" w:cs="Times New Roman" w:eastAsia="Times New Roman" w:hint="default"/>
          <w:spacing w:val="-2"/>
        </w:rPr>
        <w:t>2889</w:t>
      </w:r>
      <w:r>
        <w:rPr>
          <w:spacing w:val="-2"/>
        </w:rPr>
        <w:t>只基金产品。报告期内，公司互联网金融电子</w:t>
      </w:r>
      <w:r>
        <w:rPr>
          <w:spacing w:val="-30"/>
        </w:rPr>
        <w:t> </w:t>
      </w:r>
      <w:r>
        <w:rPr>
          <w:spacing w:val="-30"/>
        </w:rPr>
      </w:r>
      <w:r>
        <w:rPr>
          <w:spacing w:val="-4"/>
        </w:rPr>
        <w:t>商务平台共计实现基金认申购及定期定额申购交易</w:t>
      </w:r>
      <w:r>
        <w:rPr>
          <w:rFonts w:ascii="Times New Roman" w:hAnsi="Times New Roman" w:cs="Times New Roman" w:eastAsia="Times New Roman" w:hint="default"/>
          <w:spacing w:val="-4"/>
        </w:rPr>
        <w:t>47395707</w:t>
      </w:r>
      <w:r>
        <w:rPr>
          <w:spacing w:val="-4"/>
        </w:rPr>
        <w:t>笔，基金销售额为</w:t>
      </w:r>
      <w:r>
        <w:rPr>
          <w:rFonts w:ascii="Times New Roman" w:hAnsi="Times New Roman" w:cs="Times New Roman" w:eastAsia="Times New Roman" w:hint="default"/>
          <w:spacing w:val="-4"/>
        </w:rPr>
        <w:t>7,432.55</w:t>
      </w:r>
      <w:r>
        <w:rPr>
          <w:spacing w:val="-4"/>
        </w:rPr>
        <w:t>亿元，其中</w:t>
      </w:r>
      <w:r>
        <w:rPr>
          <w:rFonts w:ascii="Times New Roman" w:hAnsi="Times New Roman" w:cs="Times New Roman" w:eastAsia="Times New Roman" w:hint="default"/>
          <w:spacing w:val="-4"/>
        </w:rPr>
        <w:t>“</w:t>
      </w:r>
      <w:r>
        <w:rPr>
          <w:spacing w:val="-4"/>
        </w:rPr>
        <w:t>活期宝</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7"/>
        </w:rPr>
        <w:t> </w:t>
      </w:r>
      <w:r>
        <w:rPr/>
        <w:t>共计实现申购交易</w:t>
      </w:r>
      <w:r>
        <w:rPr>
          <w:rFonts w:ascii="Times New Roman" w:hAnsi="Times New Roman" w:cs="Times New Roman" w:eastAsia="Times New Roman" w:hint="default"/>
        </w:rPr>
        <w:t>16400945</w:t>
      </w:r>
      <w:r>
        <w:rPr/>
        <w:t>笔</w:t>
      </w:r>
      <w:r>
        <w:rPr>
          <w:rFonts w:ascii="Times New Roman" w:hAnsi="Times New Roman" w:cs="Times New Roman" w:eastAsia="Times New Roman" w:hint="default"/>
        </w:rPr>
        <w:t>,</w:t>
      </w:r>
      <w:r>
        <w:rPr/>
        <w:t>销售额累计为</w:t>
      </w:r>
      <w:r>
        <w:rPr>
          <w:rFonts w:ascii="Times New Roman" w:hAnsi="Times New Roman" w:cs="Times New Roman" w:eastAsia="Times New Roman" w:hint="default"/>
        </w:rPr>
        <w:t>4,216.02</w:t>
      </w:r>
      <w:r>
        <w:rPr/>
        <w:t>亿元。</w:t>
      </w:r>
    </w:p>
    <w:p>
      <w:pPr>
        <w:pStyle w:val="BodyText"/>
        <w:spacing w:line="256" w:lineRule="auto"/>
        <w:ind w:left="312" w:right="0" w:firstLine="420"/>
        <w:jc w:val="left"/>
      </w:pPr>
      <w:r>
        <w:rPr>
          <w:rFonts w:ascii="Times New Roman" w:hAnsi="Times New Roman" w:cs="Times New Roman" w:eastAsia="Times New Roman" w:hint="default"/>
        </w:rPr>
        <w:t>3</w:t>
      </w:r>
      <w:r>
        <w:rPr/>
        <w:t>、报告期内，公司努力拓宽互联网金融服务大平台的服务范围，努力延伸和完善服务链条，在实现</w:t>
      </w:r>
      <w:r>
        <w:rPr>
          <w:w w:val="100"/>
        </w:rPr>
        <w:t> </w:t>
      </w:r>
      <w:r>
        <w:rPr>
          <w:spacing w:val="-2"/>
        </w:rPr>
        <w:t>内生增长的同时，积极拓展外延式发展机会，做好并购重组和对外投资等工作。报告期内，公司完成了同</w:t>
      </w:r>
    </w:p>
    <w:p>
      <w:pPr>
        <w:spacing w:after="0" w:line="256" w:lineRule="auto"/>
        <w:jc w:val="left"/>
        <w:sectPr>
          <w:pgSz w:w="11910" w:h="16840"/>
          <w:pgMar w:header="852" w:footer="979" w:top="1300" w:bottom="1160" w:left="820" w:right="800"/>
        </w:sectPr>
      </w:pPr>
    </w:p>
    <w:p>
      <w:pPr>
        <w:pStyle w:val="BodyText"/>
        <w:spacing w:line="273" w:lineRule="auto" w:before="108"/>
        <w:ind w:right="206"/>
        <w:jc w:val="both"/>
      </w:pPr>
      <w:r>
        <w:rPr>
          <w:spacing w:val="-2"/>
        </w:rPr>
        <w:t>信证券和东财国际的收购，投资参股了证通股份有限公司和中证信用增进股份有限公司，增资入股了上海</w:t>
      </w:r>
      <w:r>
        <w:rPr>
          <w:spacing w:val="-43"/>
        </w:rPr>
        <w:t> </w:t>
      </w:r>
      <w:r>
        <w:rPr>
          <w:spacing w:val="-43"/>
        </w:rPr>
      </w:r>
      <w:r>
        <w:rPr/>
        <w:t>漫道。</w:t>
      </w:r>
    </w:p>
    <w:p>
      <w:pPr>
        <w:pStyle w:val="BodyText"/>
        <w:spacing w:line="268" w:lineRule="auto" w:before="7"/>
        <w:ind w:right="103" w:firstLine="420"/>
        <w:jc w:val="left"/>
      </w:pPr>
      <w:r>
        <w:rPr>
          <w:rFonts w:ascii="Times New Roman" w:hAnsi="Times New Roman" w:cs="Times New Roman" w:eastAsia="Times New Roman" w:hint="default"/>
        </w:rPr>
        <w:t>4</w:t>
      </w:r>
      <w:r>
        <w:rPr/>
        <w:t>、报告期内，公司进一步加强了金融数据服务业务的发展，持续推进海量财经金融数据库的优化和</w:t>
      </w:r>
      <w:r>
        <w:rPr>
          <w:w w:val="100"/>
        </w:rPr>
        <w:t> </w:t>
      </w:r>
      <w:r>
        <w:rPr>
          <w:spacing w:val="-2"/>
        </w:rPr>
        <w:t>完善相关工作，进一步加强个人终端产品研发创新工作，新增并持续完善投资组合功能及证券开户交易等</w:t>
      </w:r>
      <w:r>
        <w:rPr>
          <w:spacing w:val="-42"/>
        </w:rPr>
        <w:t> </w:t>
      </w:r>
      <w:r>
        <w:rPr>
          <w:spacing w:val="-42"/>
        </w:rPr>
      </w:r>
      <w:r>
        <w:rPr>
          <w:spacing w:val="-2"/>
        </w:rPr>
        <w:t>相关服务，持续提升产品的质量和服务能力，同时进一步完善金融数据机构端服务产品，新增并持续完善</w:t>
      </w:r>
      <w:r>
        <w:rPr>
          <w:spacing w:val="-43"/>
        </w:rPr>
        <w:t> </w:t>
      </w:r>
      <w:r>
        <w:rPr>
          <w:spacing w:val="-43"/>
        </w:rPr>
      </w:r>
      <w:r>
        <w:rPr>
          <w:spacing w:val="-5"/>
        </w:rPr>
        <w:t>新三板及私募市场等相关信息数据服务，进一步提升服务质量和用户体验，进一步加强了产品的宣传推广。 </w:t>
      </w:r>
      <w:r>
        <w:rPr>
          <w:spacing w:val="-5"/>
        </w:rPr>
      </w:r>
      <w:r>
        <w:rPr>
          <w:spacing w:val="-2"/>
        </w:rPr>
        <w:t>报告期内，公司金融数据服务业务收入同比实现大幅增长。报告期内，公司进一步强化互联网广告服务业</w:t>
      </w:r>
      <w:r>
        <w:rPr>
          <w:spacing w:val="-44"/>
        </w:rPr>
        <w:t> </w:t>
      </w:r>
      <w:r>
        <w:rPr>
          <w:spacing w:val="-44"/>
        </w:rPr>
      </w:r>
      <w:r>
        <w:rPr/>
        <w:t>务的发展，公司互联网广告服务业务收入同比实现一定增长。</w:t>
      </w:r>
    </w:p>
    <w:p>
      <w:pPr>
        <w:pStyle w:val="BodyText"/>
        <w:spacing w:line="256" w:lineRule="auto" w:before="12"/>
        <w:ind w:right="103" w:firstLine="420"/>
        <w:jc w:val="left"/>
      </w:pPr>
      <w:r>
        <w:rPr>
          <w:rFonts w:ascii="Times New Roman" w:hAnsi="Times New Roman" w:cs="Times New Roman" w:eastAsia="Times New Roman" w:hint="default"/>
        </w:rPr>
        <w:t>5</w:t>
      </w:r>
      <w:r>
        <w:rPr/>
        <w:t>、报告期内，公司进一步强化品牌宣传工作，加大了投入，进一步提升了公司品牌影响力和互联网</w:t>
      </w:r>
      <w:r>
        <w:rPr>
          <w:w w:val="100"/>
        </w:rPr>
        <w:t> </w:t>
      </w:r>
      <w:r>
        <w:rPr/>
        <w:t>金融服务大平台的整体价值。</w:t>
      </w:r>
    </w:p>
    <w:p>
      <w:pPr>
        <w:pStyle w:val="BodyText"/>
        <w:spacing w:line="264" w:lineRule="auto" w:before="22"/>
        <w:ind w:right="103" w:firstLine="420"/>
        <w:jc w:val="left"/>
      </w:pPr>
      <w:r>
        <w:rPr>
          <w:rFonts w:ascii="Times New Roman" w:hAnsi="Times New Roman" w:cs="Times New Roman" w:eastAsia="Times New Roman" w:hint="default"/>
        </w:rPr>
        <w:t>6</w:t>
      </w:r>
      <w:r>
        <w:rPr/>
        <w:t>、报告期内，公司继续做好募投项目和前期超募资金投资项目的后续维护工作，进一步发挥募集资</w:t>
      </w:r>
      <w:r>
        <w:rPr>
          <w:w w:val="100"/>
        </w:rPr>
        <w:t> </w:t>
      </w:r>
      <w:r>
        <w:rPr>
          <w:spacing w:val="-4"/>
        </w:rPr>
        <w:t>金投资项目整体协同效应。报告期内，公司根据整体战略规划，分别使用超募资金</w:t>
      </w:r>
      <w:r>
        <w:rPr>
          <w:rFonts w:ascii="Times New Roman" w:hAnsi="Times New Roman" w:cs="Times New Roman" w:eastAsia="Times New Roman" w:hint="default"/>
          <w:spacing w:val="-4"/>
        </w:rPr>
        <w:t>20,000</w:t>
      </w:r>
      <w:r>
        <w:rPr>
          <w:spacing w:val="-4"/>
        </w:rPr>
        <w:t>万元、</w:t>
      </w:r>
      <w:r>
        <w:rPr>
          <w:rFonts w:ascii="Times New Roman" w:hAnsi="Times New Roman" w:cs="Times New Roman" w:eastAsia="Times New Roman" w:hint="default"/>
          <w:spacing w:val="-4"/>
        </w:rPr>
        <w:t>4,000</w:t>
      </w:r>
      <w:r>
        <w:rPr>
          <w:spacing w:val="-4"/>
        </w:rPr>
        <w:t>万元，</w:t>
      </w:r>
      <w:r>
        <w:rPr>
          <w:spacing w:val="-32"/>
        </w:rPr>
        <w:t> </w:t>
      </w:r>
      <w:r>
        <w:rPr/>
        <w:t>完成了对天天基金、东财研究所的增资。同时，使用超募资金</w:t>
      </w:r>
      <w:r>
        <w:rPr>
          <w:rFonts w:ascii="Times New Roman" w:hAnsi="Times New Roman" w:cs="Times New Roman" w:eastAsia="Times New Roman" w:hint="default"/>
        </w:rPr>
        <w:t>20,000</w:t>
      </w:r>
      <w:r>
        <w:rPr/>
        <w:t>万元，投资设立基金管理公司，并已</w:t>
      </w:r>
      <w:r>
        <w:rPr>
          <w:spacing w:val="-77"/>
        </w:rPr>
        <w:t> </w:t>
      </w:r>
      <w:r>
        <w:rPr>
          <w:spacing w:val="-77"/>
        </w:rPr>
      </w:r>
      <w:r>
        <w:rPr>
          <w:spacing w:val="-2"/>
        </w:rPr>
        <w:t>向中国证监会提交了设立基金管理公司的申请，公司将在通过中国证监会审核并取得设立批文后，尽快完</w:t>
      </w:r>
      <w:r>
        <w:rPr>
          <w:spacing w:val="-44"/>
        </w:rPr>
        <w:t> </w:t>
      </w:r>
      <w:r>
        <w:rPr>
          <w:spacing w:val="-44"/>
        </w:rPr>
      </w:r>
      <w:r>
        <w:rPr>
          <w:spacing w:val="-2"/>
        </w:rPr>
        <w:t>成基金管理公司的设立并开展相关业务。为了进一步提高募集资金的使用效率，公司进一步加强了剩余超</w:t>
      </w:r>
      <w:r>
        <w:rPr>
          <w:spacing w:val="-43"/>
        </w:rPr>
        <w:t> </w:t>
      </w:r>
      <w:r>
        <w:rPr>
          <w:spacing w:val="-43"/>
        </w:rPr>
      </w:r>
      <w:r>
        <w:rPr/>
        <w:t>募资金的管理工作，使用部分超募资金购买了低风险银行理财产品。</w:t>
      </w:r>
    </w:p>
    <w:p>
      <w:pPr>
        <w:pStyle w:val="BodyText"/>
        <w:spacing w:line="264" w:lineRule="auto" w:before="16"/>
        <w:ind w:right="206" w:firstLine="420"/>
        <w:jc w:val="both"/>
      </w:pPr>
      <w:r>
        <w:rPr>
          <w:rFonts w:ascii="Times New Roman" w:hAnsi="Times New Roman" w:cs="Times New Roman" w:eastAsia="Times New Roman" w:hint="default"/>
        </w:rPr>
        <w:t>7</w:t>
      </w:r>
      <w:r>
        <w:rPr/>
        <w:t>、报告期内，公司持续加强和提升财务管理工作，进一步发挥财务职能作用，进一步加强人力资源</w:t>
      </w:r>
      <w:r>
        <w:rPr>
          <w:w w:val="100"/>
        </w:rPr>
        <w:t> </w:t>
      </w:r>
      <w:r>
        <w:rPr>
          <w:spacing w:val="-2"/>
        </w:rPr>
        <w:t>管理，建立并完善组织绩效管理体系，进一步完善了绩效考核机制和激励机制。报告期内，公司完成了首</w:t>
      </w:r>
      <w:r>
        <w:rPr>
          <w:spacing w:val="-47"/>
        </w:rPr>
        <w:t> </w:t>
      </w:r>
      <w:r>
        <w:rPr>
          <w:spacing w:val="-47"/>
        </w:rPr>
      </w:r>
      <w:r>
        <w:rPr>
          <w:spacing w:val="-2"/>
        </w:rPr>
        <w:t>期股票期权激励计划首次授予期权第四个行权期的行权事项，并完成了</w:t>
      </w:r>
      <w:r>
        <w:rPr>
          <w:rFonts w:ascii="Times New Roman" w:hAnsi="Times New Roman" w:cs="Times New Roman" w:eastAsia="Times New Roman" w:hint="default"/>
          <w:spacing w:val="-2"/>
        </w:rPr>
        <w:t>2014</w:t>
      </w:r>
      <w:r>
        <w:rPr>
          <w:spacing w:val="-2"/>
        </w:rPr>
        <w:t>年股票期权激励计划预留期权</w:t>
      </w:r>
      <w:r>
        <w:rPr>
          <w:spacing w:val="-39"/>
        </w:rPr>
        <w:t> </w:t>
      </w:r>
      <w:r>
        <w:rPr>
          <w:spacing w:val="-39"/>
        </w:rPr>
      </w:r>
      <w:r>
        <w:rPr>
          <w:spacing w:val="-2"/>
        </w:rPr>
        <w:t>的授予登记等相关工作，进一步提高了员工积极性和稳定性，进一步增强了企业活力和凝聚力。同时，公</w:t>
      </w:r>
      <w:r>
        <w:rPr>
          <w:spacing w:val="-46"/>
        </w:rPr>
        <w:t> </w:t>
      </w:r>
      <w:r>
        <w:rPr>
          <w:spacing w:val="-46"/>
        </w:rPr>
      </w:r>
      <w:r>
        <w:rPr>
          <w:spacing w:val="-3"/>
        </w:rPr>
        <w:t>司进一步加强了优秀人才的引进和梯队建设，进一步加强企业文化建设，努力提升企业整体管理水平</w:t>
      </w:r>
      <w:r>
        <w:rPr>
          <w:rFonts w:ascii="Times New Roman" w:hAnsi="Times New Roman" w:cs="Times New Roman" w:eastAsia="Times New Roman" w:hint="default"/>
          <w:spacing w:val="-3"/>
        </w:rPr>
        <w:t>,</w:t>
      </w:r>
      <w:r>
        <w:rPr>
          <w:spacing w:val="-3"/>
        </w:rPr>
        <w:t>为公</w:t>
      </w:r>
      <w:r>
        <w:rPr>
          <w:spacing w:val="-48"/>
        </w:rPr>
        <w:t> </w:t>
      </w:r>
      <w:r>
        <w:rPr/>
        <w:t>司可持续健康发展提供了人才保障。</w:t>
      </w:r>
    </w:p>
    <w:p>
      <w:pPr>
        <w:pStyle w:val="BodyText"/>
        <w:spacing w:line="256" w:lineRule="auto" w:before="16"/>
        <w:ind w:right="212" w:firstLine="420"/>
        <w:jc w:val="both"/>
      </w:pPr>
      <w:r>
        <w:rPr>
          <w:rFonts w:ascii="Times New Roman" w:hAnsi="Times New Roman" w:cs="Times New Roman" w:eastAsia="Times New Roman" w:hint="default"/>
        </w:rPr>
        <w:t>8</w:t>
      </w:r>
      <w:r>
        <w:rPr/>
        <w:t>、报告期内，公司进一步提升投资者关系管理工作，进一步做好与投资者的互动交流等工作。报告</w:t>
      </w:r>
      <w:r>
        <w:rPr>
          <w:w w:val="100"/>
        </w:rPr>
        <w:t> </w:t>
      </w:r>
      <w:r>
        <w:rPr/>
        <w:t>期内，公司共接听投资者来电</w:t>
      </w:r>
      <w:r>
        <w:rPr>
          <w:rFonts w:ascii="Times New Roman" w:hAnsi="Times New Roman" w:cs="Times New Roman" w:eastAsia="Times New Roman" w:hint="default"/>
        </w:rPr>
        <w:t>1651</w:t>
      </w:r>
      <w:r>
        <w:rPr/>
        <w:t>个，回答深交所互动易平台投资者提问</w:t>
      </w:r>
      <w:r>
        <w:rPr>
          <w:rFonts w:ascii="Times New Roman" w:hAnsi="Times New Roman" w:cs="Times New Roman" w:eastAsia="Times New Roman" w:hint="default"/>
        </w:rPr>
        <w:t>707</w:t>
      </w:r>
      <w:r>
        <w:rPr/>
        <w:t>个，组织主办网上业绩说明</w:t>
      </w:r>
      <w:r>
        <w:rPr>
          <w:spacing w:val="-26"/>
        </w:rPr>
        <w:t> </w:t>
      </w:r>
      <w:r>
        <w:rPr>
          <w:spacing w:val="-26"/>
        </w:rPr>
      </w:r>
      <w:r>
        <w:rPr/>
        <w:t>会</w:t>
      </w:r>
      <w:r>
        <w:rPr>
          <w:rFonts w:ascii="Times New Roman" w:hAnsi="Times New Roman" w:cs="Times New Roman" w:eastAsia="Times New Roman" w:hint="default"/>
        </w:rPr>
        <w:t>1</w:t>
      </w:r>
      <w:r>
        <w:rPr/>
        <w:t>次，参加大型反向路演活动</w:t>
      </w:r>
      <w:r>
        <w:rPr>
          <w:rFonts w:ascii="Times New Roman" w:hAnsi="Times New Roman" w:cs="Times New Roman" w:eastAsia="Times New Roman" w:hint="default"/>
        </w:rPr>
        <w:t>4</w:t>
      </w:r>
      <w:r>
        <w:rPr/>
        <w:t>次。</w:t>
      </w:r>
    </w:p>
    <w:p>
      <w:pPr>
        <w:pStyle w:val="BodyText"/>
        <w:spacing w:line="256" w:lineRule="auto" w:before="5"/>
        <w:ind w:left="573" w:right="103"/>
        <w:jc w:val="left"/>
      </w:pPr>
      <w:r>
        <w:rPr/>
        <w:t>（二）公司</w:t>
      </w:r>
      <w:r>
        <w:rPr>
          <w:rFonts w:ascii="Times New Roman" w:hAnsi="Times New Roman" w:cs="Times New Roman" w:eastAsia="Times New Roman" w:hint="default"/>
        </w:rPr>
        <w:t>2016</w:t>
      </w:r>
      <w:r>
        <w:rPr/>
        <w:t>年度经营计划</w:t>
      </w:r>
      <w:r>
        <w:rPr>
          <w:w w:val="100"/>
        </w:rPr>
        <w:t> </w:t>
      </w:r>
      <w:r>
        <w:rPr>
          <w:spacing w:val="-2"/>
        </w:rPr>
        <w:t>面对复杂多变的国内外经济形势和压力，</w:t>
      </w:r>
      <w:r>
        <w:rPr>
          <w:rFonts w:ascii="宋体" w:hAnsi="宋体" w:cs="宋体" w:eastAsia="宋体" w:hint="default"/>
          <w:spacing w:val="-2"/>
        </w:rPr>
        <w:t>2016</w:t>
      </w:r>
      <w:r>
        <w:rPr>
          <w:spacing w:val="-2"/>
        </w:rPr>
        <w:t>年度，公司将紧紧围绕一站式互联网金融服务的整体战</w:t>
      </w:r>
    </w:p>
    <w:p>
      <w:pPr>
        <w:pStyle w:val="BodyText"/>
        <w:spacing w:line="273" w:lineRule="auto" w:before="22"/>
        <w:ind w:right="209"/>
        <w:jc w:val="both"/>
      </w:pPr>
      <w:r>
        <w:rPr>
          <w:spacing w:val="-2"/>
        </w:rPr>
        <w:t>略定位，积极抓住发展机遇，努力克服困难，进一步加强战略投入，加强互联网金融服务大平台的优化和</w:t>
      </w:r>
      <w:r>
        <w:rPr>
          <w:spacing w:val="-47"/>
        </w:rPr>
        <w:t> </w:t>
      </w:r>
      <w:r>
        <w:rPr>
          <w:spacing w:val="-47"/>
        </w:rPr>
      </w:r>
      <w:r>
        <w:rPr>
          <w:spacing w:val="-2"/>
        </w:rPr>
        <w:t>完善工作，进一步提升服务能力，提升用户体验和黏性，进一步巩固和强化公司核心竞争力，为公司实现</w:t>
      </w:r>
      <w:r>
        <w:rPr>
          <w:spacing w:val="-50"/>
        </w:rPr>
        <w:t> </w:t>
      </w:r>
      <w:r>
        <w:rPr>
          <w:spacing w:val="-50"/>
        </w:rPr>
      </w:r>
      <w:r>
        <w:rPr/>
        <w:t>长期可持续健康发展，夯牢坚实的基础。</w:t>
      </w:r>
    </w:p>
    <w:p>
      <w:pPr>
        <w:pStyle w:val="BodyText"/>
        <w:spacing w:line="273" w:lineRule="auto" w:before="7"/>
        <w:ind w:left="573" w:right="103"/>
        <w:jc w:val="left"/>
      </w:pPr>
      <w:r>
        <w:rPr>
          <w:rFonts w:ascii="宋体" w:hAnsi="宋体" w:cs="宋体" w:eastAsia="宋体" w:hint="default"/>
        </w:rPr>
        <w:t>1</w:t>
      </w:r>
      <w:r>
        <w:rPr/>
        <w:t>、进一步加强研发创新工作，持续优化和完善公司互联网金融服务大平台</w:t>
      </w:r>
      <w:r>
        <w:rPr>
          <w:w w:val="100"/>
        </w:rPr>
        <w:t> </w:t>
      </w:r>
      <w:r>
        <w:rPr>
          <w:spacing w:val="-2"/>
        </w:rPr>
        <w:t>公司将进一步加强研发创新工作，加强网站平台、互动社区平台、金融数据终端平台和移动端平台升</w:t>
      </w:r>
    </w:p>
    <w:p>
      <w:pPr>
        <w:pStyle w:val="BodyText"/>
        <w:spacing w:line="273" w:lineRule="auto" w:before="7"/>
        <w:ind w:right="184"/>
        <w:jc w:val="both"/>
      </w:pPr>
      <w:r>
        <w:rPr>
          <w:spacing w:val="-2"/>
        </w:rPr>
        <w:t>级和优化工作，加强互联网金融电子商务平台服务创新和完善工作，持续加强核心海量数据库的升级和完</w:t>
      </w:r>
      <w:r>
        <w:rPr>
          <w:spacing w:val="-43"/>
        </w:rPr>
        <w:t> </w:t>
      </w:r>
      <w:r>
        <w:rPr>
          <w:spacing w:val="-43"/>
        </w:rPr>
      </w:r>
      <w:r>
        <w:rPr>
          <w:spacing w:val="-2"/>
        </w:rPr>
        <w:t>善工作，进一步提升整个大平台的海量数据处理和响应能力，为整个大平台的服务提供强大的数据支持，</w:t>
      </w:r>
      <w:r>
        <w:rPr>
          <w:spacing w:val="-21"/>
        </w:rPr>
        <w:t> </w:t>
      </w:r>
      <w:r>
        <w:rPr>
          <w:spacing w:val="-21"/>
        </w:rPr>
      </w:r>
      <w:r>
        <w:rPr>
          <w:spacing w:val="-2"/>
        </w:rPr>
        <w:t>实现各平台底层海量数据的共享覆盖，充分发挥各平台的整体协同效应，提升用户体验，提高用户粘性，</w:t>
      </w:r>
      <w:r>
        <w:rPr>
          <w:spacing w:val="-21"/>
        </w:rPr>
        <w:t> </w:t>
      </w:r>
      <w:r>
        <w:rPr>
          <w:spacing w:val="-21"/>
        </w:rPr>
      </w:r>
      <w:r>
        <w:rPr/>
        <w:t>为海量用户提供更大范围的一站式互联网金融服务，打下大平台基础。</w:t>
      </w:r>
    </w:p>
    <w:p>
      <w:pPr>
        <w:pStyle w:val="BodyText"/>
        <w:spacing w:line="273" w:lineRule="auto" w:before="7"/>
        <w:ind w:left="573" w:right="103"/>
        <w:jc w:val="left"/>
      </w:pPr>
      <w:r>
        <w:rPr>
          <w:rFonts w:ascii="宋体" w:hAnsi="宋体" w:cs="宋体" w:eastAsia="宋体" w:hint="default"/>
        </w:rPr>
        <w:t>2</w:t>
      </w:r>
      <w:r>
        <w:rPr/>
        <w:t>、进一步推进互联网金融电子商务基金第三方销售服务业务的健康快速发展</w:t>
      </w:r>
      <w:r>
        <w:rPr>
          <w:w w:val="100"/>
        </w:rPr>
        <w:t> </w:t>
      </w:r>
      <w:r>
        <w:rPr>
          <w:spacing w:val="-2"/>
        </w:rPr>
        <w:t>公司将积极抓住互联网金融发展的历史机遇，坚持以用户需求为中心，进一步做好基金第三方销售服</w:t>
      </w:r>
    </w:p>
    <w:p>
      <w:pPr>
        <w:pStyle w:val="BodyText"/>
        <w:spacing w:line="273" w:lineRule="auto" w:before="7"/>
        <w:ind w:right="206"/>
        <w:jc w:val="both"/>
      </w:pPr>
      <w:r>
        <w:rPr>
          <w:spacing w:val="-2"/>
        </w:rPr>
        <w:t>务业务，进一步加强互联网金融服务创新工作，进一步丰富产品线，拓展服务范围，提高市场覆盖面，提</w:t>
      </w:r>
      <w:r>
        <w:rPr>
          <w:spacing w:val="-43"/>
        </w:rPr>
        <w:t> </w:t>
      </w:r>
      <w:r>
        <w:rPr>
          <w:spacing w:val="-43"/>
        </w:rPr>
      </w:r>
      <w:r>
        <w:rPr>
          <w:spacing w:val="-2"/>
        </w:rPr>
        <w:t>升服务能力和水平，提升用户体验，进一步巩固和强化行业领先地位，进互联网金融电子商务基金第三方</w:t>
      </w:r>
      <w:r>
        <w:rPr>
          <w:spacing w:val="-43"/>
        </w:rPr>
        <w:t> </w:t>
      </w:r>
      <w:r>
        <w:rPr>
          <w:spacing w:val="-43"/>
        </w:rPr>
      </w:r>
      <w:r>
        <w:rPr/>
        <w:t>销售服务业务的健康快速发展。</w:t>
      </w:r>
    </w:p>
    <w:p>
      <w:pPr>
        <w:pStyle w:val="BodyText"/>
        <w:spacing w:line="273" w:lineRule="auto" w:before="7"/>
        <w:ind w:left="573" w:right="103"/>
        <w:jc w:val="left"/>
      </w:pPr>
      <w:r>
        <w:rPr>
          <w:rFonts w:ascii="宋体" w:hAnsi="宋体" w:cs="宋体" w:eastAsia="宋体" w:hint="default"/>
        </w:rPr>
        <w:t>3</w:t>
      </w:r>
      <w:r>
        <w:rPr/>
        <w:t>、全面做好同信证券、东财国际的业务整合工作，实现证券服务业务快速发展</w:t>
      </w:r>
      <w:r>
        <w:rPr>
          <w:w w:val="100"/>
        </w:rPr>
        <w:t> </w:t>
      </w:r>
      <w:r>
        <w:rPr>
          <w:spacing w:val="-2"/>
        </w:rPr>
        <w:t>公司将结合一站式互联网金融服务大平台和海量用户的核心竞争优势，充分发挥整体协同效应，全面</w:t>
      </w:r>
    </w:p>
    <w:p>
      <w:pPr>
        <w:pStyle w:val="BodyText"/>
        <w:spacing w:line="240" w:lineRule="auto" w:before="7"/>
        <w:ind w:right="0"/>
        <w:jc w:val="both"/>
      </w:pPr>
      <w:r>
        <w:rPr/>
        <w:t>做好同信证券、东财国际的业务整合工作，从战略、业务、制度、人才和企业文化等各个方面着手，进行</w:t>
      </w:r>
    </w:p>
    <w:p>
      <w:pPr>
        <w:spacing w:after="0" w:line="240" w:lineRule="auto"/>
        <w:jc w:val="both"/>
        <w:sectPr>
          <w:pgSz w:w="11910" w:h="16840"/>
          <w:pgMar w:header="852" w:footer="979" w:top="1300" w:bottom="1160" w:left="980" w:right="920"/>
        </w:sectPr>
      </w:pPr>
    </w:p>
    <w:p>
      <w:pPr>
        <w:pStyle w:val="BodyText"/>
        <w:spacing w:line="273" w:lineRule="auto" w:before="108"/>
        <w:ind w:right="146"/>
        <w:jc w:val="both"/>
      </w:pPr>
      <w:r>
        <w:rPr>
          <w:spacing w:val="-2"/>
        </w:rPr>
        <w:t>全方位的整合。公司将以海量用户的需求为中心，以国家推进多层次资本市场发展，和中国资本市场国际</w:t>
      </w:r>
      <w:r>
        <w:rPr>
          <w:spacing w:val="-43"/>
        </w:rPr>
        <w:t> </w:t>
      </w:r>
      <w:r>
        <w:rPr>
          <w:spacing w:val="-43"/>
        </w:rPr>
      </w:r>
      <w:r>
        <w:rPr>
          <w:spacing w:val="-2"/>
        </w:rPr>
        <w:t>化为契机，努力提升公司专业化、国际化服务的能力和水平，快速扩大用户规模，大幅提升市场份额，全</w:t>
      </w:r>
      <w:r>
        <w:rPr>
          <w:spacing w:val="-43"/>
        </w:rPr>
        <w:t> </w:t>
      </w:r>
      <w:r>
        <w:rPr>
          <w:spacing w:val="-43"/>
        </w:rPr>
      </w:r>
      <w:r>
        <w:rPr/>
        <w:t>面推动证券服务业务实现健康快速发展。</w:t>
      </w:r>
    </w:p>
    <w:p>
      <w:pPr>
        <w:pStyle w:val="BodyText"/>
        <w:spacing w:line="273" w:lineRule="auto" w:before="7"/>
        <w:ind w:left="573" w:right="0"/>
        <w:jc w:val="left"/>
      </w:pPr>
      <w:r>
        <w:rPr>
          <w:rFonts w:ascii="宋体" w:hAnsi="宋体" w:cs="宋体" w:eastAsia="宋体" w:hint="default"/>
        </w:rPr>
        <w:t>4</w:t>
      </w:r>
      <w:r>
        <w:rPr/>
        <w:t>、进一步探索互联网金融服务新业务，拓展和完善服务链条</w:t>
      </w:r>
      <w:r>
        <w:rPr>
          <w:w w:val="100"/>
        </w:rPr>
        <w:t> </w:t>
      </w:r>
      <w:r>
        <w:rPr>
          <w:spacing w:val="-2"/>
        </w:rPr>
        <w:t>公司将积极探索拓展互联网金融服务新业务，进一步拓宽公司互联网金融服务大平台的服务范围，进</w:t>
      </w:r>
    </w:p>
    <w:p>
      <w:pPr>
        <w:pStyle w:val="BodyText"/>
        <w:spacing w:line="273" w:lineRule="auto" w:before="7"/>
        <w:ind w:left="573" w:right="0" w:hanging="421"/>
        <w:jc w:val="left"/>
      </w:pPr>
      <w:r>
        <w:rPr/>
        <w:t>一步延伸和完善服务链条，促进一站式互联网金融服务整体战略目标的实现。</w:t>
      </w:r>
      <w:r>
        <w:rPr>
          <w:w w:val="100"/>
        </w:rPr>
        <w:t> </w:t>
      </w:r>
      <w:r>
        <w:rPr>
          <w:rFonts w:ascii="宋体" w:hAnsi="宋体" w:cs="宋体" w:eastAsia="宋体" w:hint="default"/>
        </w:rPr>
        <w:t>5</w:t>
      </w:r>
      <w:r>
        <w:rPr/>
        <w:t>、积极挖掘互联网金融服务海量数据巨大价值，实现向金融大数据服务延伸</w:t>
      </w:r>
      <w:r>
        <w:rPr>
          <w:w w:val="100"/>
        </w:rPr>
        <w:t> </w:t>
      </w:r>
      <w:r>
        <w:rPr>
          <w:spacing w:val="-2"/>
        </w:rPr>
        <w:t>公司将进一步打通互联网金融服务大平台海量数据和用户数据的互通共享，积极挖掘互联网金融服务</w:t>
      </w:r>
    </w:p>
    <w:p>
      <w:pPr>
        <w:pStyle w:val="BodyText"/>
        <w:spacing w:line="273" w:lineRule="auto" w:before="7"/>
        <w:ind w:left="573" w:right="0" w:hanging="421"/>
        <w:jc w:val="left"/>
      </w:pPr>
      <w:r>
        <w:rPr/>
        <w:t>海量数据的巨大价值，探索实现向金融大数据服务的全面延伸，最终实现互联网金融生态闭环服务。</w:t>
      </w:r>
      <w:r>
        <w:rPr>
          <w:w w:val="100"/>
        </w:rPr>
        <w:t> </w:t>
      </w:r>
      <w:r>
        <w:rPr>
          <w:rFonts w:ascii="宋体" w:hAnsi="宋体" w:cs="宋体" w:eastAsia="宋体" w:hint="default"/>
        </w:rPr>
        <w:t>6</w:t>
      </w:r>
      <w:r>
        <w:rPr/>
        <w:t>、进一步做好金融数据服务业务和互联网广告服务业务</w:t>
      </w:r>
      <w:r>
        <w:rPr>
          <w:w w:val="100"/>
        </w:rPr>
        <w:t> </w:t>
      </w:r>
      <w:r>
        <w:rPr>
          <w:spacing w:val="-2"/>
        </w:rPr>
        <w:t>公司将坚持以用户需求为中心，进一步加强个人终端产品的研发和创新，进一步完善机构终端产品，</w:t>
      </w:r>
    </w:p>
    <w:p>
      <w:pPr>
        <w:pStyle w:val="BodyText"/>
        <w:spacing w:line="273" w:lineRule="auto" w:before="7"/>
        <w:ind w:right="147"/>
        <w:jc w:val="both"/>
      </w:pPr>
      <w:r>
        <w:rPr>
          <w:spacing w:val="-2"/>
        </w:rPr>
        <w:t>优化数据服务，提升产品服务质量和水平。同时，将进一步加大产品推广力度，扩大用户规模，提升市场</w:t>
      </w:r>
      <w:r>
        <w:rPr>
          <w:spacing w:val="-43"/>
        </w:rPr>
        <w:t> </w:t>
      </w:r>
      <w:r>
        <w:rPr>
          <w:spacing w:val="-43"/>
        </w:rPr>
      </w:r>
      <w:r>
        <w:rPr>
          <w:spacing w:val="-2"/>
        </w:rPr>
        <w:t>占有率。公司将继续加强服务创新，提升营销水平，完善绩效考核和激励机制，进一步推动互联网广告服</w:t>
      </w:r>
      <w:r>
        <w:rPr>
          <w:spacing w:val="-50"/>
        </w:rPr>
        <w:t> </w:t>
      </w:r>
      <w:r>
        <w:rPr>
          <w:spacing w:val="-50"/>
        </w:rPr>
      </w:r>
      <w:r>
        <w:rPr/>
        <w:t>务业务持续稳健发展。</w:t>
      </w:r>
    </w:p>
    <w:p>
      <w:pPr>
        <w:pStyle w:val="BodyText"/>
        <w:spacing w:line="273" w:lineRule="auto" w:before="7"/>
        <w:ind w:left="573" w:right="0"/>
        <w:jc w:val="left"/>
      </w:pPr>
      <w:r>
        <w:rPr>
          <w:rFonts w:ascii="宋体" w:hAnsi="宋体" w:cs="宋体" w:eastAsia="宋体" w:hint="default"/>
        </w:rPr>
        <w:t>7</w:t>
      </w:r>
      <w:r>
        <w:rPr/>
        <w:t>、进一步强化品牌宣传工作，进一步提升大平台影响力和整体价值</w:t>
      </w:r>
      <w:r>
        <w:rPr>
          <w:w w:val="100"/>
        </w:rPr>
        <w:t> </w:t>
      </w:r>
      <w:r>
        <w:rPr>
          <w:spacing w:val="-2"/>
        </w:rPr>
        <w:t>公司将进一步提升品牌宣传工作，进一步加强宣传投入，进一步提升品牌的广泛影响力，进一步提升</w:t>
      </w:r>
    </w:p>
    <w:p>
      <w:pPr>
        <w:pStyle w:val="BodyText"/>
        <w:spacing w:line="273" w:lineRule="auto" w:before="7"/>
        <w:ind w:left="573" w:right="0" w:hanging="421"/>
        <w:jc w:val="left"/>
      </w:pPr>
      <w:r>
        <w:rPr/>
        <w:t>互联网金融服务大平台的整体价值，夯实品牌基础。</w:t>
      </w:r>
      <w:r>
        <w:rPr>
          <w:w w:val="100"/>
        </w:rPr>
        <w:t> </w:t>
      </w:r>
      <w:r>
        <w:rPr>
          <w:rFonts w:ascii="宋体" w:hAnsi="宋体" w:cs="宋体" w:eastAsia="宋体" w:hint="default"/>
        </w:rPr>
        <w:t>8</w:t>
      </w:r>
      <w:r>
        <w:rPr/>
        <w:t>、继续做好募集资金投资项目后期维护和剩余超募资金的使用和管理工作</w:t>
      </w:r>
      <w:r>
        <w:rPr>
          <w:w w:val="100"/>
        </w:rPr>
        <w:t> </w:t>
      </w:r>
      <w:r>
        <w:rPr>
          <w:spacing w:val="-2"/>
        </w:rPr>
        <w:t>公司将继续推进募投项目和超募资金投资项目的后期维护工作，进一步发挥募集资金投资项目整体协</w:t>
      </w:r>
    </w:p>
    <w:p>
      <w:pPr>
        <w:pStyle w:val="BodyText"/>
        <w:spacing w:line="273" w:lineRule="auto" w:before="7"/>
        <w:ind w:right="149"/>
        <w:jc w:val="both"/>
      </w:pPr>
      <w:r>
        <w:rPr>
          <w:spacing w:val="-2"/>
        </w:rPr>
        <w:t>同效应，更好地实现项目建设长远目标。同时，公司将进一步加强剩余超募资金的使用和管理工作，提高</w:t>
      </w:r>
      <w:r>
        <w:rPr>
          <w:spacing w:val="-47"/>
        </w:rPr>
        <w:t> </w:t>
      </w:r>
      <w:r>
        <w:rPr>
          <w:spacing w:val="-47"/>
        </w:rPr>
      </w:r>
      <w:r>
        <w:rPr/>
        <w:t>资金使用效率。</w:t>
      </w:r>
    </w:p>
    <w:p>
      <w:pPr>
        <w:pStyle w:val="BodyText"/>
        <w:spacing w:line="273" w:lineRule="auto" w:before="7"/>
        <w:ind w:left="573" w:right="0"/>
        <w:jc w:val="left"/>
      </w:pPr>
      <w:r>
        <w:rPr>
          <w:rFonts w:ascii="宋体" w:hAnsi="宋体" w:cs="宋体" w:eastAsia="宋体" w:hint="default"/>
        </w:rPr>
        <w:t>9</w:t>
      </w:r>
      <w:r>
        <w:rPr/>
        <w:t>、进一步完善内部治理和科学决策机制，全面加强和提升企业管理水平</w:t>
      </w:r>
      <w:r>
        <w:rPr>
          <w:w w:val="100"/>
        </w:rPr>
        <w:t> </w:t>
      </w:r>
      <w:r>
        <w:rPr>
          <w:spacing w:val="-2"/>
        </w:rPr>
        <w:t>公司进一步完善内部控制和管理制度，完善内部治理和科学决策机制，进一步强化财务管理，充分发</w:t>
      </w:r>
    </w:p>
    <w:p>
      <w:pPr>
        <w:pStyle w:val="BodyText"/>
        <w:spacing w:line="273" w:lineRule="auto" w:before="8"/>
        <w:ind w:right="146"/>
        <w:jc w:val="both"/>
      </w:pPr>
      <w:r>
        <w:rPr>
          <w:spacing w:val="-2"/>
        </w:rPr>
        <w:t>挥财务职能作用，进一步加强人力资源管理，进一步完善绩效考核和激励机制，做好股权激励行权等相关</w:t>
      </w:r>
      <w:r>
        <w:rPr>
          <w:spacing w:val="-43"/>
        </w:rPr>
        <w:t> </w:t>
      </w:r>
      <w:r>
        <w:rPr>
          <w:spacing w:val="-43"/>
        </w:rPr>
      </w:r>
      <w:r>
        <w:rPr>
          <w:spacing w:val="-2"/>
        </w:rPr>
        <w:t>后续工作，进一步提升员工的积极性和稳定性，进一步做好人才引进和储备工作，进一步加强人才梯队建</w:t>
      </w:r>
      <w:r>
        <w:rPr>
          <w:spacing w:val="-45"/>
        </w:rPr>
        <w:t> </w:t>
      </w:r>
      <w:r>
        <w:rPr>
          <w:spacing w:val="-45"/>
        </w:rPr>
      </w:r>
      <w:r>
        <w:rPr>
          <w:spacing w:val="-2"/>
        </w:rPr>
        <w:t>设，夯实人才基础，同时，进一步加强企业文化建设，全面提升企业管理水平，促进公司长期可持续健康</w:t>
      </w:r>
      <w:r>
        <w:rPr>
          <w:spacing w:val="-43"/>
        </w:rPr>
        <w:t> </w:t>
      </w:r>
      <w:r>
        <w:rPr>
          <w:spacing w:val="-43"/>
        </w:rPr>
      </w:r>
      <w:r>
        <w:rPr/>
        <w:t>发展。</w:t>
      </w:r>
    </w:p>
    <w:p>
      <w:pPr>
        <w:pStyle w:val="BodyText"/>
        <w:spacing w:line="273" w:lineRule="auto" w:before="7"/>
        <w:ind w:left="573" w:right="0"/>
        <w:jc w:val="left"/>
      </w:pPr>
      <w:r>
        <w:rPr>
          <w:rFonts w:ascii="宋体" w:hAnsi="宋体" w:cs="宋体" w:eastAsia="宋体" w:hint="default"/>
        </w:rPr>
        <w:t>10</w:t>
      </w:r>
      <w:r>
        <w:rPr/>
        <w:t>、进一步做好投资者关系管理工作</w:t>
      </w:r>
      <w:r>
        <w:rPr>
          <w:w w:val="100"/>
        </w:rPr>
        <w:t> </w:t>
      </w:r>
      <w:r>
        <w:rPr>
          <w:spacing w:val="-2"/>
        </w:rPr>
        <w:t>公司将进一步提升投资者关系管理工作，提升投资者关系管理水平，和投资者建立良好的互动关系，</w:t>
      </w:r>
    </w:p>
    <w:p>
      <w:pPr>
        <w:pStyle w:val="BodyText"/>
        <w:spacing w:line="240" w:lineRule="auto" w:before="7"/>
        <w:ind w:right="0"/>
        <w:jc w:val="both"/>
      </w:pPr>
      <w:r>
        <w:rPr/>
        <w:t>维护公司公开和透明的良好市场形象。</w:t>
      </w:r>
    </w:p>
    <w:p>
      <w:pPr>
        <w:pStyle w:val="BodyText"/>
        <w:spacing w:line="240" w:lineRule="auto" w:before="37"/>
        <w:ind w:left="573" w:right="0"/>
        <w:jc w:val="left"/>
      </w:pPr>
      <w:r>
        <w:rPr/>
        <w:t>（三）公司可能面临的风险</w:t>
      </w:r>
    </w:p>
    <w:p>
      <w:pPr>
        <w:pStyle w:val="BodyText"/>
        <w:spacing w:line="256" w:lineRule="auto" w:before="37"/>
        <w:ind w:left="573" w:right="0"/>
        <w:jc w:val="left"/>
      </w:pPr>
      <w:r>
        <w:rPr>
          <w:rFonts w:ascii="Times New Roman" w:hAnsi="Times New Roman" w:cs="Times New Roman" w:eastAsia="Times New Roman" w:hint="default"/>
        </w:rPr>
        <w:t>1</w:t>
      </w:r>
      <w:r>
        <w:rPr/>
        <w:t>、行业及业务受证券市场景气度波动影响的风险</w:t>
      </w:r>
      <w:r>
        <w:rPr>
          <w:w w:val="100"/>
        </w:rPr>
        <w:t> </w:t>
      </w:r>
      <w:r>
        <w:rPr>
          <w:spacing w:val="-2"/>
        </w:rPr>
        <w:t>当前，公司所处互联网金融服务业，与同信证券的经营业绩均受到证券市场活跃程度的影响，一旦证</w:t>
      </w:r>
    </w:p>
    <w:p>
      <w:pPr>
        <w:pStyle w:val="BodyText"/>
        <w:spacing w:line="273" w:lineRule="auto" w:before="22"/>
        <w:ind w:right="146"/>
        <w:jc w:val="both"/>
      </w:pPr>
      <w:r>
        <w:rPr>
          <w:spacing w:val="-2"/>
        </w:rPr>
        <w:t>券市场景气度下降，市场活跃程度和投资者热情均会受到直接影响，并进而可能抑制投资者对互联网金融</w:t>
      </w:r>
      <w:r>
        <w:rPr>
          <w:spacing w:val="-43"/>
        </w:rPr>
        <w:t> </w:t>
      </w:r>
      <w:r>
        <w:rPr>
          <w:spacing w:val="-43"/>
        </w:rPr>
      </w:r>
      <w:r>
        <w:rPr>
          <w:spacing w:val="-2"/>
        </w:rPr>
        <w:t>服务的需求，同时投资者证券交易量大幅减少，交易佣金率持续降低，将会导致同信证券经纪业务收入明</w:t>
      </w:r>
      <w:r>
        <w:rPr>
          <w:spacing w:val="-43"/>
        </w:rPr>
        <w:t> </w:t>
      </w:r>
      <w:r>
        <w:rPr>
          <w:spacing w:val="-43"/>
        </w:rPr>
      </w:r>
      <w:r>
        <w:rPr/>
        <w:t>显下降，直接影响同信证券的盈利能力。</w:t>
      </w:r>
    </w:p>
    <w:p>
      <w:pPr>
        <w:pStyle w:val="BodyText"/>
        <w:spacing w:line="273" w:lineRule="auto" w:before="7"/>
        <w:ind w:right="146" w:firstLine="420"/>
        <w:jc w:val="both"/>
      </w:pPr>
      <w:r>
        <w:rPr>
          <w:spacing w:val="-2"/>
        </w:rPr>
        <w:t>应对措施：公司将继续积极推进一站式互联网金融大平台战略，加强技术和产品的研发创新，丰富平</w:t>
      </w:r>
      <w:r>
        <w:rPr>
          <w:w w:val="100"/>
        </w:rPr>
        <w:t> </w:t>
      </w:r>
      <w:r>
        <w:rPr>
          <w:spacing w:val="-2"/>
        </w:rPr>
        <w:t>台服务内容，拓展和延伸平台服务范围，提高服务的质量和水平，不断提升用户体验，巩固和增强庞大用</w:t>
      </w:r>
      <w:r>
        <w:rPr>
          <w:spacing w:val="-50"/>
        </w:rPr>
        <w:t> </w:t>
      </w:r>
      <w:r>
        <w:rPr>
          <w:spacing w:val="-50"/>
        </w:rPr>
      </w:r>
      <w:r>
        <w:rPr/>
        <w:t>户优势和用户黏性，降低证券市场景气度波动带来的影响。</w:t>
      </w:r>
    </w:p>
    <w:p>
      <w:pPr>
        <w:pStyle w:val="BodyText"/>
        <w:spacing w:line="256" w:lineRule="auto" w:before="7"/>
        <w:ind w:left="573" w:right="0"/>
        <w:jc w:val="left"/>
      </w:pPr>
      <w:r>
        <w:rPr>
          <w:rFonts w:ascii="Times New Roman" w:hAnsi="Times New Roman" w:cs="Times New Roman" w:eastAsia="Times New Roman" w:hint="default"/>
        </w:rPr>
        <w:t>2</w:t>
      </w:r>
      <w:r>
        <w:rPr/>
        <w:t>、一站式互联网金融服务大平台和网络信息传输系统安全运行风险</w:t>
      </w:r>
      <w:r>
        <w:rPr>
          <w:w w:val="100"/>
        </w:rPr>
        <w:t> </w:t>
      </w:r>
      <w:r>
        <w:rPr>
          <w:spacing w:val="-2"/>
        </w:rPr>
        <w:t>公司商业模式的持续运作和盈利模式的有效实施，有赖于公司一站式互联网金融服务大平台和网络信</w:t>
      </w:r>
    </w:p>
    <w:p>
      <w:pPr>
        <w:pStyle w:val="BodyText"/>
        <w:spacing w:line="273" w:lineRule="auto" w:before="22"/>
        <w:ind w:right="146"/>
        <w:jc w:val="both"/>
      </w:pPr>
      <w:r>
        <w:rPr>
          <w:spacing w:val="-2"/>
        </w:rPr>
        <w:t>息传输系统的安全运行。如果出现互联网系统安全运行问题，可能造成本公司大平台不能正常访问和金融</w:t>
      </w:r>
      <w:r>
        <w:rPr>
          <w:spacing w:val="-42"/>
        </w:rPr>
        <w:t> </w:t>
      </w:r>
      <w:r>
        <w:rPr>
          <w:spacing w:val="-42"/>
        </w:rPr>
      </w:r>
      <w:r>
        <w:rPr>
          <w:spacing w:val="-2"/>
        </w:rPr>
        <w:t>数据服务客户端不能正常使用等后果。虽然公司已制定了完善的数据库备份、数据安全传输和质量管理体</w:t>
      </w:r>
      <w:r>
        <w:rPr>
          <w:spacing w:val="-44"/>
        </w:rPr>
        <w:t> </w:t>
      </w:r>
      <w:r>
        <w:rPr>
          <w:spacing w:val="-44"/>
        </w:rPr>
      </w:r>
      <w:r>
        <w:rPr>
          <w:spacing w:val="-2"/>
        </w:rPr>
        <w:t>系等措施，但由于第三方服务提供方而造成的互联网系统安全运行问题，将可能影响公司大平台的正常运</w:t>
      </w:r>
    </w:p>
    <w:p>
      <w:pPr>
        <w:spacing w:after="0" w:line="273" w:lineRule="auto"/>
        <w:jc w:val="both"/>
        <w:sectPr>
          <w:pgSz w:w="11910" w:h="16840"/>
          <w:pgMar w:header="852" w:footer="979" w:top="1300" w:bottom="1160" w:left="980" w:right="980"/>
        </w:sectPr>
      </w:pPr>
    </w:p>
    <w:p>
      <w:pPr>
        <w:pStyle w:val="BodyText"/>
        <w:spacing w:line="273" w:lineRule="auto" w:before="108"/>
        <w:ind w:left="573" w:right="103" w:hanging="421"/>
        <w:jc w:val="left"/>
      </w:pPr>
      <w:r>
        <w:rPr/>
        <w:t>行和金融服务的正常提供，降低用户体验和满意度，甚至给公司品牌形象带来不利影响。</w:t>
      </w:r>
      <w:r>
        <w:rPr>
          <w:w w:val="100"/>
        </w:rPr>
        <w:t> </w:t>
      </w:r>
      <w:r>
        <w:rPr>
          <w:spacing w:val="-2"/>
        </w:rPr>
        <w:t>应对措施：公司将进一步完善公司内部软硬件管理规范，严格执行内部实时监控流程，确保安全设备</w:t>
      </w:r>
    </w:p>
    <w:p>
      <w:pPr>
        <w:pStyle w:val="BodyText"/>
        <w:spacing w:line="273" w:lineRule="auto" w:before="7"/>
        <w:ind w:right="103"/>
        <w:jc w:val="left"/>
      </w:pPr>
      <w:r>
        <w:rPr>
          <w:spacing w:val="-2"/>
        </w:rPr>
        <w:t>的质量，定期进行相关技术人员的安全技能培训，提高技术安全维护队伍的技术水平，以防范软件、硬件</w:t>
      </w:r>
      <w:r>
        <w:rPr>
          <w:spacing w:val="-47"/>
        </w:rPr>
        <w:t> </w:t>
      </w:r>
      <w:r>
        <w:rPr>
          <w:spacing w:val="-47"/>
        </w:rPr>
      </w:r>
      <w:r>
        <w:rPr>
          <w:spacing w:val="-5"/>
        </w:rPr>
        <w:t>和系统故障等风险。制定完善的数据库本地与异地灾备制度，配备专业的数据库管理与系统运营维护人员，</w:t>
      </w:r>
      <w:r>
        <w:rPr>
          <w:spacing w:val="-6"/>
        </w:rPr>
        <w:t> </w:t>
      </w:r>
      <w:r>
        <w:rPr>
          <w:spacing w:val="-6"/>
        </w:rPr>
      </w:r>
      <w:r>
        <w:rPr/>
        <w:t>以保证数据库系统与网络系统平稳运行和数据安全。</w:t>
      </w:r>
    </w:p>
    <w:p>
      <w:pPr>
        <w:pStyle w:val="BodyText"/>
        <w:spacing w:line="256" w:lineRule="auto" w:before="7"/>
        <w:ind w:left="573" w:right="103"/>
        <w:jc w:val="left"/>
      </w:pPr>
      <w:r>
        <w:rPr>
          <w:rFonts w:ascii="Times New Roman" w:hAnsi="Times New Roman" w:cs="Times New Roman" w:eastAsia="Times New Roman" w:hint="default"/>
        </w:rPr>
        <w:t>3</w:t>
      </w:r>
      <w:r>
        <w:rPr/>
        <w:t>、同信证券后续整合风险</w:t>
      </w:r>
      <w:r>
        <w:rPr>
          <w:w w:val="100"/>
        </w:rPr>
        <w:t> </w:t>
      </w:r>
      <w:r>
        <w:rPr>
          <w:spacing w:val="-2"/>
        </w:rPr>
        <w:t>虽然公司和同信证券业务发展成熟、公司管理有效，但是在经营模式和企业内部运营管理体系等方面</w:t>
      </w:r>
    </w:p>
    <w:p>
      <w:pPr>
        <w:pStyle w:val="BodyText"/>
        <w:spacing w:line="273" w:lineRule="auto" w:before="22"/>
        <w:ind w:right="206"/>
        <w:jc w:val="both"/>
      </w:pPr>
      <w:r>
        <w:rPr>
          <w:spacing w:val="-2"/>
        </w:rPr>
        <w:t>存在的差异将为本公司日后整合带来一定难度。公司与同信证券之间能否顺利实现整合以及整合后是否能</w:t>
      </w:r>
      <w:r>
        <w:rPr>
          <w:spacing w:val="-43"/>
        </w:rPr>
        <w:t> </w:t>
      </w:r>
      <w:r>
        <w:rPr>
          <w:spacing w:val="-43"/>
        </w:rPr>
      </w:r>
      <w:r>
        <w:rPr/>
        <w:t>达到预期效果，仍存在一定的不确定性。</w:t>
      </w:r>
    </w:p>
    <w:p>
      <w:pPr>
        <w:pStyle w:val="BodyText"/>
        <w:spacing w:line="273" w:lineRule="auto" w:before="7"/>
        <w:ind w:right="103" w:firstLine="420"/>
        <w:jc w:val="left"/>
      </w:pPr>
      <w:r>
        <w:rPr>
          <w:spacing w:val="-2"/>
        </w:rPr>
        <w:t>应对措施：公司将通过不断完善公司治理、建立健全内部控制机制，建立和完善组织绩效管理框架，</w:t>
      </w:r>
      <w:r>
        <w:rPr>
          <w:w w:val="100"/>
        </w:rPr>
        <w:t> </w:t>
      </w:r>
      <w:r>
        <w:rPr>
          <w:spacing w:val="-2"/>
        </w:rPr>
        <w:t>完善绩效考核机制和激励机制，加强人才培养及引进工作，全面提升企业管理水平，降低后续整合风险。</w:t>
      </w:r>
    </w:p>
    <w:p>
      <w:pPr>
        <w:pStyle w:val="BodyText"/>
        <w:spacing w:line="259" w:lineRule="auto" w:before="7"/>
        <w:ind w:left="573" w:right="103"/>
        <w:jc w:val="left"/>
      </w:pPr>
      <w:r>
        <w:rPr>
          <w:rFonts w:ascii="Times New Roman" w:hAnsi="Times New Roman" w:cs="Times New Roman" w:eastAsia="Times New Roman" w:hint="default"/>
        </w:rPr>
        <w:t>4</w:t>
      </w:r>
      <w:r>
        <w:rPr/>
        <w:t>、行业竞争进一步加剧的风险</w:t>
      </w:r>
      <w:r>
        <w:rPr>
          <w:w w:val="100"/>
        </w:rPr>
        <w:t> </w:t>
      </w:r>
      <w:r>
        <w:rPr>
          <w:spacing w:val="-2"/>
        </w:rPr>
        <w:t>互联网金融业处于快速发展的起步阶段，互联网金融创新业务模式不断涌现，鉴于行业广阔的发展前</w:t>
      </w:r>
    </w:p>
    <w:p>
      <w:pPr>
        <w:pStyle w:val="BodyText"/>
        <w:spacing w:line="273" w:lineRule="auto" w:before="20"/>
        <w:ind w:right="206"/>
        <w:jc w:val="both"/>
      </w:pPr>
      <w:r>
        <w:rPr>
          <w:spacing w:val="-2"/>
        </w:rPr>
        <w:t>景、国内资本市场的进一步健全开放和相关政策的出台，行业的参与者将越来越多，相关费率市场化程度</w:t>
      </w:r>
      <w:r>
        <w:rPr>
          <w:spacing w:val="-43"/>
        </w:rPr>
        <w:t> </w:t>
      </w:r>
      <w:r>
        <w:rPr>
          <w:spacing w:val="-43"/>
        </w:rPr>
      </w:r>
      <w:r>
        <w:rPr>
          <w:spacing w:val="-2"/>
        </w:rPr>
        <w:t>会越来越高，行业竞争将会进一步加剧，可能会增加公司的营运压力，而缺乏竞争力和核心优势的企业将</w:t>
      </w:r>
      <w:r>
        <w:rPr>
          <w:spacing w:val="-43"/>
        </w:rPr>
        <w:t> </w:t>
      </w:r>
      <w:r>
        <w:rPr>
          <w:spacing w:val="-43"/>
        </w:rPr>
      </w:r>
      <w:r>
        <w:rPr>
          <w:spacing w:val="-2"/>
        </w:rPr>
        <w:t>会被市场淘汰。如果公司不能紧跟行业发展形势，提高公司的竞争力和核心优势，可能将无法适应激烈的</w:t>
      </w:r>
      <w:r>
        <w:rPr>
          <w:spacing w:val="-44"/>
        </w:rPr>
        <w:t> </w:t>
      </w:r>
      <w:r>
        <w:rPr>
          <w:spacing w:val="-44"/>
        </w:rPr>
      </w:r>
      <w:r>
        <w:rPr/>
        <w:t>行业竞争。</w:t>
      </w:r>
    </w:p>
    <w:p>
      <w:pPr>
        <w:pStyle w:val="BodyText"/>
        <w:spacing w:line="273" w:lineRule="auto" w:before="7"/>
        <w:ind w:right="103" w:firstLine="420"/>
        <w:jc w:val="left"/>
      </w:pPr>
      <w:r>
        <w:rPr>
          <w:spacing w:val="-2"/>
        </w:rPr>
        <w:t>应对措施：公司将进一步立足于战略定位，持续加大研发投入，紧密跟踪行业发展趋势和前沿创新技</w:t>
      </w:r>
      <w:r>
        <w:rPr>
          <w:w w:val="100"/>
        </w:rPr>
        <w:t> </w:t>
      </w:r>
      <w:r>
        <w:rPr/>
        <w:t>术，夯实公司在用户访问量、用户黏性及技术方面的核心竞争优势，促进公司可持续健康发展。</w:t>
      </w:r>
    </w:p>
    <w:p>
      <w:pPr>
        <w:pStyle w:val="BodyText"/>
        <w:spacing w:line="256" w:lineRule="auto" w:before="7"/>
        <w:ind w:left="573" w:right="103"/>
        <w:jc w:val="left"/>
      </w:pPr>
      <w:r>
        <w:rPr>
          <w:rFonts w:ascii="Times New Roman" w:hAnsi="Times New Roman" w:cs="Times New Roman" w:eastAsia="Times New Roman" w:hint="default"/>
        </w:rPr>
        <w:t>5</w:t>
      </w:r>
      <w:r>
        <w:rPr/>
        <w:t>、政策法律风险</w:t>
      </w:r>
      <w:r>
        <w:rPr>
          <w:w w:val="100"/>
        </w:rPr>
        <w:t> </w:t>
      </w:r>
      <w:r>
        <w:rPr>
          <w:spacing w:val="-2"/>
        </w:rPr>
        <w:t>目前，互联网金融还处于发展初期，随着互联网金融发展的进一步深入，将会面临过去不曾遇到过的</w:t>
      </w:r>
    </w:p>
    <w:p>
      <w:pPr>
        <w:pStyle w:val="BodyText"/>
        <w:spacing w:line="273" w:lineRule="auto" w:before="22"/>
        <w:ind w:right="185"/>
        <w:jc w:val="both"/>
      </w:pPr>
      <w:r>
        <w:rPr>
          <w:spacing w:val="-2"/>
        </w:rPr>
        <w:t>法律及监管等方面的问题，虽然目前有《银行法》、《证券法》、《保险法》等法律及相应的监管措施，</w:t>
      </w:r>
      <w:r>
        <w:rPr>
          <w:spacing w:val="-21"/>
        </w:rPr>
        <w:t> </w:t>
      </w:r>
      <w:r>
        <w:rPr>
          <w:spacing w:val="-21"/>
        </w:rPr>
      </w:r>
      <w:r>
        <w:rPr>
          <w:spacing w:val="-2"/>
        </w:rPr>
        <w:t>但这些法律和监管措施主要针对传统金融业。随着金融领域创新层出不穷，对于政策及法律尚未明确的领</w:t>
      </w:r>
      <w:r>
        <w:rPr>
          <w:spacing w:val="-42"/>
        </w:rPr>
        <w:t> </w:t>
      </w:r>
      <w:r>
        <w:rPr>
          <w:spacing w:val="-42"/>
        </w:rPr>
      </w:r>
      <w:r>
        <w:rPr/>
        <w:t>域，或将面临潜在的政策法律风险。</w:t>
      </w:r>
    </w:p>
    <w:p>
      <w:pPr>
        <w:pStyle w:val="BodyText"/>
        <w:spacing w:line="273" w:lineRule="auto" w:before="7"/>
        <w:ind w:right="103" w:firstLine="420"/>
        <w:jc w:val="left"/>
      </w:pPr>
      <w:r>
        <w:rPr>
          <w:spacing w:val="-2"/>
        </w:rPr>
        <w:t>应对措施：公司积极跟踪和研究行业相关政策及变化，严格按照法律法规开展公司业务，同时，也积</w:t>
      </w:r>
      <w:r>
        <w:rPr>
          <w:w w:val="100"/>
        </w:rPr>
        <w:t> </w:t>
      </w:r>
      <w:r>
        <w:rPr/>
        <w:t>极把握新的机遇，努力实现公司一站式金融服务的战略目标。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4"/>
        <w:spacing w:line="240" w:lineRule="auto"/>
        <w:ind w:right="0"/>
        <w:jc w:val="both"/>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年年度报告网上说明会</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公司经营及发展情况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公司经营及发展情况</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公司经营及发展情况</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公司经营及发展情况</w:t>
            </w:r>
          </w:p>
        </w:tc>
      </w:tr>
    </w:tbl>
    <w:p>
      <w:pPr>
        <w:spacing w:line="240" w:lineRule="auto" w:before="3"/>
        <w:rPr>
          <w:rFonts w:ascii="宋体" w:hAnsi="宋体" w:cs="宋体" w:eastAsia="宋体" w:hint="default"/>
          <w:sz w:val="19"/>
          <w:szCs w:val="19"/>
        </w:rPr>
      </w:pPr>
    </w:p>
    <w:p>
      <w:pPr>
        <w:pStyle w:val="Heading5"/>
        <w:spacing w:line="240" w:lineRule="auto" w:before="36"/>
        <w:ind w:right="103"/>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980" w:right="920"/>
        </w:sectPr>
      </w:pPr>
    </w:p>
    <w:p>
      <w:pPr>
        <w:spacing w:line="240" w:lineRule="auto" w:before="6"/>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2410"/>
        <w:gridCol w:w="1947"/>
        <w:gridCol w:w="2177"/>
        <w:gridCol w:w="3037"/>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公司经营及发展情况</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公司经营及发展情况</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公司经营及发展情况</w:t>
            </w:r>
          </w:p>
        </w:tc>
      </w:tr>
    </w:tbl>
    <w:p>
      <w:pPr>
        <w:spacing w:after="0" w:line="240" w:lineRule="auto"/>
        <w:jc w:val="center"/>
        <w:rPr>
          <w:rFonts w:ascii="宋体" w:hAnsi="宋体" w:cs="宋体" w:eastAsia="宋体" w:hint="default"/>
          <w:sz w:val="18"/>
          <w:szCs w:val="18"/>
        </w:rPr>
        <w:sectPr>
          <w:pgSz w:w="11910" w:h="16840"/>
          <w:pgMar w:header="852" w:footer="979" w:top="130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1"/>
        <w:spacing w:line="240" w:lineRule="auto"/>
        <w:ind w:right="2783"/>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0"/>
        <w:ind w:left="573" w:right="0"/>
        <w:jc w:val="left"/>
      </w:pPr>
      <w:r>
        <w:rPr/>
        <w:t>报告期内，公司严格执行现金分红政策的相关规定，并实施了</w:t>
      </w:r>
      <w:r>
        <w:rPr>
          <w:rFonts w:ascii="Times New Roman" w:hAnsi="Times New Roman" w:cs="Times New Roman" w:eastAsia="Times New Roman" w:hint="default"/>
        </w:rPr>
        <w:t>2014</w:t>
      </w:r>
      <w:r>
        <w:rPr/>
        <w:t>年度权益分派。</w:t>
      </w:r>
    </w:p>
    <w:p>
      <w:pPr>
        <w:pStyle w:val="BodyText"/>
        <w:spacing w:line="240" w:lineRule="auto" w:before="21"/>
        <w:ind w:left="573" w:right="0"/>
        <w:jc w:val="left"/>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120,960</w:t>
      </w:r>
      <w:r>
        <w:rPr/>
        <w:t>万股为基数，用资本公积金向全体股东每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24,192</w:t>
      </w:r>
      <w:r>
        <w:rPr/>
        <w:t>万股。</w:t>
      </w:r>
    </w:p>
    <w:p>
      <w:pPr>
        <w:pStyle w:val="BodyText"/>
        <w:spacing w:line="240" w:lineRule="auto" w:before="21"/>
        <w:ind w:left="573" w:right="0"/>
        <w:jc w:val="left"/>
      </w:pPr>
      <w:r>
        <w:rPr>
          <w:rFonts w:ascii="Times New Roman" w:hAnsi="Times New Roman" w:cs="Times New Roman" w:eastAsia="Times New Roman" w:hint="default"/>
        </w:rPr>
        <w:t>2</w:t>
      </w:r>
      <w:r>
        <w:rPr/>
        <w:t>、以总股本</w:t>
      </w:r>
      <w:r>
        <w:rPr>
          <w:rFonts w:ascii="Times New Roman" w:hAnsi="Times New Roman" w:cs="Times New Roman" w:eastAsia="Times New Roman" w:hint="default"/>
        </w:rPr>
        <w:t>120,960</w:t>
      </w:r>
      <w:r>
        <w:rPr/>
        <w:t>万股为基数，向全体股东每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股（含税），共送红股</w:t>
      </w:r>
      <w:r>
        <w:rPr>
          <w:rFonts w:ascii="Times New Roman" w:hAnsi="Times New Roman" w:cs="Times New Roman" w:eastAsia="Times New Roman" w:hint="default"/>
        </w:rPr>
        <w:t>24,192</w:t>
      </w:r>
      <w:r>
        <w:rPr/>
        <w:t>万股。</w:t>
      </w:r>
    </w:p>
    <w:p>
      <w:pPr>
        <w:pStyle w:val="BodyText"/>
        <w:spacing w:line="256" w:lineRule="auto" w:before="22"/>
        <w:ind w:right="0" w:firstLine="420"/>
        <w:jc w:val="left"/>
      </w:pPr>
      <w:r>
        <w:rPr>
          <w:rFonts w:ascii="Times New Roman" w:hAnsi="Times New Roman" w:cs="Times New Roman" w:eastAsia="Times New Roman" w:hint="default"/>
          <w:spacing w:val="-2"/>
        </w:rPr>
        <w:t>3</w:t>
      </w:r>
      <w:r>
        <w:rPr>
          <w:spacing w:val="-2"/>
        </w:rPr>
        <w:t>、以总股本</w:t>
      </w:r>
      <w:r>
        <w:rPr>
          <w:rFonts w:ascii="Times New Roman" w:hAnsi="Times New Roman" w:cs="Times New Roman" w:eastAsia="Times New Roman" w:hint="default"/>
          <w:spacing w:val="-2"/>
        </w:rPr>
        <w:t>120,960</w:t>
      </w:r>
      <w:r>
        <w:rPr>
          <w:spacing w:val="-2"/>
        </w:rPr>
        <w:t>万股为基数，向全体股东每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0.6</w:t>
      </w:r>
      <w:r>
        <w:rPr>
          <w:spacing w:val="-2"/>
        </w:rPr>
        <w:t>元（含税），合计派发现</w:t>
      </w:r>
      <w:r>
        <w:rPr>
          <w:w w:val="100"/>
        </w:rPr>
        <w:t> </w:t>
      </w:r>
      <w:r>
        <w:rPr/>
        <w:t>金</w:t>
      </w:r>
      <w:r>
        <w:rPr>
          <w:rFonts w:ascii="Times New Roman" w:hAnsi="Times New Roman" w:cs="Times New Roman" w:eastAsia="Times New Roman" w:hint="default"/>
        </w:rPr>
        <w:t>7,257.60</w:t>
      </w:r>
      <w:r>
        <w:rPr/>
        <w:t>万元。以上转增和送股后公司总股本变更为</w:t>
      </w:r>
      <w:r>
        <w:rPr>
          <w:rFonts w:ascii="Times New Roman" w:hAnsi="Times New Roman" w:cs="Times New Roman" w:eastAsia="Times New Roman" w:hint="default"/>
        </w:rPr>
        <w:t>169,344</w:t>
      </w:r>
      <w:r>
        <w:rPr/>
        <w:t>万股，剩余未分配利润结转至下年度。</w:t>
      </w:r>
    </w:p>
    <w:p>
      <w:pPr>
        <w:pStyle w:val="BodyText"/>
        <w:spacing w:line="240" w:lineRule="auto" w:before="5"/>
        <w:ind w:left="57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日，公司实施完毕上述权益分派。</w:t>
      </w:r>
    </w:p>
    <w:p>
      <w:pPr>
        <w:spacing w:line="240" w:lineRule="auto" w:before="7"/>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860"/>
        <w:gridCol w:w="4797"/>
      </w:tblGrid>
      <w:tr>
        <w:trPr>
          <w:trHeight w:val="397" w:hRule="exact"/>
        </w:trPr>
        <w:tc>
          <w:tcPr>
            <w:tcW w:w="9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45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45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45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45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pacing w:val="-2"/>
                <w:sz w:val="18"/>
                <w:szCs w:val="18"/>
              </w:rPr>
              <w:t>中小股东是否有充分表达意见和诉求的机会，其合法权益是否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7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pacing w:val="-5"/>
                <w:sz w:val="18"/>
                <w:szCs w:val="18"/>
              </w:rPr>
              <w:t>现金分红政策进行调整或变更的，条件及程序是否合规、透明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86" w:right="4570"/>
              <w:jc w:val="right"/>
              <w:rPr>
                <w:rFonts w:ascii="宋体" w:hAnsi="宋体" w:cs="宋体" w:eastAsia="宋体" w:hint="default"/>
                <w:sz w:val="18"/>
                <w:szCs w:val="18"/>
              </w:rPr>
            </w:pPr>
            <w:r>
              <w:rPr>
                <w:rFonts w:ascii="宋体" w:hAnsi="宋体" w:cs="宋体" w:eastAsia="宋体" w:hint="default"/>
                <w:spacing w:val="-34"/>
                <w:sz w:val="18"/>
                <w:szCs w:val="18"/>
              </w:rPr>
              <w:t>：是</w:t>
            </w:r>
          </w:p>
        </w:tc>
      </w:tr>
    </w:tbl>
    <w:p>
      <w:pPr>
        <w:spacing w:before="49"/>
        <w:ind w:left="152" w:right="0" w:firstLine="0"/>
        <w:jc w:val="left"/>
        <w:rPr>
          <w:rFonts w:ascii="宋体" w:hAnsi="宋体" w:cs="宋体" w:eastAsia="宋体" w:hint="default"/>
          <w:sz w:val="18"/>
          <w:szCs w:val="18"/>
        </w:rPr>
      </w:pPr>
      <w:r>
        <w:rPr/>
        <w:pict>
          <v:group style="position:absolute;margin-left:301.130005pt;margin-top:-20.590281pt;width:237.55pt;height:20.7pt;mso-position-horizontal-relative:page;mso-position-vertical-relative:paragraph;z-index:-870160" coordorigin="6023,-412" coordsize="4751,414">
            <v:group style="position:absolute;left:6034;top:-401;width:2;height:392" coordorigin="6034,-401" coordsize="2,392">
              <v:shape style="position:absolute;left:6034;top:-401;width:2;height:392" coordorigin="6034,-401" coordsize="0,392" path="m6034,-401l6034,-10e" filled="false" stroked="true" strokeweight="1.104pt" strokecolor="#ffffff">
                <v:path arrowok="t"/>
              </v:shape>
            </v:group>
            <v:group style="position:absolute;left:6045;top:-401;width:4729;height:392" coordorigin="6045,-401" coordsize="4729,392">
              <v:shape style="position:absolute;left:6045;top:-401;width:4729;height:392" coordorigin="6045,-401" coordsize="4729,392" path="m6045,-10l10773,-10,10773,-401,6045,-401,6045,-10xe" filled="true" fillcolor="#ffffff" stroked="false">
                <v:path arrowok="t"/>
                <v:fill type="solid"/>
              </v:shape>
            </v:group>
            <w10:wrap type="none"/>
          </v:group>
        </w:pict>
      </w:r>
      <w:r>
        <w:rPr>
          <w:rFonts w:ascii="宋体" w:hAnsi="宋体" w:cs="宋体" w:eastAsia="宋体" w:hint="default"/>
          <w:sz w:val="18"/>
          <w:szCs w:val="18"/>
        </w:rPr>
        <w:t>公司报告期利润分配预案及资本公积金转增股本预案与公司章程和分红管理办法等的相关规定一致</w:t>
      </w:r>
    </w:p>
    <w:p>
      <w:pPr>
        <w:spacing w:line="350" w:lineRule="auto" w:before="115"/>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1,853,892,052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1,588,711,372.72</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986"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2" w:right="17"/>
              <w:jc w:val="left"/>
              <w:rPr>
                <w:rFonts w:ascii="宋体" w:hAnsi="宋体" w:cs="宋体" w:eastAsia="宋体" w:hint="default"/>
                <w:sz w:val="18"/>
                <w:szCs w:val="18"/>
              </w:rPr>
            </w:pPr>
            <w:r>
              <w:rPr>
                <w:rFonts w:ascii="宋体" w:hAnsi="宋体" w:cs="宋体" w:eastAsia="宋体" w:hint="default"/>
                <w:sz w:val="18"/>
                <w:szCs w:val="18"/>
              </w:rPr>
              <w:t>经立信会计师事务所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年度实现归属于母公司股东的净利润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1,848,571,186.42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元，其中母公司实 现净利润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1,727,998,114.52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元。根据《公司章程》的有关规定，按照母公司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年度实现净利润的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w:t>
            </w:r>
          </w:p>
          <w:p>
            <w:pPr>
              <w:pStyle w:val="TableParagraph"/>
              <w:spacing w:line="240" w:lineRule="auto" w:before="15"/>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172,799,811.45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348,009,069.65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元，减去</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年上半年分配利润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314,496,000.00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8"/>
        <w:rPr>
          <w:rFonts w:ascii="宋体" w:hAnsi="宋体" w:cs="宋体" w:eastAsia="宋体" w:hint="default"/>
          <w:sz w:val="9"/>
          <w:szCs w:val="9"/>
        </w:rPr>
      </w:pPr>
    </w:p>
    <w:p>
      <w:pPr>
        <w:spacing w:line="2354" w:lineRule="exact"/>
        <w:ind w:left="152" w:right="0" w:firstLine="0"/>
        <w:rPr>
          <w:rFonts w:ascii="宋体" w:hAnsi="宋体" w:cs="宋体" w:eastAsia="宋体" w:hint="default"/>
          <w:sz w:val="20"/>
          <w:szCs w:val="20"/>
        </w:rPr>
      </w:pPr>
      <w:r>
        <w:rPr>
          <w:rFonts w:ascii="宋体" w:hAnsi="宋体" w:cs="宋体" w:eastAsia="宋体" w:hint="default"/>
          <w:position w:val="-46"/>
          <w:sz w:val="20"/>
          <w:szCs w:val="20"/>
        </w:rPr>
        <w:pict>
          <v:shape style="width:478.55pt;height:117.75pt;mso-position-horizontal-relative:char;mso-position-vertical-relative:line" type="#_x0000_t202" filled="false" stroked="true" strokeweight=".47998pt" strokecolor="#000000">
            <w10:anchorlock/>
            <v:textbox inset="0,0,0,0">
              <w:txbxContent>
                <w:p>
                  <w:pPr>
                    <w:spacing w:before="8"/>
                    <w:ind w:left="24"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日，公司可供股东分配利润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1,588,711,372.72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4"/>
                    <w:ind w:left="24"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根据公司整体发展战略和实际经营情况，同时给投资者以持续回报，遵照中国证监会和深交所相关规定，拟提出公司</w:t>
                  </w:r>
                  <w:r>
                    <w:rPr>
                      <w:rFonts w:ascii="宋体" w:hAnsi="宋体" w:cs="宋体" w:eastAsia="宋体" w:hint="default"/>
                      <w:spacing w:val="-12"/>
                      <w:sz w:val="18"/>
                      <w:szCs w:val="18"/>
                    </w:rPr>
                    <w:t> </w:t>
                  </w:r>
                  <w:r>
                    <w:rPr>
                      <w:rFonts w:ascii="Times New Roman" w:hAnsi="Times New Roman" w:cs="Times New Roman" w:eastAsia="Times New Roman" w:hint="default"/>
                      <w:spacing w:val="-1"/>
                      <w:sz w:val="18"/>
                      <w:szCs w:val="18"/>
                    </w:rPr>
                    <w:t>2015</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年度资本公积金转增股本及利润分配预案为：</w:t>
                  </w:r>
                </w:p>
                <w:p>
                  <w:pPr>
                    <w:spacing w:before="115"/>
                    <w:ind w:left="24" w:right="0"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、以总股本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1,853,892,052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股为基数，用资本公积金向全体股东每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股转增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股，共转增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1,483,113,641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转增后公司总</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股本变更为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3,337,005,693 </w:t>
                  </w:r>
                  <w:r>
                    <w:rPr>
                      <w:rFonts w:ascii="宋体" w:hAnsi="宋体" w:cs="宋体" w:eastAsia="宋体" w:hint="default"/>
                      <w:sz w:val="18"/>
                      <w:szCs w:val="18"/>
                    </w:rPr>
                    <w:t>股。</w:t>
                  </w:r>
                </w:p>
                <w:p>
                  <w:pPr>
                    <w:spacing w:before="103"/>
                    <w:ind w:left="2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以总股本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05</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为</w:t>
                  </w:r>
                  <w:r>
                    <w:rPr>
                      <w:rFonts w:ascii="宋体" w:hAnsi="宋体" w:cs="宋体" w:eastAsia="宋体" w:hint="default"/>
                      <w:sz w:val="18"/>
                      <w:szCs w:val="18"/>
                    </w:rPr>
                    <w:t>基数</w:t>
                  </w:r>
                  <w:r>
                    <w:rPr>
                      <w:rFonts w:ascii="宋体" w:hAnsi="宋体" w:cs="宋体" w:eastAsia="宋体" w:hint="default"/>
                      <w:spacing w:val="-75"/>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3"/>
                      <w:sz w:val="18"/>
                      <w:szCs w:val="18"/>
                    </w:rPr>
                    <w:t>发</w:t>
                  </w:r>
                  <w:r>
                    <w:rPr>
                      <w:rFonts w:ascii="宋体" w:hAnsi="宋体" w:cs="宋体" w:eastAsia="宋体" w:hint="default"/>
                      <w:sz w:val="18"/>
                      <w:szCs w:val="18"/>
                    </w:rPr>
                    <w:t>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75"/>
                      <w:sz w:val="18"/>
                      <w:szCs w:val="18"/>
                    </w:rPr>
                    <w:t>元</w:t>
                  </w:r>
                  <w:r>
                    <w:rPr>
                      <w:rFonts w:ascii="宋体" w:hAnsi="宋体" w:cs="宋体" w:eastAsia="宋体" w:hint="default"/>
                      <w:sz w:val="18"/>
                      <w:szCs w:val="18"/>
                    </w:rPr>
                    <w:t>（含税</w:t>
                  </w:r>
                  <w:r>
                    <w:rPr>
                      <w:rFonts w:ascii="宋体" w:hAnsi="宋体" w:cs="宋体" w:eastAsia="宋体" w:hint="default"/>
                      <w:spacing w:val="-94"/>
                      <w:sz w:val="18"/>
                      <w:szCs w:val="18"/>
                    </w:rPr>
                    <w:t>）</w:t>
                  </w:r>
                  <w:r>
                    <w:rPr>
                      <w:rFonts w:ascii="宋体" w:hAnsi="宋体" w:cs="宋体" w:eastAsia="宋体" w:hint="default"/>
                      <w:spacing w:val="-75"/>
                      <w:sz w:val="18"/>
                      <w:szCs w:val="18"/>
                    </w:rPr>
                    <w:t>，</w:t>
                  </w:r>
                  <w:r>
                    <w:rPr>
                      <w:rFonts w:ascii="宋体" w:hAnsi="宋体" w:cs="宋体" w:eastAsia="宋体" w:hint="default"/>
                      <w:sz w:val="18"/>
                      <w:szCs w:val="18"/>
                    </w:rPr>
                    <w:t>合计派发现金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p>
                <w:p>
                  <w:pPr>
                    <w:spacing w:before="63"/>
                    <w:ind w:left="24"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v:shape>
        </w:pict>
      </w:r>
      <w:r>
        <w:rPr>
          <w:rFonts w:ascii="宋体" w:hAnsi="宋体" w:cs="宋体" w:eastAsia="宋体" w:hint="default"/>
          <w:position w:val="-46"/>
          <w:sz w:val="20"/>
          <w:szCs w:val="20"/>
        </w:rPr>
      </w:r>
    </w:p>
    <w:p>
      <w:pPr>
        <w:spacing w:before="5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240" w:lineRule="auto" w:before="80"/>
        <w:ind w:left="573" w:right="0"/>
        <w:jc w:val="left"/>
      </w:pPr>
      <w:r>
        <w:rPr>
          <w:rFonts w:ascii="Times New Roman" w:hAnsi="Times New Roman" w:cs="Times New Roman" w:eastAsia="Times New Roman" w:hint="default"/>
        </w:rPr>
        <w:t>2015</w:t>
      </w:r>
      <w:r>
        <w:rPr/>
        <w:t>年度权益分派方案为：</w:t>
      </w:r>
    </w:p>
    <w:p>
      <w:pPr>
        <w:pStyle w:val="BodyText"/>
        <w:spacing w:line="240" w:lineRule="auto" w:before="21"/>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1,853,892,052</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股，共转增</w:t>
      </w:r>
      <w:r>
        <w:rPr>
          <w:rFonts w:ascii="Times New Roman" w:hAnsi="Times New Roman" w:cs="Times New Roman" w:eastAsia="Times New Roman" w:hint="default"/>
        </w:rPr>
        <w:t>1,483,113,641</w:t>
      </w:r>
    </w:p>
    <w:p>
      <w:pPr>
        <w:pStyle w:val="BodyText"/>
        <w:spacing w:line="240" w:lineRule="auto" w:before="21"/>
        <w:ind w:right="0"/>
        <w:jc w:val="left"/>
      </w:pP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转增后公司总股本变更为</w:t>
      </w:r>
      <w:r>
        <w:rPr>
          <w:rFonts w:ascii="Times New Roman" w:hAnsi="Times New Roman" w:cs="Times New Roman" w:eastAsia="Times New Roman" w:hint="default"/>
        </w:rPr>
        <w:t>3,337,005,693</w:t>
      </w:r>
      <w:r>
        <w:rPr/>
        <w:t>股。</w:t>
      </w:r>
    </w:p>
    <w:p>
      <w:pPr>
        <w:pStyle w:val="BodyText"/>
        <w:spacing w:line="256" w:lineRule="auto" w:before="22"/>
        <w:ind w:right="0" w:firstLine="420"/>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1,853,892,052</w:t>
      </w:r>
      <w:r>
        <w:rPr>
          <w:spacing w:val="-2"/>
        </w:rPr>
        <w:t>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1.00</w:t>
      </w:r>
      <w:r>
        <w:rPr>
          <w:spacing w:val="-2"/>
        </w:rPr>
        <w:t>元（含税），合计派</w:t>
      </w:r>
      <w:r>
        <w:rPr>
          <w:w w:val="100"/>
        </w:rPr>
        <w:t> </w:t>
      </w:r>
      <w:r>
        <w:rPr/>
        <w:t>发现金</w:t>
      </w:r>
      <w:r>
        <w:rPr>
          <w:rFonts w:ascii="Times New Roman" w:hAnsi="Times New Roman" w:cs="Times New Roman" w:eastAsia="Times New Roman" w:hint="default"/>
        </w:rPr>
        <w:t>185,389,205.20</w:t>
      </w:r>
      <w:r>
        <w:rPr/>
        <w:t>元。</w:t>
      </w:r>
    </w:p>
    <w:p>
      <w:pPr>
        <w:pStyle w:val="BodyText"/>
        <w:spacing w:line="240" w:lineRule="auto" w:before="5"/>
        <w:ind w:left="573" w:right="0"/>
        <w:jc w:val="left"/>
      </w:pPr>
      <w:r>
        <w:rPr>
          <w:rFonts w:ascii="Times New Roman" w:hAnsi="Times New Roman" w:cs="Times New Roman" w:eastAsia="Times New Roman" w:hint="default"/>
        </w:rPr>
        <w:t>2014</w:t>
      </w:r>
      <w:r>
        <w:rPr/>
        <w:t>年度权益分派方案为：</w:t>
      </w:r>
    </w:p>
    <w:p>
      <w:pPr>
        <w:pStyle w:val="BodyText"/>
        <w:spacing w:line="240" w:lineRule="auto" w:before="21"/>
        <w:ind w:left="573" w:right="0"/>
        <w:jc w:val="left"/>
      </w:pPr>
      <w:r>
        <w:rPr>
          <w:rFonts w:ascii="Times New Roman" w:hAnsi="Times New Roman" w:cs="Times New Roman" w:eastAsia="Times New Roman" w:hint="default"/>
        </w:rPr>
        <w:t>1</w:t>
      </w:r>
      <w:r>
        <w:rPr/>
        <w:t>、以总股本</w:t>
      </w:r>
      <w:r>
        <w:rPr>
          <w:rFonts w:ascii="Times New Roman" w:hAnsi="Times New Roman" w:cs="Times New Roman" w:eastAsia="Times New Roman" w:hint="default"/>
        </w:rPr>
        <w:t>120,960</w:t>
      </w:r>
      <w:r>
        <w:rPr/>
        <w:t>万股为基数，用资本公积金向全体股东每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24,192</w:t>
      </w:r>
      <w:r>
        <w:rPr/>
        <w:t>万股。</w:t>
      </w:r>
    </w:p>
    <w:p>
      <w:pPr>
        <w:pStyle w:val="BodyText"/>
        <w:spacing w:line="240" w:lineRule="auto" w:before="21"/>
        <w:ind w:left="573" w:right="0"/>
        <w:jc w:val="left"/>
      </w:pPr>
      <w:r>
        <w:rPr>
          <w:rFonts w:ascii="Times New Roman" w:hAnsi="Times New Roman" w:cs="Times New Roman" w:eastAsia="Times New Roman" w:hint="default"/>
        </w:rPr>
        <w:t>2</w:t>
      </w:r>
      <w:r>
        <w:rPr/>
        <w:t>、以总股本</w:t>
      </w:r>
      <w:r>
        <w:rPr>
          <w:rFonts w:ascii="Times New Roman" w:hAnsi="Times New Roman" w:cs="Times New Roman" w:eastAsia="Times New Roman" w:hint="default"/>
        </w:rPr>
        <w:t>120,960</w:t>
      </w:r>
      <w:r>
        <w:rPr/>
        <w:t>万股为基数，向全体股东每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股（含税），共送红股</w:t>
      </w:r>
      <w:r>
        <w:rPr>
          <w:rFonts w:ascii="Times New Roman" w:hAnsi="Times New Roman" w:cs="Times New Roman" w:eastAsia="Times New Roman" w:hint="default"/>
        </w:rPr>
        <w:t>24,192</w:t>
      </w:r>
      <w:r>
        <w:rPr/>
        <w:t>万股。</w:t>
      </w:r>
    </w:p>
    <w:p>
      <w:pPr>
        <w:pStyle w:val="BodyText"/>
        <w:spacing w:line="256" w:lineRule="auto" w:before="21"/>
        <w:ind w:right="0" w:firstLine="420"/>
        <w:jc w:val="left"/>
      </w:pPr>
      <w:r>
        <w:rPr>
          <w:rFonts w:ascii="Times New Roman" w:hAnsi="Times New Roman" w:cs="Times New Roman" w:eastAsia="Times New Roman" w:hint="default"/>
          <w:spacing w:val="-2"/>
        </w:rPr>
        <w:t>3</w:t>
      </w:r>
      <w:r>
        <w:rPr>
          <w:spacing w:val="-2"/>
        </w:rPr>
        <w:t>、以总股本</w:t>
      </w:r>
      <w:r>
        <w:rPr>
          <w:rFonts w:ascii="Times New Roman" w:hAnsi="Times New Roman" w:cs="Times New Roman" w:eastAsia="Times New Roman" w:hint="default"/>
          <w:spacing w:val="-2"/>
        </w:rPr>
        <w:t>120,960</w:t>
      </w:r>
      <w:r>
        <w:rPr>
          <w:spacing w:val="-2"/>
        </w:rPr>
        <w:t>万股为基数，向全体股东每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0.6</w:t>
      </w:r>
      <w:r>
        <w:rPr>
          <w:spacing w:val="-2"/>
        </w:rPr>
        <w:t>元（含税），合计派发现</w:t>
      </w:r>
      <w:r>
        <w:rPr>
          <w:w w:val="100"/>
        </w:rPr>
        <w:t> </w:t>
      </w:r>
      <w:r>
        <w:rPr/>
        <w:t>金</w:t>
      </w:r>
      <w:r>
        <w:rPr>
          <w:rFonts w:ascii="Times New Roman" w:hAnsi="Times New Roman" w:cs="Times New Roman" w:eastAsia="Times New Roman" w:hint="default"/>
        </w:rPr>
        <w:t>7,257.60</w:t>
      </w:r>
      <w:r>
        <w:rPr/>
        <w:t>万元。以上转增和送股后公司总股本变更为</w:t>
      </w:r>
      <w:r>
        <w:rPr>
          <w:rFonts w:ascii="Times New Roman" w:hAnsi="Times New Roman" w:cs="Times New Roman" w:eastAsia="Times New Roman" w:hint="default"/>
        </w:rPr>
        <w:t>169,344</w:t>
      </w:r>
      <w:r>
        <w:rPr/>
        <w:t>万股，剩余未分配利润结转至下年度。</w:t>
      </w:r>
    </w:p>
    <w:p>
      <w:pPr>
        <w:pStyle w:val="BodyText"/>
        <w:spacing w:line="240" w:lineRule="auto" w:before="5"/>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年度权益分派方案为</w:t>
      </w:r>
      <w:r>
        <w:rPr>
          <w:rFonts w:ascii="Times New Roman" w:hAnsi="Times New Roman" w:cs="Times New Roman" w:eastAsia="Times New Roman" w:hint="default"/>
        </w:rPr>
        <w:t>:</w:t>
      </w:r>
    </w:p>
    <w:p>
      <w:pPr>
        <w:pStyle w:val="BodyText"/>
        <w:spacing w:line="256" w:lineRule="auto" w:before="21"/>
        <w:ind w:right="0" w:firstLine="420"/>
        <w:jc w:val="left"/>
      </w:pPr>
      <w:r>
        <w:rPr>
          <w:rFonts w:ascii="Times New Roman" w:hAnsi="Times New Roman" w:cs="Times New Roman" w:eastAsia="Times New Roman" w:hint="default"/>
          <w:spacing w:val="-2"/>
        </w:rPr>
        <w:t>1</w:t>
      </w:r>
      <w:r>
        <w:rPr>
          <w:spacing w:val="-2"/>
        </w:rPr>
        <w:t>、以总股本</w:t>
      </w:r>
      <w:r>
        <w:rPr>
          <w:rFonts w:ascii="Times New Roman" w:hAnsi="Times New Roman" w:cs="Times New Roman" w:eastAsia="Times New Roman" w:hint="default"/>
          <w:spacing w:val="-2"/>
        </w:rPr>
        <w:t>67,200</w:t>
      </w:r>
      <w:r>
        <w:rPr>
          <w:spacing w:val="-2"/>
        </w:rPr>
        <w:t>万股为基数，用资本公积金向全体股东每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8</w:t>
      </w:r>
      <w:r>
        <w:rPr>
          <w:spacing w:val="-2"/>
        </w:rPr>
        <w:t>股，共转增</w:t>
      </w:r>
      <w:r>
        <w:rPr>
          <w:rFonts w:ascii="Times New Roman" w:hAnsi="Times New Roman" w:cs="Times New Roman" w:eastAsia="Times New Roman" w:hint="default"/>
          <w:spacing w:val="-2"/>
        </w:rPr>
        <w:t>53,760</w:t>
      </w:r>
      <w:r>
        <w:rPr>
          <w:spacing w:val="-2"/>
        </w:rPr>
        <w:t>万股，转增</w:t>
      </w:r>
      <w:r>
        <w:rPr>
          <w:w w:val="100"/>
        </w:rPr>
        <w:t> </w:t>
      </w:r>
      <w:r>
        <w:rPr/>
        <w:t>后总股本增至</w:t>
      </w:r>
      <w:r>
        <w:rPr>
          <w:rFonts w:ascii="Times New Roman" w:hAnsi="Times New Roman" w:cs="Times New Roman" w:eastAsia="Times New Roman" w:hint="default"/>
        </w:rPr>
        <w:t>120,960</w:t>
      </w:r>
      <w:r>
        <w:rPr/>
        <w:t>万股。</w:t>
      </w:r>
    </w:p>
    <w:p>
      <w:pPr>
        <w:pStyle w:val="BodyText"/>
        <w:spacing w:line="256" w:lineRule="auto" w:before="5"/>
        <w:ind w:right="0" w:firstLine="420"/>
        <w:jc w:val="left"/>
      </w:pPr>
      <w:r>
        <w:rPr>
          <w:rFonts w:ascii="Times New Roman" w:hAnsi="Times New Roman" w:cs="Times New Roman" w:eastAsia="Times New Roman" w:hint="default"/>
          <w:spacing w:val="-2"/>
        </w:rPr>
        <w:t>2</w:t>
      </w:r>
      <w:r>
        <w:rPr>
          <w:spacing w:val="-2"/>
        </w:rPr>
        <w:t>、以总股本</w:t>
      </w:r>
      <w:r>
        <w:rPr>
          <w:rFonts w:ascii="Times New Roman" w:hAnsi="Times New Roman" w:cs="Times New Roman" w:eastAsia="Times New Roman" w:hint="default"/>
          <w:spacing w:val="-2"/>
        </w:rPr>
        <w:t>67,200</w:t>
      </w:r>
      <w:r>
        <w:rPr>
          <w:spacing w:val="-2"/>
        </w:rPr>
        <w:t>万股为基数，向全体股东每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0.20</w:t>
      </w:r>
      <w:r>
        <w:rPr>
          <w:spacing w:val="-2"/>
        </w:rPr>
        <w:t>元（含税），合计派发现</w:t>
      </w:r>
      <w:r>
        <w:rPr>
          <w:w w:val="100"/>
        </w:rPr>
        <w:t> </w:t>
      </w:r>
      <w:r>
        <w:rPr/>
        <w:t>金</w:t>
      </w:r>
      <w:r>
        <w:rPr>
          <w:rFonts w:ascii="Times New Roman" w:hAnsi="Times New Roman" w:cs="Times New Roman" w:eastAsia="Times New Roman" w:hint="default"/>
        </w:rPr>
        <w:t>1,344.00</w:t>
      </w:r>
      <w:r>
        <w:rPr/>
        <w:t>万元，剩余未分配利润结转至下年度。</w:t>
      </w:r>
    </w:p>
    <w:p>
      <w:pPr>
        <w:spacing w:line="240" w:lineRule="auto" w:before="7"/>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08"/>
        <w:gridCol w:w="1985"/>
        <w:gridCol w:w="1699"/>
        <w:gridCol w:w="1277"/>
        <w:gridCol w:w="1202"/>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808" w:type="dxa"/>
            <w:vMerge w:val="restart"/>
            <w:tcBorders>
              <w:top w:val="single" w:sz="4" w:space="0" w:color="000000"/>
              <w:left w:val="single" w:sz="4" w:space="0" w:color="000000"/>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16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1"/>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808" w:type="dxa"/>
            <w:vMerge/>
            <w:tcBorders>
              <w:left w:val="single" w:sz="4" w:space="0" w:color="000000"/>
              <w:bottom w:val="nil" w:sz="6" w:space="0" w:color="auto"/>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699"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3"/>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985" w:type="dxa"/>
            <w:vMerge/>
            <w:tcBorders>
              <w:left w:val="single" w:sz="4" w:space="0" w:color="000000"/>
              <w:right w:val="single" w:sz="4" w:space="0" w:color="000000"/>
            </w:tcBorders>
            <w:shd w:val="clear" w:color="auto" w:fill="D2D2D2"/>
          </w:tcPr>
          <w:p>
            <w:pPr/>
          </w:p>
        </w:tc>
        <w:tc>
          <w:tcPr>
            <w:tcW w:w="169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808" w:type="dxa"/>
            <w:vMerge w:val="restart"/>
            <w:tcBorders>
              <w:top w:val="nil" w:sz="6" w:space="0" w:color="auto"/>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69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808"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185,389,205.20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1,848,571,186.42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72,576,000.00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165,723,821.57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5,001,337.41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9"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r>
        <w:rPr/>
        <w:pict>
          <v:shape style="position:absolute;margin-left:309.410004pt;margin-top:480.549988pt;width:206.45pt;height:93.6pt;mso-position-horizontal-relative:page;mso-position-vertical-relative:page;z-index:-870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亦不会直接或间接拥有从事前述业务的企业、</w:t>
                  </w:r>
                </w:p>
              </w:txbxContent>
            </v:textbox>
            <w10:wrap type="none"/>
          </v:shape>
        </w:pict>
      </w:r>
      <w:r>
        <w:rPr/>
        <w:pict>
          <v:shape style="position:absolute;margin-left:255.410004pt;margin-top:640.539978pt;width:260.45pt;height:93.6pt;mso-position-horizontal-relative:page;mso-position-vertical-relative:page;z-index:-870088"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企业将尽力避免及规范与东方财富及其子公司的关联交易；</w:t>
                  </w:r>
                </w:p>
              </w:txbxContent>
            </v:textbox>
            <w10:wrap type="none"/>
          </v:shape>
        </w:pict>
      </w:r>
      <w:r>
        <w:rPr/>
        <w:pict>
          <v:group style="position:absolute;margin-left:487.779999pt;margin-top:368.809998pt;width:26.9pt;height:15.6pt;mso-position-horizontal-relative:page;mso-position-vertical-relative:page;z-index:-870064" coordorigin="9756,7376" coordsize="538,312">
            <v:shape style="position:absolute;left:9756;top:7376;width:538;height:312" coordorigin="9756,7376" coordsize="538,312" path="m9756,7688l10293,7688,10293,7376,9756,7376,9756,7688xe" filled="true" fillcolor="#ffffff" stroked="false">
              <v:path arrowok="t"/>
              <v:fill type="solid"/>
            </v:shape>
            <w10:wrap type="none"/>
          </v:group>
        </w:pict>
      </w:r>
      <w:r>
        <w:rPr/>
        <w:pict>
          <v:group style="position:absolute;margin-left:486.579987pt;margin-top:480.549988pt;width:29.3pt;height:93.6pt;mso-position-horizontal-relative:page;mso-position-vertical-relative:page;z-index:-870040" coordorigin="9732,9611" coordsize="586,1872">
            <v:shape style="position:absolute;left:9732;top:9611;width:586;height:1872" coordorigin="9732,9611" coordsize="586,1872" path="m9732,11483l10317,11483,10317,9611,9732,9611,9732,11483xe" filled="true" fillcolor="#ffffff" stroked="false">
              <v:path arrowok="t"/>
              <v:fill type="solid"/>
            </v:shape>
            <w10:wrap type="none"/>
          </v:group>
        </w:pict>
      </w:r>
      <w:r>
        <w:rPr/>
        <w:pict>
          <v:group style="position:absolute;margin-left:486.579987pt;margin-top:640.539978pt;width:29.3pt;height:93.6pt;mso-position-horizontal-relative:page;mso-position-vertical-relative:page;z-index:-870016" coordorigin="9732,12811" coordsize="586,1872">
            <v:shape style="position:absolute;left:9732;top:12811;width:586;height:1872" coordorigin="9732,12811" coordsize="586,1872" path="m9732,14683l10317,14683,10317,12811,9732,12811,9732,14683xe" filled="true" fillcolor="#ffffff" stroked="false">
              <v:path arrowok="t"/>
              <v:fill type="solid"/>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1275"/>
        <w:gridCol w:w="1277"/>
        <w:gridCol w:w="927"/>
        <w:gridCol w:w="5864"/>
        <w:gridCol w:w="595"/>
        <w:gridCol w:w="632"/>
        <w:gridCol w:w="569"/>
      </w:tblGrid>
      <w:tr>
        <w:trPr>
          <w:trHeight w:val="161" w:hRule="exact"/>
        </w:trPr>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6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0" w:right="39"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2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95" w:type="dxa"/>
            <w:vMerge/>
            <w:tcBorders>
              <w:left w:val="single" w:sz="4" w:space="0" w:color="000000"/>
              <w:right w:val="single" w:sz="4" w:space="0" w:color="000000"/>
            </w:tcBorders>
            <w:shd w:val="clear" w:color="auto" w:fill="D2D2D2"/>
          </w:tcPr>
          <w:p>
            <w:pPr/>
          </w:p>
        </w:tc>
        <w:tc>
          <w:tcPr>
            <w:tcW w:w="632"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r>
      <w:tr>
        <w:trPr>
          <w:trHeight w:val="161" w:hRule="exact"/>
        </w:trPr>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632"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郑州宇通集团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西藏 自治区投资有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7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6"/>
              <w:ind w:left="23" w:right="19"/>
              <w:jc w:val="left"/>
              <w:rPr>
                <w:rFonts w:ascii="宋体" w:hAnsi="宋体" w:cs="宋体" w:eastAsia="宋体" w:hint="default"/>
                <w:sz w:val="18"/>
                <w:szCs w:val="18"/>
              </w:rPr>
            </w:pPr>
            <w:r>
              <w:rPr>
                <w:rFonts w:ascii="宋体" w:hAnsi="宋体" w:cs="宋体" w:eastAsia="宋体" w:hint="default"/>
                <w:sz w:val="18"/>
                <w:szCs w:val="18"/>
              </w:rPr>
              <w:t>本公司以资产认购的东方财富股份自该等股份上市之日起</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个月内不得转 让。前述限售期满之后按中国证监会及深圳证券交易所的有关规定执行。</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1649"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郑州宇通集团 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关于同业 </w:t>
            </w:r>
            <w:r>
              <w:rPr>
                <w:rFonts w:ascii="宋体" w:hAnsi="宋体" w:cs="宋体" w:eastAsia="宋体" w:hint="default"/>
                <w:spacing w:val="-7"/>
                <w:sz w:val="18"/>
                <w:szCs w:val="18"/>
              </w:rPr>
              <w:t>竞争、关联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交易、资金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占用方面 的承诺</w:t>
            </w:r>
          </w:p>
        </w:tc>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在本公司持有东方财富</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以上股份期间，本公司及本公司直接、间接控制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的公司、企业将尽力避免及规范与东方财富及其子公司的关联交易；对于 无法避免或必要的关联交易，将本着公平、公开、公正的原则确定关联交 易价格，保证关联交易的公允性。如因未履行本次承诺事项给东方财富或 其他投资者造成损失的，将向东方财富或其他投资者依法承担赔偿责任。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62"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5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一、关于同信证券</w:t>
            </w:r>
            <w:r>
              <w:rPr>
                <w:rFonts w:ascii="Times New Roman" w:hAnsi="Times New Roman" w:cs="Times New Roman" w:eastAsia="Times New Roman" w:hint="default"/>
                <w:sz w:val="18"/>
                <w:szCs w:val="18"/>
              </w:rPr>
              <w:t>“12 </w:t>
            </w:r>
            <w:r>
              <w:rPr>
                <w:rFonts w:ascii="宋体" w:hAnsi="宋体" w:cs="宋体" w:eastAsia="宋体" w:hint="default"/>
                <w:sz w:val="18"/>
                <w:szCs w:val="18"/>
              </w:rPr>
              <w:t>蓝博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“12 </w:t>
            </w:r>
            <w:r>
              <w:rPr>
                <w:rFonts w:ascii="宋体" w:hAnsi="宋体" w:cs="宋体" w:eastAsia="宋体" w:hint="default"/>
                <w:sz w:val="18"/>
                <w:szCs w:val="18"/>
              </w:rPr>
              <w:t>蓝博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相关仲裁事项的承诺：本次</w:t>
            </w:r>
          </w:p>
        </w:tc>
        <w:tc>
          <w:tcPr>
            <w:tcW w:w="595" w:type="dxa"/>
            <w:tcBorders>
              <w:top w:val="single" w:sz="4" w:space="0" w:color="000000"/>
              <w:left w:val="single" w:sz="4" w:space="0" w:color="000000"/>
              <w:bottom w:val="nil" w:sz="6" w:space="0" w:color="auto"/>
              <w:right w:val="single" w:sz="4" w:space="0" w:color="000000"/>
            </w:tcBorders>
          </w:tcPr>
          <w:p>
            <w:pPr/>
          </w:p>
        </w:tc>
        <w:tc>
          <w:tcPr>
            <w:tcW w:w="632"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r>
      <w:tr>
        <w:trPr>
          <w:trHeight w:val="306"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仲裁完成后，如果安徽蓝博旺机械集团合诚机械有限公司等七个主体向同</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信证券偿还的金额不足人民币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21,277,026.00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日该等债券在同信证券账上体现的账面价值）的，宇通集团将在收到东方</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财富书面付款通知之日起</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个工作日内，以现金方式向同信证券足额补偿</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1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10"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该等债券实际偿还金额与人民币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21,277,026.00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元之间的差额以及与该仲裁</w:t>
            </w:r>
          </w:p>
        </w:tc>
        <w:tc>
          <w:tcPr>
            <w:tcW w:w="595" w:type="dxa"/>
            <w:tcBorders>
              <w:top w:val="nil" w:sz="6" w:space="0" w:color="auto"/>
              <w:left w:val="single" w:sz="10" w:space="0" w:color="FFFFFF"/>
              <w:bottom w:val="nil" w:sz="6" w:space="0" w:color="auto"/>
              <w:right w:val="single" w:sz="4" w:space="0" w:color="000000"/>
            </w:tcBorders>
          </w:tcPr>
          <w:p>
            <w:pPr>
              <w:pStyle w:val="TableParagraph"/>
              <w:spacing w:line="240" w:lineRule="auto" w:before="50"/>
              <w:ind w:left="16" w:right="0"/>
              <w:jc w:val="left"/>
              <w:rPr>
                <w:rFonts w:ascii="Times New Roman" w:hAnsi="Times New Roman" w:cs="Times New Roman" w:eastAsia="Times New Roman" w:hint="default"/>
                <w:sz w:val="18"/>
                <w:szCs w:val="18"/>
              </w:rPr>
            </w:pPr>
            <w:r>
              <w:rPr>
                <w:rFonts w:ascii="Times New Roman"/>
                <w:sz w:val="18"/>
              </w:rPr>
              <w:t>2015</w:t>
            </w: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62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4" w:right="161"/>
              <w:jc w:val="left"/>
              <w:rPr>
                <w:rFonts w:ascii="宋体" w:hAnsi="宋体" w:cs="宋体" w:eastAsia="宋体" w:hint="default"/>
                <w:sz w:val="18"/>
                <w:szCs w:val="18"/>
              </w:rPr>
            </w:pPr>
            <w:r>
              <w:rPr>
                <w:rFonts w:ascii="宋体" w:hAnsi="宋体" w:cs="宋体" w:eastAsia="宋体" w:hint="default"/>
                <w:sz w:val="18"/>
                <w:szCs w:val="18"/>
              </w:rPr>
              <w:t>郑州宇通集团 有限公司</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64" w:type="dxa"/>
            <w:tcBorders>
              <w:top w:val="nil" w:sz="6" w:space="0" w:color="auto"/>
              <w:left w:val="single" w:sz="4" w:space="0" w:color="000000"/>
              <w:bottom w:val="nil" w:sz="6" w:space="0" w:color="auto"/>
              <w:right w:val="single" w:sz="10" w:space="0" w:color="FFFFFF"/>
            </w:tcBorders>
          </w:tcPr>
          <w:p>
            <w:pPr>
              <w:pStyle w:val="TableParagraph"/>
              <w:spacing w:line="300" w:lineRule="auto" w:before="4"/>
              <w:ind w:left="23" w:right="-41"/>
              <w:jc w:val="left"/>
              <w:rPr>
                <w:rFonts w:ascii="宋体" w:hAnsi="宋体" w:cs="宋体" w:eastAsia="宋体" w:hint="default"/>
                <w:sz w:val="18"/>
                <w:szCs w:val="18"/>
              </w:rPr>
            </w:pPr>
            <w:r>
              <w:rPr>
                <w:rFonts w:ascii="宋体" w:hAnsi="宋体" w:cs="宋体" w:eastAsia="宋体" w:hint="default"/>
                <w:spacing w:val="-4"/>
                <w:sz w:val="18"/>
                <w:szCs w:val="18"/>
              </w:rPr>
              <w:t>事项相关的仲裁费用。二、关于同信证券</w:t>
            </w:r>
            <w:r>
              <w:rPr>
                <w:rFonts w:ascii="Times New Roman" w:hAnsi="Times New Roman" w:cs="Times New Roman" w:eastAsia="Times New Roman" w:hint="default"/>
                <w:spacing w:val="-4"/>
                <w:sz w:val="18"/>
                <w:szCs w:val="18"/>
              </w:rPr>
              <w:t>“13 </w:t>
            </w:r>
            <w:r>
              <w:rPr>
                <w:rFonts w:ascii="宋体" w:hAnsi="宋体" w:cs="宋体" w:eastAsia="宋体" w:hint="default"/>
                <w:sz w:val="18"/>
                <w:szCs w:val="18"/>
              </w:rPr>
              <w:t>天威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PPN001”</w:t>
            </w:r>
            <w:r>
              <w:rPr>
                <w:rFonts w:ascii="宋体" w:hAnsi="宋体" w:cs="宋体" w:eastAsia="宋体" w:hint="default"/>
                <w:sz w:val="18"/>
                <w:szCs w:val="18"/>
              </w:rPr>
              <w:t>相关仲裁事项的 </w:t>
            </w:r>
            <w:r>
              <w:rPr>
                <w:rFonts w:ascii="宋体" w:hAnsi="宋体" w:cs="宋体" w:eastAsia="宋体" w:hint="default"/>
                <w:spacing w:val="-3"/>
                <w:sz w:val="18"/>
                <w:szCs w:val="18"/>
              </w:rPr>
              <w:t>承诺：对于同信证券以自有资金购买的天威集团定向工具，该仲裁完成后，</w:t>
            </w:r>
            <w:r>
              <w:rPr>
                <w:rFonts w:ascii="宋体" w:hAnsi="宋体" w:cs="宋体" w:eastAsia="宋体" w:hint="default"/>
                <w:sz w:val="18"/>
                <w:szCs w:val="18"/>
              </w:rPr>
            </w:r>
          </w:p>
        </w:tc>
        <w:tc>
          <w:tcPr>
            <w:tcW w:w="595" w:type="dxa"/>
            <w:tcBorders>
              <w:top w:val="nil" w:sz="6" w:space="0" w:color="auto"/>
              <w:left w:val="single" w:sz="10" w:space="0" w:color="FFFFFF"/>
              <w:bottom w:val="nil" w:sz="6" w:space="0" w:color="auto"/>
              <w:right w:val="single" w:sz="4" w:space="0" w:color="000000"/>
            </w:tcBorders>
          </w:tcPr>
          <w:p>
            <w:pPr>
              <w:pStyle w:val="TableParagraph"/>
              <w:spacing w:line="240" w:lineRule="auto" w:before="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10"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如果天威集团就该部分天威集团定向工具向同信证券偿还的金额不足人民</w:t>
            </w:r>
          </w:p>
        </w:tc>
        <w:tc>
          <w:tcPr>
            <w:tcW w:w="595"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89"/>
                <w:sz w:val="18"/>
                <w:szCs w:val="18"/>
              </w:rPr>
              <w:t>元</w:t>
            </w:r>
            <w:r>
              <w:rPr>
                <w:rFonts w:ascii="宋体" w:hAnsi="宋体" w:cs="宋体" w:eastAsia="宋体" w:hint="default"/>
                <w:sz w:val="18"/>
                <w:szCs w:val="18"/>
              </w:rPr>
              <w:t>（即截至</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日天威集团定</w:t>
            </w:r>
            <w:r>
              <w:rPr>
                <w:rFonts w:ascii="宋体" w:hAnsi="宋体" w:cs="宋体" w:eastAsia="宋体" w:hint="default"/>
                <w:spacing w:val="-3"/>
                <w:sz w:val="18"/>
                <w:szCs w:val="18"/>
              </w:rPr>
              <w:t>向</w:t>
            </w:r>
            <w:r>
              <w:rPr>
                <w:rFonts w:ascii="宋体" w:hAnsi="宋体" w:cs="宋体" w:eastAsia="宋体" w:hint="default"/>
                <w:sz w:val="18"/>
                <w:szCs w:val="18"/>
              </w:rPr>
              <w:t>工具账面价值</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93" w:hRule="exact"/>
        </w:trPr>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10" w:space="0" w:color="D2D2D2"/>
              <w:right w:val="single" w:sz="4" w:space="0" w:color="000000"/>
            </w:tcBorders>
          </w:tcPr>
          <w:p>
            <w:pPr/>
          </w:p>
        </w:tc>
        <w:tc>
          <w:tcPr>
            <w:tcW w:w="927" w:type="dxa"/>
            <w:vMerge w:val="restart"/>
            <w:tcBorders>
              <w:top w:val="nil" w:sz="6" w:space="0" w:color="auto"/>
              <w:left w:val="single" w:sz="4" w:space="0" w:color="000000"/>
              <w:right w:val="single" w:sz="4" w:space="0" w:color="000000"/>
            </w:tcBorders>
          </w:tcPr>
          <w:p>
            <w:pPr/>
          </w:p>
        </w:tc>
        <w:tc>
          <w:tcPr>
            <w:tcW w:w="5864" w:type="dxa"/>
            <w:vMerge w:val="restart"/>
            <w:tcBorders>
              <w:top w:val="nil" w:sz="6" w:space="0" w:color="auto"/>
              <w:left w:val="single" w:sz="4" w:space="0" w:color="000000"/>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及应收利息合计金额</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宇通</w:t>
            </w:r>
            <w:r>
              <w:rPr>
                <w:rFonts w:ascii="宋体" w:hAnsi="宋体" w:cs="宋体" w:eastAsia="宋体" w:hint="default"/>
                <w:spacing w:val="2"/>
                <w:sz w:val="18"/>
                <w:szCs w:val="18"/>
              </w:rPr>
              <w:t>集</w:t>
            </w:r>
            <w:r>
              <w:rPr>
                <w:rFonts w:ascii="宋体" w:hAnsi="宋体" w:cs="宋体" w:eastAsia="宋体" w:hint="default"/>
                <w:sz w:val="18"/>
                <w:szCs w:val="18"/>
              </w:rPr>
              <w:t>团将在收到东方财富书面付款通知之日起</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tc>
        <w:tc>
          <w:tcPr>
            <w:tcW w:w="595" w:type="dxa"/>
            <w:vMerge w:val="restart"/>
            <w:tcBorders>
              <w:top w:val="nil" w:sz="6" w:space="0" w:color="auto"/>
              <w:left w:val="single" w:sz="4" w:space="0" w:color="000000"/>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219" w:hRule="exact"/>
        </w:trPr>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7" w:type="dxa"/>
            <w:vMerge/>
            <w:tcBorders>
              <w:left w:val="single" w:sz="10" w:space="0" w:color="D2D2D2"/>
              <w:bottom w:val="nil" w:sz="6" w:space="0" w:color="auto"/>
              <w:right w:val="single" w:sz="4" w:space="0" w:color="000000"/>
            </w:tcBorders>
          </w:tcPr>
          <w:p>
            <w:pPr/>
          </w:p>
        </w:tc>
        <w:tc>
          <w:tcPr>
            <w:tcW w:w="927" w:type="dxa"/>
            <w:vMerge/>
            <w:tcBorders>
              <w:left w:val="single" w:sz="4" w:space="0" w:color="000000"/>
              <w:bottom w:val="nil" w:sz="6" w:space="0" w:color="auto"/>
              <w:right w:val="single" w:sz="4" w:space="0" w:color="000000"/>
            </w:tcBorders>
          </w:tcPr>
          <w:p>
            <w:pPr/>
          </w:p>
        </w:tc>
        <w:tc>
          <w:tcPr>
            <w:tcW w:w="5864" w:type="dxa"/>
            <w:vMerge/>
            <w:tcBorders>
              <w:left w:val="single" w:sz="4" w:space="0" w:color="000000"/>
              <w:bottom w:val="nil" w:sz="6" w:space="0" w:color="auto"/>
              <w:right w:val="single" w:sz="4" w:space="0" w:color="000000"/>
            </w:tcBorders>
          </w:tcPr>
          <w:p>
            <w:pPr/>
          </w:p>
        </w:tc>
        <w:tc>
          <w:tcPr>
            <w:tcW w:w="595" w:type="dxa"/>
            <w:vMerge/>
            <w:tcBorders>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10" w:space="0" w:color="D2D2D2"/>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个工作日内，以现金方式向同信证券足额补偿该等天威集团定向工具实际</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180" w:hRule="exact"/>
        </w:trPr>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10" w:space="0" w:color="D2D2D2"/>
              <w:right w:val="single" w:sz="4" w:space="0" w:color="000000"/>
            </w:tcBorders>
          </w:tcPr>
          <w:p>
            <w:pPr/>
          </w:p>
        </w:tc>
        <w:tc>
          <w:tcPr>
            <w:tcW w:w="927" w:type="dxa"/>
            <w:vMerge w:val="restart"/>
            <w:tcBorders>
              <w:top w:val="nil" w:sz="6" w:space="0" w:color="auto"/>
              <w:left w:val="single" w:sz="4" w:space="0" w:color="000000"/>
              <w:right w:val="single" w:sz="4" w:space="0" w:color="000000"/>
            </w:tcBorders>
          </w:tcPr>
          <w:p>
            <w:pPr/>
          </w:p>
        </w:tc>
        <w:tc>
          <w:tcPr>
            <w:tcW w:w="5864" w:type="dxa"/>
            <w:vMerge w:val="restart"/>
            <w:tcBorders>
              <w:top w:val="nil" w:sz="6" w:space="0" w:color="auto"/>
              <w:left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偿还金额与人民币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58,559,940.00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元之间的差额，以及同信证券承担的与该</w:t>
            </w:r>
          </w:p>
        </w:tc>
        <w:tc>
          <w:tcPr>
            <w:tcW w:w="595" w:type="dxa"/>
            <w:vMerge w:val="restart"/>
            <w:tcBorders>
              <w:top w:val="nil" w:sz="6" w:space="0" w:color="auto"/>
              <w:left w:val="single" w:sz="4" w:space="0" w:color="000000"/>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137" w:hRule="exact"/>
        </w:trPr>
        <w:tc>
          <w:tcPr>
            <w:tcW w:w="127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10" w:space="0" w:color="D2D2D2"/>
              <w:bottom w:val="nil" w:sz="6" w:space="0" w:color="auto"/>
              <w:right w:val="single" w:sz="4" w:space="0" w:color="000000"/>
            </w:tcBorders>
          </w:tcPr>
          <w:p>
            <w:pPr/>
          </w:p>
        </w:tc>
        <w:tc>
          <w:tcPr>
            <w:tcW w:w="927" w:type="dxa"/>
            <w:vMerge/>
            <w:tcBorders>
              <w:left w:val="single" w:sz="4" w:space="0" w:color="000000"/>
              <w:bottom w:val="nil" w:sz="6" w:space="0" w:color="auto"/>
              <w:right w:val="single" w:sz="4" w:space="0" w:color="000000"/>
            </w:tcBorders>
          </w:tcPr>
          <w:p>
            <w:pPr/>
          </w:p>
        </w:tc>
        <w:tc>
          <w:tcPr>
            <w:tcW w:w="5864" w:type="dxa"/>
            <w:vMerge/>
            <w:tcBorders>
              <w:left w:val="single" w:sz="4" w:space="0" w:color="000000"/>
              <w:bottom w:val="nil" w:sz="6" w:space="0" w:color="auto"/>
              <w:right w:val="single" w:sz="4" w:space="0" w:color="000000"/>
            </w:tcBorders>
          </w:tcPr>
          <w:p>
            <w:pPr/>
          </w:p>
        </w:tc>
        <w:tc>
          <w:tcPr>
            <w:tcW w:w="595" w:type="dxa"/>
            <w:vMerge/>
            <w:tcBorders>
              <w:left w:val="single" w:sz="4" w:space="0" w:color="000000"/>
              <w:bottom w:val="nil" w:sz="6" w:space="0" w:color="auto"/>
              <w:right w:val="single" w:sz="4" w:space="0" w:color="000000"/>
            </w:tcBorders>
          </w:tcPr>
          <w:p>
            <w:pPr/>
          </w:p>
        </w:tc>
        <w:tc>
          <w:tcPr>
            <w:tcW w:w="63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r>
      <w:tr>
        <w:trPr>
          <w:trHeight w:val="355"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5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仲裁事项相关的仲裁费用。</w:t>
            </w:r>
          </w:p>
        </w:tc>
        <w:tc>
          <w:tcPr>
            <w:tcW w:w="595" w:type="dxa"/>
            <w:tcBorders>
              <w:top w:val="nil" w:sz="6" w:space="0" w:color="auto"/>
              <w:left w:val="single" w:sz="4" w:space="0" w:color="000000"/>
              <w:bottom w:val="single" w:sz="4" w:space="0" w:color="000000"/>
              <w:right w:val="single" w:sz="4" w:space="0" w:color="000000"/>
            </w:tcBorders>
          </w:tcPr>
          <w:p>
            <w:pPr/>
          </w:p>
        </w:tc>
        <w:tc>
          <w:tcPr>
            <w:tcW w:w="63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r>
      <w:tr>
        <w:trPr>
          <w:trHeight w:val="355"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5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一、避免同业竞争事宜（一）截至本承诺函出具之日，本人及本人控制的</w:t>
            </w:r>
          </w:p>
        </w:tc>
        <w:tc>
          <w:tcPr>
            <w:tcW w:w="595"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其他企业不存在直接或间接从事与西藏同信证券股份有限公司相同或相似</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并构成竞争关系的业务</w:t>
            </w:r>
            <w:r>
              <w:rPr>
                <w:rFonts w:ascii="宋体" w:hAnsi="宋体" w:cs="宋体" w:eastAsia="宋体" w:hint="default"/>
                <w:spacing w:val="-106"/>
                <w:sz w:val="18"/>
                <w:szCs w:val="18"/>
              </w:rPr>
              <w:t>。</w:t>
            </w:r>
            <w:r>
              <w:rPr>
                <w:rFonts w:ascii="宋体" w:hAnsi="宋体" w:cs="宋体" w:eastAsia="宋体" w:hint="default"/>
                <w:sz w:val="18"/>
                <w:szCs w:val="18"/>
              </w:rPr>
              <w:t>（二</w:t>
            </w:r>
            <w:r>
              <w:rPr>
                <w:rFonts w:ascii="宋体" w:hAnsi="宋体" w:cs="宋体" w:eastAsia="宋体" w:hint="default"/>
                <w:spacing w:val="-13"/>
                <w:sz w:val="18"/>
                <w:szCs w:val="18"/>
              </w:rPr>
              <w:t>）</w:t>
            </w:r>
            <w:r>
              <w:rPr>
                <w:rFonts w:ascii="宋体" w:hAnsi="宋体" w:cs="宋体" w:eastAsia="宋体" w:hint="default"/>
                <w:sz w:val="18"/>
                <w:szCs w:val="18"/>
              </w:rPr>
              <w:t>本次重组完成后</w:t>
            </w:r>
            <w:r>
              <w:rPr>
                <w:rFonts w:ascii="宋体" w:hAnsi="宋体" w:cs="宋体" w:eastAsia="宋体" w:hint="default"/>
                <w:spacing w:val="-15"/>
                <w:sz w:val="18"/>
                <w:szCs w:val="18"/>
              </w:rPr>
              <w:t>，</w:t>
            </w:r>
            <w:r>
              <w:rPr>
                <w:rFonts w:ascii="宋体" w:hAnsi="宋体" w:cs="宋体" w:eastAsia="宋体" w:hint="default"/>
                <w:sz w:val="18"/>
                <w:szCs w:val="18"/>
              </w:rPr>
              <w:t>在本人作为上市公司股东</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期间，本人及本人控制的其他企业不会直接或间接从事与上市公司相同或</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相似并构成竞争关系的业务，</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其实关于</w:t>
            </w: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其他组织</w:t>
            </w:r>
            <w:r>
              <w:rPr>
                <w:rFonts w:ascii="宋体" w:hAnsi="宋体" w:cs="宋体" w:eastAsia="宋体" w:hint="default"/>
                <w:spacing w:val="-15"/>
                <w:sz w:val="18"/>
                <w:szCs w:val="18"/>
              </w:rPr>
              <w:t>、</w:t>
            </w:r>
            <w:r>
              <w:rPr>
                <w:rFonts w:ascii="宋体" w:hAnsi="宋体" w:cs="宋体" w:eastAsia="宋体" w:hint="default"/>
                <w:sz w:val="18"/>
                <w:szCs w:val="18"/>
              </w:rPr>
              <w:t>经济实体的控制权</w:t>
            </w:r>
            <w:r>
              <w:rPr>
                <w:rFonts w:ascii="宋体" w:hAnsi="宋体" w:cs="宋体" w:eastAsia="宋体" w:hint="default"/>
                <w:spacing w:val="-104"/>
                <w:sz w:val="18"/>
                <w:szCs w:val="18"/>
              </w:rPr>
              <w:t>。</w:t>
            </w:r>
            <w:r>
              <w:rPr>
                <w:rFonts w:ascii="宋体" w:hAnsi="宋体" w:cs="宋体" w:eastAsia="宋体" w:hint="default"/>
                <w:sz w:val="18"/>
                <w:szCs w:val="18"/>
              </w:rPr>
              <w:t>（三</w:t>
            </w:r>
            <w:r>
              <w:rPr>
                <w:rFonts w:ascii="宋体" w:hAnsi="宋体" w:cs="宋体" w:eastAsia="宋体" w:hint="default"/>
                <w:spacing w:val="-15"/>
                <w:sz w:val="18"/>
                <w:szCs w:val="18"/>
              </w:rPr>
              <w:t>）</w:t>
            </w:r>
            <w:r>
              <w:rPr>
                <w:rFonts w:ascii="宋体" w:hAnsi="宋体" w:cs="宋体" w:eastAsia="宋体" w:hint="default"/>
                <w:sz w:val="18"/>
                <w:szCs w:val="18"/>
              </w:rPr>
              <w:t>如果本人违反上述声明与承诺并造成</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4" w:right="-7"/>
              <w:jc w:val="left"/>
              <w:rPr>
                <w:rFonts w:ascii="宋体" w:hAnsi="宋体" w:cs="宋体" w:eastAsia="宋体" w:hint="default"/>
                <w:sz w:val="18"/>
                <w:szCs w:val="18"/>
              </w:rPr>
            </w:pPr>
            <w:r>
              <w:rPr>
                <w:rFonts w:ascii="宋体" w:hAnsi="宋体" w:cs="宋体" w:eastAsia="宋体" w:hint="default"/>
                <w:sz w:val="18"/>
                <w:szCs w:val="18"/>
              </w:rPr>
              <w:t>同业竞争、 关联交易、 资金占用 方面的承</w:t>
            </w: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67"/>
              <w:jc w:val="both"/>
              <w:rPr>
                <w:rFonts w:ascii="宋体" w:hAnsi="宋体" w:cs="宋体" w:eastAsia="宋体" w:hint="default"/>
                <w:sz w:val="18"/>
                <w:szCs w:val="18"/>
              </w:rPr>
            </w:pPr>
            <w:r>
              <w:rPr>
                <w:rFonts w:ascii="宋体" w:hAnsi="宋体" w:cs="宋体" w:eastAsia="宋体" w:hint="default"/>
                <w:sz w:val="18"/>
                <w:szCs w:val="18"/>
              </w:rPr>
              <w:t>上市公司经济损失的，本人将赔偿上市公司因此受到的全部损失。二、关 于保持上市公司独立性本人及本人控制的企业将充分尊重东方财富的独立 法人地位，严格遵守东方财富的公司章程，保证东方财富独立经营、自主 决策，保证东方财富资产完整，人员、财务、机构和业务独立。三、关于</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规范关联交易在本人持有东方财富</w:t>
            </w:r>
            <w:r>
              <w:rPr>
                <w:rFonts w:ascii="宋体" w:hAnsi="宋体" w:cs="宋体" w:eastAsia="宋体" w:hint="default"/>
                <w:spacing w:val="-31"/>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以上股份期间，本人及本人直接、间</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接控制的公司、</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对于无法避免或必要的关联交易，将本着公平、公开、公正的原则确定关</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联交易价格，保证关联交易的公允性。如因未履行本次承诺事项给东方财</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富或其他投资者造成损失的，本人将向东方财富或其他投资者依法承担赔</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5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偿责任。</w:t>
            </w:r>
          </w:p>
        </w:tc>
        <w:tc>
          <w:tcPr>
            <w:tcW w:w="595"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郑州宇通集团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西藏</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7"/>
              <w:jc w:val="left"/>
              <w:rPr>
                <w:rFonts w:ascii="宋体" w:hAnsi="宋体" w:cs="宋体" w:eastAsia="宋体" w:hint="default"/>
                <w:sz w:val="18"/>
                <w:szCs w:val="18"/>
              </w:rPr>
            </w:pPr>
            <w:r>
              <w:rPr>
                <w:rFonts w:ascii="宋体" w:hAnsi="宋体" w:cs="宋体" w:eastAsia="宋体" w:hint="default"/>
                <w:sz w:val="18"/>
                <w:szCs w:val="18"/>
              </w:rPr>
              <w:t>一、本公司已向东方财富及为本次交易提供审计、评估、法律及财务顾问 专业服务的中介机构提供了本公司有关本次交易的相关信息和文件（包括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正在</w:t>
            </w:r>
          </w:p>
        </w:tc>
      </w:tr>
    </w:tbl>
    <w:p>
      <w:pPr>
        <w:spacing w:after="0" w:line="240" w:lineRule="auto"/>
        <w:jc w:val="left"/>
        <w:rPr>
          <w:rFonts w:ascii="宋体" w:hAnsi="宋体" w:cs="宋体" w:eastAsia="宋体" w:hint="default"/>
          <w:sz w:val="18"/>
          <w:szCs w:val="18"/>
        </w:rPr>
        <w:sectPr>
          <w:pgSz w:w="11910" w:h="16840"/>
          <w:pgMar w:header="852" w:footer="979" w:top="1300" w:bottom="1160" w:left="260" w:right="260"/>
        </w:sectPr>
      </w:pPr>
    </w:p>
    <w:p>
      <w:pPr>
        <w:spacing w:line="240" w:lineRule="auto" w:before="6"/>
        <w:rPr>
          <w:rFonts w:ascii="Times New Roman" w:hAnsi="Times New Roman" w:cs="Times New Roman" w:eastAsia="Times New Roman" w:hint="default"/>
          <w:sz w:val="10"/>
          <w:szCs w:val="10"/>
        </w:rPr>
      </w:pPr>
      <w:r>
        <w:rPr/>
        <w:pict>
          <v:shape style="position:absolute;margin-left:471.421021pt;margin-top:105.749985pt;width:44.45pt;height:187.25pt;mso-position-horizontal-relative:page;mso-position-vertical-relative:page;z-index:-869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四、</w:t>
                  </w:r>
                </w:p>
              </w:txbxContent>
            </v:textbox>
            <w10:wrap type="none"/>
          </v:shape>
        </w:pict>
      </w:r>
      <w:r>
        <w:rPr/>
        <w:pict>
          <v:shape style="position:absolute;margin-left:444.527008pt;margin-top:598.875977pt;width:71.350pt;height:45.9pt;mso-position-horizontal-relative:page;mso-position-vertical-relative:page;z-index:-869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承诺如下：</w:t>
                  </w:r>
                </w:p>
              </w:txbxContent>
            </v:textbox>
            <w10:wrap type="none"/>
          </v:shape>
        </w:pict>
      </w:r>
      <w:r>
        <w:rPr/>
        <w:pict>
          <v:group style="position:absolute;margin-left:486.579987pt;margin-top:105.749985pt;width:29.3pt;height:187.25pt;mso-position-horizontal-relative:page;mso-position-vertical-relative:page;z-index:-869944" coordorigin="9732,2115" coordsize="586,3745">
            <v:shape style="position:absolute;left:9732;top:2115;width:586;height:3745" coordorigin="9732,2115" coordsize="586,3745" path="m9732,5859l10317,5859,10317,2115,9732,2115,9732,5859xe" filled="true" fillcolor="#ffffff" stroked="false">
              <v:path arrowok="t"/>
              <v:fill type="solid"/>
            </v:shape>
            <w10:wrap type="none"/>
          </v:group>
        </w:pict>
      </w:r>
      <w:r>
        <w:rPr/>
        <w:pict>
          <v:group style="position:absolute;margin-left:486.579987pt;margin-top:598.875977pt;width:29.3pt;height:45.9pt;mso-position-horizontal-relative:page;mso-position-vertical-relative:page;z-index:-869920" coordorigin="9732,11978" coordsize="586,918">
            <v:shape style="position:absolute;left:9732;top:11978;width:586;height:918" coordorigin="9732,11978" coordsize="586,918" path="m9732,12895l10317,12895,10317,11978,9732,11978,9732,12895xe" filled="true" fillcolor="#ffffff" stroked="false">
              <v:path arrowok="t"/>
              <v:fill type="solid"/>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1274"/>
        <w:gridCol w:w="1277"/>
        <w:gridCol w:w="927"/>
        <w:gridCol w:w="5864"/>
        <w:gridCol w:w="595"/>
        <w:gridCol w:w="632"/>
        <w:gridCol w:w="569"/>
      </w:tblGrid>
      <w:tr>
        <w:trPr>
          <w:trHeight w:val="320" w:hRule="exact"/>
        </w:trPr>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自治区投资有</w:t>
            </w:r>
          </w:p>
        </w:tc>
        <w:tc>
          <w:tcPr>
            <w:tcW w:w="927" w:type="dxa"/>
            <w:vMerge w:val="restart"/>
            <w:tcBorders>
              <w:top w:val="single" w:sz="4" w:space="0" w:color="000000"/>
              <w:left w:val="single" w:sz="4" w:space="0" w:color="000000"/>
              <w:right w:val="single" w:sz="4" w:space="0" w:color="000000"/>
            </w:tcBorders>
          </w:tcPr>
          <w:p>
            <w:pPr/>
          </w:p>
        </w:tc>
        <w:tc>
          <w:tcPr>
            <w:tcW w:w="5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但不限于原始书面材料、副本材料或口头证言等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，本公司保证：所提供的</w:t>
            </w:r>
          </w:p>
        </w:tc>
        <w:tc>
          <w:tcPr>
            <w:tcW w:w="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tc>
        <w:tc>
          <w:tcPr>
            <w:tcW w:w="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履行</w:t>
            </w:r>
          </w:p>
        </w:tc>
      </w:tr>
      <w:tr>
        <w:trPr>
          <w:trHeight w:val="307"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文件资料的副本或复印件与正本或原件一致，且该等文件资料的签字与印</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章都是真实的，该等文件的签署人业经合法授权并有效签署该文件；保证</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所提供信息和文件真实、准确和完整，不存在虚假记载、误导性陈述或者</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重大遗漏，并对所提供信息的真实性、准确性和完整性承担个别和连带责</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pacing w:val="-46"/>
                <w:sz w:val="18"/>
                <w:szCs w:val="18"/>
              </w:rPr>
              <w:t> </w:t>
            </w:r>
            <w:r>
              <w:rPr>
                <w:rFonts w:ascii="宋体" w:hAnsi="宋体" w:cs="宋体" w:eastAsia="宋体" w:hint="default"/>
                <w:sz w:val="18"/>
                <w:szCs w:val="18"/>
              </w:rPr>
              <w:t>二、在参与本次交易期间，本公司将依照相关法律、法规、规章、中</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国证监会和证券交易所的有关规定，及时向东方财富提供和披露有关本次</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交易的信息，并保证所提供的信息真实、准确、完整，如因提供的信息存</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在虚假记载、误导性陈述或者重大遗漏，给东方财富或者投资者造成损失</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的，本公司将依法承担赔偿责任。</w:t>
            </w:r>
            <w:r>
              <w:rPr>
                <w:rFonts w:ascii="宋体" w:hAnsi="宋体" w:cs="宋体" w:eastAsia="宋体" w:hint="default"/>
                <w:spacing w:val="-43"/>
                <w:sz w:val="18"/>
                <w:szCs w:val="18"/>
              </w:rPr>
              <w:t> </w:t>
            </w:r>
            <w:r>
              <w:rPr>
                <w:rFonts w:ascii="宋体" w:hAnsi="宋体" w:cs="宋体" w:eastAsia="宋体" w:hint="default"/>
                <w:sz w:val="18"/>
                <w:szCs w:val="18"/>
              </w:rPr>
              <w:t>三、本公司保证已履行了法定的披露和</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报告义务，不存在应当披露而未披露</w:t>
            </w:r>
            <w:r>
              <w:rPr>
                <w:rFonts w:ascii="宋体" w:hAnsi="宋体" w:cs="宋体" w:eastAsia="宋体" w:hint="default"/>
                <w:spacing w:val="22"/>
                <w:sz w:val="18"/>
                <w:szCs w:val="18"/>
              </w:rPr>
              <w:t> </w:t>
            </w:r>
            <w:r>
              <w:rPr>
                <w:rFonts w:ascii="宋体" w:hAnsi="宋体" w:cs="宋体" w:eastAsia="宋体" w:hint="default"/>
                <w:spacing w:val="-5"/>
                <w:sz w:val="18"/>
                <w:szCs w:val="18"/>
              </w:rPr>
              <w:t>的合同、协议、安排或其他事项。</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如本公司就本次交易所提供或披露的信息涉嫌虚假记载、误导性陈述或者</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vMerge/>
            <w:tcBorders>
              <w:left w:val="single" w:sz="4" w:space="0" w:color="000000"/>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重大遗漏，被司法机关立案侦查或者被中国证监会立案调查的，在形成调</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27" w:type="dxa"/>
            <w:vMerge/>
            <w:tcBorders>
              <w:left w:val="single" w:sz="4" w:space="0" w:color="000000"/>
              <w:bottom w:val="single" w:sz="4" w:space="0" w:color="000000"/>
              <w:right w:val="single" w:sz="4" w:space="0" w:color="000000"/>
            </w:tcBorders>
          </w:tcPr>
          <w:p>
            <w:pPr/>
          </w:p>
        </w:tc>
        <w:tc>
          <w:tcPr>
            <w:tcW w:w="5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查结论以前，本公司不转让在东方财富拥有权益的股份。</w:t>
            </w:r>
          </w:p>
        </w:tc>
        <w:tc>
          <w:tcPr>
            <w:tcW w:w="595"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r>
      <w:tr>
        <w:trPr>
          <w:trHeight w:val="1961" w:hRule="exact"/>
        </w:trPr>
        <w:tc>
          <w:tcPr>
            <w:tcW w:w="1274"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60"/>
              <w:jc w:val="left"/>
              <w:rPr>
                <w:rFonts w:ascii="宋体" w:hAnsi="宋体" w:cs="宋体" w:eastAsia="宋体" w:hint="default"/>
                <w:sz w:val="18"/>
                <w:szCs w:val="18"/>
              </w:rPr>
            </w:pPr>
            <w:r>
              <w:rPr>
                <w:rFonts w:ascii="宋体" w:hAnsi="宋体" w:cs="宋体" w:eastAsia="宋体" w:hint="default"/>
                <w:sz w:val="18"/>
                <w:szCs w:val="18"/>
              </w:rPr>
              <w:t>其实</w:t>
            </w:r>
            <w:r>
              <w:rPr>
                <w:rFonts w:ascii="Times New Roman" w:hAnsi="Times New Roman" w:cs="Times New Roman" w:eastAsia="Times New Roman" w:hint="default"/>
                <w:sz w:val="18"/>
                <w:szCs w:val="18"/>
              </w:rPr>
              <w:t>;</w:t>
            </w:r>
            <w:r>
              <w:rPr>
                <w:rFonts w:ascii="宋体" w:hAnsi="宋体" w:cs="宋体" w:eastAsia="宋体" w:hint="default"/>
                <w:sz w:val="18"/>
                <w:szCs w:val="18"/>
              </w:rPr>
              <w:t>陶涛</w:t>
            </w:r>
            <w:r>
              <w:rPr>
                <w:rFonts w:ascii="Times New Roman" w:hAnsi="Times New Roman" w:cs="Times New Roman" w:eastAsia="Times New Roman" w:hint="default"/>
                <w:sz w:val="18"/>
                <w:szCs w:val="18"/>
              </w:rPr>
              <w:t>;</w:t>
            </w:r>
            <w:r>
              <w:rPr>
                <w:rFonts w:ascii="宋体" w:hAnsi="宋体" w:cs="宋体" w:eastAsia="宋体" w:hint="default"/>
                <w:sz w:val="18"/>
                <w:szCs w:val="18"/>
              </w:rPr>
              <w:t>陆 威</w:t>
            </w:r>
            <w:r>
              <w:rPr>
                <w:rFonts w:ascii="Times New Roman" w:hAnsi="Times New Roman" w:cs="Times New Roman" w:eastAsia="Times New Roman" w:hint="default"/>
                <w:sz w:val="18"/>
                <w:szCs w:val="18"/>
              </w:rPr>
              <w:t>;</w:t>
            </w:r>
            <w:r>
              <w:rPr>
                <w:rFonts w:ascii="宋体" w:hAnsi="宋体" w:cs="宋体" w:eastAsia="宋体" w:hint="default"/>
                <w:sz w:val="18"/>
                <w:szCs w:val="18"/>
              </w:rPr>
              <w:t>程磊</w:t>
            </w:r>
            <w:r>
              <w:rPr>
                <w:rFonts w:ascii="Times New Roman" w:hAnsi="Times New Roman" w:cs="Times New Roman" w:eastAsia="Times New Roman" w:hint="default"/>
                <w:sz w:val="18"/>
                <w:szCs w:val="18"/>
              </w:rPr>
              <w:t>;</w:t>
            </w:r>
            <w:r>
              <w:rPr>
                <w:rFonts w:ascii="宋体" w:hAnsi="宋体" w:cs="宋体" w:eastAsia="宋体" w:hint="default"/>
                <w:sz w:val="18"/>
                <w:szCs w:val="18"/>
              </w:rPr>
              <w:t>史佳</w:t>
            </w:r>
            <w:r>
              <w:rPr>
                <w:rFonts w:ascii="Times New Roman" w:hAnsi="Times New Roman" w:cs="Times New Roman" w:eastAsia="Times New Roman" w:hint="default"/>
                <w:sz w:val="18"/>
                <w:szCs w:val="18"/>
              </w:rPr>
              <w:t>; </w:t>
            </w:r>
            <w:r>
              <w:rPr>
                <w:rFonts w:ascii="宋体" w:hAnsi="宋体" w:cs="宋体" w:eastAsia="宋体" w:hint="default"/>
                <w:sz w:val="18"/>
                <w:szCs w:val="18"/>
              </w:rPr>
              <w:t>曹薇</w:t>
            </w:r>
            <w:r>
              <w:rPr>
                <w:rFonts w:ascii="Times New Roman" w:hAnsi="Times New Roman" w:cs="Times New Roman" w:eastAsia="Times New Roman" w:hint="default"/>
                <w:sz w:val="18"/>
                <w:szCs w:val="18"/>
              </w:rPr>
              <w:t>;</w:t>
            </w:r>
            <w:r>
              <w:rPr>
                <w:rFonts w:ascii="宋体" w:hAnsi="宋体" w:cs="宋体" w:eastAsia="宋体" w:hint="default"/>
                <w:sz w:val="18"/>
                <w:szCs w:val="18"/>
              </w:rPr>
              <w:t>鲍一青</w:t>
            </w:r>
            <w:r>
              <w:rPr>
                <w:rFonts w:ascii="Times New Roman" w:hAnsi="Times New Roman" w:cs="Times New Roman" w:eastAsia="Times New Roman" w:hint="default"/>
                <w:sz w:val="18"/>
                <w:szCs w:val="18"/>
              </w:rPr>
              <w:t>;</w:t>
            </w:r>
            <w:r>
              <w:rPr>
                <w:rFonts w:ascii="宋体" w:hAnsi="宋体" w:cs="宋体" w:eastAsia="宋体" w:hint="default"/>
                <w:sz w:val="18"/>
                <w:szCs w:val="18"/>
              </w:rPr>
              <w:t>蔡 玮</w:t>
            </w:r>
            <w:r>
              <w:rPr>
                <w:rFonts w:ascii="Times New Roman" w:hAnsi="Times New Roman" w:cs="Times New Roman" w:eastAsia="Times New Roman" w:hint="default"/>
                <w:sz w:val="18"/>
                <w:szCs w:val="18"/>
              </w:rPr>
              <w:t>;</w:t>
            </w:r>
            <w:r>
              <w:rPr>
                <w:rFonts w:ascii="宋体" w:hAnsi="宋体" w:cs="宋体" w:eastAsia="宋体" w:hint="default"/>
                <w:sz w:val="18"/>
                <w:szCs w:val="18"/>
              </w:rPr>
              <w:t>叶露</w:t>
            </w:r>
            <w:r>
              <w:rPr>
                <w:rFonts w:ascii="Times New Roman" w:hAnsi="Times New Roman" w:cs="Times New Roman" w:eastAsia="Times New Roman" w:hint="default"/>
                <w:sz w:val="18"/>
                <w:szCs w:val="18"/>
              </w:rPr>
              <w:t>;</w:t>
            </w:r>
            <w:r>
              <w:rPr>
                <w:rFonts w:ascii="宋体" w:hAnsi="宋体" w:cs="宋体" w:eastAsia="宋体" w:hint="default"/>
                <w:sz w:val="18"/>
                <w:szCs w:val="18"/>
              </w:rPr>
              <w:t>江泊</w:t>
            </w:r>
            <w:r>
              <w:rPr>
                <w:rFonts w:ascii="Times New Roman" w:hAnsi="Times New Roman" w:cs="Times New Roman" w:eastAsia="Times New Roman" w:hint="default"/>
                <w:sz w:val="18"/>
                <w:szCs w:val="18"/>
              </w:rPr>
              <w:t>; </w:t>
            </w:r>
            <w:r>
              <w:rPr>
                <w:rFonts w:ascii="宋体" w:hAnsi="宋体" w:cs="宋体" w:eastAsia="宋体" w:hint="default"/>
                <w:sz w:val="18"/>
                <w:szCs w:val="18"/>
              </w:rPr>
              <w:t>颜学海</w:t>
            </w:r>
            <w:r>
              <w:rPr>
                <w:rFonts w:ascii="Times New Roman" w:hAnsi="Times New Roman" w:cs="Times New Roman" w:eastAsia="Times New Roman" w:hint="default"/>
                <w:sz w:val="18"/>
                <w:szCs w:val="18"/>
              </w:rPr>
              <w:t>;</w:t>
            </w:r>
            <w:r>
              <w:rPr>
                <w:rFonts w:ascii="宋体" w:hAnsi="宋体" w:cs="宋体" w:eastAsia="宋体" w:hint="default"/>
                <w:sz w:val="18"/>
                <w:szCs w:val="18"/>
              </w:rPr>
              <w:t>李增泉</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both"/>
              <w:rPr>
                <w:rFonts w:ascii="宋体" w:hAnsi="宋体" w:cs="宋体" w:eastAsia="宋体" w:hint="default"/>
                <w:sz w:val="18"/>
                <w:szCs w:val="18"/>
              </w:rPr>
            </w:pPr>
            <w:r>
              <w:rPr>
                <w:rFonts w:ascii="宋体" w:hAnsi="宋体" w:cs="宋体" w:eastAsia="宋体" w:hint="default"/>
                <w:sz w:val="18"/>
                <w:szCs w:val="18"/>
              </w:rPr>
              <w:t>一、保证本次重组的信息披露和申请文件不存在虚假记载、误导性陈述或 者重大遗漏，并对所披露信息和申请文件的真实性、准确性和完整性承担 个别及连带责任。二、如本次重组因涉嫌所提供或者披露的信息存在虚假 记载、误导性陈述或者重大遗漏，被司法机关立案侦查或者被中国证监会 立案调查的，在案件调查结论明确之前，本人承诺暂停转让本人在东方财 </w:t>
            </w:r>
            <w:r>
              <w:rPr>
                <w:rFonts w:ascii="宋体" w:hAnsi="宋体" w:cs="宋体" w:eastAsia="宋体" w:hint="default"/>
                <w:spacing w:val="-8"/>
                <w:sz w:val="18"/>
                <w:szCs w:val="18"/>
              </w:rPr>
              <w:t>富拥有权益的股份（如有）。</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60" w:hRule="exact"/>
        </w:trPr>
        <w:tc>
          <w:tcPr>
            <w:tcW w:w="1274"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5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、东方财富收购同信证券完成后，如果同信证券（包括同信证券自身、分</w:t>
            </w:r>
          </w:p>
        </w:tc>
        <w:tc>
          <w:tcPr>
            <w:tcW w:w="595"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支机构、其控股公司，下同）因本次交易完成前的不合规行为遭受损失的</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（包括但不限于任何罚款</w:t>
            </w:r>
            <w:r>
              <w:rPr>
                <w:rFonts w:ascii="宋体" w:hAnsi="宋体" w:cs="宋体" w:eastAsia="宋体" w:hint="default"/>
                <w:spacing w:val="-10"/>
                <w:sz w:val="18"/>
                <w:szCs w:val="18"/>
              </w:rPr>
              <w:t>、</w:t>
            </w:r>
            <w:r>
              <w:rPr>
                <w:rFonts w:ascii="宋体" w:hAnsi="宋体" w:cs="宋体" w:eastAsia="宋体" w:hint="default"/>
                <w:sz w:val="18"/>
                <w:szCs w:val="18"/>
              </w:rPr>
              <w:t>违约金</w:t>
            </w:r>
            <w:r>
              <w:rPr>
                <w:rFonts w:ascii="宋体" w:hAnsi="宋体" w:cs="宋体" w:eastAsia="宋体" w:hint="default"/>
                <w:spacing w:val="-10"/>
                <w:sz w:val="18"/>
                <w:szCs w:val="18"/>
              </w:rPr>
              <w:t>、</w:t>
            </w:r>
            <w:r>
              <w:rPr>
                <w:rFonts w:ascii="宋体" w:hAnsi="宋体" w:cs="宋体" w:eastAsia="宋体" w:hint="default"/>
                <w:sz w:val="18"/>
                <w:szCs w:val="18"/>
              </w:rPr>
              <w:t>滞纳金</w:t>
            </w:r>
            <w:r>
              <w:rPr>
                <w:rFonts w:ascii="宋体" w:hAnsi="宋体" w:cs="宋体" w:eastAsia="宋体" w:hint="default"/>
                <w:spacing w:val="-10"/>
                <w:sz w:val="18"/>
                <w:szCs w:val="18"/>
              </w:rPr>
              <w:t>、</w:t>
            </w:r>
            <w:r>
              <w:rPr>
                <w:rFonts w:ascii="宋体" w:hAnsi="宋体" w:cs="宋体" w:eastAsia="宋体" w:hint="default"/>
                <w:sz w:val="18"/>
                <w:szCs w:val="18"/>
              </w:rPr>
              <w:t>赔偿</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宇通</w:t>
            </w:r>
            <w:r>
              <w:rPr>
                <w:rFonts w:ascii="宋体" w:hAnsi="宋体" w:cs="宋体" w:eastAsia="宋体" w:hint="default"/>
                <w:spacing w:val="-3"/>
                <w:sz w:val="18"/>
                <w:szCs w:val="18"/>
              </w:rPr>
              <w:t>集</w:t>
            </w:r>
            <w:r>
              <w:rPr>
                <w:rFonts w:ascii="宋体" w:hAnsi="宋体" w:cs="宋体" w:eastAsia="宋体" w:hint="default"/>
                <w:sz w:val="18"/>
                <w:szCs w:val="18"/>
              </w:rPr>
              <w:t>团将在收到东</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方财富书面通知及能够证明已实际遭受并承担损失的文件之日起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个工作</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郑州宇通集团 有限公司</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17"/>
              <w:jc w:val="both"/>
              <w:rPr>
                <w:rFonts w:ascii="宋体" w:hAnsi="宋体" w:cs="宋体" w:eastAsia="宋体" w:hint="default"/>
                <w:sz w:val="18"/>
                <w:szCs w:val="18"/>
              </w:rPr>
            </w:pPr>
            <w:r>
              <w:rPr>
                <w:rFonts w:ascii="宋体" w:hAnsi="宋体" w:cs="宋体" w:eastAsia="宋体" w:hint="default"/>
                <w:spacing w:val="-3"/>
                <w:sz w:val="18"/>
                <w:szCs w:val="18"/>
              </w:rPr>
              <w:t>日内以现金方式向东方财富进行足额补偿，包括：（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）因同信证券在本次</w:t>
            </w:r>
            <w:r>
              <w:rPr>
                <w:rFonts w:ascii="宋体" w:hAnsi="宋体" w:cs="宋体" w:eastAsia="宋体" w:hint="default"/>
                <w:spacing w:val="-82"/>
                <w:sz w:val="18"/>
                <w:szCs w:val="18"/>
              </w:rPr>
              <w:t> </w:t>
            </w:r>
            <w:r>
              <w:rPr>
                <w:rFonts w:ascii="宋体" w:hAnsi="宋体" w:cs="宋体" w:eastAsia="宋体" w:hint="default"/>
                <w:sz w:val="18"/>
                <w:szCs w:val="18"/>
              </w:rPr>
              <w:t>交易完成前签署的房产租赁协议存在的法律瑕疵，而导致同信证券或重组 </w:t>
            </w:r>
            <w:r>
              <w:rPr>
                <w:rFonts w:ascii="宋体" w:hAnsi="宋体" w:cs="宋体" w:eastAsia="宋体" w:hint="default"/>
                <w:spacing w:val="-3"/>
                <w:sz w:val="18"/>
                <w:szCs w:val="18"/>
              </w:rPr>
              <w:t>完成后的上市公司遭受损失的；（</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）因同信证券在本次交易完成前为员工</w:t>
            </w:r>
            <w:r>
              <w:rPr>
                <w:rFonts w:ascii="宋体" w:hAnsi="宋体" w:cs="宋体" w:eastAsia="宋体" w:hint="default"/>
                <w:spacing w:val="-79"/>
                <w:sz w:val="18"/>
                <w:szCs w:val="18"/>
              </w:rPr>
              <w:t> </w:t>
            </w:r>
            <w:r>
              <w:rPr>
                <w:rFonts w:ascii="宋体" w:hAnsi="宋体" w:cs="宋体" w:eastAsia="宋体" w:hint="default"/>
                <w:sz w:val="18"/>
                <w:szCs w:val="18"/>
              </w:rPr>
              <w:t>缴纳社会保险金、住房公积金方面存在瑕疵，导致同信证券或重组完成后 </w:t>
            </w:r>
            <w:r>
              <w:rPr>
                <w:rFonts w:ascii="宋体" w:hAnsi="宋体" w:cs="宋体" w:eastAsia="宋体" w:hint="default"/>
                <w:spacing w:val="-4"/>
                <w:sz w:val="18"/>
                <w:szCs w:val="18"/>
              </w:rPr>
              <w:t>的上市公司遭受损失的。</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、本承诺所述的补偿金的计算方式为：（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）若遭</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07"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受损失的直接主体为同信证券或重组完成后的上市公司，则补偿金额即为</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其实际所遭受损失金额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）若遭受损失的直接主体为同信证券控股的公</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司，则补偿金的计算方式为：补偿金额＝控股公司所遭受损失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同信证券持</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5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有该公司的权益比例。</w:t>
            </w:r>
          </w:p>
        </w:tc>
        <w:tc>
          <w:tcPr>
            <w:tcW w:w="595"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5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为避免同业竞争，保护公司及其他股东的利益，本公司控股股东、实际控</w:t>
            </w:r>
          </w:p>
        </w:tc>
        <w:tc>
          <w:tcPr>
            <w:tcW w:w="595" w:type="dxa"/>
            <w:tcBorders>
              <w:top w:val="single" w:sz="4" w:space="0" w:color="000000"/>
              <w:left w:val="single" w:sz="4" w:space="0" w:color="000000"/>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74"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制人其实先生出具了避免同业竞争的承诺。</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日，本公司控股</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1622" w:hRule="exact"/>
        </w:trPr>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4" w:right="22"/>
              <w:jc w:val="left"/>
              <w:rPr>
                <w:rFonts w:ascii="宋体" w:hAnsi="宋体" w:cs="宋体" w:eastAsia="宋体" w:hint="default"/>
                <w:sz w:val="18"/>
                <w:szCs w:val="18"/>
              </w:rPr>
            </w:pPr>
            <w:r>
              <w:rPr>
                <w:rFonts w:ascii="宋体" w:hAnsi="宋体" w:cs="宋体" w:eastAsia="宋体" w:hint="default"/>
                <w:sz w:val="18"/>
                <w:szCs w:val="18"/>
              </w:rPr>
              <w:t>关于同业 </w:t>
            </w:r>
            <w:r>
              <w:rPr>
                <w:rFonts w:ascii="宋体" w:hAnsi="宋体" w:cs="宋体" w:eastAsia="宋体" w:hint="default"/>
                <w:spacing w:val="-7"/>
                <w:sz w:val="18"/>
                <w:szCs w:val="18"/>
              </w:rPr>
              <w:t>竞争、关联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交易、资金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占用方面</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pacing w:val="-44"/>
                <w:sz w:val="18"/>
                <w:szCs w:val="18"/>
              </w:rPr>
              <w:t>、</w:t>
            </w:r>
            <w:r>
              <w:rPr>
                <w:rFonts w:ascii="宋体" w:hAnsi="宋体" w:cs="宋体" w:eastAsia="宋体" w:hint="default"/>
                <w:sz w:val="18"/>
                <w:szCs w:val="18"/>
              </w:rPr>
              <w:t>实际控制人其实先生出具</w:t>
            </w:r>
            <w:r>
              <w:rPr>
                <w:rFonts w:ascii="宋体" w:hAnsi="宋体" w:cs="宋体" w:eastAsia="宋体" w:hint="default"/>
                <w:spacing w:val="-44"/>
                <w:sz w:val="18"/>
                <w:szCs w:val="18"/>
              </w:rPr>
              <w:t>了</w:t>
            </w:r>
            <w:r>
              <w:rPr>
                <w:rFonts w:ascii="宋体" w:hAnsi="宋体" w:cs="宋体" w:eastAsia="宋体" w:hint="default"/>
                <w:sz w:val="18"/>
                <w:szCs w:val="18"/>
              </w:rPr>
              <w:t>《关于避免同业竞争承诺函</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7" w:lineRule="auto" w:before="76"/>
              <w:ind w:left="23" w:right="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）本人所控制的除东方财富以外的公司、分公司、合营或联营公司及其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他任何类型的企业现时不存在从事与东方财富有相同或类似业务的情形， </w:t>
            </w:r>
            <w:r>
              <w:rPr>
                <w:rFonts w:ascii="宋体" w:hAnsi="宋体" w:cs="宋体" w:eastAsia="宋体" w:hint="default"/>
                <w:spacing w:val="-3"/>
                <w:sz w:val="18"/>
                <w:szCs w:val="18"/>
              </w:rPr>
              <w:t>与东方财富之间不存在同业竞争。（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）在作为东方财富实际控制人期间，</w:t>
            </w:r>
            <w:r>
              <w:rPr>
                <w:rFonts w:ascii="宋体" w:hAnsi="宋体" w:cs="宋体" w:eastAsia="宋体" w:hint="default"/>
                <w:spacing w:val="-82"/>
                <w:sz w:val="18"/>
                <w:szCs w:val="18"/>
              </w:rPr>
              <w:t> </w:t>
            </w:r>
            <w:r>
              <w:rPr>
                <w:rFonts w:ascii="宋体" w:hAnsi="宋体" w:cs="宋体" w:eastAsia="宋体" w:hint="default"/>
                <w:spacing w:val="-3"/>
                <w:sz w:val="18"/>
                <w:szCs w:val="18"/>
              </w:rPr>
              <w:t>将不设立从事与东方财富有相同或类似业务的公司。（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）承诺不利用东方</w:t>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4" w:lineRule="auto"/>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245" w:hRule="exact"/>
        </w:trPr>
        <w:tc>
          <w:tcPr>
            <w:tcW w:w="1274"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财富实际控制人地位，损害东方财富及东方财富其他股东的利益。如违反</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4"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5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上述承诺，本人愿意承担由此产生的全部责任，充分赔偿或补偿由此给东</w:t>
            </w:r>
          </w:p>
        </w:tc>
        <w:tc>
          <w:tcPr>
            <w:tcW w:w="595" w:type="dxa"/>
            <w:tcBorders>
              <w:top w:val="nil" w:sz="6" w:space="0" w:color="auto"/>
              <w:left w:val="single" w:sz="4" w:space="0" w:color="000000"/>
              <w:bottom w:val="nil" w:sz="6" w:space="0" w:color="auto"/>
              <w:right w:val="single" w:sz="4" w:space="0" w:color="000000"/>
            </w:tcBorders>
          </w:tcPr>
          <w:p>
            <w:pPr/>
          </w:p>
        </w:tc>
        <w:tc>
          <w:tcPr>
            <w:tcW w:w="632"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5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方财富造成的所有直接或间接损失。上述承诺一经签署立即生效，且上述</w:t>
            </w:r>
          </w:p>
        </w:tc>
        <w:tc>
          <w:tcPr>
            <w:tcW w:w="595"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280" w:right="260"/>
        </w:sectPr>
      </w:pPr>
    </w:p>
    <w:p>
      <w:pPr>
        <w:spacing w:line="240" w:lineRule="auto" w:before="6"/>
        <w:rPr>
          <w:rFonts w:ascii="Times New Roman" w:hAnsi="Times New Roman" w:cs="Times New Roman" w:eastAsia="Times New Roman" w:hint="default"/>
          <w:sz w:val="10"/>
          <w:szCs w:val="10"/>
        </w:rPr>
      </w:pPr>
      <w:r>
        <w:rPr/>
        <w:pict>
          <v:group style="position:absolute;margin-left:487.779999pt;margin-top:273.289978pt;width:26.9pt;height:15.6pt;mso-position-horizontal-relative:page;mso-position-vertical-relative:page;z-index:-869896" coordorigin="9756,5466" coordsize="538,312">
            <v:shape style="position:absolute;left:9756;top:5466;width:538;height:312" coordorigin="9756,5466" coordsize="538,312" path="m9756,5778l10293,5778,10293,5466,9756,5466,9756,5778xe" filled="true" fillcolor="#ffffff" stroked="false">
              <v:path arrowok="t"/>
              <v:fill type="solid"/>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1274"/>
        <w:gridCol w:w="1277"/>
        <w:gridCol w:w="927"/>
        <w:gridCol w:w="5864"/>
        <w:gridCol w:w="595"/>
        <w:gridCol w:w="632"/>
        <w:gridCol w:w="569"/>
      </w:tblGrid>
      <w:tr>
        <w:trPr>
          <w:trHeight w:val="675"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8"/>
              <w:jc w:val="left"/>
              <w:rPr>
                <w:rFonts w:ascii="宋体" w:hAnsi="宋体" w:cs="宋体" w:eastAsia="宋体" w:hint="default"/>
                <w:sz w:val="18"/>
                <w:szCs w:val="18"/>
              </w:rPr>
            </w:pPr>
            <w:r>
              <w:rPr>
                <w:rFonts w:ascii="宋体" w:hAnsi="宋体" w:cs="宋体" w:eastAsia="宋体" w:hint="default"/>
                <w:sz w:val="18"/>
                <w:szCs w:val="18"/>
              </w:rPr>
              <w:t>承诺在本人对东方财富拥有由资本因素或非资本因素形成的直接或间接的 控制权或对东方财富存在重大影响期间持续有效，且不可变更或撤销。</w:t>
            </w:r>
          </w:p>
        </w:tc>
        <w:tc>
          <w:tcPr>
            <w:tcW w:w="595"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东方财富</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1"/>
              <w:jc w:val="both"/>
              <w:rPr>
                <w:rFonts w:ascii="宋体" w:hAnsi="宋体" w:cs="宋体" w:eastAsia="宋体" w:hint="default"/>
                <w:sz w:val="18"/>
                <w:szCs w:val="18"/>
              </w:rPr>
            </w:pPr>
            <w:r>
              <w:rPr>
                <w:rFonts w:ascii="宋体" w:hAnsi="宋体" w:cs="宋体" w:eastAsia="宋体" w:hint="default"/>
                <w:sz w:val="18"/>
                <w:szCs w:val="18"/>
              </w:rPr>
              <w:t>不提供财 务资助承 诺</w:t>
            </w:r>
          </w:p>
        </w:tc>
        <w:tc>
          <w:tcPr>
            <w:tcW w:w="5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8"/>
              <w:jc w:val="left"/>
              <w:rPr>
                <w:rFonts w:ascii="宋体" w:hAnsi="宋体" w:cs="宋体" w:eastAsia="宋体" w:hint="default"/>
                <w:sz w:val="18"/>
                <w:szCs w:val="18"/>
              </w:rPr>
            </w:pPr>
            <w:r>
              <w:rPr>
                <w:rFonts w:ascii="宋体" w:hAnsi="宋体" w:cs="宋体" w:eastAsia="宋体" w:hint="default"/>
                <w:sz w:val="18"/>
                <w:szCs w:val="18"/>
              </w:rPr>
              <w:t>公司未来不为激励对象依股权激励计划获取有关权益提供贷款以及其他任 何形式的财务资助，包括为其贷款提供担保。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236" w:hRule="exact"/>
        </w:trPr>
        <w:tc>
          <w:tcPr>
            <w:tcW w:w="127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190"/>
              <w:jc w:val="both"/>
              <w:rPr>
                <w:rFonts w:ascii="宋体" w:hAnsi="宋体" w:cs="宋体" w:eastAsia="宋体" w:hint="default"/>
                <w:sz w:val="18"/>
                <w:szCs w:val="18"/>
              </w:rPr>
            </w:pPr>
            <w:r>
              <w:rPr>
                <w:rFonts w:ascii="宋体" w:hAnsi="宋体" w:cs="宋体" w:eastAsia="宋体" w:hint="default"/>
                <w:sz w:val="18"/>
                <w:szCs w:val="18"/>
              </w:rPr>
              <w:t>其实</w:t>
            </w:r>
            <w:r>
              <w:rPr>
                <w:rFonts w:ascii="Times New Roman" w:hAnsi="Times New Roman" w:cs="Times New Roman" w:eastAsia="Times New Roman" w:hint="default"/>
                <w:sz w:val="18"/>
                <w:szCs w:val="18"/>
              </w:rPr>
              <w:t>;</w:t>
            </w:r>
            <w:r>
              <w:rPr>
                <w:rFonts w:ascii="宋体" w:hAnsi="宋体" w:cs="宋体" w:eastAsia="宋体" w:hint="default"/>
                <w:sz w:val="18"/>
                <w:szCs w:val="18"/>
              </w:rPr>
              <w:t>陶涛</w:t>
            </w:r>
            <w:r>
              <w:rPr>
                <w:rFonts w:ascii="Times New Roman" w:hAnsi="Times New Roman" w:cs="Times New Roman" w:eastAsia="Times New Roman" w:hint="default"/>
                <w:sz w:val="18"/>
                <w:szCs w:val="18"/>
              </w:rPr>
              <w:t>;</w:t>
            </w:r>
            <w:r>
              <w:rPr>
                <w:rFonts w:ascii="宋体" w:hAnsi="宋体" w:cs="宋体" w:eastAsia="宋体" w:hint="default"/>
                <w:sz w:val="18"/>
                <w:szCs w:val="18"/>
              </w:rPr>
              <w:t>陆 威</w:t>
            </w:r>
            <w:r>
              <w:rPr>
                <w:rFonts w:ascii="Times New Roman" w:hAnsi="Times New Roman" w:cs="Times New Roman" w:eastAsia="Times New Roman" w:hint="default"/>
                <w:sz w:val="18"/>
                <w:szCs w:val="18"/>
              </w:rPr>
              <w:t>;</w:t>
            </w:r>
            <w:r>
              <w:rPr>
                <w:rFonts w:ascii="宋体" w:hAnsi="宋体" w:cs="宋体" w:eastAsia="宋体" w:hint="default"/>
                <w:sz w:val="18"/>
                <w:szCs w:val="18"/>
              </w:rPr>
              <w:t>程磊</w:t>
            </w:r>
            <w:r>
              <w:rPr>
                <w:rFonts w:ascii="Times New Roman" w:hAnsi="Times New Roman" w:cs="Times New Roman" w:eastAsia="Times New Roman" w:hint="default"/>
                <w:sz w:val="18"/>
                <w:szCs w:val="18"/>
              </w:rPr>
              <w:t>;</w:t>
            </w:r>
            <w:r>
              <w:rPr>
                <w:rFonts w:ascii="宋体" w:hAnsi="宋体" w:cs="宋体" w:eastAsia="宋体" w:hint="default"/>
                <w:sz w:val="18"/>
                <w:szCs w:val="18"/>
              </w:rPr>
              <w:t>史佳</w:t>
            </w:r>
            <w:r>
              <w:rPr>
                <w:rFonts w:ascii="Times New Roman" w:hAnsi="Times New Roman" w:cs="Times New Roman" w:eastAsia="Times New Roman" w:hint="default"/>
                <w:sz w:val="18"/>
                <w:szCs w:val="18"/>
              </w:rPr>
              <w:t>; </w:t>
            </w:r>
            <w:r>
              <w:rPr>
                <w:rFonts w:ascii="宋体" w:hAnsi="宋体" w:cs="宋体" w:eastAsia="宋体" w:hint="default"/>
                <w:sz w:val="18"/>
                <w:szCs w:val="18"/>
              </w:rPr>
              <w:t>鲍一青</w:t>
            </w:r>
            <w:r>
              <w:rPr>
                <w:rFonts w:ascii="Times New Roman" w:hAnsi="Times New Roman" w:cs="Times New Roman" w:eastAsia="Times New Roman" w:hint="default"/>
                <w:sz w:val="18"/>
                <w:szCs w:val="18"/>
              </w:rPr>
              <w:t>;</w:t>
            </w:r>
            <w:r>
              <w:rPr>
                <w:rFonts w:ascii="宋体" w:hAnsi="宋体" w:cs="宋体" w:eastAsia="宋体" w:hint="default"/>
                <w:sz w:val="18"/>
                <w:szCs w:val="18"/>
              </w:rPr>
              <w:t>曹薇</w:t>
            </w:r>
          </w:p>
        </w:tc>
        <w:tc>
          <w:tcPr>
            <w:tcW w:w="9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34"/>
              <w:ind w:left="24" w:right="35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8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48"/>
              <w:jc w:val="left"/>
              <w:rPr>
                <w:rFonts w:ascii="宋体" w:hAnsi="宋体" w:cs="宋体" w:eastAsia="宋体" w:hint="default"/>
                <w:sz w:val="18"/>
                <w:szCs w:val="18"/>
              </w:rPr>
            </w:pPr>
            <w:r>
              <w:rPr>
                <w:rFonts w:ascii="宋体" w:hAnsi="宋体" w:cs="宋体" w:eastAsia="宋体" w:hint="default"/>
                <w:sz w:val="18"/>
                <w:szCs w:val="18"/>
              </w:rPr>
              <w:t>在任职期间每年转让的股份不超过其所持有公司股份总数的百分之二十 五，在离职后半年内，不转让其所持有的公司股份。</w:t>
            </w:r>
          </w:p>
        </w:tc>
        <w:tc>
          <w:tcPr>
            <w:tcW w:w="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103" w:hRule="exact"/>
        </w:trPr>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小股东所作承</w:t>
            </w:r>
          </w:p>
        </w:tc>
        <w:tc>
          <w:tcPr>
            <w:tcW w:w="1277"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5864"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632"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r>
      <w:tr>
        <w:trPr>
          <w:trHeight w:val="103" w:hRule="exact"/>
        </w:trPr>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5864" w:type="dxa"/>
            <w:tcBorders>
              <w:top w:val="single" w:sz="4" w:space="0" w:color="000000"/>
              <w:left w:val="single" w:sz="4" w:space="0" w:color="000000"/>
              <w:bottom w:val="nil" w:sz="6" w:space="0" w:color="auto"/>
              <w:right w:val="single" w:sz="10" w:space="0" w:color="FFFFFF"/>
            </w:tcBorders>
          </w:tcPr>
          <w:p>
            <w:pPr/>
          </w:p>
        </w:tc>
        <w:tc>
          <w:tcPr>
            <w:tcW w:w="595" w:type="dxa"/>
            <w:tcBorders>
              <w:top w:val="single" w:sz="4" w:space="0" w:color="000000"/>
              <w:left w:val="single" w:sz="10" w:space="0" w:color="FFFFFF"/>
              <w:bottom w:val="nil" w:sz="6" w:space="0" w:color="auto"/>
              <w:right w:val="single" w:sz="4" w:space="0" w:color="000000"/>
            </w:tcBorders>
          </w:tcPr>
          <w:p>
            <w:pPr/>
          </w:p>
        </w:tc>
        <w:tc>
          <w:tcPr>
            <w:tcW w:w="632"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r>
      <w:tr>
        <w:trPr>
          <w:trHeight w:val="1234" w:hRule="exact"/>
        </w:trPr>
        <w:tc>
          <w:tcPr>
            <w:tcW w:w="12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300" w:lineRule="auto" w:before="107"/>
              <w:ind w:left="24" w:right="190"/>
              <w:jc w:val="both"/>
              <w:rPr>
                <w:rFonts w:ascii="宋体" w:hAnsi="宋体" w:cs="宋体" w:eastAsia="宋体" w:hint="default"/>
                <w:sz w:val="18"/>
                <w:szCs w:val="18"/>
              </w:rPr>
            </w:pPr>
            <w:r>
              <w:rPr>
                <w:rFonts w:ascii="宋体" w:hAnsi="宋体" w:cs="宋体" w:eastAsia="宋体" w:hint="default"/>
                <w:sz w:val="18"/>
                <w:szCs w:val="18"/>
              </w:rPr>
              <w:t>其实</w:t>
            </w:r>
            <w:r>
              <w:rPr>
                <w:rFonts w:ascii="Times New Roman" w:hAnsi="Times New Roman" w:cs="Times New Roman" w:eastAsia="Times New Roman" w:hint="default"/>
                <w:sz w:val="18"/>
                <w:szCs w:val="18"/>
              </w:rPr>
              <w:t>;</w:t>
            </w:r>
            <w:r>
              <w:rPr>
                <w:rFonts w:ascii="宋体" w:hAnsi="宋体" w:cs="宋体" w:eastAsia="宋体" w:hint="default"/>
                <w:sz w:val="18"/>
                <w:szCs w:val="18"/>
              </w:rPr>
              <w:t>陶涛</w:t>
            </w:r>
            <w:r>
              <w:rPr>
                <w:rFonts w:ascii="Times New Roman" w:hAnsi="Times New Roman" w:cs="Times New Roman" w:eastAsia="Times New Roman" w:hint="default"/>
                <w:sz w:val="18"/>
                <w:szCs w:val="18"/>
              </w:rPr>
              <w:t>;</w:t>
            </w:r>
            <w:r>
              <w:rPr>
                <w:rFonts w:ascii="宋体" w:hAnsi="宋体" w:cs="宋体" w:eastAsia="宋体" w:hint="default"/>
                <w:sz w:val="18"/>
                <w:szCs w:val="18"/>
              </w:rPr>
              <w:t>陆 威</w:t>
            </w:r>
            <w:r>
              <w:rPr>
                <w:rFonts w:ascii="Times New Roman" w:hAnsi="Times New Roman" w:cs="Times New Roman" w:eastAsia="Times New Roman" w:hint="default"/>
                <w:sz w:val="18"/>
                <w:szCs w:val="18"/>
              </w:rPr>
              <w:t>;</w:t>
            </w:r>
            <w:r>
              <w:rPr>
                <w:rFonts w:ascii="宋体" w:hAnsi="宋体" w:cs="宋体" w:eastAsia="宋体" w:hint="default"/>
                <w:sz w:val="18"/>
                <w:szCs w:val="18"/>
              </w:rPr>
              <w:t>程磊</w:t>
            </w:r>
            <w:r>
              <w:rPr>
                <w:rFonts w:ascii="Times New Roman" w:hAnsi="Times New Roman" w:cs="Times New Roman" w:eastAsia="Times New Roman" w:hint="default"/>
                <w:sz w:val="18"/>
                <w:szCs w:val="18"/>
              </w:rPr>
              <w:t>;</w:t>
            </w:r>
            <w:r>
              <w:rPr>
                <w:rFonts w:ascii="宋体" w:hAnsi="宋体" w:cs="宋体" w:eastAsia="宋体" w:hint="default"/>
                <w:sz w:val="18"/>
                <w:szCs w:val="18"/>
              </w:rPr>
              <w:t>史佳</w:t>
            </w:r>
            <w:r>
              <w:rPr>
                <w:rFonts w:ascii="Times New Roman" w:hAnsi="Times New Roman" w:cs="Times New Roman" w:eastAsia="Times New Roman" w:hint="default"/>
                <w:sz w:val="18"/>
                <w:szCs w:val="18"/>
              </w:rPr>
              <w:t>; </w:t>
            </w:r>
            <w:r>
              <w:rPr>
                <w:rFonts w:ascii="宋体" w:hAnsi="宋体" w:cs="宋体" w:eastAsia="宋体" w:hint="default"/>
                <w:sz w:val="18"/>
                <w:szCs w:val="18"/>
              </w:rPr>
              <w:t>鲍一青</w:t>
            </w:r>
            <w:r>
              <w:rPr>
                <w:rFonts w:ascii="Times New Roman" w:hAnsi="Times New Roman" w:cs="Times New Roman" w:eastAsia="Times New Roman" w:hint="default"/>
                <w:sz w:val="18"/>
                <w:szCs w:val="18"/>
              </w:rPr>
              <w:t>;</w:t>
            </w:r>
            <w:r>
              <w:rPr>
                <w:rFonts w:ascii="宋体" w:hAnsi="宋体" w:cs="宋体" w:eastAsia="宋体" w:hint="default"/>
                <w:sz w:val="18"/>
                <w:szCs w:val="18"/>
              </w:rPr>
              <w:t>曹薇</w:t>
            </w:r>
          </w:p>
        </w:tc>
        <w:tc>
          <w:tcPr>
            <w:tcW w:w="9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57" w:lineRule="auto"/>
              <w:ind w:left="24" w:right="351"/>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5864" w:type="dxa"/>
            <w:tcBorders>
              <w:top w:val="nil" w:sz="6" w:space="0" w:color="auto"/>
              <w:left w:val="single" w:sz="4" w:space="0" w:color="000000"/>
              <w:bottom w:val="single" w:sz="4" w:space="0" w:color="000000"/>
              <w:right w:val="single" w:sz="10" w:space="0" w:color="FFFFFF"/>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公司控股股东和全体董事、监事、高级管理人员承诺自即日起六个月内不 </w:t>
            </w:r>
            <w:r>
              <w:rPr>
                <w:rFonts w:ascii="宋体" w:hAnsi="宋体" w:cs="宋体" w:eastAsia="宋体" w:hint="default"/>
                <w:spacing w:val="-3"/>
                <w:sz w:val="18"/>
                <w:szCs w:val="18"/>
              </w:rPr>
              <w:t>减持本公司股票，坚定对上市公司发展的信心，维护资本市场的良性发展。</w:t>
            </w:r>
            <w:r>
              <w:rPr>
                <w:rFonts w:ascii="宋体" w:hAnsi="宋体" w:cs="宋体" w:eastAsia="宋体" w:hint="default"/>
                <w:sz w:val="18"/>
                <w:szCs w:val="18"/>
              </w:rPr>
            </w:r>
          </w:p>
        </w:tc>
        <w:tc>
          <w:tcPr>
            <w:tcW w:w="595" w:type="dxa"/>
            <w:tcBorders>
              <w:top w:val="nil" w:sz="6" w:space="0" w:color="auto"/>
              <w:left w:val="single" w:sz="10" w:space="0" w:color="FFFFFF"/>
              <w:bottom w:val="single" w:sz="4" w:space="0" w:color="000000"/>
              <w:right w:val="single" w:sz="4" w:space="0" w:color="000000"/>
            </w:tcBorders>
          </w:tcPr>
          <w:p>
            <w:pPr>
              <w:pStyle w:val="TableParagraph"/>
              <w:spacing w:line="199" w:lineRule="exact"/>
              <w:ind w:left="16"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4" w:right="173"/>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715"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98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127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w:t>
            </w:r>
          </w:p>
        </w:tc>
        <w:tc>
          <w:tcPr>
            <w:tcW w:w="9864"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履行完毕的，应</w:t>
            </w:r>
          </w:p>
        </w:tc>
        <w:tc>
          <w:tcPr>
            <w:tcW w:w="9864" w:type="dxa"/>
            <w:gridSpan w:val="6"/>
            <w:tcBorders>
              <w:top w:val="nil" w:sz="6" w:space="0" w:color="auto"/>
              <w:left w:val="single" w:sz="4" w:space="0" w:color="000000"/>
              <w:bottom w:val="nil" w:sz="6" w:space="0" w:color="auto"/>
              <w:right w:val="single" w:sz="4" w:space="0" w:color="000000"/>
            </w:tcBorders>
          </w:tcPr>
          <w:p>
            <w:pPr/>
          </w:p>
        </w:tc>
      </w:tr>
      <w:tr>
        <w:trPr>
          <w:trHeight w:val="624" w:hRule="exact"/>
        </w:trPr>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当详细说明未 完成履行的具</w:t>
            </w:r>
          </w:p>
        </w:tc>
        <w:tc>
          <w:tcPr>
            <w:tcW w:w="986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体原因及下一</w:t>
            </w:r>
          </w:p>
        </w:tc>
        <w:tc>
          <w:tcPr>
            <w:tcW w:w="9864" w:type="dxa"/>
            <w:gridSpan w:val="6"/>
            <w:tcBorders>
              <w:top w:val="nil" w:sz="6" w:space="0" w:color="auto"/>
              <w:left w:val="single" w:sz="4" w:space="0" w:color="000000"/>
              <w:bottom w:val="nil" w:sz="6" w:space="0" w:color="auto"/>
              <w:right w:val="single" w:sz="4" w:space="0" w:color="000000"/>
            </w:tcBorders>
          </w:tcPr>
          <w:p>
            <w:pPr/>
          </w:p>
        </w:tc>
      </w:tr>
      <w:tr>
        <w:trPr>
          <w:trHeight w:val="358" w:hRule="exact"/>
        </w:trPr>
        <w:tc>
          <w:tcPr>
            <w:tcW w:w="127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步的工作计划</w:t>
            </w:r>
          </w:p>
        </w:tc>
        <w:tc>
          <w:tcPr>
            <w:tcW w:w="9864"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left="852"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8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left="852"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852" w:right="47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left="852"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8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left="852"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8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280" w:right="26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6"/>
        <w:ind w:right="0"/>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left="573" w:right="0"/>
        <w:jc w:val="left"/>
      </w:pPr>
      <w:r>
        <w:rPr>
          <w:rFonts w:ascii="Times New Roman" w:hAnsi="Times New Roman" w:cs="Times New Roman" w:eastAsia="Times New Roman" w:hint="default"/>
        </w:rPr>
        <w:t>1</w:t>
      </w:r>
      <w:r>
        <w:rPr/>
        <w:t>）报告期内，公司完成收购东财国际相关事项，</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月起，东财国际纳入合并报表范围。</w:t>
      </w:r>
    </w:p>
    <w:p>
      <w:pPr>
        <w:pStyle w:val="BodyText"/>
        <w:spacing w:line="240" w:lineRule="auto" w:before="21"/>
        <w:ind w:left="573" w:right="0"/>
        <w:jc w:val="left"/>
      </w:pPr>
      <w:r>
        <w:rPr>
          <w:rFonts w:ascii="Times New Roman" w:hAnsi="Times New Roman" w:cs="Times New Roman" w:eastAsia="Times New Roman" w:hint="default"/>
        </w:rPr>
        <w:t>2</w:t>
      </w:r>
      <w:r>
        <w:rPr/>
        <w:t>）报告期内，公司完成收购同信证券相关事项，</w:t>
      </w:r>
      <w:r>
        <w:rPr>
          <w:rFonts w:ascii="Times New Roman" w:hAnsi="Times New Roman" w:cs="Times New Roman" w:eastAsia="Times New Roman" w:hint="default"/>
        </w:rPr>
        <w:t>2015</w:t>
      </w:r>
      <w:r>
        <w:rPr/>
        <w:t>月</w:t>
      </w:r>
      <w:r>
        <w:rPr>
          <w:rFonts w:ascii="Times New Roman" w:hAnsi="Times New Roman" w:cs="Times New Roman" w:eastAsia="Times New Roman" w:hint="default"/>
        </w:rPr>
        <w:t>12</w:t>
      </w:r>
      <w:r>
        <w:rPr/>
        <w:t>月起，同信证券纳入合并报表范围。</w:t>
      </w:r>
    </w:p>
    <w:p>
      <w:pPr>
        <w:pStyle w:val="BodyText"/>
        <w:spacing w:line="256" w:lineRule="auto" w:before="21"/>
        <w:ind w:right="0" w:firstLine="42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月，公司新设全资子公司扬州东方财富金融信息服务有限公司，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月，公司新设控</w:t>
      </w:r>
      <w:r>
        <w:rPr>
          <w:w w:val="100"/>
        </w:rPr>
        <w:t> </w:t>
      </w:r>
      <w:r>
        <w:rPr/>
        <w:t>股子公司上海微兆信息科技有限公司，上述公司自设立当月起，纳入合并报表范围。</w:t>
      </w:r>
    </w:p>
    <w:p>
      <w:pPr>
        <w:pStyle w:val="BodyText"/>
        <w:spacing w:line="259" w:lineRule="auto" w:before="22"/>
        <w:ind w:right="0" w:firstLine="420"/>
        <w:jc w:val="left"/>
      </w:pPr>
      <w:r>
        <w:rPr>
          <w:rFonts w:ascii="Times New Roman" w:hAnsi="Times New Roman" w:cs="Times New Roman" w:eastAsia="Times New Roman" w:hint="default"/>
          <w:spacing w:val="-2"/>
        </w:rPr>
        <w:t>4</w:t>
      </w:r>
      <w:r>
        <w:rPr>
          <w:spacing w:val="-2"/>
        </w:rPr>
        <w:t>）国泰君安东睿富盈基金由天天基金以自有资金认购，为该基金的单一投资人，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月起纳入合</w:t>
      </w:r>
      <w:r>
        <w:rPr>
          <w:w w:val="100"/>
        </w:rPr>
        <w:t> </w:t>
      </w:r>
      <w:r>
        <w:rPr/>
        <w:t>并范围。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杨志平 </w:t>
            </w:r>
            <w:r>
              <w:rPr>
                <w:rFonts w:ascii="宋体" w:hAnsi="宋体" w:cs="宋体" w:eastAsia="宋体" w:hint="default"/>
                <w:spacing w:val="2"/>
                <w:sz w:val="18"/>
                <w:szCs w:val="18"/>
              </w:rPr>
              <w:t> </w:t>
            </w:r>
            <w:r>
              <w:rPr>
                <w:rFonts w:ascii="宋体" w:hAnsi="宋体" w:cs="宋体" w:eastAsia="宋体" w:hint="default"/>
                <w:sz w:val="18"/>
                <w:szCs w:val="18"/>
              </w:rPr>
              <w:t>钱骁玲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line="338" w:lineRule="auto" w:before="41"/>
        <w:ind w:left="152" w:right="3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本年度，公司因重大资产重组事项，聘请中国国际金融股份有限公司为独立财务顾问，期间共支付财务顾问费</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p>
      <w:pPr>
        <w:spacing w:line="240" w:lineRule="auto" w:before="13"/>
        <w:rPr>
          <w:rFonts w:ascii="宋体" w:hAnsi="宋体" w:cs="宋体" w:eastAsia="宋体" w:hint="default"/>
          <w:sz w:val="17"/>
          <w:szCs w:val="17"/>
        </w:rPr>
      </w:pPr>
    </w:p>
    <w:p>
      <w:pPr>
        <w:pStyle w:val="Heading4"/>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850"/>
        <w:gridCol w:w="850"/>
        <w:gridCol w:w="2696"/>
        <w:gridCol w:w="1416"/>
        <w:gridCol w:w="1090"/>
        <w:gridCol w:w="852"/>
        <w:gridCol w:w="780"/>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92" w:right="50" w:hanging="2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 本情况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 w:right="58"/>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54" w:right="10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91" w:right="26"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11"/>
        <w:rPr>
          <w:rFonts w:ascii="宋体" w:hAnsi="宋体" w:cs="宋体" w:eastAsia="宋体" w:hint="default"/>
          <w:sz w:val="2"/>
          <w:szCs w:val="2"/>
        </w:rPr>
      </w:pPr>
      <w:r>
        <w:rPr/>
        <w:pict>
          <v:group style="position:absolute;margin-left:113.660004pt;margin-top:72.475983pt;width:42pt;height:31.25pt;mso-position-horizontal-relative:page;mso-position-vertical-relative:page;z-index:-869824" coordorigin="2273,1450" coordsize="840,625">
            <v:shape style="position:absolute;left:2273;top:1450;width:840;height:625" coordorigin="2273,1450" coordsize="840,625" path="m2273,2074l3113,2074,3113,1450,2273,1450,2273,2074xe" filled="true" fillcolor="#ffffff" stroked="false">
              <v:path arrowok="t"/>
              <v:fill type="solid"/>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136"/>
        <w:gridCol w:w="119"/>
        <w:gridCol w:w="731"/>
        <w:gridCol w:w="850"/>
        <w:gridCol w:w="2696"/>
        <w:gridCol w:w="1416"/>
        <w:gridCol w:w="1090"/>
        <w:gridCol w:w="852"/>
        <w:gridCol w:w="780"/>
      </w:tblGrid>
      <w:tr>
        <w:trPr>
          <w:trHeight w:val="360" w:hRule="exact"/>
        </w:trPr>
        <w:tc>
          <w:tcPr>
            <w:tcW w:w="1136" w:type="dxa"/>
            <w:tcBorders>
              <w:top w:val="single" w:sz="4" w:space="0" w:color="000000"/>
              <w:left w:val="single" w:sz="4" w:space="0" w:color="000000"/>
              <w:bottom w:val="nil" w:sz="6" w:space="0" w:color="auto"/>
              <w:right w:val="single" w:sz="4" w:space="0" w:color="000000"/>
            </w:tcBorders>
          </w:tcPr>
          <w:p>
            <w:pPr/>
          </w:p>
        </w:tc>
        <w:tc>
          <w:tcPr>
            <w:tcW w:w="119" w:type="dxa"/>
            <w:tcBorders>
              <w:top w:val="single" w:sz="4" w:space="0" w:color="000000"/>
              <w:left w:val="single" w:sz="4" w:space="0" w:color="000000"/>
              <w:bottom w:val="nil" w:sz="6" w:space="0" w:color="auto"/>
              <w:right w:val="nil" w:sz="6" w:space="0" w:color="auto"/>
            </w:tcBorders>
          </w:tcPr>
          <w:p>
            <w:pPr/>
          </w:p>
        </w:tc>
        <w:tc>
          <w:tcPr>
            <w:tcW w:w="731" w:type="dxa"/>
            <w:tcBorders>
              <w:top w:val="single" w:sz="4" w:space="0" w:color="000000"/>
              <w:left w:val="nil" w:sz="6" w:space="0" w:color="auto"/>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6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仲裁庭于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日就本案</w:t>
            </w:r>
          </w:p>
        </w:tc>
        <w:tc>
          <w:tcPr>
            <w:tcW w:w="1416"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蓝博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c>
          <w:tcPr>
            <w:tcW w:w="11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731" w:type="dxa"/>
            <w:tcBorders>
              <w:top w:val="nil" w:sz="6" w:space="0" w:color="auto"/>
              <w:left w:val="nil" w:sz="6" w:space="0" w:color="auto"/>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6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5"/>
                <w:sz w:val="18"/>
                <w:szCs w:val="18"/>
              </w:rPr>
              <w:t>进行庭前调解和开庭审理，但本次</w:t>
            </w:r>
          </w:p>
        </w:tc>
        <w:tc>
          <w:tcPr>
            <w:tcW w:w="1416"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蓝博</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p>
        </w:tc>
        <w:tc>
          <w:tcPr>
            <w:tcW w:w="119" w:type="dxa"/>
            <w:tcBorders>
              <w:top w:val="nil" w:sz="6" w:space="0" w:color="auto"/>
              <w:left w:val="single" w:sz="4" w:space="0" w:color="000000"/>
              <w:bottom w:val="nil" w:sz="6" w:space="0" w:color="auto"/>
              <w:right w:val="nil" w:sz="6" w:space="0" w:color="auto"/>
            </w:tcBorders>
          </w:tcPr>
          <w:p>
            <w:pPr/>
          </w:p>
        </w:tc>
        <w:tc>
          <w:tcPr>
            <w:tcW w:w="73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73" w:right="0"/>
              <w:jc w:val="left"/>
              <w:rPr>
                <w:rFonts w:ascii="Times New Roman" w:hAnsi="Times New Roman" w:cs="Times New Roman" w:eastAsia="Times New Roman" w:hint="default"/>
                <w:sz w:val="18"/>
                <w:szCs w:val="18"/>
              </w:rPr>
            </w:pPr>
            <w:r>
              <w:rPr>
                <w:rFonts w:ascii="Times New Roman"/>
                <w:sz w:val="18"/>
              </w:rPr>
              <w:t>7,092.34</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5"/>
                <w:sz w:val="18"/>
                <w:szCs w:val="18"/>
              </w:rPr>
              <w:t>调解未能就相关债务清偿、违约责</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仲裁尚在进行中</w:t>
            </w: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7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7" w:hRule="exact"/>
        </w:trPr>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债券仲裁</w:t>
            </w:r>
          </w:p>
        </w:tc>
        <w:tc>
          <w:tcPr>
            <w:tcW w:w="119" w:type="dxa"/>
            <w:tcBorders>
              <w:top w:val="nil" w:sz="6" w:space="0" w:color="auto"/>
              <w:left w:val="single" w:sz="4" w:space="0" w:color="000000"/>
              <w:bottom w:val="nil" w:sz="6" w:space="0" w:color="auto"/>
              <w:right w:val="nil" w:sz="6" w:space="0" w:color="auto"/>
            </w:tcBorders>
          </w:tcPr>
          <w:p>
            <w:pPr/>
          </w:p>
        </w:tc>
        <w:tc>
          <w:tcPr>
            <w:tcW w:w="731" w:type="dxa"/>
            <w:tcBorders>
              <w:top w:val="nil" w:sz="6" w:space="0" w:color="auto"/>
              <w:left w:val="nil" w:sz="6" w:space="0" w:color="auto"/>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6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任承担及担保责任承担达成一致</w:t>
            </w:r>
          </w:p>
        </w:tc>
        <w:tc>
          <w:tcPr>
            <w:tcW w:w="1416"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7" w:hRule="exact"/>
        </w:trPr>
        <w:tc>
          <w:tcPr>
            <w:tcW w:w="1136" w:type="dxa"/>
            <w:tcBorders>
              <w:top w:val="nil" w:sz="6" w:space="0" w:color="auto"/>
              <w:left w:val="single" w:sz="4" w:space="0" w:color="000000"/>
              <w:bottom w:val="single" w:sz="4" w:space="0" w:color="000000"/>
              <w:right w:val="single" w:sz="4" w:space="0" w:color="000000"/>
            </w:tcBorders>
          </w:tcPr>
          <w:p>
            <w:pPr/>
          </w:p>
        </w:tc>
        <w:tc>
          <w:tcPr>
            <w:tcW w:w="119" w:type="dxa"/>
            <w:tcBorders>
              <w:top w:val="nil" w:sz="6" w:space="0" w:color="auto"/>
              <w:left w:val="single" w:sz="4" w:space="0" w:color="000000"/>
              <w:bottom w:val="single" w:sz="4" w:space="0" w:color="000000"/>
              <w:right w:val="nil" w:sz="6" w:space="0" w:color="auto"/>
            </w:tcBorders>
          </w:tcPr>
          <w:p>
            <w:pPr/>
          </w:p>
        </w:tc>
        <w:tc>
          <w:tcPr>
            <w:tcW w:w="731" w:type="dxa"/>
            <w:tcBorders>
              <w:top w:val="nil" w:sz="6" w:space="0" w:color="auto"/>
              <w:left w:val="nil" w:sz="6" w:space="0" w:color="auto"/>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6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意见</w:t>
            </w:r>
          </w:p>
        </w:tc>
        <w:tc>
          <w:tcPr>
            <w:tcW w:w="1416" w:type="dxa"/>
            <w:tcBorders>
              <w:top w:val="nil" w:sz="6" w:space="0" w:color="auto"/>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天威</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PPN001”</w:t>
            </w:r>
            <w:r>
              <w:rPr>
                <w:rFonts w:ascii="宋体" w:hAnsi="宋体" w:cs="宋体" w:eastAsia="宋体" w:hint="default"/>
                <w:sz w:val="18"/>
                <w:szCs w:val="18"/>
              </w:rPr>
              <w:t>债券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仲裁</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5,970.2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中国国际经济贸易仲裁委员会于</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日受理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仲裁尚在进行中</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left="573" w:right="0"/>
        <w:jc w:val="left"/>
      </w:pPr>
      <w:r>
        <w:rPr>
          <w:rFonts w:ascii="Times New Roman" w:hAnsi="Times New Roman" w:cs="Times New Roman" w:eastAsia="Times New Roman" w:hint="default"/>
        </w:rPr>
        <w:t>1</w:t>
      </w:r>
      <w:r>
        <w:rPr/>
        <w:t>、公司首期股票期权激励计划</w:t>
      </w:r>
    </w:p>
    <w:p>
      <w:pPr>
        <w:pStyle w:val="BodyText"/>
        <w:spacing w:line="256" w:lineRule="auto" w:before="21"/>
        <w:ind w:right="146" w:firstLine="42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日，公司第三届董事会第二十二次会议审议通过了《关于注销公司首期股票期权激</w:t>
      </w:r>
      <w:r>
        <w:rPr>
          <w:w w:val="100"/>
        </w:rPr>
        <w:t> </w:t>
      </w:r>
      <w:r>
        <w:rPr>
          <w:spacing w:val="-2"/>
        </w:rPr>
        <w:t>励计划部分已授期权的议案》。经过本次注销，首次期权授予的激励对象人数减少至</w:t>
      </w:r>
      <w:r>
        <w:rPr>
          <w:rFonts w:ascii="Times New Roman" w:hAnsi="Times New Roman" w:cs="Times New Roman" w:eastAsia="Times New Roman" w:hint="default"/>
          <w:spacing w:val="-2"/>
        </w:rPr>
        <w:t>77</w:t>
      </w:r>
      <w:r>
        <w:rPr>
          <w:spacing w:val="-2"/>
        </w:rPr>
        <w:t>人，首次授予的股</w:t>
      </w:r>
      <w:r>
        <w:rPr>
          <w:spacing w:val="-42"/>
        </w:rPr>
        <w:t> </w:t>
      </w:r>
      <w:r>
        <w:rPr>
          <w:spacing w:val="-42"/>
        </w:rPr>
      </w:r>
      <w:r>
        <w:rPr/>
        <w:t>票期权数量减少至</w:t>
      </w:r>
      <w:r>
        <w:rPr>
          <w:rFonts w:ascii="Times New Roman" w:hAnsi="Times New Roman" w:cs="Times New Roman" w:eastAsia="Times New Roman" w:hint="default"/>
        </w:rPr>
        <w:t>433.296</w:t>
      </w:r>
      <w:r>
        <w:rPr/>
        <w:t>万份，授予的预留期权剩余数量全部注销。</w:t>
      </w:r>
    </w:p>
    <w:p>
      <w:pPr>
        <w:pStyle w:val="BodyText"/>
        <w:spacing w:line="256" w:lineRule="auto" w:before="5"/>
        <w:ind w:right="146"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日，公司第三届董事会第二十二次会议审议通过了《关于调整公司首期股票期权激</w:t>
      </w:r>
      <w:r>
        <w:rPr>
          <w:w w:val="100"/>
        </w:rPr>
        <w:t> </w:t>
      </w:r>
      <w:r>
        <w:rPr>
          <w:spacing w:val="-2"/>
        </w:rPr>
        <w:t>励计划期权数量和行权价格的议案》，经此次调整后，首次授予股票期权数量为</w:t>
      </w:r>
      <w:r>
        <w:rPr>
          <w:rFonts w:ascii="Times New Roman" w:hAnsi="Times New Roman" w:cs="Times New Roman" w:eastAsia="Times New Roman" w:hint="default"/>
          <w:spacing w:val="-2"/>
        </w:rPr>
        <w:t>606.6144</w:t>
      </w:r>
      <w:r>
        <w:rPr>
          <w:spacing w:val="-2"/>
        </w:rPr>
        <w:t>万份，行权价为</w:t>
      </w:r>
      <w:r>
        <w:rPr>
          <w:spacing w:val="-12"/>
        </w:rPr>
        <w:t> </w:t>
      </w:r>
      <w:r>
        <w:rPr>
          <w:spacing w:val="-12"/>
        </w:rPr>
      </w:r>
      <w:r>
        <w:rPr>
          <w:rFonts w:ascii="Times New Roman" w:hAnsi="Times New Roman" w:cs="Times New Roman" w:eastAsia="Times New Roman" w:hint="default"/>
        </w:rPr>
        <w:t>4.34</w:t>
      </w:r>
      <w:r>
        <w:rPr/>
        <w:t>元。</w:t>
      </w:r>
    </w:p>
    <w:p>
      <w:pPr>
        <w:pStyle w:val="BodyText"/>
        <w:spacing w:line="261" w:lineRule="auto" w:before="5"/>
        <w:ind w:right="0" w:firstLine="420"/>
        <w:jc w:val="left"/>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日，公司第三届董事会第二十二次会议审议通过了《关于公司首期股票期权激励计</w:t>
      </w:r>
      <w:r>
        <w:rPr>
          <w:w w:val="100"/>
        </w:rPr>
        <w:t> </w:t>
      </w:r>
      <w:r>
        <w:rPr>
          <w:spacing w:val="-2"/>
        </w:rPr>
        <w:t>划首次授予股票期权第四个行权期可行权的议案》，公司首期股票期权激励计划首次授予股票期权第四个</w:t>
      </w:r>
      <w:r>
        <w:rPr>
          <w:spacing w:val="-43"/>
        </w:rPr>
        <w:t> </w:t>
      </w:r>
      <w:r>
        <w:rPr>
          <w:spacing w:val="-43"/>
        </w:rPr>
      </w:r>
      <w:r>
        <w:rPr/>
        <w:t>行权期的行权条件已满足，同意公司首次授予股票期权的 </w:t>
      </w:r>
      <w:r>
        <w:rPr>
          <w:rFonts w:ascii="Times New Roman" w:hAnsi="Times New Roman" w:cs="Times New Roman" w:eastAsia="Times New Roman" w:hint="default"/>
        </w:rPr>
        <w:t>77</w:t>
      </w:r>
      <w:r>
        <w:rPr>
          <w:rFonts w:ascii="Times New Roman" w:hAnsi="Times New Roman" w:cs="Times New Roman" w:eastAsia="Times New Roman" w:hint="default"/>
          <w:spacing w:val="7"/>
        </w:rPr>
        <w:t> </w:t>
      </w:r>
      <w:r>
        <w:rPr/>
        <w:t>名激励对象在第四个行权期可行权共</w:t>
      </w:r>
      <w:r>
        <w:rPr>
          <w:w w:val="100"/>
        </w:rPr>
        <w:t> </w:t>
      </w:r>
      <w:r>
        <w:rPr>
          <w:rFonts w:ascii="Times New Roman" w:hAnsi="Times New Roman" w:cs="Times New Roman" w:eastAsia="Times New Roman" w:hint="default"/>
        </w:rPr>
        <w:t>606.6144</w:t>
      </w:r>
      <w:r>
        <w:rPr/>
        <w:t>万份期权。</w:t>
      </w:r>
    </w:p>
    <w:p>
      <w:pPr>
        <w:pStyle w:val="BodyText"/>
        <w:spacing w:line="266" w:lineRule="auto"/>
        <w:ind w:right="0" w:firstLine="420"/>
        <w:jc w:val="left"/>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月底，公司首期股票期权激励计划行权相关验资已完成完成，</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月初行权登记等</w:t>
      </w:r>
      <w:r>
        <w:rPr>
          <w:w w:val="100"/>
        </w:rPr>
        <w:t> </w:t>
      </w:r>
      <w:r>
        <w:rPr/>
        <w:t>手续在中国证券登记结算有限责任公司深圳分公司办理完毕，办理完毕后公司股份总数增加至</w:t>
      </w:r>
      <w:r>
        <w:rPr>
          <w:w w:val="100"/>
        </w:rPr>
        <w:t> </w:t>
      </w:r>
      <w:r>
        <w:rPr>
          <w:rFonts w:ascii="Times New Roman" w:hAnsi="Times New Roman" w:cs="Times New Roman" w:eastAsia="Times New Roman" w:hint="default"/>
        </w:rPr>
        <w:t>1,699,506,144</w:t>
      </w:r>
      <w:r>
        <w:rPr/>
        <w:t>股。</w:t>
      </w:r>
    </w:p>
    <w:p>
      <w:pPr>
        <w:pStyle w:val="BodyText"/>
        <w:spacing w:line="286" w:lineRule="exact"/>
        <w:ind w:left="573"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年股票期权激励计划</w:t>
      </w:r>
    </w:p>
    <w:p>
      <w:pPr>
        <w:pStyle w:val="BodyText"/>
        <w:spacing w:line="256" w:lineRule="auto" w:before="21"/>
        <w:ind w:right="0" w:firstLine="42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日，公司第三届董事会第二十四次会议审议通过了《关于注销公司</w:t>
      </w:r>
      <w:r>
        <w:rPr>
          <w:rFonts w:ascii="Times New Roman" w:hAnsi="Times New Roman" w:cs="Times New Roman" w:eastAsia="Times New Roman" w:hint="default"/>
          <w:spacing w:val="-2"/>
        </w:rPr>
        <w:t>2014</w:t>
      </w:r>
      <w:r>
        <w:rPr>
          <w:spacing w:val="-2"/>
        </w:rPr>
        <w:t>年股票期权</w:t>
      </w:r>
      <w:r>
        <w:rPr>
          <w:w w:val="100"/>
        </w:rPr>
        <w:t> </w:t>
      </w:r>
      <w:r>
        <w:rPr/>
        <w:t>激励计划部分已授期权的议案》，经过注销后，首次期权授予的激励对象人数减少至</w:t>
      </w:r>
      <w:r>
        <w:rPr>
          <w:rFonts w:ascii="Times New Roman" w:hAnsi="Times New Roman" w:cs="Times New Roman" w:eastAsia="Times New Roman" w:hint="default"/>
        </w:rPr>
        <w:t>170</w:t>
      </w:r>
      <w:r>
        <w:rPr/>
        <w:t>人，首次授予的</w:t>
      </w:r>
      <w:r>
        <w:rPr>
          <w:w w:val="100"/>
        </w:rPr>
        <w:t> </w:t>
      </w:r>
      <w:r>
        <w:rPr/>
        <w:t>股票期权数量减少至</w:t>
      </w:r>
      <w:r>
        <w:rPr>
          <w:rFonts w:ascii="Times New Roman" w:hAnsi="Times New Roman" w:cs="Times New Roman" w:eastAsia="Times New Roman" w:hint="default"/>
        </w:rPr>
        <w:t>2,622.00</w:t>
      </w:r>
      <w:r>
        <w:rPr/>
        <w:t>万份。</w:t>
      </w:r>
    </w:p>
    <w:p>
      <w:pPr>
        <w:pStyle w:val="BodyText"/>
        <w:spacing w:line="256" w:lineRule="auto" w:before="5"/>
        <w:ind w:right="0" w:firstLine="420"/>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日，公司第三届董事会第二十四次会议审议通过了《关于调整公司</w:t>
      </w:r>
      <w:r>
        <w:rPr>
          <w:rFonts w:ascii="Times New Roman" w:hAnsi="Times New Roman" w:cs="Times New Roman" w:eastAsia="Times New Roman" w:hint="default"/>
          <w:spacing w:val="-2"/>
        </w:rPr>
        <w:t>2014</w:t>
      </w:r>
      <w:r>
        <w:rPr>
          <w:spacing w:val="-2"/>
        </w:rPr>
        <w:t>年股票期权</w:t>
      </w:r>
      <w:r>
        <w:rPr>
          <w:w w:val="100"/>
        </w:rPr>
        <w:t> </w:t>
      </w:r>
      <w:r>
        <w:rPr/>
        <w:t>激励计划期权数量和行权价格的议案》，此次调整后，首次授予股票期权数量为</w:t>
      </w:r>
      <w:r>
        <w:rPr>
          <w:rFonts w:ascii="Times New Roman" w:hAnsi="Times New Roman" w:cs="Times New Roman" w:eastAsia="Times New Roman" w:hint="default"/>
        </w:rPr>
        <w:t>3,670.80</w:t>
      </w:r>
      <w:r>
        <w:rPr/>
        <w:t>万份，预留股票</w:t>
      </w:r>
      <w:r>
        <w:rPr>
          <w:w w:val="100"/>
        </w:rPr>
        <w:t> </w:t>
      </w:r>
      <w:r>
        <w:rPr/>
        <w:t>期权数量为</w:t>
      </w:r>
      <w:r>
        <w:rPr>
          <w:rFonts w:ascii="Times New Roman" w:hAnsi="Times New Roman" w:cs="Times New Roman" w:eastAsia="Times New Roman" w:hint="default"/>
        </w:rPr>
        <w:t>420.00</w:t>
      </w:r>
      <w:r>
        <w:rPr/>
        <w:t>万份；首次授予的股票期权的行权价为</w:t>
      </w:r>
      <w:r>
        <w:rPr>
          <w:rFonts w:ascii="Times New Roman" w:hAnsi="Times New Roman" w:cs="Times New Roman" w:eastAsia="Times New Roman" w:hint="default"/>
        </w:rPr>
        <w:t>9.26</w:t>
      </w:r>
      <w:r>
        <w:rPr/>
        <w:t>元。</w:t>
      </w:r>
    </w:p>
    <w:p>
      <w:pPr>
        <w:pStyle w:val="BodyText"/>
        <w:spacing w:line="256" w:lineRule="auto" w:before="5"/>
        <w:ind w:right="0" w:firstLine="420"/>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日，公司第三届董事会第二十四次会议审议通过了《关于公司</w:t>
      </w:r>
      <w:r>
        <w:rPr>
          <w:rFonts w:ascii="Times New Roman" w:hAnsi="Times New Roman" w:cs="Times New Roman" w:eastAsia="Times New Roman" w:hint="default"/>
          <w:spacing w:val="-2"/>
        </w:rPr>
        <w:t>2014</w:t>
      </w:r>
      <w:r>
        <w:rPr>
          <w:spacing w:val="-2"/>
        </w:rPr>
        <w:t>年股票期权激励</w:t>
      </w:r>
      <w:r>
        <w:rPr>
          <w:w w:val="100"/>
        </w:rPr>
        <w:t> </w:t>
      </w:r>
      <w:r>
        <w:rPr>
          <w:spacing w:val="-7"/>
          <w:w w:val="100"/>
        </w:rPr>
        <w:t>计划预留股票期权授予相关事项的议案》，预留股票期权授予条件已经成就，同意授予</w:t>
      </w:r>
      <w:r>
        <w:rPr>
          <w:rFonts w:ascii="Times New Roman" w:hAnsi="Times New Roman" w:cs="Times New Roman" w:eastAsia="Times New Roman" w:hint="default"/>
          <w:spacing w:val="-7"/>
          <w:w w:val="100"/>
        </w:rPr>
        <w:t>368</w:t>
      </w:r>
      <w:r>
        <w:rPr>
          <w:spacing w:val="-7"/>
          <w:w w:val="100"/>
        </w:rPr>
        <w:t>名激励对象</w:t>
      </w:r>
      <w:r>
        <w:rPr>
          <w:rFonts w:ascii="Times New Roman" w:hAnsi="Times New Roman" w:cs="Times New Roman" w:eastAsia="Times New Roman" w:hint="default"/>
          <w:spacing w:val="-7"/>
          <w:w w:val="100"/>
        </w:rPr>
        <w:t>420.00</w:t>
      </w:r>
    </w:p>
    <w:p>
      <w:pPr>
        <w:spacing w:after="0" w:line="256" w:lineRule="auto"/>
        <w:jc w:val="left"/>
        <w:rPr>
          <w:rFonts w:ascii="Times New Roman" w:hAnsi="Times New Roman" w:cs="Times New Roman" w:eastAsia="Times New Roman" w:hint="default"/>
        </w:rPr>
        <w:sectPr>
          <w:pgSz w:w="11910" w:h="16840"/>
          <w:pgMar w:header="852" w:footer="979" w:top="1300" w:bottom="1160" w:left="980" w:right="980"/>
        </w:sectPr>
      </w:pPr>
    </w:p>
    <w:p>
      <w:pPr>
        <w:pStyle w:val="BodyText"/>
        <w:spacing w:line="256" w:lineRule="auto" w:before="108"/>
        <w:ind w:right="0"/>
        <w:jc w:val="left"/>
      </w:pPr>
      <w:r>
        <w:rPr>
          <w:spacing w:val="-2"/>
        </w:rPr>
        <w:t>万份股票期权。根据《股票期权激励计划》和股东大会的授权，董事会确定公司</w:t>
      </w:r>
      <w:r>
        <w:rPr>
          <w:rFonts w:ascii="Times New Roman" w:hAnsi="Times New Roman" w:cs="Times New Roman" w:eastAsia="Times New Roman" w:hint="default"/>
          <w:spacing w:val="-2"/>
        </w:rPr>
        <w:t>2014</w:t>
      </w:r>
      <w:r>
        <w:rPr>
          <w:spacing w:val="-2"/>
        </w:rPr>
        <w:t>年股票期权激励计划</w:t>
      </w:r>
      <w:r>
        <w:rPr>
          <w:spacing w:val="-44"/>
        </w:rPr>
        <w:t> </w:t>
      </w:r>
      <w:r>
        <w:rPr>
          <w:spacing w:val="-44"/>
        </w:rPr>
      </w:r>
      <w:r>
        <w:rPr/>
        <w:t>预留股票期权的授予日为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w:t>
      </w:r>
      <w:r>
        <w:rPr/>
        <w:t>授予预留股票期权行权价为</w:t>
      </w:r>
      <w:r>
        <w:rPr>
          <w:rFonts w:ascii="Times New Roman" w:hAnsi="Times New Roman" w:cs="Times New Roman" w:eastAsia="Times New Roman" w:hint="default"/>
        </w:rPr>
        <w:t>65.19</w:t>
      </w:r>
      <w:r>
        <w:rPr/>
        <w:t>元。</w:t>
      </w:r>
    </w:p>
    <w:p>
      <w:pPr>
        <w:pStyle w:val="BodyText"/>
        <w:spacing w:line="256" w:lineRule="auto" w:before="5"/>
        <w:ind w:right="146" w:firstLine="42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日，公司第三届董事会第二十六次会议审议通过了《关于公司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年股票期权激</w:t>
      </w:r>
      <w:r>
        <w:rPr>
          <w:w w:val="100"/>
        </w:rPr>
        <w:t> </w:t>
      </w:r>
      <w:r>
        <w:rPr>
          <w:spacing w:val="-2"/>
        </w:rPr>
        <w:t>励计划预留股票期权数量进行调整的议案》，激励对象胡清禹等</w:t>
      </w:r>
      <w:r>
        <w:rPr>
          <w:rFonts w:ascii="Times New Roman" w:hAnsi="Times New Roman" w:cs="Times New Roman" w:eastAsia="Times New Roman" w:hint="default"/>
          <w:spacing w:val="-2"/>
        </w:rPr>
        <w:t>15</w:t>
      </w:r>
      <w:r>
        <w:rPr>
          <w:spacing w:val="-2"/>
        </w:rPr>
        <w:t>人因个人原因离职已不具备激励对象资</w:t>
      </w:r>
      <w:r>
        <w:rPr>
          <w:spacing w:val="-42"/>
        </w:rPr>
        <w:t> </w:t>
      </w:r>
      <w:r>
        <w:rPr>
          <w:spacing w:val="-42"/>
        </w:rPr>
      </w:r>
      <w:r>
        <w:rPr>
          <w:spacing w:val="-3"/>
        </w:rPr>
        <w:t>格，相关</w:t>
      </w:r>
      <w:r>
        <w:rPr>
          <w:rFonts w:ascii="Times New Roman" w:hAnsi="Times New Roman" w:cs="Times New Roman" w:eastAsia="Times New Roman" w:hint="default"/>
          <w:spacing w:val="-3"/>
        </w:rPr>
        <w:t>9.60</w:t>
      </w:r>
      <w:r>
        <w:rPr>
          <w:spacing w:val="-3"/>
        </w:rPr>
        <w:t>万份股票期权将作废，作废后，获授预留股票期权的激励对象减少至</w:t>
      </w:r>
      <w:r>
        <w:rPr>
          <w:rFonts w:ascii="Times New Roman" w:hAnsi="Times New Roman" w:cs="Times New Roman" w:eastAsia="Times New Roman" w:hint="default"/>
          <w:spacing w:val="-3"/>
        </w:rPr>
        <w:t>353</w:t>
      </w:r>
      <w:r>
        <w:rPr>
          <w:spacing w:val="-3"/>
        </w:rPr>
        <w:t>人，预留股票期权数</w:t>
      </w:r>
      <w:r>
        <w:rPr>
          <w:spacing w:val="-43"/>
        </w:rPr>
        <w:t> </w:t>
      </w:r>
      <w:r>
        <w:rPr>
          <w:spacing w:val="-43"/>
        </w:rPr>
      </w:r>
      <w:r>
        <w:rPr/>
        <w:t>量减少至</w:t>
      </w:r>
      <w:r>
        <w:rPr>
          <w:rFonts w:ascii="Times New Roman" w:hAnsi="Times New Roman" w:cs="Times New Roman" w:eastAsia="Times New Roman" w:hint="default"/>
        </w:rPr>
        <w:t>410.40</w:t>
      </w:r>
      <w:r>
        <w:rPr/>
        <w:t>万份。</w:t>
      </w:r>
    </w:p>
    <w:p>
      <w:pPr>
        <w:pStyle w:val="BodyText"/>
        <w:spacing w:line="240" w:lineRule="auto" w:before="5"/>
        <w:ind w:left="57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日，公司完成</w:t>
      </w:r>
      <w:r>
        <w:rPr>
          <w:rFonts w:ascii="Times New Roman" w:hAnsi="Times New Roman" w:cs="Times New Roman" w:eastAsia="Times New Roman" w:hint="default"/>
        </w:rPr>
        <w:t>2014</w:t>
      </w:r>
      <w:r>
        <w:rPr/>
        <w:t>年股票期权激励计划预留股票期权授予登记工作。</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after="0" w:line="340" w:lineRule="auto"/>
        <w:jc w:val="left"/>
        <w:rPr>
          <w:rFonts w:ascii="宋体" w:hAnsi="宋体" w:cs="宋体" w:eastAsia="宋体" w:hint="default"/>
          <w:sz w:val="18"/>
          <w:szCs w:val="18"/>
        </w:rPr>
        <w:sectPr>
          <w:pgSz w:w="11910" w:h="16840"/>
          <w:pgMar w:header="852" w:footer="979" w:top="1300" w:bottom="1160" w:left="980" w:right="980"/>
        </w:sectPr>
      </w:pPr>
    </w:p>
    <w:p>
      <w:pPr>
        <w:pStyle w:val="Heading5"/>
        <w:spacing w:line="240" w:lineRule="auto" w:before="108"/>
        <w:ind w:left="492" w:right="671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492" w:right="7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left="492" w:right="671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49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spacing w:line="240" w:lineRule="auto" w:before="9"/>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54"/>
        <w:gridCol w:w="2281"/>
        <w:gridCol w:w="1714"/>
        <w:gridCol w:w="1843"/>
        <w:gridCol w:w="2903"/>
      </w:tblGrid>
      <w:tr>
        <w:trPr>
          <w:trHeight w:val="550" w:hRule="exact"/>
        </w:trPr>
        <w:tc>
          <w:tcPr>
            <w:tcW w:w="1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2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物业地点</w:t>
            </w:r>
            <w:r>
              <w:rPr>
                <w:rFonts w:ascii="宋体" w:hAnsi="宋体" w:cs="宋体" w:eastAsia="宋体" w:hint="default"/>
                <w:sz w:val="18"/>
                <w:szCs w:val="18"/>
              </w:rPr>
            </w:r>
          </w:p>
        </w:tc>
        <w:tc>
          <w:tcPr>
            <w:tcW w:w="1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b/>
                <w:bCs/>
                <w:w w:val="95"/>
                <w:sz w:val="18"/>
                <w:szCs w:val="18"/>
              </w:rPr>
              <w:t>合同约定的租赁期间</w:t>
            </w:r>
            <w:r>
              <w:rPr>
                <w:rFonts w:ascii="宋体" w:hAnsi="宋体" w:cs="宋体" w:eastAsia="宋体" w:hint="default"/>
                <w:sz w:val="18"/>
                <w:szCs w:val="18"/>
              </w:rPr>
            </w:r>
          </w:p>
        </w:tc>
        <w:tc>
          <w:tcPr>
            <w:tcW w:w="2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月租金</w:t>
            </w:r>
            <w:r>
              <w:rPr>
                <w:rFonts w:ascii="宋体" w:hAnsi="宋体" w:cs="宋体" w:eastAsia="宋体" w:hint="default"/>
                <w:sz w:val="18"/>
                <w:szCs w:val="18"/>
              </w:rPr>
            </w:r>
          </w:p>
        </w:tc>
      </w:tr>
      <w:tr>
        <w:trPr>
          <w:trHeight w:val="5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5"/>
              <w:ind w:left="105" w:right="75"/>
              <w:jc w:val="left"/>
              <w:rPr>
                <w:rFonts w:ascii="宋体" w:hAnsi="宋体" w:cs="宋体" w:eastAsia="宋体" w:hint="default"/>
                <w:sz w:val="18"/>
                <w:szCs w:val="18"/>
              </w:rPr>
            </w:pPr>
            <w:r>
              <w:rPr>
                <w:rFonts w:ascii="宋体" w:hAnsi="宋体" w:cs="宋体" w:eastAsia="宋体" w:hint="default"/>
                <w:spacing w:val="24"/>
                <w:sz w:val="18"/>
                <w:szCs w:val="18"/>
              </w:rPr>
              <w:t>上海巨航投资管</w:t>
            </w:r>
            <w:r>
              <w:rPr>
                <w:rFonts w:ascii="宋体" w:hAnsi="宋体" w:cs="宋体" w:eastAsia="宋体" w:hint="default"/>
                <w:spacing w:val="-62"/>
                <w:sz w:val="18"/>
                <w:szCs w:val="18"/>
              </w:rPr>
              <w:t> </w:t>
            </w:r>
            <w:r>
              <w:rPr>
                <w:rFonts w:ascii="宋体" w:hAnsi="宋体" w:cs="宋体" w:eastAsia="宋体" w:hint="default"/>
                <w:sz w:val="18"/>
                <w:szCs w:val="18"/>
              </w:rPr>
              <w:t>理有限公司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left="103" w:right="0"/>
              <w:jc w:val="left"/>
              <w:rPr>
                <w:rFonts w:ascii="宋体" w:hAnsi="宋体" w:cs="宋体" w:eastAsia="宋体" w:hint="default"/>
                <w:sz w:val="18"/>
                <w:szCs w:val="18"/>
              </w:rPr>
            </w:pPr>
            <w:r>
              <w:rPr>
                <w:rFonts w:ascii="宋体" w:hAnsi="宋体" w:cs="宋体" w:eastAsia="宋体" w:hint="default"/>
                <w:spacing w:val="8"/>
                <w:sz w:val="18"/>
                <w:szCs w:val="18"/>
              </w:rPr>
              <w:t>上海市徐汇区龙田路</w:t>
            </w:r>
            <w:r>
              <w:rPr>
                <w:rFonts w:ascii="宋体" w:hAnsi="宋体" w:cs="宋体" w:eastAsia="宋体" w:hint="default"/>
                <w:spacing w:val="7"/>
                <w:sz w:val="18"/>
                <w:szCs w:val="18"/>
              </w:rPr>
              <w:t> </w:t>
            </w:r>
            <w:r>
              <w:rPr>
                <w:rFonts w:ascii="宋体" w:hAnsi="宋体" w:cs="宋体" w:eastAsia="宋体" w:hint="default"/>
                <w:sz w:val="18"/>
                <w:szCs w:val="18"/>
              </w:rPr>
              <w:t>190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幢全楼</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宋体" w:hAnsi="宋体" w:cs="宋体" w:eastAsia="宋体" w:hint="default"/>
                <w:sz w:val="18"/>
                <w:szCs w:val="18"/>
              </w:rPr>
            </w:pPr>
            <w:r>
              <w:rPr>
                <w:rFonts w:ascii="宋体" w:hAnsi="宋体" w:cs="宋体" w:eastAsia="宋体" w:hint="default"/>
                <w:sz w:val="18"/>
                <w:szCs w:val="18"/>
              </w:rPr>
              <w:t>4,634.96</w:t>
            </w:r>
            <w:r>
              <w:rPr>
                <w:rFonts w:ascii="宋体" w:hAnsi="宋体" w:cs="宋体" w:eastAsia="宋体" w:hint="default"/>
                <w:spacing w:val="-45"/>
                <w:sz w:val="18"/>
                <w:szCs w:val="18"/>
              </w:rPr>
              <w:t> </w:t>
            </w:r>
            <w:r>
              <w:rPr>
                <w:rFonts w:ascii="宋体" w:hAnsi="宋体" w:cs="宋体" w:eastAsia="宋体" w:hint="default"/>
                <w:sz w:val="18"/>
                <w:szCs w:val="18"/>
              </w:rPr>
              <w:t>平方米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left="17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493,430.12</w:t>
            </w:r>
          </w:p>
        </w:tc>
      </w:tr>
      <w:tr>
        <w:trPr>
          <w:trHeight w:val="94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5" w:right="75"/>
              <w:jc w:val="left"/>
              <w:rPr>
                <w:rFonts w:ascii="宋体" w:hAnsi="宋体" w:cs="宋体" w:eastAsia="宋体" w:hint="default"/>
                <w:sz w:val="18"/>
                <w:szCs w:val="18"/>
              </w:rPr>
            </w:pPr>
            <w:r>
              <w:rPr>
                <w:rFonts w:ascii="宋体" w:hAnsi="宋体" w:cs="宋体" w:eastAsia="宋体" w:hint="default"/>
                <w:spacing w:val="24"/>
                <w:sz w:val="18"/>
                <w:szCs w:val="18"/>
              </w:rPr>
              <w:t>上海巨航投资管</w:t>
            </w:r>
            <w:r>
              <w:rPr>
                <w:rFonts w:ascii="宋体" w:hAnsi="宋体" w:cs="宋体" w:eastAsia="宋体" w:hint="default"/>
                <w:spacing w:val="-62"/>
                <w:sz w:val="18"/>
                <w:szCs w:val="18"/>
              </w:rPr>
              <w:t> </w:t>
            </w:r>
            <w:r>
              <w:rPr>
                <w:rFonts w:ascii="宋体" w:hAnsi="宋体" w:cs="宋体" w:eastAsia="宋体" w:hint="default"/>
                <w:sz w:val="18"/>
                <w:szCs w:val="18"/>
              </w:rPr>
              <w:t>理有限公司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48"/>
              <w:jc w:val="both"/>
              <w:rPr>
                <w:rFonts w:ascii="宋体" w:hAnsi="宋体" w:cs="宋体" w:eastAsia="宋体" w:hint="default"/>
                <w:sz w:val="18"/>
                <w:szCs w:val="18"/>
              </w:rPr>
            </w:pPr>
            <w:r>
              <w:rPr>
                <w:rFonts w:ascii="宋体" w:hAnsi="宋体" w:cs="宋体" w:eastAsia="宋体" w:hint="default"/>
                <w:spacing w:val="8"/>
                <w:sz w:val="18"/>
                <w:szCs w:val="18"/>
              </w:rPr>
              <w:t>上海市徐家汇龙漕路 </w:t>
            </w:r>
            <w:r>
              <w:rPr>
                <w:rFonts w:ascii="宋体" w:hAnsi="宋体" w:cs="宋体" w:eastAsia="宋体" w:hint="default"/>
                <w:sz w:val="18"/>
                <w:szCs w:val="18"/>
              </w:rPr>
              <w:t>299 </w:t>
            </w:r>
            <w:r>
              <w:rPr>
                <w:rFonts w:ascii="宋体" w:hAnsi="宋体" w:cs="宋体" w:eastAsia="宋体" w:hint="default"/>
                <w:sz w:val="18"/>
                <w:szCs w:val="18"/>
              </w:rPr>
              <w:t>号园区内</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幢北部（</w:t>
            </w:r>
            <w:r>
              <w:rPr>
                <w:rFonts w:ascii="宋体" w:hAnsi="宋体" w:cs="宋体" w:eastAsia="宋体" w:hint="default"/>
                <w:sz w:val="18"/>
                <w:szCs w:val="18"/>
              </w:rPr>
              <w:t>C</w:t>
            </w:r>
            <w:r>
              <w:rPr>
                <w:rFonts w:ascii="宋体" w:hAnsi="宋体" w:cs="宋体" w:eastAsia="宋体" w:hint="default"/>
                <w:spacing w:val="-45"/>
                <w:sz w:val="18"/>
                <w:szCs w:val="18"/>
              </w:rPr>
              <w:t> </w:t>
            </w:r>
            <w:r>
              <w:rPr>
                <w:rFonts w:ascii="宋体" w:hAnsi="宋体" w:cs="宋体" w:eastAsia="宋体" w:hint="default"/>
                <w:sz w:val="18"/>
                <w:szCs w:val="18"/>
              </w:rPr>
              <w:t>座） 第七</w:t>
            </w:r>
            <w:r>
              <w:rPr>
                <w:rFonts w:ascii="宋体" w:hAnsi="宋体" w:cs="宋体" w:eastAsia="宋体" w:hint="default"/>
                <w:sz w:val="18"/>
                <w:szCs w:val="18"/>
              </w:rPr>
              <w:t>-</w:t>
            </w:r>
            <w:r>
              <w:rPr>
                <w:rFonts w:ascii="宋体" w:hAnsi="宋体" w:cs="宋体" w:eastAsia="宋体" w:hint="default"/>
                <w:sz w:val="18"/>
                <w:szCs w:val="18"/>
              </w:rPr>
              <w:t>第十整层</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3,400.00</w:t>
            </w:r>
            <w:r>
              <w:rPr>
                <w:rFonts w:ascii="宋体" w:hAnsi="宋体" w:cs="宋体" w:eastAsia="宋体" w:hint="default"/>
                <w:spacing w:val="-45"/>
                <w:sz w:val="18"/>
                <w:szCs w:val="18"/>
              </w:rPr>
              <w:t> </w:t>
            </w:r>
            <w:r>
              <w:rPr>
                <w:rFonts w:ascii="宋体" w:hAnsi="宋体" w:cs="宋体" w:eastAsia="宋体" w:hint="default"/>
                <w:sz w:val="18"/>
                <w:szCs w:val="18"/>
              </w:rPr>
              <w:t>平方米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号至</w:t>
            </w: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首期月租金</w:t>
            </w:r>
            <w:r>
              <w:rPr>
                <w:rFonts w:ascii="宋体" w:hAnsi="宋体" w:cs="宋体" w:eastAsia="宋体" w:hint="default"/>
                <w:spacing w:val="-41"/>
                <w:sz w:val="18"/>
                <w:szCs w:val="18"/>
              </w:rPr>
              <w:t> </w:t>
            </w:r>
            <w:r>
              <w:rPr>
                <w:rFonts w:ascii="宋体" w:hAnsi="宋体" w:cs="宋体" w:eastAsia="宋体" w:hint="default"/>
                <w:spacing w:val="-5"/>
                <w:sz w:val="18"/>
                <w:szCs w:val="18"/>
              </w:rPr>
              <w:t>310,250.00</w:t>
            </w:r>
            <w:r>
              <w:rPr>
                <w:rFonts w:ascii="宋体" w:hAnsi="宋体" w:cs="宋体" w:eastAsia="宋体" w:hint="default"/>
                <w:spacing w:val="-5"/>
                <w:sz w:val="18"/>
                <w:szCs w:val="18"/>
              </w:rPr>
              <w:t>，</w:t>
            </w:r>
            <w:r>
              <w:rPr>
                <w:rFonts w:ascii="宋体" w:hAnsi="宋体" w:cs="宋体" w:eastAsia="宋体" w:hint="default"/>
                <w:spacing w:val="-5"/>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4</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日起</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10"/>
                <w:sz w:val="18"/>
                <w:szCs w:val="18"/>
              </w:rPr>
              <w:t>年内不变；自</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日起租金递增</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z w:val="18"/>
                <w:szCs w:val="18"/>
              </w:rPr>
              <w:t>计算，以后 每满</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年按此标准执行。</w:t>
            </w:r>
          </w:p>
        </w:tc>
      </w:tr>
      <w:tr>
        <w:trPr>
          <w:trHeight w:val="5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103" w:right="105"/>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2"/>
                <w:sz w:val="18"/>
                <w:szCs w:val="18"/>
              </w:rPr>
              <w:t> </w:t>
            </w:r>
            <w:r>
              <w:rPr>
                <w:rFonts w:ascii="宋体" w:hAnsi="宋体" w:cs="宋体" w:eastAsia="宋体" w:hint="default"/>
                <w:sz w:val="18"/>
                <w:szCs w:val="18"/>
              </w:rPr>
              <w:t>海</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徐</w:t>
            </w:r>
            <w:r>
              <w:rPr>
                <w:rFonts w:ascii="宋体" w:hAnsi="宋体" w:cs="宋体" w:eastAsia="宋体" w:hint="default"/>
                <w:spacing w:val="-62"/>
                <w:sz w:val="18"/>
                <w:szCs w:val="18"/>
              </w:rPr>
              <w:t> </w:t>
            </w:r>
            <w:r>
              <w:rPr>
                <w:rFonts w:ascii="宋体" w:hAnsi="宋体" w:cs="宋体" w:eastAsia="宋体" w:hint="default"/>
                <w:sz w:val="18"/>
                <w:szCs w:val="18"/>
              </w:rPr>
              <w:t>汇</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pacing w:val="-60"/>
                <w:sz w:val="18"/>
                <w:szCs w:val="18"/>
              </w:rPr>
              <w:t> </w:t>
            </w:r>
            <w:r>
              <w:rPr>
                <w:rFonts w:ascii="宋体" w:hAnsi="宋体" w:cs="宋体" w:eastAsia="宋体" w:hint="default"/>
                <w:sz w:val="18"/>
                <w:szCs w:val="18"/>
              </w:rPr>
              <w:t>淮</w:t>
            </w:r>
            <w:r>
              <w:rPr>
                <w:rFonts w:ascii="宋体" w:hAnsi="宋体" w:cs="宋体" w:eastAsia="宋体" w:hint="default"/>
                <w:spacing w:val="-62"/>
                <w:sz w:val="18"/>
                <w:szCs w:val="18"/>
              </w:rPr>
              <w:t> </w:t>
            </w:r>
            <w:r>
              <w:rPr>
                <w:rFonts w:ascii="宋体" w:hAnsi="宋体" w:cs="宋体" w:eastAsia="宋体" w:hint="default"/>
                <w:sz w:val="18"/>
                <w:szCs w:val="18"/>
              </w:rPr>
              <w:t>海</w:t>
            </w:r>
            <w:r>
              <w:rPr>
                <w:rFonts w:ascii="宋体" w:hAnsi="宋体" w:cs="宋体" w:eastAsia="宋体" w:hint="default"/>
                <w:spacing w:val="-62"/>
                <w:sz w:val="18"/>
                <w:szCs w:val="18"/>
              </w:rPr>
              <w:t> </w:t>
            </w: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路</w:t>
            </w:r>
            <w:r>
              <w:rPr>
                <w:rFonts w:ascii="宋体" w:hAnsi="宋体" w:cs="宋体" w:eastAsia="宋体" w:hint="default"/>
                <w:sz w:val="18"/>
                <w:szCs w:val="18"/>
              </w:rPr>
              <w:t> </w:t>
            </w:r>
            <w:r>
              <w:rPr>
                <w:rFonts w:ascii="宋体" w:hAnsi="宋体" w:cs="宋体" w:eastAsia="宋体" w:hint="default"/>
                <w:sz w:val="18"/>
                <w:szCs w:val="18"/>
              </w:rPr>
              <w:t>1110</w:t>
            </w:r>
            <w:r>
              <w:rPr>
                <w:rFonts w:ascii="宋体" w:hAnsi="宋体" w:cs="宋体" w:eastAsia="宋体" w:hint="default"/>
                <w:spacing w:val="-4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座别墅</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181.00</w:t>
            </w:r>
            <w:r>
              <w:rPr>
                <w:rFonts w:ascii="宋体" w:hAnsi="宋体" w:cs="宋体" w:eastAsia="宋体" w:hint="default"/>
                <w:spacing w:val="-44"/>
                <w:sz w:val="18"/>
                <w:szCs w:val="18"/>
              </w:rPr>
              <w:t> </w:t>
            </w:r>
            <w:r>
              <w:rPr>
                <w:rFonts w:ascii="宋体" w:hAnsi="宋体" w:cs="宋体" w:eastAsia="宋体" w:hint="default"/>
                <w:sz w:val="18"/>
                <w:szCs w:val="18"/>
              </w:rPr>
              <w:t>平方米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left="17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号至</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71,798.60</w:t>
            </w:r>
          </w:p>
        </w:tc>
      </w:tr>
      <w:tr>
        <w:trPr>
          <w:trHeight w:val="578"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上海东湖宾馆</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0"/>
              <w:ind w:left="103" w:right="0"/>
              <w:jc w:val="left"/>
              <w:rPr>
                <w:rFonts w:ascii="宋体" w:hAnsi="宋体" w:cs="宋体" w:eastAsia="宋体" w:hint="default"/>
                <w:sz w:val="18"/>
                <w:szCs w:val="18"/>
              </w:rPr>
            </w:pPr>
            <w:r>
              <w:rPr>
                <w:rFonts w:ascii="宋体" w:hAnsi="宋体" w:cs="宋体" w:eastAsia="宋体" w:hint="default"/>
                <w:sz w:val="18"/>
                <w:szCs w:val="18"/>
              </w:rPr>
              <w:t>上海市徐汇区东湖路 </w:t>
            </w:r>
            <w:r>
              <w:rPr>
                <w:rFonts w:ascii="宋体" w:hAnsi="宋体" w:cs="宋体" w:eastAsia="宋体" w:hint="default"/>
                <w:sz w:val="18"/>
                <w:szCs w:val="18"/>
              </w:rPr>
              <w:t>7</w:t>
            </w:r>
            <w:r>
              <w:rPr>
                <w:rFonts w:ascii="宋体" w:hAnsi="宋体" w:cs="宋体" w:eastAsia="宋体" w:hint="default"/>
                <w:spacing w:val="-6"/>
                <w:sz w:val="18"/>
                <w:szCs w:val="18"/>
              </w:rPr>
              <w:t> </w:t>
            </w:r>
            <w:r>
              <w:rPr>
                <w:rFonts w:ascii="宋体" w:hAnsi="宋体" w:cs="宋体" w:eastAsia="宋体" w:hint="default"/>
                <w:sz w:val="18"/>
                <w:szCs w:val="18"/>
              </w:rPr>
              <w:t>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东湖宾馆</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号楼</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63"/>
                <w:sz w:val="18"/>
                <w:szCs w:val="18"/>
              </w:rPr>
              <w:t> </w:t>
            </w:r>
            <w:r>
              <w:rPr>
                <w:rFonts w:ascii="宋体" w:hAnsi="宋体" w:cs="宋体" w:eastAsia="宋体" w:hint="default"/>
                <w:sz w:val="18"/>
                <w:szCs w:val="18"/>
              </w:rPr>
              <w:t>1,330.00</w:t>
            </w:r>
            <w:r>
              <w:rPr>
                <w:rFonts w:ascii="宋体" w:hAnsi="宋体" w:cs="宋体" w:eastAsia="宋体" w:hint="default"/>
                <w:spacing w:val="-62"/>
                <w:sz w:val="18"/>
                <w:szCs w:val="18"/>
              </w:rPr>
              <w:t> </w:t>
            </w:r>
            <w:r>
              <w:rPr>
                <w:rFonts w:ascii="宋体" w:hAnsi="宋体" w:cs="宋体" w:eastAsia="宋体" w:hint="default"/>
                <w:sz w:val="18"/>
                <w:szCs w:val="18"/>
              </w:rPr>
              <w:t>平方米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0"/>
              <w:ind w:left="17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号至</w:t>
            </w: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458,334.00</w:t>
            </w:r>
          </w:p>
        </w:tc>
      </w:tr>
      <w:tr>
        <w:trPr>
          <w:trHeight w:val="710"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75"/>
              <w:jc w:val="left"/>
              <w:rPr>
                <w:rFonts w:ascii="宋体" w:hAnsi="宋体" w:cs="宋体" w:eastAsia="宋体" w:hint="default"/>
                <w:sz w:val="18"/>
                <w:szCs w:val="18"/>
              </w:rPr>
            </w:pPr>
            <w:r>
              <w:rPr>
                <w:rFonts w:ascii="宋体" w:hAnsi="宋体" w:cs="宋体" w:eastAsia="宋体" w:hint="default"/>
                <w:spacing w:val="24"/>
                <w:sz w:val="18"/>
                <w:szCs w:val="18"/>
              </w:rPr>
              <w:t>上海聚鑫置业有</w:t>
            </w:r>
            <w:r>
              <w:rPr>
                <w:rFonts w:ascii="宋体" w:hAnsi="宋体" w:cs="宋体" w:eastAsia="宋体" w:hint="default"/>
                <w:spacing w:val="-62"/>
                <w:sz w:val="18"/>
                <w:szCs w:val="18"/>
              </w:rPr>
              <w:t> </w:t>
            </w:r>
            <w:r>
              <w:rPr>
                <w:rFonts w:ascii="宋体" w:hAnsi="宋体" w:cs="宋体" w:eastAsia="宋体" w:hint="default"/>
                <w:sz w:val="18"/>
                <w:szCs w:val="18"/>
              </w:rPr>
              <w:t>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上海市徐汇区平福路</w:t>
            </w:r>
            <w:r>
              <w:rPr>
                <w:rFonts w:ascii="宋体" w:hAnsi="宋体" w:cs="宋体" w:eastAsia="宋体" w:hint="default"/>
                <w:spacing w:val="7"/>
                <w:sz w:val="18"/>
                <w:szCs w:val="18"/>
              </w:rPr>
              <w:t> </w:t>
            </w:r>
            <w:r>
              <w:rPr>
                <w:rFonts w:ascii="宋体" w:hAnsi="宋体" w:cs="宋体" w:eastAsia="宋体" w:hint="default"/>
                <w:sz w:val="18"/>
                <w:szCs w:val="18"/>
              </w:rPr>
              <w:t>188</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号漕河泾聚鑫园区内 </w:t>
            </w:r>
            <w:r>
              <w:rPr>
                <w:rFonts w:ascii="宋体" w:hAnsi="宋体" w:cs="宋体" w:eastAsia="宋体" w:hint="default"/>
                <w:sz w:val="18"/>
                <w:szCs w:val="18"/>
              </w:rPr>
              <w:t>1</w:t>
            </w:r>
            <w:r>
              <w:rPr>
                <w:rFonts w:ascii="宋体" w:hAnsi="宋体" w:cs="宋体" w:eastAsia="宋体" w:hint="default"/>
                <w:spacing w:val="-6"/>
                <w:sz w:val="18"/>
                <w:szCs w:val="18"/>
              </w:rPr>
              <w:t> </w:t>
            </w:r>
            <w:r>
              <w:rPr>
                <w:rFonts w:ascii="宋体" w:hAnsi="宋体" w:cs="宋体" w:eastAsia="宋体" w:hint="default"/>
                <w:sz w:val="18"/>
                <w:szCs w:val="18"/>
              </w:rPr>
              <w:t>幢 第三层</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平方米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7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228,125.00</w:t>
            </w:r>
          </w:p>
        </w:tc>
      </w:tr>
      <w:tr>
        <w:trPr>
          <w:trHeight w:val="239" w:hRule="exact"/>
        </w:trPr>
        <w:tc>
          <w:tcPr>
            <w:tcW w:w="1654" w:type="dxa"/>
            <w:tcBorders>
              <w:top w:val="single" w:sz="4" w:space="0" w:color="000000"/>
              <w:left w:val="single" w:sz="4" w:space="0" w:color="000000"/>
              <w:bottom w:val="nil" w:sz="6" w:space="0" w:color="auto"/>
              <w:right w:val="single" w:sz="4" w:space="0" w:color="000000"/>
            </w:tcBorders>
          </w:tcPr>
          <w:p>
            <w:pPr/>
          </w:p>
        </w:tc>
        <w:tc>
          <w:tcPr>
            <w:tcW w:w="228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上海市徐汇区平福路</w:t>
            </w:r>
            <w:r>
              <w:rPr>
                <w:rFonts w:ascii="宋体" w:hAnsi="宋体" w:cs="宋体" w:eastAsia="宋体" w:hint="default"/>
                <w:spacing w:val="7"/>
                <w:sz w:val="18"/>
                <w:szCs w:val="18"/>
              </w:rPr>
              <w:t> </w:t>
            </w:r>
            <w:r>
              <w:rPr>
                <w:rFonts w:ascii="宋体" w:hAnsi="宋体" w:cs="宋体" w:eastAsia="宋体" w:hint="default"/>
                <w:sz w:val="18"/>
                <w:szCs w:val="18"/>
              </w:rPr>
              <w:t>188</w:t>
            </w:r>
          </w:p>
        </w:tc>
        <w:tc>
          <w:tcPr>
            <w:tcW w:w="171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290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65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24"/>
                <w:sz w:val="18"/>
                <w:szCs w:val="18"/>
              </w:rPr>
              <w:t>上海聚鑫置业有</w:t>
            </w:r>
            <w:r>
              <w:rPr>
                <w:rFonts w:ascii="宋体" w:hAnsi="宋体" w:cs="宋体" w:eastAsia="宋体" w:hint="default"/>
                <w:spacing w:val="-62"/>
                <w:sz w:val="18"/>
                <w:szCs w:val="18"/>
              </w:rPr>
              <w:t> </w:t>
            </w:r>
            <w:r>
              <w:rPr>
                <w:rFonts w:ascii="宋体" w:hAnsi="宋体" w:cs="宋体" w:eastAsia="宋体" w:hint="default"/>
                <w:sz w:val="18"/>
                <w:szCs w:val="18"/>
              </w:rPr>
            </w:r>
          </w:p>
        </w:tc>
        <w:tc>
          <w:tcPr>
            <w:tcW w:w="228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号漕河泾聚鑫园区内 </w:t>
            </w:r>
            <w:r>
              <w:rPr>
                <w:rFonts w:ascii="宋体" w:hAnsi="宋体" w:cs="宋体" w:eastAsia="宋体" w:hint="default"/>
                <w:sz w:val="18"/>
                <w:szCs w:val="18"/>
              </w:rPr>
              <w:t>1</w:t>
            </w:r>
            <w:r>
              <w:rPr>
                <w:rFonts w:ascii="宋体" w:hAnsi="宋体" w:cs="宋体" w:eastAsia="宋体" w:hint="default"/>
                <w:spacing w:val="-6"/>
                <w:sz w:val="18"/>
                <w:szCs w:val="18"/>
              </w:rPr>
              <w:t> </w:t>
            </w:r>
            <w:r>
              <w:rPr>
                <w:rFonts w:ascii="宋体" w:hAnsi="宋体" w:cs="宋体" w:eastAsia="宋体" w:hint="default"/>
                <w:sz w:val="18"/>
                <w:szCs w:val="18"/>
              </w:rPr>
              <w:t>幢</w:t>
            </w:r>
          </w:p>
        </w:tc>
        <w:tc>
          <w:tcPr>
            <w:tcW w:w="171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7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p>
        </w:tc>
        <w:tc>
          <w:tcPr>
            <w:tcW w:w="2903"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65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2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第四层</w:t>
            </w:r>
          </w:p>
        </w:tc>
        <w:tc>
          <w:tcPr>
            <w:tcW w:w="171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平方米</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18"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241,812.50</w:t>
            </w:r>
          </w:p>
        </w:tc>
      </w:tr>
      <w:tr>
        <w:trPr>
          <w:trHeight w:val="239" w:hRule="exact"/>
        </w:trPr>
        <w:tc>
          <w:tcPr>
            <w:tcW w:w="1654" w:type="dxa"/>
            <w:tcBorders>
              <w:top w:val="single" w:sz="4" w:space="0" w:color="000000"/>
              <w:left w:val="single" w:sz="4" w:space="0" w:color="000000"/>
              <w:bottom w:val="nil" w:sz="6" w:space="0" w:color="auto"/>
              <w:right w:val="single" w:sz="4" w:space="0" w:color="000000"/>
            </w:tcBorders>
          </w:tcPr>
          <w:p>
            <w:pPr/>
          </w:p>
        </w:tc>
        <w:tc>
          <w:tcPr>
            <w:tcW w:w="228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上海市徐汇区平福路</w:t>
            </w:r>
            <w:r>
              <w:rPr>
                <w:rFonts w:ascii="宋体" w:hAnsi="宋体" w:cs="宋体" w:eastAsia="宋体" w:hint="default"/>
                <w:spacing w:val="7"/>
                <w:sz w:val="18"/>
                <w:szCs w:val="18"/>
              </w:rPr>
              <w:t> </w:t>
            </w:r>
            <w:r>
              <w:rPr>
                <w:rFonts w:ascii="宋体" w:hAnsi="宋体" w:cs="宋体" w:eastAsia="宋体" w:hint="default"/>
                <w:sz w:val="18"/>
                <w:szCs w:val="18"/>
              </w:rPr>
              <w:t>188</w:t>
            </w:r>
          </w:p>
        </w:tc>
        <w:tc>
          <w:tcPr>
            <w:tcW w:w="171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290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65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24"/>
                <w:sz w:val="18"/>
                <w:szCs w:val="18"/>
              </w:rPr>
              <w:t>上海聚鑫置业有</w:t>
            </w:r>
            <w:r>
              <w:rPr>
                <w:rFonts w:ascii="宋体" w:hAnsi="宋体" w:cs="宋体" w:eastAsia="宋体" w:hint="default"/>
                <w:spacing w:val="-62"/>
                <w:sz w:val="18"/>
                <w:szCs w:val="18"/>
              </w:rPr>
              <w:t> </w:t>
            </w:r>
            <w:r>
              <w:rPr>
                <w:rFonts w:ascii="宋体" w:hAnsi="宋体" w:cs="宋体" w:eastAsia="宋体" w:hint="default"/>
                <w:sz w:val="18"/>
                <w:szCs w:val="18"/>
              </w:rPr>
            </w:r>
          </w:p>
        </w:tc>
        <w:tc>
          <w:tcPr>
            <w:tcW w:w="228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号漕河泾聚鑫园区内 </w:t>
            </w:r>
            <w:r>
              <w:rPr>
                <w:rFonts w:ascii="宋体" w:hAnsi="宋体" w:cs="宋体" w:eastAsia="宋体" w:hint="default"/>
                <w:sz w:val="18"/>
                <w:szCs w:val="18"/>
              </w:rPr>
              <w:t>1</w:t>
            </w:r>
            <w:r>
              <w:rPr>
                <w:rFonts w:ascii="宋体" w:hAnsi="宋体" w:cs="宋体" w:eastAsia="宋体" w:hint="default"/>
                <w:spacing w:val="-6"/>
                <w:sz w:val="18"/>
                <w:szCs w:val="18"/>
              </w:rPr>
              <w:t> </w:t>
            </w:r>
            <w:r>
              <w:rPr>
                <w:rFonts w:ascii="宋体" w:hAnsi="宋体" w:cs="宋体" w:eastAsia="宋体" w:hint="default"/>
                <w:sz w:val="18"/>
                <w:szCs w:val="18"/>
              </w:rPr>
              <w:t>幢</w:t>
            </w:r>
          </w:p>
        </w:tc>
        <w:tc>
          <w:tcPr>
            <w:tcW w:w="171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25"/>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日至</w:t>
            </w:r>
          </w:p>
        </w:tc>
        <w:tc>
          <w:tcPr>
            <w:tcW w:w="2903" w:type="dxa"/>
            <w:tcBorders>
              <w:top w:val="nil" w:sz="6" w:space="0" w:color="auto"/>
              <w:left w:val="single" w:sz="4" w:space="0" w:color="000000"/>
              <w:bottom w:val="nil" w:sz="6" w:space="0" w:color="auto"/>
              <w:right w:val="single" w:sz="4" w:space="0" w:color="000000"/>
            </w:tcBorders>
          </w:tcPr>
          <w:p>
            <w:pPr/>
          </w:p>
        </w:tc>
      </w:tr>
      <w:tr>
        <w:trPr>
          <w:trHeight w:val="239" w:hRule="exact"/>
        </w:trPr>
        <w:tc>
          <w:tcPr>
            <w:tcW w:w="165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2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第六层</w:t>
            </w:r>
          </w:p>
        </w:tc>
        <w:tc>
          <w:tcPr>
            <w:tcW w:w="171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z w:val="18"/>
                <w:szCs w:val="18"/>
              </w:rPr>
              <w:t>平方米</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18"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241,812.50</w:t>
            </w:r>
          </w:p>
        </w:tc>
      </w:tr>
      <w:tr>
        <w:trPr>
          <w:trHeight w:val="239" w:hRule="exact"/>
        </w:trPr>
        <w:tc>
          <w:tcPr>
            <w:tcW w:w="1654" w:type="dxa"/>
            <w:tcBorders>
              <w:top w:val="single" w:sz="4" w:space="0" w:color="000000"/>
              <w:left w:val="single" w:sz="4" w:space="0" w:color="000000"/>
              <w:bottom w:val="nil" w:sz="6" w:space="0" w:color="auto"/>
              <w:right w:val="single" w:sz="4" w:space="0" w:color="000000"/>
            </w:tcBorders>
          </w:tcPr>
          <w:p>
            <w:pPr/>
          </w:p>
        </w:tc>
        <w:tc>
          <w:tcPr>
            <w:tcW w:w="2281"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上海市徐汇区龙漕路</w:t>
            </w:r>
            <w:r>
              <w:rPr>
                <w:rFonts w:ascii="宋体" w:hAnsi="宋体" w:cs="宋体" w:eastAsia="宋体" w:hint="default"/>
                <w:spacing w:val="7"/>
                <w:sz w:val="18"/>
                <w:szCs w:val="18"/>
              </w:rPr>
              <w:t> </w:t>
            </w:r>
            <w:r>
              <w:rPr>
                <w:rFonts w:ascii="宋体" w:hAnsi="宋体" w:cs="宋体" w:eastAsia="宋体" w:hint="default"/>
                <w:sz w:val="18"/>
                <w:szCs w:val="18"/>
              </w:rPr>
              <w:t>299</w:t>
            </w:r>
          </w:p>
        </w:tc>
        <w:tc>
          <w:tcPr>
            <w:tcW w:w="1714"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2903"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sz w:val="18"/>
                <w:szCs w:val="18"/>
              </w:rPr>
              <w:t>首期租金</w:t>
            </w:r>
            <w:r>
              <w:rPr>
                <w:rFonts w:ascii="宋体" w:hAnsi="宋体" w:cs="宋体" w:eastAsia="宋体" w:hint="default"/>
                <w:spacing w:val="-47"/>
                <w:sz w:val="18"/>
                <w:szCs w:val="18"/>
              </w:rPr>
              <w:t> </w:t>
            </w:r>
            <w:r>
              <w:rPr>
                <w:rFonts w:ascii="宋体" w:hAnsi="宋体" w:cs="宋体" w:eastAsia="宋体" w:hint="default"/>
                <w:sz w:val="18"/>
                <w:szCs w:val="18"/>
              </w:rPr>
              <w:t>324,275.00</w:t>
            </w:r>
            <w:r>
              <w:rPr>
                <w:rFonts w:ascii="宋体" w:hAnsi="宋体" w:cs="宋体" w:eastAsia="宋体" w:hint="default"/>
                <w:spacing w:val="-46"/>
                <w:sz w:val="18"/>
                <w:szCs w:val="18"/>
              </w:rPr>
              <w:t> </w:t>
            </w:r>
            <w:r>
              <w:rPr>
                <w:rFonts w:ascii="宋体" w:hAnsi="宋体" w:cs="宋体" w:eastAsia="宋体" w:hint="default"/>
                <w:sz w:val="18"/>
                <w:szCs w:val="18"/>
              </w:rPr>
              <w:t>元，每月月</w:t>
            </w:r>
          </w:p>
        </w:tc>
      </w:tr>
      <w:tr>
        <w:trPr>
          <w:trHeight w:val="233" w:hRule="exact"/>
        </w:trPr>
        <w:tc>
          <w:tcPr>
            <w:tcW w:w="165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24"/>
                <w:sz w:val="18"/>
                <w:szCs w:val="18"/>
              </w:rPr>
              <w:t>上海巨隆投资管</w:t>
            </w:r>
            <w:r>
              <w:rPr>
                <w:rFonts w:ascii="宋体" w:hAnsi="宋体" w:cs="宋体" w:eastAsia="宋体" w:hint="default"/>
                <w:spacing w:val="-62"/>
                <w:sz w:val="18"/>
                <w:szCs w:val="18"/>
              </w:rPr>
              <w:t> </w:t>
            </w:r>
            <w:r>
              <w:rPr>
                <w:rFonts w:ascii="宋体" w:hAnsi="宋体" w:cs="宋体" w:eastAsia="宋体" w:hint="default"/>
                <w:sz w:val="18"/>
                <w:szCs w:val="18"/>
              </w:rPr>
            </w:r>
          </w:p>
        </w:tc>
        <w:tc>
          <w:tcPr>
            <w:tcW w:w="228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号园区内</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幢南部（</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座）</w:t>
            </w:r>
          </w:p>
        </w:tc>
        <w:tc>
          <w:tcPr>
            <w:tcW w:w="1714"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25"/>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p>
        </w:tc>
        <w:tc>
          <w:tcPr>
            <w:tcW w:w="290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租</w:t>
            </w:r>
            <w:r>
              <w:rPr>
                <w:rFonts w:ascii="宋体" w:hAnsi="宋体" w:cs="宋体" w:eastAsia="宋体" w:hint="default"/>
                <w:spacing w:val="-44"/>
                <w:sz w:val="18"/>
                <w:szCs w:val="18"/>
              </w:rPr>
              <w:t> </w:t>
            </w:r>
            <w:r>
              <w:rPr>
                <w:rFonts w:ascii="宋体" w:hAnsi="宋体" w:cs="宋体" w:eastAsia="宋体" w:hint="default"/>
                <w:sz w:val="18"/>
                <w:szCs w:val="18"/>
              </w:rPr>
              <w:t>217,175.00</w:t>
            </w:r>
            <w:r>
              <w:rPr>
                <w:rFonts w:ascii="宋体" w:hAnsi="宋体" w:cs="宋体" w:eastAsia="宋体" w:hint="default"/>
                <w:spacing w:val="-43"/>
                <w:sz w:val="18"/>
                <w:szCs w:val="18"/>
              </w:rPr>
              <w:t> </w:t>
            </w:r>
            <w:r>
              <w:rPr>
                <w:rFonts w:ascii="宋体" w:hAnsi="宋体" w:cs="宋体" w:eastAsia="宋体" w:hint="default"/>
                <w:spacing w:val="-4"/>
                <w:sz w:val="18"/>
                <w:szCs w:val="18"/>
              </w:rPr>
              <w:t>元，</w:t>
            </w:r>
            <w:r>
              <w:rPr>
                <w:rFonts w:ascii="宋体" w:hAnsi="宋体" w:cs="宋体" w:eastAsia="宋体" w:hint="default"/>
                <w:spacing w:val="-4"/>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p>
        </w:tc>
      </w:tr>
      <w:tr>
        <w:trPr>
          <w:trHeight w:val="239" w:hRule="exact"/>
        </w:trPr>
        <w:tc>
          <w:tcPr>
            <w:tcW w:w="165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22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第九层、第十层</w:t>
            </w:r>
          </w:p>
        </w:tc>
        <w:tc>
          <w:tcPr>
            <w:tcW w:w="171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1700</w:t>
            </w:r>
            <w:r>
              <w:rPr>
                <w:rFonts w:ascii="宋体" w:hAnsi="宋体" w:cs="宋体" w:eastAsia="宋体" w:hint="default"/>
                <w:spacing w:val="-43"/>
                <w:sz w:val="18"/>
                <w:szCs w:val="18"/>
              </w:rPr>
              <w:t> </w:t>
            </w:r>
            <w:r>
              <w:rPr>
                <w:rFonts w:ascii="宋体" w:hAnsi="宋体" w:cs="宋体" w:eastAsia="宋体" w:hint="default"/>
                <w:sz w:val="18"/>
                <w:szCs w:val="18"/>
              </w:rPr>
              <w:t>平方米</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1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年内不变</w:t>
            </w:r>
            <w:r>
              <w:rPr>
                <w:rFonts w:ascii="宋体" w:hAnsi="宋体" w:cs="宋体" w:eastAsia="宋体" w:hint="default"/>
                <w:sz w:val="18"/>
                <w:szCs w:val="18"/>
              </w:rPr>
              <w:t>.</w:t>
            </w:r>
          </w:p>
        </w:tc>
      </w:tr>
      <w:tr>
        <w:trPr>
          <w:trHeight w:val="5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105" w:right="75"/>
              <w:jc w:val="left"/>
              <w:rPr>
                <w:rFonts w:ascii="宋体" w:hAnsi="宋体" w:cs="宋体" w:eastAsia="宋体" w:hint="default"/>
                <w:sz w:val="18"/>
                <w:szCs w:val="18"/>
              </w:rPr>
            </w:pPr>
            <w:r>
              <w:rPr>
                <w:rFonts w:ascii="宋体" w:hAnsi="宋体" w:cs="宋体" w:eastAsia="宋体" w:hint="default"/>
                <w:spacing w:val="24"/>
                <w:sz w:val="18"/>
                <w:szCs w:val="18"/>
              </w:rPr>
              <w:t>杭州东杭房地产</w:t>
            </w:r>
            <w:r>
              <w:rPr>
                <w:rFonts w:ascii="宋体" w:hAnsi="宋体" w:cs="宋体" w:eastAsia="宋体" w:hint="default"/>
                <w:spacing w:val="-62"/>
                <w:sz w:val="18"/>
                <w:szCs w:val="18"/>
              </w:rPr>
              <w:t> </w:t>
            </w:r>
            <w:r>
              <w:rPr>
                <w:rFonts w:ascii="宋体" w:hAnsi="宋体" w:cs="宋体" w:eastAsia="宋体" w:hint="default"/>
                <w:sz w:val="18"/>
                <w:szCs w:val="18"/>
              </w:rPr>
              <w:t>开发有限公司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103" w:right="98"/>
              <w:jc w:val="left"/>
              <w:rPr>
                <w:rFonts w:ascii="宋体" w:hAnsi="宋体" w:cs="宋体" w:eastAsia="宋体" w:hint="default"/>
                <w:sz w:val="18"/>
                <w:szCs w:val="18"/>
              </w:rPr>
            </w:pPr>
            <w:r>
              <w:rPr>
                <w:rFonts w:ascii="宋体" w:hAnsi="宋体" w:cs="宋体" w:eastAsia="宋体" w:hint="default"/>
                <w:sz w:val="18"/>
                <w:szCs w:val="18"/>
              </w:rPr>
              <w:t>北京西城区陶然亭路</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号 商用楼一座</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18</w:t>
            </w:r>
            <w:r>
              <w:rPr>
                <w:rFonts w:ascii="宋体" w:hAnsi="宋体" w:cs="宋体" w:eastAsia="宋体" w:hint="default"/>
                <w:spacing w:val="-52"/>
                <w:sz w:val="18"/>
                <w:szCs w:val="18"/>
              </w:rPr>
              <w:t> </w:t>
            </w:r>
            <w:r>
              <w:rPr>
                <w:rFonts w:ascii="宋体" w:hAnsi="宋体" w:cs="宋体" w:eastAsia="宋体" w:hint="default"/>
                <w:sz w:val="18"/>
                <w:szCs w:val="18"/>
              </w:rPr>
              <w:t>日至</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383,333.33</w:t>
            </w:r>
          </w:p>
        </w:tc>
      </w:tr>
      <w:tr>
        <w:trPr>
          <w:trHeight w:val="710"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75"/>
              <w:jc w:val="left"/>
              <w:rPr>
                <w:rFonts w:ascii="宋体" w:hAnsi="宋体" w:cs="宋体" w:eastAsia="宋体" w:hint="default"/>
                <w:sz w:val="18"/>
                <w:szCs w:val="18"/>
              </w:rPr>
            </w:pPr>
            <w:r>
              <w:rPr>
                <w:rFonts w:ascii="宋体" w:hAnsi="宋体" w:cs="宋体" w:eastAsia="宋体" w:hint="default"/>
                <w:spacing w:val="24"/>
                <w:sz w:val="18"/>
                <w:szCs w:val="18"/>
              </w:rPr>
              <w:t>北京宝龙达信息</w:t>
            </w:r>
            <w:r>
              <w:rPr>
                <w:rFonts w:ascii="宋体" w:hAnsi="宋体" w:cs="宋体" w:eastAsia="宋体" w:hint="default"/>
                <w:spacing w:val="-62"/>
                <w:sz w:val="18"/>
                <w:szCs w:val="18"/>
              </w:rPr>
              <w:t> </w:t>
            </w:r>
            <w:r>
              <w:rPr>
                <w:rFonts w:ascii="宋体" w:hAnsi="宋体" w:cs="宋体" w:eastAsia="宋体" w:hint="default"/>
                <w:sz w:val="18"/>
                <w:szCs w:val="18"/>
              </w:rPr>
              <w:t>技术有限公司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深圳市福田区金田路与福</w:t>
            </w:r>
          </w:p>
          <w:p>
            <w:pPr>
              <w:pStyle w:val="TableParagraph"/>
              <w:spacing w:line="240" w:lineRule="auto"/>
              <w:ind w:left="103" w:right="106"/>
              <w:jc w:val="left"/>
              <w:rPr>
                <w:rFonts w:ascii="宋体" w:hAnsi="宋体" w:cs="宋体" w:eastAsia="宋体" w:hint="default"/>
                <w:sz w:val="18"/>
                <w:szCs w:val="18"/>
              </w:rPr>
            </w:pPr>
            <w:r>
              <w:rPr>
                <w:rFonts w:ascii="宋体" w:hAnsi="宋体" w:cs="宋体" w:eastAsia="宋体" w:hint="default"/>
                <w:spacing w:val="7"/>
                <w:sz w:val="18"/>
                <w:szCs w:val="18"/>
              </w:rPr>
              <w:t>华路交汇处现代商务大厦</w:t>
            </w:r>
            <w:r>
              <w:rPr>
                <w:rFonts w:ascii="宋体" w:hAnsi="宋体" w:cs="宋体" w:eastAsia="宋体" w:hint="default"/>
                <w:sz w:val="18"/>
                <w:szCs w:val="18"/>
              </w:rPr>
              <w:t> </w:t>
            </w:r>
            <w:r>
              <w:rPr>
                <w:rFonts w:ascii="宋体" w:hAnsi="宋体" w:cs="宋体" w:eastAsia="宋体" w:hint="default"/>
                <w:sz w:val="18"/>
                <w:szCs w:val="18"/>
              </w:rPr>
              <w:t>3207</w:t>
            </w:r>
            <w:r>
              <w:rPr>
                <w:rFonts w:ascii="宋体" w:hAnsi="宋体" w:cs="宋体" w:eastAsia="宋体" w:hint="default"/>
                <w:sz w:val="18"/>
                <w:szCs w:val="18"/>
              </w:rPr>
              <w:t>、</w:t>
            </w:r>
            <w:r>
              <w:rPr>
                <w:rFonts w:ascii="宋体" w:hAnsi="宋体" w:cs="宋体" w:eastAsia="宋体" w:hint="default"/>
                <w:sz w:val="18"/>
                <w:szCs w:val="18"/>
              </w:rPr>
              <w:t>3208</w:t>
            </w:r>
            <w:r>
              <w:rPr>
                <w:rFonts w:ascii="宋体" w:hAnsi="宋体" w:cs="宋体" w:eastAsia="宋体" w:hint="default"/>
                <w:sz w:val="18"/>
                <w:szCs w:val="18"/>
              </w:rPr>
              <w:t>、</w:t>
            </w:r>
            <w:r>
              <w:rPr>
                <w:rFonts w:ascii="宋体" w:hAnsi="宋体" w:cs="宋体" w:eastAsia="宋体" w:hint="default"/>
                <w:sz w:val="18"/>
                <w:szCs w:val="18"/>
              </w:rPr>
              <w:t>3209</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29"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日至</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138,927.72</w:t>
            </w:r>
          </w:p>
        </w:tc>
      </w:tr>
      <w:tr>
        <w:trPr>
          <w:trHeight w:val="237" w:hRule="exact"/>
        </w:trPr>
        <w:tc>
          <w:tcPr>
            <w:tcW w:w="1654" w:type="dxa"/>
            <w:tcBorders>
              <w:top w:val="single" w:sz="4" w:space="0" w:color="000000"/>
              <w:left w:val="single" w:sz="4" w:space="0" w:color="000000"/>
              <w:bottom w:val="nil" w:sz="6" w:space="0" w:color="auto"/>
              <w:right w:val="single" w:sz="4" w:space="0" w:color="000000"/>
            </w:tcBorders>
          </w:tcPr>
          <w:p>
            <w:pPr/>
          </w:p>
        </w:tc>
        <w:tc>
          <w:tcPr>
            <w:tcW w:w="228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6"/>
                <w:sz w:val="18"/>
                <w:szCs w:val="18"/>
              </w:rPr>
              <w:t> </w:t>
            </w:r>
            <w:r>
              <w:rPr>
                <w:rFonts w:ascii="宋体" w:hAnsi="宋体" w:cs="宋体" w:eastAsia="宋体" w:hint="default"/>
                <w:sz w:val="18"/>
                <w:szCs w:val="18"/>
              </w:rPr>
              <w:t>6003</w:t>
            </w:r>
          </w:p>
        </w:tc>
        <w:tc>
          <w:tcPr>
            <w:tcW w:w="1714" w:type="dxa"/>
            <w:vMerge w:val="restart"/>
            <w:tcBorders>
              <w:top w:val="single" w:sz="4" w:space="0" w:color="000000"/>
              <w:left w:val="single" w:sz="4" w:space="0" w:color="000000"/>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
        </w:tc>
        <w:tc>
          <w:tcPr>
            <w:tcW w:w="2903" w:type="dxa"/>
            <w:tcBorders>
              <w:top w:val="single" w:sz="4" w:space="0" w:color="000000"/>
              <w:left w:val="single" w:sz="4" w:space="0" w:color="000000"/>
              <w:bottom w:val="nil" w:sz="6" w:space="0" w:color="auto"/>
              <w:right w:val="single" w:sz="4" w:space="0" w:color="000000"/>
            </w:tcBorders>
          </w:tcPr>
          <w:p>
            <w:pPr/>
          </w:p>
        </w:tc>
      </w:tr>
      <w:tr>
        <w:trPr>
          <w:trHeight w:val="468" w:hRule="exact"/>
        </w:trPr>
        <w:tc>
          <w:tcPr>
            <w:tcW w:w="165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pacing w:val="24"/>
                <w:sz w:val="18"/>
                <w:szCs w:val="18"/>
              </w:rPr>
              <w:t>江胜房地产开发</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（深圳）有限公司</w:t>
            </w:r>
          </w:p>
        </w:tc>
        <w:tc>
          <w:tcPr>
            <w:tcW w:w="228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号荣超商务中心</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层</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z w:val="18"/>
                <w:szCs w:val="18"/>
              </w:rPr>
              <w:t>、</w:t>
            </w:r>
            <w:r>
              <w:rPr>
                <w:rFonts w:ascii="宋体" w:hAnsi="宋体" w:cs="宋体" w:eastAsia="宋体" w:hint="default"/>
                <w:sz w:val="18"/>
                <w:szCs w:val="18"/>
              </w:rPr>
              <w:t>05</w:t>
            </w:r>
            <w:r>
              <w:rPr>
                <w:rFonts w:ascii="宋体" w:hAnsi="宋体" w:cs="宋体" w:eastAsia="宋体" w:hint="default"/>
                <w:sz w:val="18"/>
                <w:szCs w:val="18"/>
              </w:rPr>
              <w:t>、</w:t>
            </w:r>
            <w:r>
              <w:rPr>
                <w:rFonts w:ascii="宋体" w:hAnsi="宋体" w:cs="宋体" w:eastAsia="宋体" w:hint="default"/>
                <w:sz w:val="18"/>
                <w:szCs w:val="18"/>
              </w:rPr>
              <w:t>06</w:t>
            </w:r>
            <w:r>
              <w:rPr>
                <w:rFonts w:ascii="宋体" w:hAnsi="宋体" w:cs="宋体" w:eastAsia="宋体" w:hint="default"/>
                <w:sz w:val="18"/>
                <w:szCs w:val="18"/>
              </w:rPr>
              <w:t>、</w:t>
            </w:r>
            <w:r>
              <w:rPr>
                <w:rFonts w:ascii="宋体" w:hAnsi="宋体" w:cs="宋体" w:eastAsia="宋体" w:hint="default"/>
                <w:sz w:val="18"/>
                <w:szCs w:val="18"/>
              </w:rPr>
              <w:t>08</w:t>
            </w:r>
            <w:r>
              <w:rPr>
                <w:rFonts w:ascii="宋体" w:hAnsi="宋体" w:cs="宋体" w:eastAsia="宋体" w:hint="default"/>
                <w:sz w:val="18"/>
                <w:szCs w:val="18"/>
              </w:rPr>
              <w:t>、</w:t>
            </w:r>
            <w:r>
              <w:rPr>
                <w:rFonts w:ascii="宋体" w:hAnsi="宋体" w:cs="宋体" w:eastAsia="宋体" w:hint="default"/>
                <w:sz w:val="18"/>
                <w:szCs w:val="18"/>
              </w:rPr>
              <w:t>09</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p>
        </w:tc>
        <w:tc>
          <w:tcPr>
            <w:tcW w:w="1714"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2016</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90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315,187.00</w:t>
            </w:r>
            <w:r>
              <w:rPr>
                <w:rFonts w:ascii="宋体"/>
                <w:sz w:val="18"/>
              </w:rPr>
            </w:r>
          </w:p>
        </w:tc>
      </w:tr>
      <w:tr>
        <w:trPr>
          <w:trHeight w:val="239" w:hRule="exact"/>
        </w:trPr>
        <w:tc>
          <w:tcPr>
            <w:tcW w:w="1654" w:type="dxa"/>
            <w:tcBorders>
              <w:top w:val="nil" w:sz="6" w:space="0" w:color="auto"/>
              <w:left w:val="single" w:sz="4" w:space="0" w:color="000000"/>
              <w:bottom w:val="single" w:sz="4" w:space="0" w:color="000000"/>
              <w:right w:val="single" w:sz="4" w:space="0" w:color="000000"/>
            </w:tcBorders>
          </w:tcPr>
          <w:p>
            <w:pPr/>
          </w:p>
        </w:tc>
        <w:tc>
          <w:tcPr>
            <w:tcW w:w="22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单元</w:t>
            </w:r>
          </w:p>
        </w:tc>
        <w:tc>
          <w:tcPr>
            <w:tcW w:w="1714"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
        </w:tc>
        <w:tc>
          <w:tcPr>
            <w:tcW w:w="2903" w:type="dxa"/>
            <w:tcBorders>
              <w:top w:val="nil" w:sz="6" w:space="0" w:color="auto"/>
              <w:left w:val="single" w:sz="4" w:space="0" w:color="000000"/>
              <w:bottom w:val="single" w:sz="4" w:space="0" w:color="000000"/>
              <w:right w:val="single" w:sz="4" w:space="0" w:color="000000"/>
            </w:tcBorders>
          </w:tcPr>
          <w:p>
            <w:pPr/>
          </w:p>
        </w:tc>
      </w:tr>
      <w:tr>
        <w:trPr>
          <w:trHeight w:val="5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105" w:right="75"/>
              <w:jc w:val="left"/>
              <w:rPr>
                <w:rFonts w:ascii="宋体" w:hAnsi="宋体" w:cs="宋体" w:eastAsia="宋体" w:hint="default"/>
                <w:sz w:val="18"/>
                <w:szCs w:val="18"/>
              </w:rPr>
            </w:pPr>
            <w:r>
              <w:rPr>
                <w:rFonts w:ascii="宋体" w:hAnsi="宋体" w:cs="宋体" w:eastAsia="宋体" w:hint="default"/>
                <w:spacing w:val="24"/>
                <w:sz w:val="18"/>
                <w:szCs w:val="18"/>
              </w:rPr>
              <w:t>四川省石棉县物</w:t>
            </w:r>
            <w:r>
              <w:rPr>
                <w:rFonts w:ascii="宋体" w:hAnsi="宋体" w:cs="宋体" w:eastAsia="宋体" w:hint="default"/>
                <w:spacing w:val="-62"/>
                <w:sz w:val="18"/>
                <w:szCs w:val="18"/>
              </w:rPr>
              <w:t> </w:t>
            </w:r>
            <w:r>
              <w:rPr>
                <w:rFonts w:ascii="宋体" w:hAnsi="宋体" w:cs="宋体" w:eastAsia="宋体" w:hint="default"/>
                <w:sz w:val="18"/>
                <w:szCs w:val="18"/>
              </w:rPr>
              <w:t>资有限公司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7"/>
              <w:ind w:left="103" w:right="98"/>
              <w:jc w:val="left"/>
              <w:rPr>
                <w:rFonts w:ascii="宋体" w:hAnsi="宋体" w:cs="宋体" w:eastAsia="宋体" w:hint="default"/>
                <w:sz w:val="18"/>
                <w:szCs w:val="18"/>
              </w:rPr>
            </w:pPr>
            <w:r>
              <w:rPr>
                <w:rFonts w:ascii="宋体" w:hAnsi="宋体" w:cs="宋体" w:eastAsia="宋体" w:hint="default"/>
                <w:sz w:val="18"/>
                <w:szCs w:val="18"/>
              </w:rPr>
              <w:t>成都锦江区东大街 </w:t>
            </w:r>
            <w:r>
              <w:rPr>
                <w:rFonts w:ascii="宋体" w:hAnsi="宋体" w:cs="宋体" w:eastAsia="宋体" w:hint="default"/>
                <w:sz w:val="18"/>
                <w:szCs w:val="18"/>
              </w:rPr>
              <w:t>216</w:t>
            </w:r>
            <w:r>
              <w:rPr>
                <w:rFonts w:ascii="宋体" w:hAnsi="宋体" w:cs="宋体" w:eastAsia="宋体" w:hint="default"/>
                <w:spacing w:val="-5"/>
                <w:sz w:val="18"/>
                <w:szCs w:val="18"/>
              </w:rPr>
              <w:t> </w:t>
            </w:r>
            <w:r>
              <w:rPr>
                <w:rFonts w:ascii="宋体" w:hAnsi="宋体" w:cs="宋体" w:eastAsia="宋体" w:hint="default"/>
                <w:sz w:val="18"/>
                <w:szCs w:val="18"/>
              </w:rPr>
              <w:t>号 喜年</w:t>
            </w:r>
            <w:r>
              <w:rPr>
                <w:rFonts w:ascii="宋体" w:hAnsi="宋体" w:cs="宋体" w:eastAsia="宋体" w:hint="default"/>
                <w:spacing w:val="-45"/>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年栋</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left="17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149,137.19</w:t>
            </w:r>
          </w:p>
        </w:tc>
      </w:tr>
      <w:tr>
        <w:trPr>
          <w:trHeight w:val="710"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75"/>
              <w:jc w:val="left"/>
              <w:rPr>
                <w:rFonts w:ascii="宋体" w:hAnsi="宋体" w:cs="宋体" w:eastAsia="宋体" w:hint="default"/>
                <w:sz w:val="18"/>
                <w:szCs w:val="18"/>
              </w:rPr>
            </w:pPr>
            <w:r>
              <w:rPr>
                <w:rFonts w:ascii="宋体" w:hAnsi="宋体" w:cs="宋体" w:eastAsia="宋体" w:hint="default"/>
                <w:spacing w:val="24"/>
                <w:sz w:val="18"/>
                <w:szCs w:val="18"/>
              </w:rPr>
              <w:t>武汉聚腾钢铁贸</w:t>
            </w:r>
            <w:r>
              <w:rPr>
                <w:rFonts w:ascii="宋体" w:hAnsi="宋体" w:cs="宋体" w:eastAsia="宋体" w:hint="default"/>
                <w:spacing w:val="-62"/>
                <w:sz w:val="18"/>
                <w:szCs w:val="18"/>
              </w:rPr>
              <w:t> </w:t>
            </w:r>
            <w:r>
              <w:rPr>
                <w:rFonts w:ascii="宋体" w:hAnsi="宋体" w:cs="宋体" w:eastAsia="宋体" w:hint="default"/>
                <w:sz w:val="18"/>
                <w:szCs w:val="18"/>
              </w:rPr>
              <w:t>易有限公司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武汉市江汉区青年路</w:t>
            </w:r>
            <w:r>
              <w:rPr>
                <w:rFonts w:ascii="宋体" w:hAnsi="宋体" w:cs="宋体" w:eastAsia="宋体" w:hint="default"/>
                <w:spacing w:val="7"/>
                <w:sz w:val="18"/>
                <w:szCs w:val="18"/>
              </w:rPr>
              <w:t> </w:t>
            </w:r>
            <w:r>
              <w:rPr>
                <w:rFonts w:ascii="宋体" w:hAnsi="宋体" w:cs="宋体" w:eastAsia="宋体" w:hint="default"/>
                <w:sz w:val="18"/>
                <w:szCs w:val="18"/>
              </w:rPr>
              <w:t>378</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号万国花园 </w:t>
            </w:r>
            <w:r>
              <w:rPr>
                <w:rFonts w:ascii="宋体" w:hAnsi="宋体" w:cs="宋体" w:eastAsia="宋体" w:hint="default"/>
                <w:sz w:val="18"/>
                <w:szCs w:val="18"/>
              </w:rPr>
              <w:t>6-7</w:t>
            </w:r>
            <w:r>
              <w:rPr>
                <w:rFonts w:ascii="宋体" w:hAnsi="宋体" w:cs="宋体" w:eastAsia="宋体" w:hint="default"/>
                <w:spacing w:val="-6"/>
                <w:sz w:val="18"/>
                <w:szCs w:val="18"/>
              </w:rPr>
              <w:t> </w:t>
            </w:r>
            <w:r>
              <w:rPr>
                <w:rFonts w:ascii="宋体" w:hAnsi="宋体" w:cs="宋体" w:eastAsia="宋体" w:hint="default"/>
                <w:sz w:val="18"/>
                <w:szCs w:val="18"/>
              </w:rPr>
              <w:t>栋二层一 室</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2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日至</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101,593.95</w:t>
            </w:r>
          </w:p>
        </w:tc>
      </w:tr>
      <w:tr>
        <w:trPr>
          <w:trHeight w:val="581"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 w:right="75"/>
              <w:jc w:val="left"/>
              <w:rPr>
                <w:rFonts w:ascii="宋体" w:hAnsi="宋体" w:cs="宋体" w:eastAsia="宋体" w:hint="default"/>
                <w:sz w:val="18"/>
                <w:szCs w:val="18"/>
              </w:rPr>
            </w:pPr>
            <w:r>
              <w:rPr>
                <w:rFonts w:ascii="宋体" w:hAnsi="宋体" w:cs="宋体" w:eastAsia="宋体" w:hint="default"/>
                <w:spacing w:val="24"/>
                <w:sz w:val="18"/>
                <w:szCs w:val="18"/>
              </w:rPr>
              <w:t>郑州宇通集团有</w:t>
            </w:r>
            <w:r>
              <w:rPr>
                <w:rFonts w:ascii="宋体" w:hAnsi="宋体" w:cs="宋体" w:eastAsia="宋体" w:hint="default"/>
                <w:spacing w:val="-62"/>
                <w:sz w:val="18"/>
                <w:szCs w:val="18"/>
              </w:rPr>
              <w:t> </w:t>
            </w:r>
            <w:r>
              <w:rPr>
                <w:rFonts w:ascii="宋体" w:hAnsi="宋体" w:cs="宋体" w:eastAsia="宋体" w:hint="default"/>
                <w:sz w:val="18"/>
                <w:szCs w:val="18"/>
              </w:rPr>
              <w:t>限公司</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0"/>
              <w:ind w:left="103" w:right="0"/>
              <w:jc w:val="left"/>
              <w:rPr>
                <w:rFonts w:ascii="宋体" w:hAnsi="宋体" w:cs="宋体" w:eastAsia="宋体" w:hint="default"/>
                <w:sz w:val="18"/>
                <w:szCs w:val="18"/>
              </w:rPr>
            </w:pPr>
            <w:r>
              <w:rPr>
                <w:rFonts w:ascii="宋体" w:hAnsi="宋体" w:cs="宋体" w:eastAsia="宋体" w:hint="default"/>
                <w:sz w:val="18"/>
                <w:szCs w:val="18"/>
              </w:rPr>
              <w:t>郑州市金水区花园路</w:t>
            </w:r>
            <w:r>
              <w:rPr>
                <w:rFonts w:ascii="宋体" w:hAnsi="宋体" w:cs="宋体" w:eastAsia="宋体" w:hint="default"/>
                <w:spacing w:val="-48"/>
                <w:sz w:val="18"/>
                <w:szCs w:val="18"/>
              </w:rPr>
              <w:t> </w:t>
            </w:r>
            <w:r>
              <w:rPr>
                <w:rFonts w:ascii="宋体" w:hAnsi="宋体" w:cs="宋体" w:eastAsia="宋体" w:hint="default"/>
                <w:sz w:val="18"/>
                <w:szCs w:val="18"/>
              </w:rPr>
              <w:t>39</w:t>
            </w:r>
            <w:r>
              <w:rPr>
                <w:rFonts w:ascii="宋体" w:hAnsi="宋体" w:cs="宋体" w:eastAsia="宋体" w:hint="default"/>
                <w:spacing w:val="-47"/>
                <w:sz w:val="18"/>
                <w:szCs w:val="18"/>
              </w:rPr>
              <w:t> </w:t>
            </w:r>
            <w:r>
              <w:rPr>
                <w:rFonts w:ascii="宋体" w:hAnsi="宋体" w:cs="宋体" w:eastAsia="宋体" w:hint="default"/>
                <w:sz w:val="18"/>
                <w:szCs w:val="18"/>
              </w:rPr>
              <w:t>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招银大厦</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0"/>
              <w:ind w:left="17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90,614.48</w:t>
            </w:r>
          </w:p>
        </w:tc>
      </w:tr>
    </w:tbl>
    <w:p>
      <w:pPr>
        <w:spacing w:line="240" w:lineRule="auto" w:before="2"/>
        <w:rPr>
          <w:rFonts w:ascii="宋体" w:hAnsi="宋体" w:cs="宋体" w:eastAsia="宋体" w:hint="default"/>
          <w:sz w:val="24"/>
          <w:szCs w:val="24"/>
        </w:rPr>
      </w:pPr>
    </w:p>
    <w:p>
      <w:pPr>
        <w:spacing w:before="44"/>
        <w:ind w:left="49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after="0"/>
        <w:jc w:val="left"/>
        <w:rPr>
          <w:rFonts w:ascii="宋体" w:hAnsi="宋体" w:cs="宋体" w:eastAsia="宋体" w:hint="default"/>
          <w:sz w:val="18"/>
          <w:szCs w:val="18"/>
        </w:rPr>
        <w:sectPr>
          <w:pgSz w:w="11910" w:h="16840"/>
          <w:pgMar w:header="852" w:footer="979" w:top="1300" w:bottom="1160" w:left="640" w:right="640"/>
        </w:sectPr>
      </w:pPr>
    </w:p>
    <w:p>
      <w:pPr>
        <w:spacing w:before="12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before="10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61"/>
        <w:gridCol w:w="910"/>
        <w:gridCol w:w="928"/>
        <w:gridCol w:w="1392"/>
        <w:gridCol w:w="154"/>
        <w:gridCol w:w="903"/>
        <w:gridCol w:w="1035"/>
        <w:gridCol w:w="190"/>
        <w:gridCol w:w="863"/>
        <w:gridCol w:w="791"/>
        <w:gridCol w:w="783"/>
      </w:tblGrid>
      <w:tr>
        <w:trPr>
          <w:trHeight w:val="402"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7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5"/>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8" w:right="45" w:hanging="269"/>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8" w:right="82"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8" w:right="45" w:hanging="269"/>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8" w:right="82"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0"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上海天天基金销售 有限公司</w:t>
            </w:r>
          </w:p>
        </w:tc>
        <w:tc>
          <w:tcPr>
            <w:tcW w:w="1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200,000</w:t>
            </w:r>
          </w:p>
        </w:tc>
        <w:tc>
          <w:tcPr>
            <w:tcW w:w="1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200,000</w:t>
            </w:r>
          </w:p>
        </w:tc>
        <w:tc>
          <w:tcPr>
            <w:tcW w:w="1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73"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200,000</w:t>
            </w:r>
          </w:p>
        </w:tc>
        <w:tc>
          <w:tcPr>
            <w:tcW w:w="2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3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720" w:hRule="exact"/>
        </w:trPr>
        <w:tc>
          <w:tcPr>
            <w:tcW w:w="26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73"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200,000</w:t>
            </w:r>
          </w:p>
        </w:tc>
        <w:tc>
          <w:tcPr>
            <w:tcW w:w="2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3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397"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21" w:type="dxa"/>
            <w:gridSpan w:val="2"/>
            <w:vMerge w:val="restart"/>
            <w:tcBorders>
              <w:top w:val="single" w:sz="4" w:space="0" w:color="000000"/>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1"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3" w:type="dxa"/>
            <w:gridSpan w:val="2"/>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4" w:right="22" w:hanging="226"/>
              <w:jc w:val="left"/>
              <w:rPr>
                <w:rFonts w:ascii="宋体" w:hAnsi="宋体" w:cs="宋体" w:eastAsia="宋体" w:hint="default"/>
                <w:sz w:val="18"/>
                <w:szCs w:val="18"/>
              </w:rPr>
            </w:pPr>
            <w:r>
              <w:rPr>
                <w:rFonts w:ascii="宋体" w:hAnsi="宋体" w:cs="宋体" w:eastAsia="宋体" w:hint="default"/>
                <w:spacing w:val="-12"/>
                <w:sz w:val="18"/>
                <w:szCs w:val="18"/>
              </w:rPr>
              <w:t>实际发生日期（协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议签署日）</w:t>
            </w:r>
          </w:p>
        </w:tc>
        <w:tc>
          <w:tcPr>
            <w:tcW w:w="10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7"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3" w:type="dxa"/>
            <w:gridSpan w:val="2"/>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0"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92" w:type="dxa"/>
            <w:vMerge/>
            <w:tcBorders>
              <w:left w:val="single" w:sz="4" w:space="0" w:color="000000"/>
              <w:right w:val="single" w:sz="4" w:space="0" w:color="000000"/>
            </w:tcBorders>
            <w:shd w:val="clear" w:color="auto" w:fill="D2D2D2"/>
          </w:tcPr>
          <w:p>
            <w:pPr/>
          </w:p>
        </w:tc>
        <w:tc>
          <w:tcPr>
            <w:tcW w:w="1057" w:type="dxa"/>
            <w:gridSpan w:val="2"/>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21" w:type="dxa"/>
            <w:gridSpan w:val="2"/>
            <w:vMerge w:val="restart"/>
            <w:tcBorders>
              <w:top w:val="nil" w:sz="6" w:space="0" w:color="auto"/>
              <w:left w:val="single" w:sz="4" w:space="0" w:color="000000"/>
              <w:right w:val="single" w:sz="4" w:space="0" w:color="000000"/>
            </w:tcBorders>
            <w:shd w:val="clear" w:color="auto" w:fill="D2D2D2"/>
          </w:tcPr>
          <w:p>
            <w:pPr/>
          </w:p>
        </w:tc>
        <w:tc>
          <w:tcPr>
            <w:tcW w:w="910"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92" w:type="dxa"/>
            <w:vMerge/>
            <w:tcBorders>
              <w:left w:val="single" w:sz="4" w:space="0" w:color="000000"/>
              <w:bottom w:val="nil" w:sz="6" w:space="0" w:color="auto"/>
              <w:right w:val="single" w:sz="4" w:space="0" w:color="000000"/>
            </w:tcBorders>
            <w:shd w:val="clear" w:color="auto" w:fill="D2D2D2"/>
          </w:tcPr>
          <w:p>
            <w:pPr/>
          </w:p>
        </w:tc>
        <w:tc>
          <w:tcPr>
            <w:tcW w:w="1057" w:type="dxa"/>
            <w:gridSpan w:val="2"/>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3" w:type="dxa"/>
            <w:gridSpan w:val="2"/>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3" w:type="dxa"/>
            <w:gridSpan w:val="2"/>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6" w:hRule="exact"/>
        </w:trPr>
        <w:tc>
          <w:tcPr>
            <w:tcW w:w="26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3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200,000</w:t>
            </w:r>
          </w:p>
        </w:tc>
        <w:tc>
          <w:tcPr>
            <w:tcW w:w="2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714" w:hRule="exact"/>
        </w:trPr>
        <w:tc>
          <w:tcPr>
            <w:tcW w:w="26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3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200,000</w:t>
            </w:r>
          </w:p>
        </w:tc>
        <w:tc>
          <w:tcPr>
            <w:tcW w:w="2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6"/>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4"/>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7" w:hRule="exact"/>
        </w:trPr>
        <w:tc>
          <w:tcPr>
            <w:tcW w:w="49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24.48%</w:t>
            </w:r>
          </w:p>
        </w:tc>
      </w:tr>
      <w:tr>
        <w:trPr>
          <w:trHeight w:val="391" w:hRule="exact"/>
        </w:trPr>
        <w:tc>
          <w:tcPr>
            <w:tcW w:w="96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9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9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402" w:hRule="exact"/>
        </w:trPr>
        <w:tc>
          <w:tcPr>
            <w:tcW w:w="49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949"/>
        <w:gridCol w:w="4719"/>
      </w:tblGrid>
      <w:tr>
        <w:trPr>
          <w:trHeight w:val="402" w:hRule="exact"/>
        </w:trPr>
        <w:tc>
          <w:tcPr>
            <w:tcW w:w="4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714" w:hRule="exact"/>
        </w:trPr>
        <w:tc>
          <w:tcPr>
            <w:tcW w:w="4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54"/>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 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95" w:lineRule="auto"/>
        <w:ind w:right="0"/>
        <w:jc w:val="left"/>
      </w:pPr>
      <w:r>
        <w:rPr>
          <w:rFonts w:ascii="Times New Roman" w:hAnsi="Times New Roman" w:cs="Times New Roman" w:eastAsia="Times New Roman" w:hint="default"/>
          <w:sz w:val="18"/>
          <w:szCs w:val="18"/>
        </w:rPr>
        <w:t>√</w:t>
      </w:r>
      <w:r>
        <w:rPr>
          <w:sz w:val="18"/>
          <w:szCs w:val="18"/>
        </w:rPr>
        <w:t>适用</w:t>
      </w:r>
      <w:r>
        <w:rPr>
          <w:spacing w:val="1"/>
          <w:sz w:val="18"/>
          <w:szCs w:val="18"/>
        </w:rPr>
        <w:t> </w:t>
      </w:r>
      <w:r>
        <w:rPr>
          <w:rFonts w:ascii="Times New Roman" w:hAnsi="Times New Roman" w:cs="Times New Roman" w:eastAsia="Times New Roman" w:hint="default"/>
          <w:sz w:val="18"/>
          <w:szCs w:val="18"/>
        </w:rPr>
        <w:t>□</w:t>
      </w:r>
      <w:r>
        <w:rPr>
          <w:sz w:val="18"/>
          <w:szCs w:val="18"/>
        </w:rPr>
        <w:t>不适用 </w:t>
      </w:r>
      <w:r>
        <w:rPr>
          <w:spacing w:val="-2"/>
        </w:rPr>
        <w:t>经中国证券监督管理委员会《关于核准东方财富信息股份有限公司向郑州宇通集团有限公司等发行股份购</w:t>
      </w:r>
      <w:r>
        <w:rPr>
          <w:spacing w:val="-43"/>
        </w:rPr>
        <w:t> </w:t>
      </w:r>
      <w:r>
        <w:rPr>
          <w:spacing w:val="-43"/>
        </w:rPr>
      </w:r>
      <w:r>
        <w:rPr>
          <w:spacing w:val="-3"/>
        </w:rPr>
        <w:t>买资产并募集配套资金的批复》（证监许可</w:t>
      </w:r>
      <w:r>
        <w:rPr>
          <w:rFonts w:ascii="Times New Roman" w:hAnsi="Times New Roman" w:cs="Times New Roman" w:eastAsia="Times New Roman" w:hint="default"/>
          <w:spacing w:val="-3"/>
        </w:rPr>
        <w:t>[2015]2810</w:t>
      </w:r>
      <w:r>
        <w:rPr>
          <w:rFonts w:ascii="Times New Roman" w:hAnsi="Times New Roman" w:cs="Times New Roman" w:eastAsia="Times New Roman" w:hint="default"/>
          <w:spacing w:val="-5"/>
        </w:rPr>
        <w:t> </w:t>
      </w:r>
      <w:r>
        <w:rPr>
          <w:spacing w:val="-8"/>
        </w:rPr>
        <w:t>号）核准，公司于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日完成了发行股</w:t>
      </w:r>
    </w:p>
    <w:p>
      <w:pPr>
        <w:pStyle w:val="BodyText"/>
        <w:spacing w:line="259" w:lineRule="exact"/>
        <w:ind w:right="0"/>
        <w:jc w:val="left"/>
        <w:rPr>
          <w:rFonts w:ascii="Times New Roman" w:hAnsi="Times New Roman" w:cs="Times New Roman" w:eastAsia="Times New Roman" w:hint="default"/>
        </w:rPr>
      </w:pPr>
      <w:r>
        <w:rPr>
          <w:w w:val="100"/>
        </w:rPr>
        <w:t>份购</w:t>
      </w:r>
      <w:r>
        <w:rPr>
          <w:spacing w:val="-3"/>
          <w:w w:val="100"/>
        </w:rPr>
        <w:t>买</w:t>
      </w:r>
      <w:r>
        <w:rPr>
          <w:w w:val="100"/>
        </w:rPr>
        <w:t>同</w:t>
      </w:r>
      <w:r>
        <w:rPr>
          <w:spacing w:val="-3"/>
          <w:w w:val="100"/>
        </w:rPr>
        <w:t>信证</w:t>
      </w:r>
      <w:r>
        <w:rPr>
          <w:w w:val="100"/>
        </w:rPr>
        <w:t>券</w:t>
      </w:r>
      <w:r>
        <w:rPr>
          <w:spacing w:val="-53"/>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4"/>
          <w:w w:val="100"/>
        </w:rPr>
        <w:t>%</w:t>
      </w:r>
      <w:r>
        <w:rPr>
          <w:w w:val="100"/>
        </w:rPr>
        <w:t>股</w:t>
      </w:r>
      <w:r>
        <w:rPr>
          <w:spacing w:val="-3"/>
          <w:w w:val="100"/>
        </w:rPr>
        <w:t>权</w:t>
      </w:r>
      <w:r>
        <w:rPr>
          <w:w w:val="100"/>
        </w:rPr>
        <w:t>相关</w:t>
      </w:r>
      <w:r>
        <w:rPr>
          <w:spacing w:val="-3"/>
          <w:w w:val="100"/>
        </w:rPr>
        <w:t>事</w:t>
      </w:r>
      <w:r>
        <w:rPr>
          <w:w w:val="100"/>
        </w:rPr>
        <w:t>项</w:t>
      </w:r>
      <w:r>
        <w:rPr>
          <w:spacing w:val="-87"/>
          <w:w w:val="100"/>
        </w:rPr>
        <w:t>，</w:t>
      </w:r>
      <w:r>
        <w:rPr>
          <w:w w:val="100"/>
        </w:rPr>
        <w:t>截</w:t>
      </w:r>
      <w:r>
        <w:rPr>
          <w:spacing w:val="-3"/>
          <w:w w:val="100"/>
        </w:rPr>
        <w:t>至</w:t>
      </w:r>
      <w:r>
        <w:rPr>
          <w:w w:val="100"/>
        </w:rPr>
        <w:t>本</w:t>
      </w:r>
      <w:r>
        <w:rPr>
          <w:spacing w:val="-3"/>
          <w:w w:val="100"/>
        </w:rPr>
        <w:t>报</w:t>
      </w:r>
      <w:r>
        <w:rPr>
          <w:w w:val="100"/>
        </w:rPr>
        <w:t>告</w:t>
      </w:r>
      <w:r>
        <w:rPr>
          <w:spacing w:val="-3"/>
          <w:w w:val="100"/>
        </w:rPr>
        <w:t>披露</w:t>
      </w:r>
      <w:r>
        <w:rPr>
          <w:w w:val="100"/>
        </w:rPr>
        <w:t>之日</w:t>
      </w:r>
      <w:r>
        <w:rPr>
          <w:spacing w:val="-86"/>
          <w:w w:val="100"/>
        </w:rPr>
        <w:t>，</w:t>
      </w:r>
      <w:r>
        <w:rPr>
          <w:w w:val="100"/>
        </w:rPr>
        <w:t>非</w:t>
      </w:r>
      <w:r>
        <w:rPr>
          <w:spacing w:val="-3"/>
          <w:w w:val="100"/>
        </w:rPr>
        <w:t>公</w:t>
      </w:r>
      <w:r>
        <w:rPr>
          <w:w w:val="100"/>
        </w:rPr>
        <w:t>开</w:t>
      </w:r>
      <w:r>
        <w:rPr>
          <w:spacing w:val="-3"/>
          <w:w w:val="100"/>
        </w:rPr>
        <w:t>发</w:t>
      </w:r>
      <w:r>
        <w:rPr>
          <w:w w:val="100"/>
        </w:rPr>
        <w:t>行</w:t>
      </w:r>
      <w:r>
        <w:rPr>
          <w:spacing w:val="-3"/>
          <w:w w:val="100"/>
        </w:rPr>
        <w:t>股</w:t>
      </w:r>
      <w:r>
        <w:rPr>
          <w:w w:val="100"/>
        </w:rPr>
        <w:t>份</w:t>
      </w:r>
      <w:r>
        <w:rPr>
          <w:spacing w:val="-3"/>
          <w:w w:val="100"/>
        </w:rPr>
        <w:t>募集</w:t>
      </w:r>
      <w:r>
        <w:rPr>
          <w:w w:val="100"/>
        </w:rPr>
        <w:t>配套</w:t>
      </w:r>
      <w:r>
        <w:rPr>
          <w:spacing w:val="-3"/>
          <w:w w:val="100"/>
        </w:rPr>
        <w:t>资</w:t>
      </w:r>
      <w:r>
        <w:rPr>
          <w:spacing w:val="-84"/>
          <w:w w:val="100"/>
        </w:rPr>
        <w:t>金</w:t>
      </w:r>
      <w:r>
        <w:rPr>
          <w:spacing w:val="-3"/>
          <w:w w:val="100"/>
        </w:rPr>
        <w:t>（</w:t>
      </w:r>
      <w:r>
        <w:rPr>
          <w:w w:val="100"/>
        </w:rPr>
        <w:t>不</w:t>
      </w:r>
      <w:r>
        <w:rPr>
          <w:spacing w:val="-3"/>
          <w:w w:val="100"/>
        </w:rPr>
        <w:t>超</w:t>
      </w:r>
      <w:r>
        <w:rPr>
          <w:w w:val="100"/>
        </w:rPr>
        <w:t>过</w:t>
      </w:r>
      <w:r>
        <w:rPr>
          <w:spacing w:val="-53"/>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p>
    <w:p>
      <w:pPr>
        <w:pStyle w:val="BodyText"/>
        <w:spacing w:line="240" w:lineRule="auto" w:before="22"/>
        <w:ind w:right="0"/>
        <w:jc w:val="left"/>
      </w:pPr>
      <w:r>
        <w:rPr/>
        <w:t>万元）相关事项尚未完成。</w:t>
      </w:r>
    </w:p>
    <w:p>
      <w:pPr>
        <w:spacing w:line="240" w:lineRule="auto" w:before="11"/>
        <w:rPr>
          <w:rFonts w:ascii="宋体" w:hAnsi="宋体" w:cs="宋体" w:eastAsia="宋体" w:hint="default"/>
          <w:sz w:val="23"/>
          <w:szCs w:val="23"/>
        </w:rPr>
      </w:pPr>
    </w:p>
    <w:p>
      <w:pPr>
        <w:pStyle w:val="Heading4"/>
        <w:spacing w:line="240" w:lineRule="auto"/>
        <w:ind w:right="0"/>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6"/>
        <w:ind w:right="0"/>
        <w:jc w:val="left"/>
        <w:rPr>
          <w:b w:val="0"/>
          <w:bCs w:val="0"/>
        </w:rPr>
      </w:pPr>
      <w:r>
        <w:rPr/>
        <w:t>二十、公司债券相关情况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144"/>
        <w:gridCol w:w="710"/>
        <w:gridCol w:w="991"/>
        <w:gridCol w:w="982"/>
        <w:gridCol w:w="1003"/>
        <w:gridCol w:w="283"/>
        <w:gridCol w:w="994"/>
        <w:gridCol w:w="1133"/>
        <w:gridCol w:w="737"/>
      </w:tblGrid>
      <w:tr>
        <w:trPr>
          <w:trHeight w:val="403"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283"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14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14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290,846,337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24.04%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155,451,868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58,169,267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58,169,268</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271,790,403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562,636,740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30.35%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4" w:type="dxa"/>
            <w:tcBorders>
              <w:top w:val="single" w:sz="4" w:space="0" w:color="000000"/>
              <w:left w:val="single" w:sz="12"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46,315,772</w:t>
            </w:r>
          </w:p>
        </w:tc>
        <w:tc>
          <w:tcPr>
            <w:tcW w:w="9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46,315,772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46,315,772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290,846,337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24.04%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109,136,096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58,169,267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58,169,268</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225,474,631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516,320,968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4" w:space="0" w:color="000000"/>
              <w:left w:val="single" w:sz="12" w:space="0" w:color="D2D2D2"/>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108,070,136</w:t>
            </w:r>
          </w:p>
        </w:tc>
        <w:tc>
          <w:tcPr>
            <w:tcW w:w="98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108,070,136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108,070,136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290,846,337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24.04%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1,065,960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58,169,267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center"/>
              <w:rPr>
                <w:rFonts w:ascii="Times New Roman" w:hAnsi="Times New Roman" w:cs="Times New Roman" w:eastAsia="Times New Roman" w:hint="default"/>
                <w:sz w:val="18"/>
                <w:szCs w:val="18"/>
              </w:rPr>
            </w:pPr>
            <w:r>
              <w:rPr>
                <w:rFonts w:ascii="Times New Roman"/>
                <w:sz w:val="18"/>
              </w:rPr>
              <w:t>58,169,268</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117,404,495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408,250,832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22.02%</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918,753,663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75.96%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5,000,184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183,750,733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183,750,732</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372,501,649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1,291,255,312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69.65%</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918,753,663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75.96%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5,000,184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183,750,733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183,750,732</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372,501,649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1,291,255,312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69.65%</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1,209,600,000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160,452,052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241,920,000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241,920,000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644,292,052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1,853,892,052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0"/>
        <w:ind w:right="0" w:firstLine="420"/>
        <w:jc w:val="left"/>
      </w:pPr>
      <w:r>
        <w:rPr>
          <w:rFonts w:ascii="Times New Roman" w:hAnsi="Times New Roman" w:cs="Times New Roman" w:eastAsia="Times New Roman" w:hint="default"/>
          <w:spacing w:val="-2"/>
        </w:rPr>
        <w:t>1</w:t>
      </w:r>
      <w:r>
        <w:rPr>
          <w:spacing w:val="-2"/>
        </w:rPr>
        <w:t>、报告期内，公司实施了</w:t>
      </w:r>
      <w:r>
        <w:rPr>
          <w:rFonts w:ascii="Times New Roman" w:hAnsi="Times New Roman" w:cs="Times New Roman" w:eastAsia="Times New Roman" w:hint="default"/>
          <w:spacing w:val="-2"/>
        </w:rPr>
        <w:t>2014</w:t>
      </w:r>
      <w:r>
        <w:rPr>
          <w:spacing w:val="-2"/>
        </w:rPr>
        <w:t>年度权益分派，以总股本</w:t>
      </w:r>
      <w:r>
        <w:rPr>
          <w:rFonts w:ascii="Times New Roman" w:hAnsi="Times New Roman" w:cs="Times New Roman" w:eastAsia="Times New Roman" w:hint="default"/>
          <w:spacing w:val="-2"/>
        </w:rPr>
        <w:t>120,960</w:t>
      </w:r>
      <w:r>
        <w:rPr>
          <w:spacing w:val="-2"/>
        </w:rPr>
        <w:t>万股为基数，用资本公积金向全体股</w:t>
      </w:r>
      <w:r>
        <w:rPr>
          <w:w w:val="100"/>
        </w:rPr>
        <w:t> </w:t>
      </w:r>
      <w:r>
        <w:rPr/>
        <w:t>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股（含税），转送股后总股本增至</w:t>
      </w:r>
      <w:r>
        <w:rPr>
          <w:rFonts w:ascii="Times New Roman" w:hAnsi="Times New Roman" w:cs="Times New Roman" w:eastAsia="Times New Roman" w:hint="default"/>
        </w:rPr>
        <w:t>169,344</w:t>
      </w:r>
      <w:r>
        <w:rPr/>
        <w:t>万股。</w:t>
      </w:r>
    </w:p>
    <w:p>
      <w:pPr>
        <w:pStyle w:val="BodyText"/>
        <w:spacing w:line="256" w:lineRule="auto" w:before="5"/>
        <w:ind w:right="0" w:firstLine="420"/>
        <w:jc w:val="left"/>
      </w:pPr>
      <w:r>
        <w:rPr>
          <w:rFonts w:ascii="Times New Roman" w:hAnsi="Times New Roman" w:cs="Times New Roman" w:eastAsia="Times New Roman" w:hint="default"/>
          <w:spacing w:val="-2"/>
        </w:rPr>
        <w:t>2</w:t>
      </w:r>
      <w:r>
        <w:rPr>
          <w:spacing w:val="-2"/>
        </w:rPr>
        <w:t>、报告期内，公司首期股票期权激励计划首次授予股票期权第四个行权期行权条件成就，公司办理</w:t>
      </w:r>
      <w:r>
        <w:rPr>
          <w:w w:val="100"/>
        </w:rPr>
        <w:t> </w:t>
      </w:r>
      <w:r>
        <w:rPr/>
        <w:t>了相关行权登记等手续，公司向</w:t>
      </w:r>
      <w:r>
        <w:rPr>
          <w:rFonts w:ascii="Times New Roman" w:hAnsi="Times New Roman" w:cs="Times New Roman" w:eastAsia="Times New Roman" w:hint="default"/>
        </w:rPr>
        <w:t>77</w:t>
      </w:r>
      <w:r>
        <w:rPr/>
        <w:t>名激励对象定向增发了</w:t>
      </w:r>
      <w:r>
        <w:rPr>
          <w:rFonts w:ascii="Times New Roman" w:hAnsi="Times New Roman" w:cs="Times New Roman" w:eastAsia="Times New Roman" w:hint="default"/>
        </w:rPr>
        <w:t>606.6144</w:t>
      </w:r>
      <w:r>
        <w:rPr/>
        <w:t>万股。</w:t>
      </w:r>
    </w:p>
    <w:p>
      <w:pPr>
        <w:pStyle w:val="BodyText"/>
        <w:spacing w:line="240" w:lineRule="auto" w:before="5"/>
        <w:ind w:left="573" w:right="0"/>
        <w:jc w:val="left"/>
      </w:pPr>
      <w:r>
        <w:rPr>
          <w:rFonts w:ascii="Times New Roman" w:hAnsi="Times New Roman" w:cs="Times New Roman" w:eastAsia="Times New Roman" w:hint="default"/>
        </w:rPr>
        <w:t>3</w:t>
      </w:r>
      <w:r>
        <w:rPr/>
        <w:t>、报告期内，公司向宇通集团、西藏投资共计发行</w:t>
      </w:r>
      <w:r>
        <w:rPr>
          <w:rFonts w:ascii="Times New Roman" w:hAnsi="Times New Roman" w:cs="Times New Roman" w:eastAsia="Times New Roman" w:hint="default"/>
        </w:rPr>
        <w:t>15,438.5908</w:t>
      </w:r>
      <w:r>
        <w:rPr/>
        <w:t>万股，购买同信证券</w:t>
      </w:r>
      <w:r>
        <w:rPr>
          <w:rFonts w:ascii="Times New Roman" w:hAnsi="Times New Roman" w:cs="Times New Roman" w:eastAsia="Times New Roman" w:hint="default"/>
        </w:rPr>
        <w:t>100%</w:t>
      </w:r>
      <w:r>
        <w:rPr/>
        <w:t>股权。</w:t>
      </w:r>
    </w:p>
    <w:p>
      <w:pPr>
        <w:spacing w:line="240" w:lineRule="auto" w:before="2"/>
        <w:rPr>
          <w:rFonts w:ascii="宋体" w:hAnsi="宋体" w:cs="宋体" w:eastAsia="宋体" w:hint="default"/>
          <w:sz w:val="30"/>
          <w:szCs w:val="3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1"/>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2014</w:t>
      </w:r>
      <w:r>
        <w:rPr/>
        <w:t>年度股东大会审议通过</w:t>
      </w:r>
      <w:r>
        <w:rPr>
          <w:rFonts w:ascii="Times New Roman" w:hAnsi="Times New Roman" w:cs="Times New Roman" w:eastAsia="Times New Roman" w:hint="default"/>
        </w:rPr>
        <w:t>2014</w:t>
      </w:r>
      <w:r>
        <w:rPr/>
        <w:t>年度权益分派方案。</w:t>
      </w:r>
    </w:p>
    <w:p>
      <w:pPr>
        <w:pStyle w:val="BodyText"/>
        <w:spacing w:line="256" w:lineRule="auto" w:before="21"/>
        <w:ind w:right="0" w:firstLine="42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日，根据股东大会授权，公司第三届董事会第二十二次会议审议通过《关于公司首期</w:t>
      </w:r>
      <w:r>
        <w:rPr>
          <w:w w:val="100"/>
        </w:rPr>
        <w:t> </w:t>
      </w:r>
      <w:r>
        <w:rPr/>
        <w:t>股票期权激励计划首次授予股票期权第四个行权期可行权的议案》。</w:t>
      </w:r>
    </w:p>
    <w:p>
      <w:pPr>
        <w:pStyle w:val="BodyText"/>
        <w:spacing w:line="256" w:lineRule="auto" w:before="22"/>
        <w:ind w:right="0" w:firstLine="42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日，公司</w:t>
      </w:r>
      <w:r>
        <w:rPr>
          <w:rFonts w:ascii="Times New Roman" w:hAnsi="Times New Roman" w:cs="Times New Roman" w:eastAsia="Times New Roman" w:hint="default"/>
          <w:spacing w:val="-2"/>
        </w:rPr>
        <w:t>2015</w:t>
      </w:r>
      <w:r>
        <w:rPr>
          <w:spacing w:val="-2"/>
        </w:rPr>
        <w:t>年第一次临时股东大会审议通过《关于公司符合向特定对象发行股份购</w:t>
      </w:r>
      <w:r>
        <w:rPr>
          <w:w w:val="100"/>
        </w:rPr>
        <w:t> </w:t>
      </w:r>
      <w:r>
        <w:rPr/>
        <w:t>买资产并募集配套资金条件的议案》等相关议案，并于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日收到中国证券监督管理委员会《关</w:t>
      </w:r>
      <w:r>
        <w:rPr>
          <w:w w:val="100"/>
        </w:rPr>
        <w:t> </w:t>
      </w:r>
      <w:r>
        <w:rPr>
          <w:spacing w:val="-2"/>
        </w:rPr>
        <w:t>于核准东方财富信息股份有限公司向郑州宇通集团有限公司等发行股份购买资产并募集配套资金的批复》</w:t>
      </w:r>
    </w:p>
    <w:p>
      <w:pPr>
        <w:pStyle w:val="BodyText"/>
        <w:spacing w:line="240" w:lineRule="auto" w:before="22"/>
        <w:ind w:right="0"/>
        <w:jc w:val="left"/>
      </w:pPr>
      <w:r>
        <w:rPr/>
        <w:t>（证监许可</w:t>
      </w:r>
      <w:r>
        <w:rPr>
          <w:rFonts w:ascii="Times New Roman" w:hAnsi="Times New Roman" w:cs="Times New Roman" w:eastAsia="Times New Roman" w:hint="default"/>
        </w:rPr>
        <w:t>[2015]2810</w:t>
      </w:r>
      <w:r>
        <w:rPr/>
        <w:t>号）。</w:t>
      </w:r>
    </w:p>
    <w:p>
      <w:pPr>
        <w:spacing w:line="240" w:lineRule="auto" w:before="2"/>
        <w:rPr>
          <w:rFonts w:ascii="宋体" w:hAnsi="宋体" w:cs="宋体" w:eastAsia="宋体" w:hint="default"/>
          <w:sz w:val="30"/>
          <w:szCs w:val="3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980" w:right="980"/>
        </w:sectPr>
      </w:pPr>
    </w:p>
    <w:p>
      <w:pPr>
        <w:pStyle w:val="BodyText"/>
        <w:spacing w:line="240" w:lineRule="auto" w:before="108"/>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日，公司已完成</w:t>
      </w:r>
      <w:r>
        <w:rPr>
          <w:rFonts w:ascii="Times New Roman" w:hAnsi="Times New Roman" w:cs="Times New Roman" w:eastAsia="Times New Roman" w:hint="default"/>
        </w:rPr>
        <w:t>2014</w:t>
      </w:r>
      <w:r>
        <w:rPr/>
        <w:t>年度权益分派。</w:t>
      </w:r>
    </w:p>
    <w:p>
      <w:pPr>
        <w:pStyle w:val="BodyText"/>
        <w:spacing w:line="240" w:lineRule="auto" w:before="21"/>
        <w:ind w:left="57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日，在中登公司办理完毕行权登记等手续。</w:t>
      </w:r>
    </w:p>
    <w:p>
      <w:pPr>
        <w:pStyle w:val="BodyText"/>
        <w:spacing w:line="240" w:lineRule="auto" w:before="21"/>
        <w:ind w:left="5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日，公司向宇通集团、西藏投资发行的股份上市。</w:t>
      </w:r>
    </w:p>
    <w:p>
      <w:pPr>
        <w:spacing w:line="240" w:lineRule="auto" w:before="2"/>
        <w:rPr>
          <w:rFonts w:ascii="宋体" w:hAnsi="宋体" w:cs="宋体" w:eastAsia="宋体" w:hint="default"/>
          <w:sz w:val="30"/>
          <w:szCs w:val="30"/>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40" w:lineRule="auto" w:before="103"/>
        <w:ind w:left="152" w:right="3607" w:firstLine="0"/>
        <w:jc w:val="left"/>
        <w:rPr>
          <w:rFonts w:ascii="宋体" w:hAnsi="宋体" w:cs="宋体" w:eastAsia="宋体" w:hint="default"/>
          <w:sz w:val="18"/>
          <w:szCs w:val="18"/>
        </w:rPr>
      </w:pPr>
      <w:r>
        <w:rPr>
          <w:rFonts w:ascii="宋体" w:hAnsi="宋体" w:cs="宋体" w:eastAsia="宋体" w:hint="default"/>
          <w:sz w:val="18"/>
          <w:szCs w:val="18"/>
        </w:rPr>
        <w:t>具体详见“第二节</w:t>
      </w:r>
      <w:r>
        <w:rPr>
          <w:rFonts w:ascii="宋体" w:hAnsi="宋体" w:cs="宋体" w:eastAsia="宋体" w:hint="default"/>
          <w:spacing w:val="15"/>
          <w:sz w:val="18"/>
          <w:szCs w:val="18"/>
        </w:rPr>
        <w:t> </w:t>
      </w:r>
      <w:r>
        <w:rPr>
          <w:rFonts w:ascii="宋体" w:hAnsi="宋体" w:cs="宋体" w:eastAsia="宋体" w:hint="default"/>
          <w:spacing w:val="-4"/>
          <w:sz w:val="18"/>
          <w:szCs w:val="18"/>
        </w:rPr>
        <w:t>公司简介和主要财务指标</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五、主要会计数据和财务指标”。</w:t>
      </w:r>
      <w:r>
        <w:rPr>
          <w:rFonts w:ascii="宋体" w:hAnsi="宋体" w:cs="宋体" w:eastAsia="宋体" w:hint="default"/>
          <w:sz w:val="18"/>
          <w:szCs w:val="18"/>
        </w:rPr>
        <w:t> 公司认为必要或证券监管机构要求披露的其他内容</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063"/>
        <w:gridCol w:w="1064"/>
        <w:gridCol w:w="1061"/>
        <w:gridCol w:w="1066"/>
        <w:gridCol w:w="1416"/>
        <w:gridCol w:w="2624"/>
      </w:tblGrid>
      <w:tr>
        <w:trPr>
          <w:trHeight w:val="75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56" w:right="254"/>
              <w:jc w:val="left"/>
              <w:rPr>
                <w:rFonts w:ascii="宋体" w:hAnsi="宋体" w:cs="宋体" w:eastAsia="宋体" w:hint="default"/>
                <w:sz w:val="18"/>
                <w:szCs w:val="18"/>
              </w:rPr>
            </w:pPr>
            <w:r>
              <w:rPr>
                <w:rFonts w:ascii="宋体" w:hAnsi="宋体" w:cs="宋体" w:eastAsia="宋体" w:hint="default"/>
                <w:sz w:val="18"/>
                <w:szCs w:val="18"/>
              </w:rPr>
              <w:t>期初限 售股数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68" w:right="163"/>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67" w:right="161"/>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259" w:right="255"/>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254,344,435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101,737,774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356,082,209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4" w:right="91" w:hanging="180"/>
              <w:jc w:val="left"/>
              <w:rPr>
                <w:rFonts w:ascii="宋体" w:hAnsi="宋体" w:cs="宋体" w:eastAsia="宋体" w:hint="default"/>
                <w:sz w:val="18"/>
                <w:szCs w:val="18"/>
              </w:rPr>
            </w:pPr>
            <w:r>
              <w:rPr>
                <w:rFonts w:ascii="宋体" w:hAnsi="宋体" w:cs="宋体" w:eastAsia="宋体" w:hint="default"/>
                <w:sz w:val="18"/>
                <w:szCs w:val="18"/>
              </w:rPr>
              <w:t>郑州宇通集团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108,070,136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108,070,136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定向增发锁定股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西藏自治区投 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46,315,772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46,315,772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定向增发锁定股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12,976,941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5,190,777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18,167,718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史佳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12,070,435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5,395,174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17,465,609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陶涛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7,879,827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3,151,931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11,031,758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程磊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2,844,353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1,364,541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4,208,894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陆威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517,750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曹薇</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46,548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49,518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任职期内执行董监高限售规定</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290,846,337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271,790,403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562,636,740</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700"/>
        <w:gridCol w:w="1025"/>
        <w:gridCol w:w="1294"/>
        <w:gridCol w:w="1510"/>
        <w:gridCol w:w="1083"/>
        <w:gridCol w:w="1682"/>
      </w:tblGrid>
      <w:tr>
        <w:trPr>
          <w:trHeight w:val="755"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82" w:right="182"/>
              <w:jc w:val="left"/>
              <w:rPr>
                <w:rFonts w:ascii="宋体" w:hAnsi="宋体" w:cs="宋体" w:eastAsia="宋体" w:hint="default"/>
                <w:sz w:val="18"/>
                <w:szCs w:val="18"/>
              </w:rPr>
            </w:pPr>
            <w:r>
              <w:rPr>
                <w:rFonts w:ascii="宋体" w:hAnsi="宋体" w:cs="宋体" w:eastAsia="宋体" w:hint="default"/>
                <w:sz w:val="18"/>
                <w:szCs w:val="18"/>
              </w:rPr>
              <w:t>股票及其衍 生证券名称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48"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49"/>
              <w:ind w:left="177" w:right="173"/>
              <w:jc w:val="left"/>
              <w:rPr>
                <w:rFonts w:ascii="宋体" w:hAnsi="宋体" w:cs="宋体" w:eastAsia="宋体" w:hint="default"/>
                <w:sz w:val="18"/>
                <w:szCs w:val="18"/>
              </w:rPr>
            </w:pPr>
            <w:r>
              <w:rPr>
                <w:rFonts w:ascii="宋体" w:hAnsi="宋体" w:cs="宋体" w:eastAsia="宋体" w:hint="default"/>
                <w:sz w:val="18"/>
                <w:szCs w:val="18"/>
              </w:rPr>
              <w:t>获准上市 交易数量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6,066,144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6,066,144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154,385,908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154,385,908</w:t>
            </w: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11"/>
        <w:rPr>
          <w:rFonts w:ascii="宋体" w:hAnsi="宋体" w:cs="宋体" w:eastAsia="宋体" w:hint="default"/>
          <w:sz w:val="8"/>
          <w:szCs w:val="8"/>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9560;top:14;width:2;height:392" coordorigin="9560,14" coordsize="2,392">
              <v:shape style="position:absolute;left:9560;top:14;width:2;height:392" coordorigin="9560,14" coordsize="0,392" path="m9560,14l9560,406e" filled="false" stroked="true" strokeweight="1.08pt" strokecolor="#d2d2d2">
                <v:path arrowok="t"/>
              </v:shape>
            </v:group>
            <v:group style="position:absolute;left:34;top:14;width:9516;height:392" coordorigin="34,14" coordsize="9516,392">
              <v:shape style="position:absolute;left:34;top:14;width:9516;height:392" coordorigin="34,14" coordsize="9516,392" path="m34,406l9549,406,9549,14,34,14,34,406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08pt" strokecolor="#d2d2d2">
                <v:path arrowok="t"/>
              </v:shape>
            </v:group>
            <v:group style="position:absolute;left:34;top:418;width:9516;height:392" coordorigin="34,418" coordsize="9516,392">
              <v:shape style="position:absolute;left:34;top:418;width:9516;height:392" coordorigin="34,418" coordsize="9516,392" path="m34,809l9549,809,9549,418,34,418,34,809xe" filled="true" fillcolor="#d2d2d2" stroked="false">
                <v:path arrowok="t"/>
                <v:fill type="solid"/>
              </v:shape>
            </v:group>
            <v:group style="position:absolute;left:10;top:411;width:9562;height:2" coordorigin="10,411" coordsize="9562,2">
              <v:shape style="position:absolute;left:10;top:411;width:9562;height:2" coordorigin="10,411" coordsize="9562,0" path="m10,411l9571,411e" filled="false" stroked="true" strokeweight=".48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9e" filled="false" stroked="true" strokeweight=".47998pt" strokecolor="#000000">
                <v:path arrowok="t"/>
              </v:shape>
              <v:shape style="position:absolute;left:6;top:10;width:9559;height:403"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xbxContent>
                </v:textbox>
                <w10:wrap type="none"/>
              </v:shape>
              <v:shape style="position:absolute;left:6;top:412;width:9559;height:402" type="#_x0000_t202" filled="false" stroked="false">
                <v:textbox inset="0,0,0,0">
                  <w:txbxContent>
                    <w:p>
                      <w:pPr>
                        <w:spacing w:before="55"/>
                        <w:ind w:left="27" w:right="0" w:firstLine="0"/>
                        <w:jc w:val="left"/>
                        <w:rPr>
                          <w:rFonts w:ascii="宋体" w:hAnsi="宋体" w:cs="宋体" w:eastAsia="宋体" w:hint="default"/>
                          <w:sz w:val="18"/>
                          <w:szCs w:val="18"/>
                        </w:rPr>
                      </w:pPr>
                      <w:r>
                        <w:rPr>
                          <w:rFonts w:ascii="宋体" w:hAnsi="宋体" w:cs="宋体" w:eastAsia="宋体" w:hint="default"/>
                          <w:sz w:val="18"/>
                          <w:szCs w:val="18"/>
                        </w:rPr>
                        <w:t>其他衍生证券类</w:t>
                      </w:r>
                    </w:p>
                  </w:txbxContent>
                </v:textbox>
                <w10:wrap type="none"/>
              </v:shape>
            </v:group>
          </v:group>
        </w:pict>
      </w:r>
      <w:r>
        <w:rPr>
          <w:rFonts w:ascii="宋体" w:hAnsi="宋体" w:cs="宋体" w:eastAsia="宋体" w:hint="default"/>
          <w:position w:val="-15"/>
          <w:sz w:val="20"/>
          <w:szCs w:val="20"/>
        </w:rPr>
      </w:r>
    </w:p>
    <w:p>
      <w:pPr>
        <w:spacing w:line="357" w:lineRule="auto" w:before="44"/>
        <w:ind w:left="513" w:right="133" w:hanging="361"/>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 注：因首期股权激励计划首次授予期权第四个行权期行权而发行的股份</w:t>
      </w:r>
      <w:r>
        <w:rPr>
          <w:rFonts w:ascii="Times New Roman" w:hAnsi="Times New Roman" w:cs="Times New Roman" w:eastAsia="Times New Roman" w:hint="default"/>
          <w:sz w:val="18"/>
          <w:szCs w:val="18"/>
        </w:rPr>
        <w:t>6,066,144</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日起上市流通，其中，</w:t>
      </w:r>
    </w:p>
    <w:p>
      <w:pPr>
        <w:spacing w:line="21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董事陆威、程磊、史佳、曹薇因行权获得的股份</w:t>
      </w:r>
      <w:r>
        <w:rPr>
          <w:rFonts w:ascii="Times New Roman" w:hAnsi="Times New Roman" w:cs="Times New Roman" w:eastAsia="Times New Roman" w:hint="default"/>
          <w:sz w:val="18"/>
          <w:szCs w:val="18"/>
        </w:rPr>
        <w:t>1,421,280</w:t>
      </w:r>
      <w:r>
        <w:rPr>
          <w:rFonts w:ascii="宋体" w:hAnsi="宋体" w:cs="宋体" w:eastAsia="宋体" w:hint="default"/>
          <w:sz w:val="18"/>
          <w:szCs w:val="18"/>
        </w:rPr>
        <w:t>股在任期内执行董监高限售规定；因购买同信证券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股权而发</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行的股份</w:t>
      </w:r>
      <w:r>
        <w:rPr>
          <w:rFonts w:ascii="Times New Roman" w:hAnsi="Times New Roman" w:cs="Times New Roman" w:eastAsia="Times New Roman" w:hint="default"/>
          <w:sz w:val="18"/>
          <w:szCs w:val="18"/>
        </w:rPr>
        <w:t>154,385,908</w:t>
      </w:r>
      <w:r>
        <w:rPr>
          <w:rFonts w:ascii="宋体" w:hAnsi="宋体" w:cs="宋体" w:eastAsia="宋体" w:hint="default"/>
          <w:sz w:val="18"/>
          <w:szCs w:val="18"/>
        </w:rPr>
        <w:t>股将于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日起上市流通。</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9" w:lineRule="auto" w:before="83"/>
        <w:ind w:right="0" w:firstLine="420"/>
        <w:jc w:val="left"/>
      </w:pPr>
      <w:r>
        <w:rPr>
          <w:spacing w:val="-2"/>
        </w:rPr>
        <w:t>（</w:t>
      </w:r>
      <w:r>
        <w:rPr>
          <w:rFonts w:ascii="Times New Roman" w:hAnsi="Times New Roman" w:cs="Times New Roman" w:eastAsia="Times New Roman" w:hint="default"/>
          <w:spacing w:val="-2"/>
        </w:rPr>
        <w:t>1</w:t>
      </w:r>
      <w:r>
        <w:rPr>
          <w:spacing w:val="-2"/>
        </w:rPr>
        <w:t>）报告期内，公司实施了</w:t>
      </w:r>
      <w:r>
        <w:rPr>
          <w:rFonts w:ascii="Times New Roman" w:hAnsi="Times New Roman" w:cs="Times New Roman" w:eastAsia="Times New Roman" w:hint="default"/>
          <w:spacing w:val="-2"/>
        </w:rPr>
        <w:t>2014</w:t>
      </w:r>
      <w:r>
        <w:rPr>
          <w:spacing w:val="-2"/>
        </w:rPr>
        <w:t>年度权益分派，以总股本</w:t>
      </w:r>
      <w:r>
        <w:rPr>
          <w:rFonts w:ascii="Times New Roman" w:hAnsi="Times New Roman" w:cs="Times New Roman" w:eastAsia="Times New Roman" w:hint="default"/>
          <w:spacing w:val="-2"/>
        </w:rPr>
        <w:t>120,960</w:t>
      </w:r>
      <w:r>
        <w:rPr>
          <w:spacing w:val="-2"/>
        </w:rPr>
        <w:t>万股为基数，用资本公积金向全体</w:t>
      </w:r>
      <w:r>
        <w:rPr>
          <w:w w:val="100"/>
        </w:rPr>
        <w:t> </w:t>
      </w:r>
      <w:r>
        <w:rPr/>
        <w:t>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2</w:t>
      </w:r>
      <w:r>
        <w:rPr/>
        <w:t>股（含税）</w:t>
      </w:r>
      <w:r>
        <w:rPr>
          <w:rFonts w:ascii="Times New Roman" w:hAnsi="Times New Roman" w:cs="Times New Roman" w:eastAsia="Times New Roman" w:hint="default"/>
        </w:rPr>
        <w:t>,</w:t>
      </w:r>
      <w:r>
        <w:rPr/>
        <w:t>转送股后总股本增至</w:t>
      </w:r>
      <w:r>
        <w:rPr>
          <w:rFonts w:ascii="Times New Roman" w:hAnsi="Times New Roman" w:cs="Times New Roman" w:eastAsia="Times New Roman" w:hint="default"/>
        </w:rPr>
        <w:t>169,344</w:t>
      </w:r>
      <w:r>
        <w:rPr/>
        <w:t>万股。</w:t>
      </w:r>
    </w:p>
    <w:p>
      <w:pPr>
        <w:pStyle w:val="BodyText"/>
        <w:spacing w:line="256" w:lineRule="auto" w:before="2"/>
        <w:ind w:right="0" w:firstLine="420"/>
        <w:jc w:val="left"/>
      </w:pPr>
      <w:r>
        <w:rPr>
          <w:spacing w:val="-2"/>
        </w:rPr>
        <w:t>（</w:t>
      </w:r>
      <w:r>
        <w:rPr>
          <w:rFonts w:ascii="Times New Roman" w:hAnsi="Times New Roman" w:cs="Times New Roman" w:eastAsia="Times New Roman" w:hint="default"/>
          <w:spacing w:val="-2"/>
        </w:rPr>
        <w:t>2</w:t>
      </w:r>
      <w:r>
        <w:rPr>
          <w:spacing w:val="-2"/>
        </w:rPr>
        <w:t>）报告期内，公司首期股票期权激励计划首次授予股票期权第四个行权条件成就，公司办理了相</w:t>
      </w:r>
      <w:r>
        <w:rPr>
          <w:w w:val="100"/>
        </w:rPr>
        <w:t> </w:t>
      </w:r>
      <w:r>
        <w:rPr/>
        <w:t>关行权登记等手续，公司向</w:t>
      </w:r>
      <w:r>
        <w:rPr>
          <w:rFonts w:ascii="Times New Roman" w:hAnsi="Times New Roman" w:cs="Times New Roman" w:eastAsia="Times New Roman" w:hint="default"/>
        </w:rPr>
        <w:t>77</w:t>
      </w:r>
      <w:r>
        <w:rPr/>
        <w:t>名激励对象定向增发了</w:t>
      </w:r>
      <w:r>
        <w:rPr>
          <w:rFonts w:ascii="Times New Roman" w:hAnsi="Times New Roman" w:cs="Times New Roman" w:eastAsia="Times New Roman" w:hint="default"/>
        </w:rPr>
        <w:t>606.6144</w:t>
      </w:r>
      <w:r>
        <w:rPr/>
        <w:t>万股。</w:t>
      </w:r>
    </w:p>
    <w:p>
      <w:pPr>
        <w:pStyle w:val="BodyText"/>
        <w:spacing w:line="240" w:lineRule="auto" w:before="5"/>
        <w:ind w:left="573" w:right="0"/>
        <w:jc w:val="left"/>
      </w:pPr>
      <w:r>
        <w:rPr/>
        <w:t>（</w:t>
      </w:r>
      <w:r>
        <w:rPr>
          <w:rFonts w:ascii="Times New Roman" w:hAnsi="Times New Roman" w:cs="Times New Roman" w:eastAsia="Times New Roman" w:hint="default"/>
        </w:rPr>
        <w:t>3</w:t>
      </w:r>
      <w:r>
        <w:rPr/>
        <w:t>）报告期内，公司向宇通集团、西藏投资共计发行</w:t>
      </w:r>
      <w:r>
        <w:rPr>
          <w:rFonts w:ascii="Times New Roman" w:hAnsi="Times New Roman" w:cs="Times New Roman" w:eastAsia="Times New Roman" w:hint="default"/>
        </w:rPr>
        <w:t>15,438.5908</w:t>
      </w:r>
      <w:r>
        <w:rPr/>
        <w:t>万股，购买同信证券</w:t>
      </w:r>
      <w:r>
        <w:rPr>
          <w:rFonts w:ascii="Times New Roman" w:hAnsi="Times New Roman" w:cs="Times New Roman" w:eastAsia="Times New Roman" w:hint="default"/>
        </w:rPr>
        <w:t>100%</w:t>
      </w:r>
      <w:r>
        <w:rPr/>
        <w:t>股权。</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pict>
          <v:shape style="position:absolute;margin-left:457.897003pt;margin-top:60.67173pt;width:85.85pt;height:23.4pt;mso-position-horizontal-relative:page;mso-position-vertical-relative:paragraph;z-index:-869680"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91.019989pt;margin-top:60.67173pt;width:52.75pt;height:23.4pt;mso-position-horizontal-relative:page;mso-position-vertical-relative:paragraph;z-index:-869656" coordorigin="9820,1213" coordsize="1055,468">
            <v:shape style="position:absolute;left:9820;top:1213;width:1055;height:468" coordorigin="9820,1213" coordsize="1055,468" path="m9820,1681l10874,1681,10874,1213,9820,1213,9820,168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2"/>
        <w:gridCol w:w="838"/>
        <w:gridCol w:w="267"/>
        <w:gridCol w:w="710"/>
        <w:gridCol w:w="461"/>
        <w:gridCol w:w="530"/>
        <w:gridCol w:w="764"/>
        <w:gridCol w:w="305"/>
        <w:gridCol w:w="998"/>
        <w:gridCol w:w="1091"/>
        <w:gridCol w:w="322"/>
        <w:gridCol w:w="990"/>
        <w:gridCol w:w="1067"/>
      </w:tblGrid>
      <w:tr>
        <w:trPr>
          <w:trHeight w:val="161" w:hRule="exact"/>
        </w:trPr>
        <w:tc>
          <w:tcPr>
            <w:tcW w:w="1402" w:type="dxa"/>
            <w:vMerge w:val="restart"/>
            <w:tcBorders>
              <w:top w:val="single" w:sz="4" w:space="0" w:color="000000"/>
              <w:left w:val="single" w:sz="4" w:space="0" w:color="000000"/>
              <w:right w:val="single" w:sz="4" w:space="0" w:color="000000"/>
            </w:tcBorders>
            <w:shd w:val="clear" w:color="auto" w:fill="D2D2D2"/>
          </w:tcPr>
          <w:p>
            <w:pPr/>
          </w:p>
        </w:tc>
        <w:tc>
          <w:tcPr>
            <w:tcW w:w="838"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152,386</w:t>
            </w:r>
          </w:p>
        </w:tc>
        <w:tc>
          <w:tcPr>
            <w:tcW w:w="143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294"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159,871</w:t>
            </w:r>
          </w:p>
        </w:tc>
        <w:tc>
          <w:tcPr>
            <w:tcW w:w="13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tc>
        <w:tc>
          <w:tcPr>
            <w:tcW w:w="106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402" w:type="dxa"/>
            <w:vMerge/>
            <w:tcBorders>
              <w:left w:val="single" w:sz="4" w:space="0" w:color="000000"/>
              <w:bottom w:val="nil" w:sz="6" w:space="0" w:color="auto"/>
              <w:right w:val="single" w:sz="4" w:space="0" w:color="000000"/>
            </w:tcBorders>
            <w:shd w:val="clear" w:color="auto" w:fill="D2D2D2"/>
          </w:tcPr>
          <w:p>
            <w:pPr/>
          </w:p>
        </w:tc>
        <w:tc>
          <w:tcPr>
            <w:tcW w:w="838" w:type="dxa"/>
            <w:vMerge/>
            <w:tcBorders>
              <w:left w:val="single" w:sz="9" w:space="0" w:color="D2D2D2"/>
              <w:right w:val="single" w:sz="10" w:space="0" w:color="D2D2D2"/>
            </w:tcBorders>
          </w:tcPr>
          <w:p>
            <w:pPr/>
          </w:p>
        </w:tc>
        <w:tc>
          <w:tcPr>
            <w:tcW w:w="143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94" w:type="dxa"/>
            <w:gridSpan w:val="2"/>
            <w:vMerge/>
            <w:tcBorders>
              <w:left w:val="single" w:sz="10" w:space="0" w:color="D2D2D2"/>
              <w:right w:val="single" w:sz="9" w:space="0" w:color="D2D2D2"/>
            </w:tcBorders>
          </w:tcPr>
          <w:p>
            <w:pPr/>
          </w:p>
        </w:tc>
        <w:tc>
          <w:tcPr>
            <w:tcW w:w="13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2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tc>
        <w:tc>
          <w:tcPr>
            <w:tcW w:w="1091" w:type="dxa"/>
            <w:vMerge/>
            <w:tcBorders>
              <w:left w:val="single" w:sz="9" w:space="0" w:color="D2D2D2"/>
              <w:right w:val="single" w:sz="13" w:space="0" w:color="D2D2D2"/>
            </w:tcBorders>
          </w:tcPr>
          <w:p>
            <w:pPr/>
          </w:p>
        </w:tc>
        <w:tc>
          <w:tcPr>
            <w:tcW w:w="1312" w:type="dxa"/>
            <w:gridSpan w:val="2"/>
            <w:vMerge/>
            <w:tcBorders>
              <w:left w:val="single" w:sz="4" w:space="0" w:color="000000"/>
              <w:right w:val="single" w:sz="4" w:space="0" w:color="000000"/>
            </w:tcBorders>
            <w:shd w:val="clear" w:color="auto" w:fill="D2D2D2"/>
          </w:tcPr>
          <w:p>
            <w:pPr/>
          </w:p>
        </w:tc>
        <w:tc>
          <w:tcPr>
            <w:tcW w:w="1067" w:type="dxa"/>
            <w:vMerge/>
            <w:tcBorders>
              <w:left w:val="single" w:sz="13" w:space="0" w:color="D2D2D2"/>
              <w:right w:val="single" w:sz="4" w:space="0" w:color="000000"/>
            </w:tcBorders>
          </w:tcPr>
          <w:p>
            <w:pPr/>
          </w:p>
        </w:tc>
      </w:tr>
      <w:tr>
        <w:trPr>
          <w:trHeight w:val="703" w:hRule="exact"/>
        </w:trPr>
        <w:tc>
          <w:tcPr>
            <w:tcW w:w="1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8" w:type="dxa"/>
            <w:vMerge/>
            <w:tcBorders>
              <w:left w:val="single" w:sz="9" w:space="0" w:color="D2D2D2"/>
              <w:right w:val="single" w:sz="10" w:space="0" w:color="D2D2D2"/>
            </w:tcBorders>
          </w:tcPr>
          <w:p>
            <w:pPr/>
          </w:p>
        </w:tc>
        <w:tc>
          <w:tcPr>
            <w:tcW w:w="1438" w:type="dxa"/>
            <w:gridSpan w:val="3"/>
            <w:vMerge/>
            <w:tcBorders>
              <w:left w:val="single" w:sz="4" w:space="0" w:color="000000"/>
              <w:right w:val="single" w:sz="4" w:space="0" w:color="000000"/>
            </w:tcBorders>
            <w:shd w:val="clear" w:color="auto" w:fill="D2D2D2"/>
          </w:tcPr>
          <w:p>
            <w:pPr/>
          </w:p>
        </w:tc>
        <w:tc>
          <w:tcPr>
            <w:tcW w:w="1294" w:type="dxa"/>
            <w:gridSpan w:val="2"/>
            <w:vMerge/>
            <w:tcBorders>
              <w:left w:val="single" w:sz="10" w:space="0" w:color="D2D2D2"/>
              <w:right w:val="single" w:sz="9" w:space="0" w:color="D2D2D2"/>
            </w:tcBorders>
          </w:tcPr>
          <w:p>
            <w:pPr/>
          </w:p>
        </w:tc>
        <w:tc>
          <w:tcPr>
            <w:tcW w:w="1303" w:type="dxa"/>
            <w:gridSpan w:val="2"/>
            <w:vMerge/>
            <w:tcBorders>
              <w:left w:val="single" w:sz="4" w:space="0" w:color="000000"/>
              <w:right w:val="single" w:sz="4" w:space="0" w:color="000000"/>
            </w:tcBorders>
            <w:shd w:val="clear" w:color="auto" w:fill="D2D2D2"/>
          </w:tcPr>
          <w:p>
            <w:pPr/>
          </w:p>
        </w:tc>
        <w:tc>
          <w:tcPr>
            <w:tcW w:w="1091" w:type="dxa"/>
            <w:vMerge/>
            <w:tcBorders>
              <w:left w:val="single" w:sz="9" w:space="0" w:color="D2D2D2"/>
              <w:right w:val="single" w:sz="13" w:space="0" w:color="D2D2D2"/>
            </w:tcBorders>
          </w:tcPr>
          <w:p>
            <w:pPr/>
          </w:p>
        </w:tc>
        <w:tc>
          <w:tcPr>
            <w:tcW w:w="1312" w:type="dxa"/>
            <w:gridSpan w:val="2"/>
            <w:vMerge/>
            <w:tcBorders>
              <w:left w:val="single" w:sz="4" w:space="0" w:color="000000"/>
              <w:right w:val="single" w:sz="4" w:space="0" w:color="000000"/>
            </w:tcBorders>
            <w:shd w:val="clear" w:color="auto" w:fill="D2D2D2"/>
          </w:tcPr>
          <w:p>
            <w:pPr/>
          </w:p>
        </w:tc>
        <w:tc>
          <w:tcPr>
            <w:tcW w:w="1067" w:type="dxa"/>
            <w:vMerge/>
            <w:tcBorders>
              <w:left w:val="single" w:sz="13" w:space="0" w:color="D2D2D2"/>
              <w:right w:val="single" w:sz="4" w:space="0" w:color="000000"/>
            </w:tcBorders>
          </w:tcPr>
          <w:p>
            <w:pPr/>
          </w:p>
        </w:tc>
      </w:tr>
      <w:tr>
        <w:trPr>
          <w:trHeight w:val="156" w:hRule="exact"/>
        </w:trPr>
        <w:tc>
          <w:tcPr>
            <w:tcW w:w="1402" w:type="dxa"/>
            <w:vMerge w:val="restart"/>
            <w:tcBorders>
              <w:top w:val="nil" w:sz="6" w:space="0" w:color="auto"/>
              <w:left w:val="single" w:sz="4" w:space="0" w:color="000000"/>
              <w:right w:val="single" w:sz="4" w:space="0" w:color="000000"/>
            </w:tcBorders>
            <w:shd w:val="clear" w:color="auto" w:fill="D2D2D2"/>
          </w:tcPr>
          <w:p>
            <w:pPr/>
          </w:p>
        </w:tc>
        <w:tc>
          <w:tcPr>
            <w:tcW w:w="838" w:type="dxa"/>
            <w:vMerge/>
            <w:tcBorders>
              <w:left w:val="single" w:sz="9" w:space="0" w:color="D2D2D2"/>
              <w:right w:val="single" w:sz="10" w:space="0" w:color="D2D2D2"/>
            </w:tcBorders>
          </w:tcPr>
          <w:p>
            <w:pPr/>
          </w:p>
        </w:tc>
        <w:tc>
          <w:tcPr>
            <w:tcW w:w="1438" w:type="dxa"/>
            <w:gridSpan w:val="3"/>
            <w:vMerge/>
            <w:tcBorders>
              <w:left w:val="single" w:sz="4" w:space="0" w:color="000000"/>
              <w:bottom w:val="nil" w:sz="6" w:space="0" w:color="auto"/>
              <w:right w:val="single" w:sz="4" w:space="0" w:color="000000"/>
            </w:tcBorders>
            <w:shd w:val="clear" w:color="auto" w:fill="D2D2D2"/>
          </w:tcPr>
          <w:p>
            <w:pPr/>
          </w:p>
        </w:tc>
        <w:tc>
          <w:tcPr>
            <w:tcW w:w="1294" w:type="dxa"/>
            <w:gridSpan w:val="2"/>
            <w:vMerge/>
            <w:tcBorders>
              <w:left w:val="single" w:sz="10" w:space="0" w:color="D2D2D2"/>
              <w:right w:val="single" w:sz="9" w:space="0" w:color="D2D2D2"/>
            </w:tcBorders>
          </w:tcPr>
          <w:p>
            <w:pPr/>
          </w:p>
        </w:tc>
        <w:tc>
          <w:tcPr>
            <w:tcW w:w="1303" w:type="dxa"/>
            <w:gridSpan w:val="2"/>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9" w:space="0" w:color="D2D2D2"/>
              <w:right w:val="single" w:sz="13" w:space="0" w:color="D2D2D2"/>
            </w:tcBorders>
          </w:tcPr>
          <w:p>
            <w:pPr/>
          </w:p>
        </w:tc>
        <w:tc>
          <w:tcPr>
            <w:tcW w:w="1312" w:type="dxa"/>
            <w:gridSpan w:val="2"/>
            <w:vMerge/>
            <w:tcBorders>
              <w:left w:val="single" w:sz="4" w:space="0" w:color="000000"/>
              <w:right w:val="single" w:sz="4" w:space="0" w:color="000000"/>
            </w:tcBorders>
            <w:shd w:val="clear" w:color="auto" w:fill="D2D2D2"/>
          </w:tcPr>
          <w:p>
            <w:pPr/>
          </w:p>
        </w:tc>
        <w:tc>
          <w:tcPr>
            <w:tcW w:w="1067" w:type="dxa"/>
            <w:vMerge/>
            <w:tcBorders>
              <w:left w:val="single" w:sz="13" w:space="0" w:color="D2D2D2"/>
              <w:right w:val="single" w:sz="4" w:space="0" w:color="000000"/>
            </w:tcBorders>
          </w:tcPr>
          <w:p>
            <w:pPr/>
          </w:p>
        </w:tc>
      </w:tr>
      <w:tr>
        <w:trPr>
          <w:trHeight w:val="168"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838" w:type="dxa"/>
            <w:vMerge/>
            <w:tcBorders>
              <w:left w:val="single" w:sz="9" w:space="0" w:color="D2D2D2"/>
              <w:bottom w:val="single" w:sz="4" w:space="0" w:color="000000"/>
              <w:right w:val="single" w:sz="10" w:space="0" w:color="D2D2D2"/>
            </w:tcBorders>
          </w:tcPr>
          <w:p>
            <w:pPr/>
          </w:p>
        </w:tc>
        <w:tc>
          <w:tcPr>
            <w:tcW w:w="143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gridSpan w:val="2"/>
            <w:vMerge/>
            <w:tcBorders>
              <w:left w:val="single" w:sz="10" w:space="0" w:color="D2D2D2"/>
              <w:bottom w:val="single" w:sz="4" w:space="0" w:color="000000"/>
              <w:right w:val="single" w:sz="9" w:space="0" w:color="D2D2D2"/>
            </w:tcBorders>
          </w:tcPr>
          <w:p>
            <w:pPr/>
          </w:p>
        </w:tc>
        <w:tc>
          <w:tcPr>
            <w:tcW w:w="13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9" w:space="0" w:color="D2D2D2"/>
              <w:bottom w:val="single" w:sz="4" w:space="0" w:color="000000"/>
              <w:right w:val="single" w:sz="13" w:space="0" w:color="D2D2D2"/>
            </w:tcBorders>
          </w:tcPr>
          <w:p>
            <w:pPr/>
          </w:p>
        </w:tc>
        <w:tc>
          <w:tcPr>
            <w:tcW w:w="1312" w:type="dxa"/>
            <w:gridSpan w:val="2"/>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13" w:space="0" w:color="D2D2D2"/>
              <w:bottom w:val="single" w:sz="4" w:space="0" w:color="000000"/>
              <w:right w:val="single" w:sz="4" w:space="0" w:color="000000"/>
            </w:tcBorders>
          </w:tcPr>
          <w:p>
            <w:pPr/>
          </w:p>
        </w:tc>
      </w:tr>
      <w:tr>
        <w:trPr>
          <w:trHeight w:val="391" w:hRule="exact"/>
        </w:trPr>
        <w:tc>
          <w:tcPr>
            <w:tcW w:w="97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4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02" w:type="dxa"/>
            <w:vMerge w:val="restart"/>
            <w:tcBorders>
              <w:top w:val="single" w:sz="4" w:space="0" w:color="000000"/>
              <w:left w:val="single" w:sz="4" w:space="0" w:color="000000"/>
              <w:right w:val="single" w:sz="4" w:space="0" w:color="000000"/>
            </w:tcBorders>
            <w:shd w:val="clear" w:color="auto" w:fill="D2D2D2"/>
          </w:tcPr>
          <w:p>
            <w:pPr/>
          </w:p>
        </w:tc>
        <w:tc>
          <w:tcPr>
            <w:tcW w:w="1105" w:type="dxa"/>
            <w:gridSpan w:val="2"/>
            <w:vMerge w:val="restart"/>
            <w:tcBorders>
              <w:top w:val="single" w:sz="4" w:space="0" w:color="000000"/>
              <w:left w:val="single" w:sz="4" w:space="0" w:color="000000"/>
              <w:right w:val="single" w:sz="4" w:space="0" w:color="FFFFFF"/>
            </w:tcBorders>
            <w:shd w:val="clear" w:color="auto" w:fill="D2D2D2"/>
          </w:tcPr>
          <w:p>
            <w:pPr/>
          </w:p>
        </w:tc>
        <w:tc>
          <w:tcPr>
            <w:tcW w:w="710" w:type="dxa"/>
            <w:tcBorders>
              <w:top w:val="single" w:sz="4" w:space="0" w:color="000000"/>
              <w:left w:val="single" w:sz="4" w:space="0" w:color="FFFFFF"/>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0" w:right="4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41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0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02" w:type="dxa"/>
            <w:vMerge/>
            <w:tcBorders>
              <w:left w:val="single" w:sz="4" w:space="0" w:color="000000"/>
              <w:bottom w:val="nil" w:sz="6" w:space="0" w:color="auto"/>
              <w:right w:val="single" w:sz="4" w:space="0" w:color="000000"/>
            </w:tcBorders>
            <w:shd w:val="clear" w:color="auto" w:fill="D2D2D2"/>
          </w:tcPr>
          <w:p>
            <w:pPr/>
          </w:p>
        </w:tc>
        <w:tc>
          <w:tcPr>
            <w:tcW w:w="1105" w:type="dxa"/>
            <w:gridSpan w:val="2"/>
            <w:vMerge/>
            <w:tcBorders>
              <w:left w:val="single" w:sz="4" w:space="0" w:color="000000"/>
              <w:bottom w:val="nil" w:sz="6" w:space="0" w:color="auto"/>
              <w:right w:val="single" w:sz="4" w:space="0" w:color="FFFFFF"/>
            </w:tcBorders>
            <w:shd w:val="clear" w:color="auto" w:fill="D2D2D2"/>
          </w:tcPr>
          <w:p>
            <w:pPr/>
          </w:p>
        </w:tc>
        <w:tc>
          <w:tcPr>
            <w:tcW w:w="710"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49"/>
              <w:ind w:left="259"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9" w:right="77"/>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8" w:type="dxa"/>
            <w:vMerge/>
            <w:tcBorders>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0" w:right="70" w:hanging="180"/>
              <w:jc w:val="left"/>
              <w:rPr>
                <w:rFonts w:ascii="宋体" w:hAnsi="宋体" w:cs="宋体" w:eastAsia="宋体" w:hint="default"/>
                <w:sz w:val="18"/>
                <w:szCs w:val="18"/>
              </w:rPr>
            </w:pPr>
            <w:r>
              <w:rPr>
                <w:rFonts w:ascii="宋体" w:hAnsi="宋体" w:cs="宋体" w:eastAsia="宋体" w:hint="default"/>
                <w:sz w:val="18"/>
                <w:szCs w:val="18"/>
              </w:rPr>
              <w:t>持有无限售条件 的股份数量</w:t>
            </w:r>
          </w:p>
        </w:tc>
        <w:tc>
          <w:tcPr>
            <w:tcW w:w="2057" w:type="dxa"/>
            <w:gridSpan w:val="2"/>
            <w:vMerge/>
            <w:tcBorders>
              <w:left w:val="single" w:sz="4" w:space="0" w:color="000000"/>
              <w:right w:val="single" w:sz="4" w:space="0" w:color="000000"/>
            </w:tcBorders>
            <w:shd w:val="clear" w:color="auto" w:fill="D2D2D2"/>
          </w:tcPr>
          <w:p>
            <w:pPr/>
          </w:p>
        </w:tc>
      </w:tr>
      <w:tr>
        <w:trPr>
          <w:trHeight w:val="140" w:hRule="exact"/>
        </w:trPr>
        <w:tc>
          <w:tcPr>
            <w:tcW w:w="14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5"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vMerge/>
            <w:tcBorders>
              <w:left w:val="single" w:sz="4" w:space="0" w:color="FFFFFF"/>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205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02" w:type="dxa"/>
            <w:vMerge/>
            <w:tcBorders>
              <w:left w:val="single" w:sz="4" w:space="0" w:color="000000"/>
              <w:bottom w:val="nil" w:sz="6" w:space="0" w:color="auto"/>
              <w:right w:val="single" w:sz="4" w:space="0" w:color="000000"/>
            </w:tcBorders>
            <w:shd w:val="clear" w:color="auto" w:fill="D2D2D2"/>
          </w:tcPr>
          <w:p>
            <w:pPr/>
          </w:p>
        </w:tc>
        <w:tc>
          <w:tcPr>
            <w:tcW w:w="1105" w:type="dxa"/>
            <w:gridSpan w:val="2"/>
            <w:vMerge/>
            <w:tcBorders>
              <w:left w:val="single" w:sz="4" w:space="0" w:color="000000"/>
              <w:bottom w:val="nil" w:sz="6" w:space="0" w:color="auto"/>
              <w:right w:val="single" w:sz="4" w:space="0" w:color="FFFFFF"/>
            </w:tcBorders>
            <w:shd w:val="clear" w:color="auto" w:fill="D2D2D2"/>
          </w:tcPr>
          <w:p>
            <w:pPr/>
          </w:p>
        </w:tc>
        <w:tc>
          <w:tcPr>
            <w:tcW w:w="710" w:type="dxa"/>
            <w:vMerge/>
            <w:tcBorders>
              <w:left w:val="single" w:sz="4" w:space="0" w:color="FFFFFF"/>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3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02" w:type="dxa"/>
            <w:vMerge w:val="restart"/>
            <w:tcBorders>
              <w:top w:val="nil" w:sz="6" w:space="0" w:color="auto"/>
              <w:left w:val="single" w:sz="4" w:space="0" w:color="000000"/>
              <w:right w:val="single" w:sz="4" w:space="0" w:color="000000"/>
            </w:tcBorders>
            <w:shd w:val="clear" w:color="auto" w:fill="D2D2D2"/>
          </w:tcPr>
          <w:p>
            <w:pPr/>
          </w:p>
        </w:tc>
        <w:tc>
          <w:tcPr>
            <w:tcW w:w="1105" w:type="dxa"/>
            <w:gridSpan w:val="2"/>
            <w:vMerge w:val="restart"/>
            <w:tcBorders>
              <w:top w:val="nil" w:sz="6" w:space="0" w:color="auto"/>
              <w:left w:val="single" w:sz="4" w:space="0" w:color="000000"/>
              <w:right w:val="single" w:sz="4" w:space="0" w:color="FFFFFF"/>
            </w:tcBorders>
            <w:shd w:val="clear" w:color="auto" w:fill="D2D2D2"/>
          </w:tcPr>
          <w:p>
            <w:pPr/>
          </w:p>
        </w:tc>
        <w:tc>
          <w:tcPr>
            <w:tcW w:w="710" w:type="dxa"/>
            <w:vMerge/>
            <w:tcBorders>
              <w:left w:val="single" w:sz="4" w:space="0" w:color="FFFFFF"/>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1068" w:type="dxa"/>
            <w:gridSpan w:val="2"/>
            <w:vMerge/>
            <w:tcBorders>
              <w:left w:val="single" w:sz="4" w:space="0" w:color="000000"/>
              <w:bottom w:val="nil" w:sz="6" w:space="0" w:color="auto"/>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990"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61"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05" w:type="dxa"/>
            <w:gridSpan w:val="2"/>
            <w:vMerge/>
            <w:tcBorders>
              <w:left w:val="single" w:sz="4" w:space="0" w:color="000000"/>
              <w:bottom w:val="single" w:sz="4" w:space="0" w:color="000000"/>
              <w:right w:val="single" w:sz="4" w:space="0" w:color="FFFFFF"/>
            </w:tcBorders>
            <w:shd w:val="clear" w:color="auto" w:fill="D2D2D2"/>
          </w:tcPr>
          <w:p>
            <w:pPr/>
          </w:p>
        </w:tc>
        <w:tc>
          <w:tcPr>
            <w:tcW w:w="710" w:type="dxa"/>
            <w:tcBorders>
              <w:top w:val="nil" w:sz="6" w:space="0" w:color="auto"/>
              <w:left w:val="single" w:sz="4" w:space="0" w:color="FFFFFF"/>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8" w:type="dxa"/>
            <w:vMerge/>
            <w:tcBorders>
              <w:left w:val="single" w:sz="4" w:space="0" w:color="000000"/>
              <w:bottom w:val="single" w:sz="4" w:space="0" w:color="000000"/>
              <w:right w:val="single" w:sz="4" w:space="0" w:color="000000"/>
            </w:tcBorders>
            <w:shd w:val="clear" w:color="auto" w:fill="D2D2D2"/>
          </w:tcPr>
          <w:p>
            <w:pPr/>
          </w:p>
        </w:tc>
        <w:tc>
          <w:tcPr>
            <w:tcW w:w="14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0"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其实</w:t>
            </w:r>
          </w:p>
        </w:tc>
        <w:tc>
          <w:tcPr>
            <w:tcW w:w="110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25.61%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474,776,281</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135,650,366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356,082,209</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7" w:right="0"/>
              <w:jc w:val="left"/>
              <w:rPr>
                <w:rFonts w:ascii="Times New Roman" w:hAnsi="Times New Roman" w:cs="Times New Roman" w:eastAsia="Times New Roman" w:hint="default"/>
                <w:sz w:val="18"/>
                <w:szCs w:val="18"/>
              </w:rPr>
            </w:pPr>
            <w:r>
              <w:rPr>
                <w:rFonts w:ascii="Times New Roman"/>
                <w:sz w:val="18"/>
              </w:rPr>
              <w:t>118,694,072</w:t>
            </w:r>
          </w:p>
        </w:tc>
        <w:tc>
          <w:tcPr>
            <w:tcW w:w="990" w:type="dxa"/>
            <w:tcBorders>
              <w:top w:val="single" w:sz="48" w:space="0" w:color="D2D2D2"/>
              <w:left w:val="single" w:sz="4" w:space="0" w:color="000000"/>
              <w:bottom w:val="single" w:sz="4" w:space="0" w:color="000000"/>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8"/>
              <w:ind w:left="135" w:right="0"/>
              <w:jc w:val="left"/>
              <w:rPr>
                <w:rFonts w:ascii="Times New Roman" w:hAnsi="Times New Roman" w:cs="Times New Roman" w:eastAsia="Times New Roman" w:hint="default"/>
                <w:sz w:val="18"/>
                <w:szCs w:val="18"/>
              </w:rPr>
            </w:pPr>
            <w:r>
              <w:rPr>
                <w:rFonts w:ascii="Times New Roman"/>
                <w:sz w:val="18"/>
              </w:rPr>
              <w:t>123,500,000</w:t>
            </w:r>
          </w:p>
        </w:tc>
      </w:tr>
      <w:tr>
        <w:trPr>
          <w:trHeight w:val="71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0" w:right="81" w:hanging="361"/>
              <w:jc w:val="left"/>
              <w:rPr>
                <w:rFonts w:ascii="宋体" w:hAnsi="宋体" w:cs="宋体" w:eastAsia="宋体" w:hint="default"/>
                <w:sz w:val="18"/>
                <w:szCs w:val="18"/>
              </w:rPr>
            </w:pPr>
            <w:r>
              <w:rPr>
                <w:rFonts w:ascii="宋体" w:hAnsi="宋体" w:cs="宋体" w:eastAsia="宋体" w:hint="default"/>
                <w:sz w:val="18"/>
                <w:szCs w:val="18"/>
              </w:rPr>
              <w:t>郑州宇通集团有 限公司</w:t>
            </w:r>
          </w:p>
        </w:tc>
        <w:tc>
          <w:tcPr>
            <w:tcW w:w="1105" w:type="dxa"/>
            <w:gridSpan w:val="2"/>
            <w:tcBorders>
              <w:top w:val="single" w:sz="4" w:space="0" w:color="000000"/>
              <w:left w:val="single" w:sz="4" w:space="0" w:color="000000"/>
              <w:bottom w:val="single" w:sz="4" w:space="0" w:color="000000"/>
              <w:right w:val="single" w:sz="4" w:space="0" w:color="FFFFFF"/>
            </w:tcBorders>
          </w:tcPr>
          <w:p>
            <w:pPr>
              <w:pStyle w:val="TableParagraph"/>
              <w:spacing w:line="316" w:lineRule="auto" w:before="49"/>
              <w:ind w:left="352" w:right="110" w:hanging="26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108,070,136</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108,070,136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108,070,136</w:t>
            </w: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沈友根</w:t>
            </w:r>
          </w:p>
        </w:tc>
        <w:tc>
          <w:tcPr>
            <w:tcW w:w="110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58,060,800</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5" w:right="0"/>
              <w:jc w:val="left"/>
              <w:rPr>
                <w:rFonts w:ascii="Times New Roman" w:hAnsi="Times New Roman" w:cs="Times New Roman" w:eastAsia="Times New Roman" w:hint="default"/>
                <w:sz w:val="18"/>
                <w:szCs w:val="18"/>
              </w:rPr>
            </w:pPr>
            <w:r>
              <w:rPr>
                <w:rFonts w:ascii="Times New Roman"/>
                <w:sz w:val="18"/>
              </w:rPr>
              <w:t>16,588,800</w:t>
            </w:r>
          </w:p>
        </w:tc>
        <w:tc>
          <w:tcPr>
            <w:tcW w:w="998" w:type="dxa"/>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58,060,800</w:t>
            </w:r>
          </w:p>
        </w:tc>
        <w:tc>
          <w:tcPr>
            <w:tcW w:w="99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陆丽丽</w:t>
            </w:r>
          </w:p>
        </w:tc>
        <w:tc>
          <w:tcPr>
            <w:tcW w:w="110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56,881,440</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16,251,840</w:t>
            </w:r>
          </w:p>
        </w:tc>
        <w:tc>
          <w:tcPr>
            <w:tcW w:w="998" w:type="dxa"/>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56,881,440</w:t>
            </w:r>
          </w:p>
        </w:tc>
        <w:tc>
          <w:tcPr>
            <w:tcW w:w="99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22" w:right="79" w:hanging="272"/>
              <w:jc w:val="left"/>
              <w:rPr>
                <w:rFonts w:ascii="宋体" w:hAnsi="宋体" w:cs="宋体" w:eastAsia="宋体" w:hint="default"/>
                <w:sz w:val="18"/>
                <w:szCs w:val="18"/>
              </w:rPr>
            </w:pPr>
            <w:r>
              <w:rPr>
                <w:rFonts w:ascii="宋体" w:hAnsi="宋体" w:cs="宋体" w:eastAsia="宋体" w:hint="default"/>
                <w:sz w:val="18"/>
                <w:szCs w:val="18"/>
              </w:rPr>
              <w:t>西藏自治区投资 有限公司</w:t>
            </w:r>
          </w:p>
        </w:tc>
        <w:tc>
          <w:tcPr>
            <w:tcW w:w="110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46,315,772</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46,315,772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46,315,772</w:t>
            </w:r>
          </w:p>
        </w:tc>
        <w:tc>
          <w:tcPr>
            <w:tcW w:w="1412" w:type="dxa"/>
            <w:gridSpan w:val="2"/>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9"/>
              <w:jc w:val="center"/>
              <w:rPr>
                <w:rFonts w:ascii="宋体" w:hAnsi="宋体" w:cs="宋体" w:eastAsia="宋体" w:hint="default"/>
                <w:sz w:val="18"/>
                <w:szCs w:val="18"/>
              </w:rPr>
            </w:pPr>
            <w:r>
              <w:rPr>
                <w:rFonts w:ascii="宋体" w:hAnsi="宋体" w:cs="宋体" w:eastAsia="宋体" w:hint="default"/>
                <w:sz w:val="18"/>
                <w:szCs w:val="18"/>
              </w:rPr>
              <w:t>中央汇金资产管</w:t>
            </w:r>
          </w:p>
        </w:tc>
        <w:tc>
          <w:tcPr>
            <w:tcW w:w="110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31,268,000</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31,268,000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31,268,000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0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373"/>
        <w:gridCol w:w="1133"/>
        <w:gridCol w:w="710"/>
        <w:gridCol w:w="991"/>
        <w:gridCol w:w="896"/>
        <w:gridCol w:w="173"/>
        <w:gridCol w:w="994"/>
        <w:gridCol w:w="773"/>
        <w:gridCol w:w="644"/>
        <w:gridCol w:w="706"/>
        <w:gridCol w:w="290"/>
        <w:gridCol w:w="1061"/>
      </w:tblGrid>
      <w:tr>
        <w:trPr>
          <w:trHeight w:val="36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理有限责任公司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gridSpan w:val="2"/>
            <w:tcBorders>
              <w:top w:val="single" w:sz="4" w:space="0" w:color="000000"/>
              <w:left w:val="single" w:sz="4" w:space="0" w:color="000000"/>
              <w:bottom w:val="single" w:sz="4" w:space="0" w:color="000000"/>
              <w:right w:val="single" w:sz="4" w:space="0" w:color="000000"/>
            </w:tcBorders>
          </w:tcPr>
          <w:p>
            <w:pPr/>
          </w:p>
        </w:tc>
        <w:tc>
          <w:tcPr>
            <w:tcW w:w="996"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鲍一青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24,223,624</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6,921,036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18,167,718</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6,055,906</w:t>
            </w:r>
          </w:p>
        </w:tc>
        <w:tc>
          <w:tcPr>
            <w:tcW w:w="996"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史佳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23,287,478</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7,193,565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17,465,609</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5,821,869</w:t>
            </w:r>
          </w:p>
        </w:tc>
        <w:tc>
          <w:tcPr>
            <w:tcW w:w="996"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0" w:right="50"/>
              <w:jc w:val="both"/>
              <w:rPr>
                <w:rFonts w:ascii="宋体" w:hAnsi="宋体" w:cs="宋体" w:eastAsia="宋体" w:hint="default"/>
                <w:sz w:val="18"/>
                <w:szCs w:val="18"/>
              </w:rPr>
            </w:pPr>
            <w:r>
              <w:rPr>
                <w:rFonts w:ascii="宋体" w:hAnsi="宋体" w:cs="宋体" w:eastAsia="宋体" w:hint="default"/>
                <w:sz w:val="18"/>
                <w:szCs w:val="18"/>
              </w:rPr>
              <w:t>交通银行股份有 限公司－工银瑞 信互联网加股票 型证券投资基金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15,971,653</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15,971,653</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3" w:right="0"/>
              <w:jc w:val="left"/>
              <w:rPr>
                <w:rFonts w:ascii="Times New Roman" w:hAnsi="Times New Roman" w:cs="Times New Roman" w:eastAsia="Times New Roman" w:hint="default"/>
                <w:sz w:val="18"/>
                <w:szCs w:val="18"/>
              </w:rPr>
            </w:pPr>
            <w:r>
              <w:rPr>
                <w:rFonts w:ascii="Times New Roman"/>
                <w:sz w:val="18"/>
              </w:rPr>
              <w:t>15,971,653</w:t>
            </w:r>
          </w:p>
        </w:tc>
        <w:tc>
          <w:tcPr>
            <w:tcW w:w="996"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陶涛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14,709,011</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4,202,575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11,031,758</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4" w:right="0"/>
              <w:jc w:val="left"/>
              <w:rPr>
                <w:rFonts w:ascii="Times New Roman" w:hAnsi="Times New Roman" w:cs="Times New Roman" w:eastAsia="Times New Roman" w:hint="default"/>
                <w:sz w:val="18"/>
                <w:szCs w:val="18"/>
              </w:rPr>
            </w:pPr>
            <w:r>
              <w:rPr>
                <w:rFonts w:ascii="Times New Roman"/>
                <w:sz w:val="18"/>
              </w:rPr>
              <w:t>3,677,253</w:t>
            </w:r>
          </w:p>
        </w:tc>
        <w:tc>
          <w:tcPr>
            <w:tcW w:w="996" w:type="dxa"/>
            <w:gridSpan w:val="2"/>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5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23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50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37"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20"/>
              <w:jc w:val="both"/>
              <w:rPr>
                <w:rFonts w:ascii="宋体" w:hAnsi="宋体" w:cs="宋体" w:eastAsia="宋体" w:hint="default"/>
                <w:sz w:val="18"/>
                <w:szCs w:val="18"/>
              </w:rPr>
            </w:pPr>
            <w:r>
              <w:rPr>
                <w:rFonts w:ascii="宋体" w:hAnsi="宋体" w:cs="宋体" w:eastAsia="宋体" w:hint="default"/>
                <w:spacing w:val="-1"/>
                <w:sz w:val="18"/>
                <w:szCs w:val="18"/>
              </w:rPr>
              <w:t>其实先生与沈友根先生系父子关系，与陆丽丽女士系夫妻关系，三人合计持有股份占公司总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股本的</w:t>
            </w:r>
            <w:r>
              <w:rPr>
                <w:rFonts w:ascii="宋体" w:hAnsi="宋体" w:cs="宋体" w:eastAsia="宋体" w:hint="default"/>
                <w:spacing w:val="-21"/>
                <w:sz w:val="18"/>
                <w:szCs w:val="18"/>
              </w:rPr>
              <w:t> </w:t>
            </w:r>
            <w:r>
              <w:rPr>
                <w:rFonts w:ascii="Times New Roman" w:hAnsi="Times New Roman" w:cs="Times New Roman" w:eastAsia="Times New Roman" w:hint="default"/>
                <w:spacing w:val="-3"/>
                <w:sz w:val="18"/>
                <w:szCs w:val="18"/>
              </w:rPr>
              <w:t>31.81%</w:t>
            </w:r>
            <w:r>
              <w:rPr>
                <w:rFonts w:ascii="宋体" w:hAnsi="宋体" w:cs="宋体" w:eastAsia="宋体" w:hint="default"/>
                <w:spacing w:val="-3"/>
                <w:sz w:val="18"/>
                <w:szCs w:val="18"/>
              </w:rPr>
              <w:t>。除此之外，公司未知上述其他股东之间是否存在关联关系，也未知是否属于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一致行动人。</w:t>
            </w:r>
          </w:p>
        </w:tc>
      </w:tr>
      <w:tr>
        <w:trPr>
          <w:trHeight w:val="706" w:hRule="exact"/>
        </w:trPr>
        <w:tc>
          <w:tcPr>
            <w:tcW w:w="250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237" w:type="dxa"/>
            <w:gridSpan w:val="10"/>
            <w:vMerge/>
            <w:tcBorders>
              <w:left w:val="single" w:sz="10" w:space="0" w:color="D2D2D2"/>
              <w:right w:val="single" w:sz="4" w:space="0" w:color="000000"/>
            </w:tcBorders>
          </w:tcPr>
          <w:p>
            <w:pPr/>
          </w:p>
        </w:tc>
      </w:tr>
      <w:tr>
        <w:trPr>
          <w:trHeight w:val="161" w:hRule="exact"/>
        </w:trPr>
        <w:tc>
          <w:tcPr>
            <w:tcW w:w="250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37" w:type="dxa"/>
            <w:gridSpan w:val="10"/>
            <w:vMerge/>
            <w:tcBorders>
              <w:left w:val="single" w:sz="10" w:space="0" w:color="D2D2D2"/>
              <w:bottom w:val="single" w:sz="4" w:space="0" w:color="000000"/>
              <w:right w:val="single" w:sz="4" w:space="0" w:color="000000"/>
            </w:tcBorders>
          </w:tcPr>
          <w:p>
            <w:pPr/>
          </w:p>
        </w:tc>
      </w:tr>
      <w:tr>
        <w:trPr>
          <w:trHeight w:val="396" w:hRule="exact"/>
        </w:trPr>
        <w:tc>
          <w:tcPr>
            <w:tcW w:w="974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5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93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513" w:right="62" w:hanging="449"/>
              <w:jc w:val="left"/>
              <w:rPr>
                <w:rFonts w:ascii="宋体" w:hAnsi="宋体" w:cs="宋体" w:eastAsia="宋体" w:hint="default"/>
                <w:sz w:val="18"/>
                <w:szCs w:val="18"/>
              </w:rPr>
            </w:pPr>
            <w:r>
              <w:rPr>
                <w:rFonts w:ascii="宋体" w:hAnsi="宋体" w:cs="宋体" w:eastAsia="宋体" w:hint="default"/>
                <w:sz w:val="18"/>
                <w:szCs w:val="18"/>
              </w:rPr>
              <w:t>报告期末持有无限售条 件股份数量</w:t>
            </w:r>
          </w:p>
        </w:tc>
        <w:tc>
          <w:tcPr>
            <w:tcW w:w="270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5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39" w:type="dxa"/>
            <w:gridSpan w:val="3"/>
            <w:vMerge/>
            <w:tcBorders>
              <w:left w:val="single" w:sz="4" w:space="0" w:color="000000"/>
              <w:right w:val="single" w:sz="4" w:space="0" w:color="000000"/>
            </w:tcBorders>
            <w:shd w:val="clear" w:color="auto" w:fill="D2D2D2"/>
          </w:tcPr>
          <w:p>
            <w:pPr/>
          </w:p>
        </w:tc>
        <w:tc>
          <w:tcPr>
            <w:tcW w:w="2701"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5104" w:type="dxa"/>
            <w:gridSpan w:val="5"/>
            <w:vMerge/>
            <w:tcBorders>
              <w:left w:val="single" w:sz="4" w:space="0" w:color="000000"/>
              <w:bottom w:val="nil" w:sz="6" w:space="0" w:color="auto"/>
              <w:right w:val="single" w:sz="4" w:space="0" w:color="000000"/>
            </w:tcBorders>
            <w:shd w:val="clear" w:color="auto" w:fill="D2D2D2"/>
          </w:tcPr>
          <w:p>
            <w:pPr/>
          </w:p>
        </w:tc>
        <w:tc>
          <w:tcPr>
            <w:tcW w:w="1939" w:type="dxa"/>
            <w:gridSpan w:val="3"/>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5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939" w:type="dxa"/>
            <w:gridSpan w:val="3"/>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2"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939" w:type="dxa"/>
            <w:gridSpan w:val="3"/>
            <w:tcBorders>
              <w:top w:val="single" w:sz="21" w:space="0" w:color="D2D2D2"/>
              <w:left w:val="single" w:sz="4" w:space="0" w:color="000000"/>
              <w:bottom w:val="single" w:sz="4" w:space="0" w:color="000000"/>
              <w:right w:val="single" w:sz="4" w:space="0" w:color="000000"/>
            </w:tcBorders>
          </w:tcPr>
          <w:p>
            <w:pPr>
              <w:pStyle w:val="TableParagraph"/>
              <w:spacing w:line="240" w:lineRule="auto" w:before="69"/>
              <w:ind w:left="1012" w:right="0"/>
              <w:jc w:val="left"/>
              <w:rPr>
                <w:rFonts w:ascii="Times New Roman" w:hAnsi="Times New Roman" w:cs="Times New Roman" w:eastAsia="Times New Roman" w:hint="default"/>
                <w:sz w:val="18"/>
                <w:szCs w:val="18"/>
              </w:rPr>
            </w:pPr>
            <w:r>
              <w:rPr>
                <w:rFonts w:ascii="Times New Roman"/>
                <w:sz w:val="18"/>
              </w:rPr>
              <w:t>118,694,072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118,694,072</w:t>
            </w:r>
          </w:p>
        </w:tc>
      </w:tr>
      <w:tr>
        <w:trPr>
          <w:trHeight w:val="401"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沈友根</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4" w:right="0"/>
              <w:jc w:val="left"/>
              <w:rPr>
                <w:rFonts w:ascii="Times New Roman" w:hAnsi="Times New Roman" w:cs="Times New Roman" w:eastAsia="Times New Roman" w:hint="default"/>
                <w:sz w:val="18"/>
                <w:szCs w:val="18"/>
              </w:rPr>
            </w:pPr>
            <w:r>
              <w:rPr>
                <w:rFonts w:ascii="Times New Roman"/>
                <w:sz w:val="18"/>
              </w:rPr>
              <w:t>58,060,800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58,060,800</w:t>
            </w:r>
          </w:p>
        </w:tc>
      </w:tr>
      <w:tr>
        <w:trPr>
          <w:trHeight w:val="404"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陆丽丽</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4" w:right="0"/>
              <w:jc w:val="left"/>
              <w:rPr>
                <w:rFonts w:ascii="Times New Roman" w:hAnsi="Times New Roman" w:cs="Times New Roman" w:eastAsia="Times New Roman" w:hint="default"/>
                <w:sz w:val="18"/>
                <w:szCs w:val="18"/>
              </w:rPr>
            </w:pPr>
            <w:r>
              <w:rPr>
                <w:rFonts w:ascii="Times New Roman"/>
                <w:sz w:val="18"/>
              </w:rPr>
              <w:t>56,881,440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56,881,440</w:t>
            </w:r>
          </w:p>
        </w:tc>
      </w:tr>
      <w:tr>
        <w:trPr>
          <w:trHeight w:val="401"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4" w:right="0"/>
              <w:jc w:val="left"/>
              <w:rPr>
                <w:rFonts w:ascii="Times New Roman" w:hAnsi="Times New Roman" w:cs="Times New Roman" w:eastAsia="Times New Roman" w:hint="default"/>
                <w:sz w:val="18"/>
                <w:szCs w:val="18"/>
              </w:rPr>
            </w:pPr>
            <w:r>
              <w:rPr>
                <w:rFonts w:ascii="Times New Roman"/>
                <w:sz w:val="18"/>
              </w:rPr>
              <w:t>31,268,000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31,268,000</w:t>
            </w:r>
          </w:p>
        </w:tc>
      </w:tr>
      <w:tr>
        <w:trPr>
          <w:trHeight w:val="403"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交通银行股份有限公司－工银瑞信互联网加股票型证券投资基金</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4" w:right="0"/>
              <w:jc w:val="left"/>
              <w:rPr>
                <w:rFonts w:ascii="Times New Roman" w:hAnsi="Times New Roman" w:cs="Times New Roman" w:eastAsia="Times New Roman" w:hint="default"/>
                <w:sz w:val="18"/>
                <w:szCs w:val="18"/>
              </w:rPr>
            </w:pPr>
            <w:r>
              <w:rPr>
                <w:rFonts w:ascii="Times New Roman"/>
                <w:sz w:val="18"/>
              </w:rPr>
              <w:t>15,971,653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15,971,653</w:t>
            </w:r>
          </w:p>
        </w:tc>
      </w:tr>
      <w:tr>
        <w:trPr>
          <w:trHeight w:val="401"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胡关凤</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4" w:right="0"/>
              <w:jc w:val="left"/>
              <w:rPr>
                <w:rFonts w:ascii="Times New Roman" w:hAnsi="Times New Roman" w:cs="Times New Roman" w:eastAsia="Times New Roman" w:hint="default"/>
                <w:sz w:val="18"/>
                <w:szCs w:val="18"/>
              </w:rPr>
            </w:pPr>
            <w:r>
              <w:rPr>
                <w:rFonts w:ascii="Times New Roman"/>
                <w:sz w:val="18"/>
              </w:rPr>
              <w:t>13,533,085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13,533,085</w:t>
            </w:r>
          </w:p>
        </w:tc>
      </w:tr>
      <w:tr>
        <w:trPr>
          <w:trHeight w:val="403"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1" w:right="0"/>
              <w:jc w:val="left"/>
              <w:rPr>
                <w:rFonts w:ascii="Times New Roman" w:hAnsi="Times New Roman" w:cs="Times New Roman" w:eastAsia="Times New Roman" w:hint="default"/>
                <w:sz w:val="18"/>
                <w:szCs w:val="18"/>
              </w:rPr>
            </w:pPr>
            <w:r>
              <w:rPr>
                <w:rFonts w:ascii="Times New Roman"/>
                <w:sz w:val="18"/>
              </w:rPr>
              <w:t>11,981,533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11,981,533</w:t>
            </w:r>
          </w:p>
        </w:tc>
      </w:tr>
      <w:tr>
        <w:trPr>
          <w:trHeight w:val="401"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交通银行股份有限公司－易方达科讯混合型证券投资基金</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5" w:right="0"/>
              <w:jc w:val="left"/>
              <w:rPr>
                <w:rFonts w:ascii="Times New Roman" w:hAnsi="Times New Roman" w:cs="Times New Roman" w:eastAsia="Times New Roman" w:hint="default"/>
                <w:sz w:val="18"/>
                <w:szCs w:val="18"/>
              </w:rPr>
            </w:pPr>
            <w:r>
              <w:rPr>
                <w:rFonts w:ascii="Times New Roman"/>
                <w:sz w:val="18"/>
              </w:rPr>
              <w:t>9,000,000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9,000,000</w:t>
            </w:r>
          </w:p>
        </w:tc>
      </w:tr>
      <w:tr>
        <w:trPr>
          <w:trHeight w:val="403"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广东惠正投资管理有限公司－惠正平稳私募证券投资基金</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5" w:right="0"/>
              <w:jc w:val="left"/>
              <w:rPr>
                <w:rFonts w:ascii="Times New Roman" w:hAnsi="Times New Roman" w:cs="Times New Roman" w:eastAsia="Times New Roman" w:hint="default"/>
                <w:sz w:val="18"/>
                <w:szCs w:val="18"/>
              </w:rPr>
            </w:pPr>
            <w:r>
              <w:rPr>
                <w:rFonts w:ascii="Times New Roman"/>
                <w:sz w:val="18"/>
              </w:rPr>
              <w:t>8,687,800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8,687,800</w:t>
            </w:r>
          </w:p>
        </w:tc>
      </w:tr>
      <w:tr>
        <w:trPr>
          <w:trHeight w:val="401" w:hRule="exact"/>
        </w:trPr>
        <w:tc>
          <w:tcPr>
            <w:tcW w:w="5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中国建设银行股份有限公司－富国创业板指数分级证券投资基金</w:t>
            </w:r>
          </w:p>
        </w:tc>
        <w:tc>
          <w:tcPr>
            <w:tcW w:w="19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5" w:right="0"/>
              <w:jc w:val="left"/>
              <w:rPr>
                <w:rFonts w:ascii="Times New Roman" w:hAnsi="Times New Roman" w:cs="Times New Roman" w:eastAsia="Times New Roman" w:hint="default"/>
                <w:sz w:val="18"/>
                <w:szCs w:val="18"/>
              </w:rPr>
            </w:pPr>
            <w:r>
              <w:rPr>
                <w:rFonts w:ascii="Times New Roman"/>
                <w:sz w:val="18"/>
              </w:rPr>
              <w:t>7,377,851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7,377,851</w:t>
            </w:r>
          </w:p>
        </w:tc>
      </w:tr>
      <w:tr>
        <w:trPr>
          <w:trHeight w:val="1340" w:hRule="exact"/>
        </w:trPr>
        <w:tc>
          <w:tcPr>
            <w:tcW w:w="51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464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其实先生与沈友根先生系父子关系，与陆丽丽女士系夫妻 关系，三人合计持有股份占公司总股本的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31.81%</w:t>
            </w:r>
            <w:r>
              <w:rPr>
                <w:rFonts w:ascii="宋体" w:hAnsi="宋体" w:cs="宋体" w:eastAsia="宋体" w:hint="default"/>
                <w:sz w:val="18"/>
                <w:szCs w:val="18"/>
              </w:rPr>
              <w:t>。除此之 外，公司未知上述其他股东之间是否存在关联关系，也未 知是否属于一致行动人。</w:t>
            </w:r>
          </w:p>
        </w:tc>
      </w:tr>
      <w:tr>
        <w:trPr>
          <w:trHeight w:val="401" w:hRule="exact"/>
        </w:trPr>
        <w:tc>
          <w:tcPr>
            <w:tcW w:w="51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46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852" w:footer="979" w:top="1300" w:bottom="1160" w:left="980" w:right="900"/>
        </w:sectPr>
      </w:pPr>
    </w:p>
    <w:p>
      <w:pPr>
        <w:pStyle w:val="Heading5"/>
        <w:spacing w:line="240" w:lineRule="auto" w:before="108"/>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761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其实</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7"/>
        <w:gridCol w:w="2122"/>
        <w:gridCol w:w="4121"/>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其实</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东方财富董事长</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2"/>
        <w:rPr>
          <w:rFonts w:ascii="宋体" w:hAnsi="宋体" w:cs="宋体" w:eastAsia="宋体" w:hint="default"/>
          <w:sz w:val="23"/>
          <w:szCs w:val="23"/>
        </w:rPr>
      </w:pPr>
    </w:p>
    <w:p>
      <w:pPr>
        <w:spacing w:line="4125" w:lineRule="exact"/>
        <w:ind w:left="1355"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590251" cy="261937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2" cstate="print"/>
                    <a:stretch>
                      <a:fillRect/>
                    </a:stretch>
                  </pic:blipFill>
                  <pic:spPr>
                    <a:xfrm>
                      <a:off x="0" y="0"/>
                      <a:ext cx="4590251" cy="2619375"/>
                    </a:xfrm>
                    <a:prstGeom prst="rect">
                      <a:avLst/>
                    </a:prstGeom>
                  </pic:spPr>
                </pic:pic>
              </a:graphicData>
            </a:graphic>
          </wp:inline>
        </w:drawing>
      </w:r>
      <w:r>
        <w:rPr>
          <w:rFonts w:ascii="宋体" w:hAnsi="宋体" w:cs="宋体" w:eastAsia="宋体" w:hint="default"/>
          <w:position w:val="-82"/>
          <w:sz w:val="20"/>
          <w:szCs w:val="20"/>
        </w:rPr>
      </w:r>
    </w:p>
    <w:p>
      <w:pPr>
        <w:spacing w:after="0" w:line="4125" w:lineRule="exact"/>
        <w:rPr>
          <w:rFonts w:ascii="宋体" w:hAnsi="宋体" w:cs="宋体" w:eastAsia="宋体" w:hint="default"/>
          <w:sz w:val="20"/>
          <w:szCs w:val="20"/>
        </w:rPr>
        <w:sectPr>
          <w:pgSz w:w="11910" w:h="16840"/>
          <w:pgMar w:header="852" w:footer="979" w:top="1300" w:bottom="1160" w:left="980" w:right="980"/>
        </w:sectPr>
      </w:pPr>
    </w:p>
    <w:p>
      <w:pPr>
        <w:spacing w:before="12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32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公司控股股东、实际控制人及重组方严格履行限制减持的相关承诺，未发生减持。</w:t>
      </w:r>
    </w:p>
    <w:p>
      <w:pPr>
        <w:spacing w:after="0" w:line="338" w:lineRule="auto"/>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40"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08"/>
        <w:gridCol w:w="1277"/>
        <w:gridCol w:w="425"/>
        <w:gridCol w:w="425"/>
        <w:gridCol w:w="427"/>
        <w:gridCol w:w="850"/>
        <w:gridCol w:w="852"/>
        <w:gridCol w:w="991"/>
        <w:gridCol w:w="850"/>
        <w:gridCol w:w="805"/>
        <w:gridCol w:w="991"/>
        <w:gridCol w:w="1068"/>
      </w:tblGrid>
      <w:tr>
        <w:trPr>
          <w:trHeight w:val="1027"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151" w:right="146"/>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151" w:right="14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131" w:right="12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40" w:right="38" w:firstLine="91"/>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57" w:lineRule="auto"/>
              <w:ind w:left="167" w:right="1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339,125,915</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135,650,366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474,776,281</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6"/>
                <w:sz w:val="18"/>
                <w:szCs w:val="18"/>
              </w:rPr>
              <w:t>副董事长、总经</w:t>
            </w:r>
            <w:r>
              <w:rPr>
                <w:rFonts w:ascii="宋体" w:hAnsi="宋体" w:cs="宋体" w:eastAsia="宋体" w:hint="default"/>
                <w:sz w:val="18"/>
                <w:szCs w:val="18"/>
              </w:rPr>
              <w:t>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10,506,436</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4,202,575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14,709,011</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6"/>
                <w:sz w:val="18"/>
                <w:szCs w:val="18"/>
              </w:rPr>
              <w:t>副董事长、副总</w:t>
            </w:r>
            <w:r>
              <w:rPr>
                <w:rFonts w:ascii="宋体" w:hAnsi="宋体" w:cs="宋体" w:eastAsia="宋体" w:hint="default"/>
                <w:sz w:val="18"/>
                <w:szCs w:val="18"/>
              </w:rPr>
              <w:t> 经理、财务总 </w:t>
            </w:r>
            <w:r>
              <w:rPr>
                <w:rFonts w:ascii="宋体" w:hAnsi="宋体" w:cs="宋体" w:eastAsia="宋体" w:hint="default"/>
                <w:spacing w:val="-6"/>
                <w:sz w:val="18"/>
                <w:szCs w:val="18"/>
              </w:rPr>
              <w:t>监、董事会秘书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969,836</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690,334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1,660,170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3,792,471</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1,819,388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5,611,859</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16,093,913</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7,193,565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23,287,478</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3,960</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62,064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66,024</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李增泉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17,302,588</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6,921,036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24,223,624</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387,795,119</w:t>
            </w:r>
          </w:p>
        </w:tc>
        <w:tc>
          <w:tcPr>
            <w:tcW w:w="85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156,539,328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544,334,447</w:t>
            </w:r>
          </w:p>
        </w:tc>
      </w:tr>
    </w:tbl>
    <w:p>
      <w:pPr>
        <w:pStyle w:val="Heading4"/>
        <w:spacing w:line="240" w:lineRule="auto" w:before="79"/>
        <w:ind w:right="0"/>
        <w:jc w:val="left"/>
        <w:rPr>
          <w:b w:val="0"/>
          <w:bCs w:val="0"/>
        </w:rPr>
      </w:pPr>
      <w:r>
        <w:rPr/>
        <w:t>二、公司董事、监事、高级管理人员变动情况</w:t>
      </w:r>
      <w:r>
        <w:rPr>
          <w:b w:val="0"/>
          <w:bCs w:val="0"/>
        </w:rPr>
      </w:r>
    </w:p>
    <w:p>
      <w:pPr>
        <w:pStyle w:val="BodyText"/>
        <w:spacing w:line="240" w:lineRule="auto" w:before="145"/>
        <w:ind w:left="573" w:right="0"/>
        <w:jc w:val="left"/>
      </w:pPr>
      <w:r>
        <w:rPr/>
        <w:t>报告期内，公司董事、监事、高级管理人员未发生变动。</w:t>
      </w:r>
    </w:p>
    <w:p>
      <w:pPr>
        <w:spacing w:after="0" w:line="240" w:lineRule="auto"/>
        <w:jc w:val="left"/>
        <w:sectPr>
          <w:pgSz w:w="11910" w:h="16840"/>
          <w:pgMar w:header="852" w:footer="979" w:top="13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6"/>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273" w:lineRule="auto" w:before="94"/>
        <w:ind w:left="635" w:right="103" w:hanging="63"/>
        <w:jc w:val="left"/>
      </w:pP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b/>
          <w:bCs/>
          <w:spacing w:val="-104"/>
        </w:rPr>
        <w:t> </w:t>
      </w:r>
      <w:r>
        <w:rPr>
          <w:rFonts w:ascii="宋体" w:hAnsi="宋体" w:cs="宋体" w:eastAsia="宋体" w:hint="default"/>
          <w:b/>
          <w:bCs/>
          <w:spacing w:val="-6"/>
        </w:rPr>
        <w:t>其实</w:t>
      </w:r>
      <w:r>
        <w:rPr>
          <w:spacing w:val="-6"/>
        </w:rPr>
        <w:t>，男，</w:t>
      </w:r>
      <w:r>
        <w:rPr>
          <w:rFonts w:ascii="宋体" w:hAnsi="宋体" w:cs="宋体" w:eastAsia="宋体" w:hint="default"/>
          <w:spacing w:val="-6"/>
        </w:rPr>
        <w:t>1970</w:t>
      </w:r>
      <w:r>
        <w:rPr>
          <w:spacing w:val="-6"/>
        </w:rPr>
        <w:t>年</w:t>
      </w:r>
      <w:r>
        <w:rPr>
          <w:rFonts w:ascii="宋体" w:hAnsi="宋体" w:cs="宋体" w:eastAsia="宋体" w:hint="default"/>
          <w:spacing w:val="-6"/>
        </w:rPr>
        <w:t>10</w:t>
      </w:r>
      <w:r>
        <w:rPr>
          <w:spacing w:val="-6"/>
        </w:rPr>
        <w:t>月生，中国国籍，无永久境外居留权，复旦大学博士研究生学历、文学博士学位，</w:t>
      </w:r>
    </w:p>
    <w:p>
      <w:pPr>
        <w:pStyle w:val="BodyText"/>
        <w:spacing w:line="273" w:lineRule="auto" w:before="7"/>
        <w:ind w:right="206"/>
        <w:jc w:val="both"/>
      </w:pPr>
      <w:r>
        <w:rPr>
          <w:spacing w:val="-2"/>
        </w:rPr>
        <w:t>现任本公司董事长。其实先生目前担任中国民主建国会中央委员、上海市政协委员、全国青年企业家协会</w:t>
      </w:r>
      <w:r>
        <w:rPr>
          <w:spacing w:val="-43"/>
        </w:rPr>
        <w:t> </w:t>
      </w:r>
      <w:r>
        <w:rPr>
          <w:spacing w:val="-43"/>
        </w:rPr>
      </w:r>
      <w:r>
        <w:rPr/>
        <w:t>副会长、上海市青年联合会副主席、上海市信息化青年人才协会会长等社会职务。</w:t>
      </w:r>
    </w:p>
    <w:p>
      <w:pPr>
        <w:pStyle w:val="BodyText"/>
        <w:spacing w:line="273" w:lineRule="auto" w:before="7"/>
        <w:ind w:right="206" w:firstLine="482"/>
        <w:jc w:val="both"/>
      </w:pPr>
      <w:r>
        <w:rPr>
          <w:rFonts w:ascii="宋体" w:hAnsi="宋体" w:cs="宋体" w:eastAsia="宋体" w:hint="default"/>
          <w:b/>
          <w:bCs/>
          <w:spacing w:val="-4"/>
        </w:rPr>
        <w:t>陶涛</w:t>
      </w:r>
      <w:r>
        <w:rPr>
          <w:spacing w:val="-4"/>
        </w:rPr>
        <w:t>，男，</w:t>
      </w:r>
      <w:r>
        <w:rPr>
          <w:rFonts w:ascii="宋体" w:hAnsi="宋体" w:cs="宋体" w:eastAsia="宋体" w:hint="default"/>
          <w:spacing w:val="-4"/>
        </w:rPr>
        <w:t>1967</w:t>
      </w:r>
      <w:r>
        <w:rPr>
          <w:spacing w:val="-4"/>
        </w:rPr>
        <w:t>年</w:t>
      </w:r>
      <w:r>
        <w:rPr>
          <w:rFonts w:ascii="宋体" w:hAnsi="宋体" w:cs="宋体" w:eastAsia="宋体" w:hint="default"/>
          <w:spacing w:val="-4"/>
        </w:rPr>
        <w:t>12</w:t>
      </w:r>
      <w:r>
        <w:rPr>
          <w:spacing w:val="-4"/>
        </w:rPr>
        <w:t>月生，中国国籍，无永久境外居留权，大学本科。曾任职于上海兰生集团有限公</w:t>
      </w:r>
      <w:r>
        <w:rPr>
          <w:w w:val="100"/>
        </w:rPr>
        <w:t> </w:t>
      </w:r>
      <w:r>
        <w:rPr>
          <w:spacing w:val="-2"/>
        </w:rPr>
        <w:t>司企宣部、公共事务部、总经理办公室，期间担任东视财经特约记者，负责东方电视台、北京电视台、深</w:t>
      </w:r>
      <w:r>
        <w:rPr>
          <w:spacing w:val="-44"/>
        </w:rPr>
        <w:t> </w:t>
      </w:r>
      <w:r>
        <w:rPr>
          <w:spacing w:val="-44"/>
        </w:rPr>
      </w:r>
      <w:r>
        <w:rPr/>
        <w:t>圳电视台联合制作的《证券无限三地通》节目的上海地区采编工作。现任本公司副董事长、总经理。</w:t>
      </w:r>
    </w:p>
    <w:p>
      <w:pPr>
        <w:pStyle w:val="BodyText"/>
        <w:spacing w:line="273" w:lineRule="auto" w:before="7"/>
        <w:ind w:right="103" w:firstLine="482"/>
        <w:jc w:val="left"/>
      </w:pPr>
      <w:r>
        <w:rPr>
          <w:rFonts w:ascii="宋体" w:hAnsi="宋体" w:cs="宋体" w:eastAsia="宋体" w:hint="default"/>
          <w:b/>
          <w:bCs/>
          <w:spacing w:val="-4"/>
        </w:rPr>
        <w:t>陆威</w:t>
      </w:r>
      <w:r>
        <w:rPr>
          <w:spacing w:val="-4"/>
        </w:rPr>
        <w:t>，男，</w:t>
      </w:r>
      <w:r>
        <w:rPr>
          <w:rFonts w:ascii="宋体" w:hAnsi="宋体" w:cs="宋体" w:eastAsia="宋体" w:hint="default"/>
          <w:spacing w:val="-4"/>
        </w:rPr>
        <w:t>1971</w:t>
      </w:r>
      <w:r>
        <w:rPr>
          <w:spacing w:val="-4"/>
        </w:rPr>
        <w:t>年</w:t>
      </w:r>
      <w:r>
        <w:rPr>
          <w:rFonts w:ascii="宋体" w:hAnsi="宋体" w:cs="宋体" w:eastAsia="宋体" w:hint="default"/>
          <w:spacing w:val="-4"/>
        </w:rPr>
        <w:t>10</w:t>
      </w:r>
      <w:r>
        <w:rPr>
          <w:spacing w:val="-4"/>
        </w:rPr>
        <w:t>月生，中国国籍，无永久境外居留权，复旦大学高级工商管理硕士（</w:t>
      </w:r>
      <w:r>
        <w:rPr>
          <w:rFonts w:ascii="宋体" w:hAnsi="宋体" w:cs="宋体" w:eastAsia="宋体" w:hint="default"/>
          <w:spacing w:val="-4"/>
        </w:rPr>
        <w:t>EMBA</w:t>
      </w:r>
      <w:r>
        <w:rPr>
          <w:spacing w:val="-4"/>
        </w:rPr>
        <w:t>），高</w:t>
      </w:r>
      <w:r>
        <w:rPr>
          <w:spacing w:val="-12"/>
          <w:w w:val="100"/>
        </w:rPr>
        <w:t> </w:t>
      </w:r>
      <w:r>
        <w:rPr>
          <w:spacing w:val="-2"/>
        </w:rPr>
        <w:t>级会计师。曾任中国外运江苏集团出纳，海运、陆运结算，空运公司财务经理，中外运集装箱运输有限公</w:t>
      </w:r>
      <w:r>
        <w:rPr>
          <w:spacing w:val="-43"/>
        </w:rPr>
        <w:t> </w:t>
      </w:r>
      <w:r>
        <w:rPr>
          <w:spacing w:val="-43"/>
        </w:rPr>
      </w:r>
      <w:r>
        <w:rPr>
          <w:spacing w:val="-2"/>
        </w:rPr>
        <w:t>司财务部资金计划科经理、财务部总经理助理、副总经理、总经理。陆威先生有十多年大型中央集团企业</w:t>
      </w:r>
      <w:r>
        <w:rPr>
          <w:spacing w:val="-44"/>
        </w:rPr>
        <w:t> </w:t>
      </w:r>
      <w:r>
        <w:rPr>
          <w:spacing w:val="-44"/>
        </w:rPr>
      </w:r>
      <w:r>
        <w:rPr>
          <w:spacing w:val="-2"/>
        </w:rPr>
        <w:t>财务管理经验以及公司上市经验，是中国会计学会会员、中国总会计师协会会员、上海市总会计师工作研</w:t>
      </w:r>
      <w:r>
        <w:rPr>
          <w:spacing w:val="-44"/>
        </w:rPr>
        <w:t> </w:t>
      </w:r>
      <w:r>
        <w:rPr>
          <w:spacing w:val="-44"/>
        </w:rPr>
      </w:r>
      <w:r>
        <w:rPr/>
        <w:t>究会会员，复旦大学</w:t>
      </w:r>
      <w:r>
        <w:rPr>
          <w:rFonts w:ascii="宋体" w:hAnsi="宋体" w:cs="宋体" w:eastAsia="宋体" w:hint="default"/>
        </w:rPr>
        <w:t>MPACC</w:t>
      </w:r>
      <w:r>
        <w:rPr/>
        <w:t>社会导师，上海市软件行业协会副会长。现任本公司副董事长、副总经理、财</w:t>
      </w:r>
      <w:r>
        <w:rPr>
          <w:w w:val="100"/>
        </w:rPr>
        <w:t> </w:t>
      </w:r>
      <w:r>
        <w:rPr/>
        <w:t>务总监、董事会秘书及上海天洋热熔粘接材料股份有限公司独立董事。</w:t>
      </w:r>
    </w:p>
    <w:p>
      <w:pPr>
        <w:pStyle w:val="BodyText"/>
        <w:spacing w:line="273" w:lineRule="auto" w:before="7"/>
        <w:ind w:right="206" w:firstLine="482"/>
        <w:jc w:val="both"/>
      </w:pPr>
      <w:r>
        <w:rPr>
          <w:rFonts w:ascii="宋体" w:hAnsi="宋体" w:cs="宋体" w:eastAsia="宋体" w:hint="default"/>
          <w:b/>
          <w:bCs/>
          <w:spacing w:val="-1"/>
        </w:rPr>
        <w:t>程磊</w:t>
      </w:r>
      <w:r>
        <w:rPr>
          <w:spacing w:val="-1"/>
        </w:rPr>
        <w:t>，男，</w:t>
      </w:r>
      <w:r>
        <w:rPr>
          <w:rFonts w:ascii="宋体" w:hAnsi="宋体" w:cs="宋体" w:eastAsia="宋体" w:hint="default"/>
          <w:spacing w:val="-1"/>
        </w:rPr>
        <w:t>1977</w:t>
      </w:r>
      <w:r>
        <w:rPr>
          <w:spacing w:val="-1"/>
        </w:rPr>
        <w:t>年</w:t>
      </w:r>
      <w:r>
        <w:rPr>
          <w:rFonts w:ascii="宋体" w:hAnsi="宋体" w:cs="宋体" w:eastAsia="宋体" w:hint="default"/>
          <w:spacing w:val="-1"/>
        </w:rPr>
        <w:t>2</w:t>
      </w:r>
      <w:r>
        <w:rPr>
          <w:spacing w:val="-1"/>
        </w:rPr>
        <w:t>月生，中国国籍，无永久境外居留权，复旦大学计算机软件专业本科学历，复旦</w:t>
      </w:r>
      <w:r>
        <w:rPr>
          <w:w w:val="100"/>
        </w:rPr>
        <w:t> </w:t>
      </w:r>
      <w:r>
        <w:rPr>
          <w:spacing w:val="-2"/>
        </w:rPr>
        <w:t>大学软件工程硕士。曾任上海美宁计算机网络有限公司技术部开发组成员、项目经理，环球外汇网副总经</w:t>
      </w:r>
      <w:r>
        <w:rPr>
          <w:spacing w:val="-43"/>
        </w:rPr>
        <w:t> </w:t>
      </w:r>
      <w:r>
        <w:rPr>
          <w:spacing w:val="-43"/>
        </w:rPr>
      </w:r>
      <w:r>
        <w:rPr/>
        <w:t>理兼技术总监，本公司研发中心总监</w:t>
      </w:r>
      <w:r>
        <w:rPr>
          <w:spacing w:val="-5"/>
        </w:rPr>
        <w:t> </w:t>
      </w:r>
      <w:r>
        <w:rPr/>
        <w:t>。现任本公司董事、副总经理。</w:t>
      </w:r>
    </w:p>
    <w:p>
      <w:pPr>
        <w:pStyle w:val="BodyText"/>
        <w:spacing w:line="273" w:lineRule="auto" w:before="7"/>
        <w:ind w:right="206" w:firstLine="473"/>
        <w:jc w:val="both"/>
      </w:pPr>
      <w:r>
        <w:rPr>
          <w:rFonts w:ascii="宋体" w:hAnsi="宋体" w:cs="宋体" w:eastAsia="宋体" w:hint="default"/>
          <w:b/>
          <w:bCs/>
          <w:spacing w:val="-1"/>
        </w:rPr>
        <w:t>史佳</w:t>
      </w:r>
      <w:r>
        <w:rPr>
          <w:spacing w:val="-1"/>
        </w:rPr>
        <w:t>，男，</w:t>
      </w:r>
      <w:r>
        <w:rPr>
          <w:rFonts w:ascii="宋体" w:hAnsi="宋体" w:cs="宋体" w:eastAsia="宋体" w:hint="default"/>
          <w:spacing w:val="-1"/>
        </w:rPr>
        <w:t>1977</w:t>
      </w:r>
      <w:r>
        <w:rPr>
          <w:spacing w:val="-1"/>
        </w:rPr>
        <w:t>年</w:t>
      </w:r>
      <w:r>
        <w:rPr>
          <w:rFonts w:ascii="宋体" w:hAnsi="宋体" w:cs="宋体" w:eastAsia="宋体" w:hint="default"/>
          <w:spacing w:val="-1"/>
        </w:rPr>
        <w:t>6</w:t>
      </w:r>
      <w:r>
        <w:rPr>
          <w:spacing w:val="-1"/>
        </w:rPr>
        <w:t>月生，中国国籍，无永久境外居留权，复旦大学计算机及应用专业本科学历。曾</w:t>
      </w:r>
      <w:r>
        <w:rPr>
          <w:w w:val="100"/>
        </w:rPr>
        <w:t> </w:t>
      </w:r>
      <w:r>
        <w:rPr>
          <w:spacing w:val="-2"/>
        </w:rPr>
        <w:t>任上海美宁计算机软件有限公司高级软件工程师、项目经理、产品经理，本公司董事、副总经理。现任本</w:t>
      </w:r>
      <w:r>
        <w:rPr>
          <w:spacing w:val="-42"/>
        </w:rPr>
        <w:t> </w:t>
      </w:r>
      <w:r>
        <w:rPr>
          <w:spacing w:val="-42"/>
        </w:rPr>
      </w:r>
      <w:r>
        <w:rPr/>
        <w:t>公司董事、副总经理。史佳先生已于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16</w:t>
      </w:r>
      <w:r>
        <w:rPr/>
        <w:t>日向公司董事会提出辞任董事、副总经理申请，在公司</w:t>
      </w:r>
      <w:r>
        <w:rPr>
          <w:spacing w:val="-25"/>
        </w:rPr>
        <w:t> </w:t>
      </w:r>
      <w:r>
        <w:rPr>
          <w:spacing w:val="-25"/>
        </w:rPr>
      </w:r>
      <w:r>
        <w:rPr/>
        <w:t>股东大会选举出新的董事前，史佳先生将继续履职。</w:t>
      </w:r>
    </w:p>
    <w:p>
      <w:pPr>
        <w:pStyle w:val="BodyText"/>
        <w:spacing w:line="273" w:lineRule="auto" w:before="8"/>
        <w:ind w:right="103" w:firstLine="473"/>
        <w:jc w:val="left"/>
      </w:pPr>
      <w:r>
        <w:rPr>
          <w:rFonts w:ascii="宋体" w:hAnsi="宋体" w:cs="宋体" w:eastAsia="宋体" w:hint="default"/>
          <w:b/>
          <w:bCs/>
        </w:rPr>
        <w:t>曹薇</w:t>
      </w:r>
      <w:r>
        <w:rPr/>
        <w:t>，女，</w:t>
      </w:r>
      <w:r>
        <w:rPr>
          <w:rFonts w:ascii="宋体" w:hAnsi="宋体" w:cs="宋体" w:eastAsia="宋体" w:hint="default"/>
        </w:rPr>
        <w:t>1964</w:t>
      </w:r>
      <w:r>
        <w:rPr/>
        <w:t>年</w:t>
      </w:r>
      <w:r>
        <w:rPr>
          <w:rFonts w:ascii="宋体" w:hAnsi="宋体" w:cs="宋体" w:eastAsia="宋体" w:hint="default"/>
        </w:rPr>
        <w:t>1</w:t>
      </w:r>
      <w:r>
        <w:rPr/>
        <w:t>月生，中国国籍，无永久境外居留权，法学学士。曾任职于共青团上海市委研究</w:t>
      </w:r>
      <w:r>
        <w:rPr>
          <w:w w:val="100"/>
        </w:rPr>
        <w:t> </w:t>
      </w:r>
      <w:r>
        <w:rPr>
          <w:spacing w:val="-4"/>
        </w:rPr>
        <w:t>室、权益部，金马房产服务</w:t>
      </w:r>
      <w:r>
        <w:rPr>
          <w:rFonts w:ascii="宋体" w:hAnsi="宋体" w:cs="宋体" w:eastAsia="宋体" w:hint="default"/>
          <w:spacing w:val="-4"/>
        </w:rPr>
        <w:t>(</w:t>
      </w:r>
      <w:r>
        <w:rPr>
          <w:spacing w:val="-4"/>
        </w:rPr>
        <w:t>上海</w:t>
      </w:r>
      <w:r>
        <w:rPr>
          <w:rFonts w:ascii="宋体" w:hAnsi="宋体" w:cs="宋体" w:eastAsia="宋体" w:hint="default"/>
          <w:spacing w:val="-4"/>
        </w:rPr>
        <w:t>)</w:t>
      </w:r>
      <w:r>
        <w:rPr>
          <w:spacing w:val="-4"/>
        </w:rPr>
        <w:t>有限公司业务部经理、上海望春花</w:t>
      </w:r>
      <w:r>
        <w:rPr>
          <w:rFonts w:ascii="宋体" w:hAnsi="宋体" w:cs="宋体" w:eastAsia="宋体" w:hint="default"/>
          <w:spacing w:val="-4"/>
        </w:rPr>
        <w:t>(</w:t>
      </w:r>
      <w:r>
        <w:rPr>
          <w:spacing w:val="-4"/>
        </w:rPr>
        <w:t>集团</w:t>
      </w:r>
      <w:r>
        <w:rPr>
          <w:rFonts w:ascii="宋体" w:hAnsi="宋体" w:cs="宋体" w:eastAsia="宋体" w:hint="default"/>
          <w:spacing w:val="-4"/>
        </w:rPr>
        <w:t>)</w:t>
      </w:r>
      <w:r>
        <w:rPr>
          <w:spacing w:val="-4"/>
        </w:rPr>
        <w:t>股份有限公司行政人事总监等。</w:t>
      </w:r>
      <w:r>
        <w:rPr>
          <w:spacing w:val="-44"/>
        </w:rPr>
        <w:t> </w:t>
      </w:r>
      <w:r>
        <w:rPr>
          <w:spacing w:val="-44"/>
        </w:rPr>
      </w:r>
      <w:r>
        <w:rPr/>
        <w:t>现任本公司董事、办公室主任。曹薇女士已于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16</w:t>
      </w:r>
      <w:r>
        <w:rPr/>
        <w:t>日向公司董事会提出辞任董事申请，在公司股</w:t>
      </w:r>
      <w:r>
        <w:rPr>
          <w:spacing w:val="-27"/>
        </w:rPr>
        <w:t> </w:t>
      </w:r>
      <w:r>
        <w:rPr>
          <w:spacing w:val="-27"/>
        </w:rPr>
      </w:r>
      <w:r>
        <w:rPr/>
        <w:t>东大会选举出新的董事前，曹薇女士将继续履职。</w:t>
      </w:r>
    </w:p>
    <w:p>
      <w:pPr>
        <w:pStyle w:val="BodyText"/>
        <w:spacing w:line="273" w:lineRule="auto" w:before="7"/>
        <w:ind w:right="103" w:firstLine="422"/>
        <w:jc w:val="left"/>
      </w:pPr>
      <w:r>
        <w:rPr>
          <w:rFonts w:ascii="宋体" w:hAnsi="宋体" w:cs="宋体" w:eastAsia="宋体" w:hint="default"/>
          <w:b/>
          <w:bCs/>
        </w:rPr>
        <w:t>颜学海</w:t>
      </w:r>
      <w:r>
        <w:rPr/>
        <w:t>，男，</w:t>
      </w:r>
      <w:r>
        <w:rPr>
          <w:rFonts w:ascii="宋体" w:hAnsi="宋体" w:cs="宋体" w:eastAsia="宋体" w:hint="default"/>
        </w:rPr>
        <w:t>1970</w:t>
      </w:r>
      <w:r>
        <w:rPr/>
        <w:t>年</w:t>
      </w:r>
      <w:r>
        <w:rPr>
          <w:rFonts w:ascii="宋体" w:hAnsi="宋体" w:cs="宋体" w:eastAsia="宋体" w:hint="default"/>
        </w:rPr>
        <w:t>2</w:t>
      </w:r>
      <w:r>
        <w:rPr/>
        <w:t>月生，中国国籍，无永久境外居留权，法律硕士。曾任首届中国科技金融促进</w:t>
      </w:r>
      <w:r>
        <w:rPr>
          <w:w w:val="100"/>
        </w:rPr>
        <w:t> </w:t>
      </w:r>
      <w:r>
        <w:rPr>
          <w:spacing w:val="-2"/>
        </w:rPr>
        <w:t>会风险投资专业委员会委员、上海市股份公司联合会副理事长、上海市国资委法律专家团成员，现任海华</w:t>
      </w:r>
      <w:r>
        <w:rPr>
          <w:spacing w:val="-42"/>
        </w:rPr>
        <w:t> </w:t>
      </w:r>
      <w:r>
        <w:rPr>
          <w:spacing w:val="-42"/>
        </w:rPr>
      </w:r>
      <w:r>
        <w:rPr>
          <w:spacing w:val="-2"/>
        </w:rPr>
        <w:t>永泰律师事务所主任、首席合伙人、上海仲裁委员会仲裁员、上海交通大学法学院客座教授、华东政法大</w:t>
      </w:r>
      <w:r>
        <w:rPr>
          <w:spacing w:val="-50"/>
        </w:rPr>
        <w:t> </w:t>
      </w:r>
      <w:r>
        <w:rPr>
          <w:spacing w:val="-50"/>
        </w:rPr>
      </w:r>
      <w:r>
        <w:rPr/>
        <w:t>学客座教授、复旦大学法学院研究生实务导师及东方财富独立董事。</w:t>
      </w:r>
    </w:p>
    <w:p>
      <w:pPr>
        <w:pStyle w:val="BodyText"/>
        <w:spacing w:line="273" w:lineRule="auto" w:before="7"/>
        <w:ind w:right="206" w:firstLine="480"/>
        <w:jc w:val="both"/>
      </w:pPr>
      <w:r>
        <w:rPr>
          <w:rFonts w:ascii="宋体" w:hAnsi="宋体" w:cs="宋体" w:eastAsia="宋体" w:hint="default"/>
          <w:b/>
          <w:bCs/>
          <w:spacing w:val="-1"/>
        </w:rPr>
        <w:t>江泊</w:t>
      </w:r>
      <w:r>
        <w:rPr>
          <w:spacing w:val="-1"/>
        </w:rPr>
        <w:t>，男，</w:t>
      </w:r>
      <w:r>
        <w:rPr>
          <w:rFonts w:ascii="宋体" w:hAnsi="宋体" w:cs="宋体" w:eastAsia="宋体" w:hint="default"/>
          <w:spacing w:val="-1"/>
        </w:rPr>
        <w:t>1956</w:t>
      </w:r>
      <w:r>
        <w:rPr>
          <w:spacing w:val="-1"/>
        </w:rPr>
        <w:t>年</w:t>
      </w:r>
      <w:r>
        <w:rPr>
          <w:rFonts w:ascii="宋体" w:hAnsi="宋体" w:cs="宋体" w:eastAsia="宋体" w:hint="default"/>
          <w:spacing w:val="-1"/>
        </w:rPr>
        <w:t>2</w:t>
      </w:r>
      <w:r>
        <w:rPr>
          <w:spacing w:val="-1"/>
        </w:rPr>
        <w:t>月生，中国国籍，无永久境外居留权，博士学位。曾就职于江苏省广电厅、中国</w:t>
      </w:r>
      <w:r>
        <w:rPr>
          <w:w w:val="100"/>
        </w:rPr>
        <w:t> </w:t>
      </w:r>
      <w:r>
        <w:rPr>
          <w:spacing w:val="-2"/>
        </w:rPr>
        <w:t>唱片总公司江苏公司。现任上海电影艺术职业学院院长、中国文化娱乐网总裁、中国文化报文化教育发展</w:t>
      </w:r>
      <w:r>
        <w:rPr>
          <w:spacing w:val="-44"/>
        </w:rPr>
        <w:t> </w:t>
      </w:r>
      <w:r>
        <w:rPr>
          <w:spacing w:val="-44"/>
        </w:rPr>
      </w:r>
      <w:r>
        <w:rPr/>
        <w:t>中心主任、巨石文化公司总裁、中国美术学院上海设计学院副董事长、新文化及东方财富独立董事。</w:t>
      </w:r>
    </w:p>
    <w:p>
      <w:pPr>
        <w:pStyle w:val="BodyText"/>
        <w:spacing w:line="273" w:lineRule="auto" w:before="8"/>
        <w:ind w:right="185" w:firstLine="480"/>
        <w:jc w:val="both"/>
      </w:pPr>
      <w:r>
        <w:rPr>
          <w:rFonts w:ascii="宋体" w:hAnsi="宋体" w:cs="宋体" w:eastAsia="宋体" w:hint="default"/>
          <w:b/>
          <w:bCs/>
          <w:spacing w:val="-4"/>
        </w:rPr>
        <w:t>李增泉</w:t>
      </w:r>
      <w:r>
        <w:rPr>
          <w:spacing w:val="-4"/>
        </w:rPr>
        <w:t>，男，</w:t>
      </w:r>
      <w:r>
        <w:rPr>
          <w:rFonts w:ascii="宋体" w:hAnsi="宋体" w:cs="宋体" w:eastAsia="宋体" w:hint="default"/>
          <w:spacing w:val="-4"/>
        </w:rPr>
        <w:t>1974</w:t>
      </w:r>
      <w:r>
        <w:rPr>
          <w:spacing w:val="-4"/>
        </w:rPr>
        <w:t>年</w:t>
      </w:r>
      <w:r>
        <w:rPr>
          <w:rFonts w:ascii="宋体" w:hAnsi="宋体" w:cs="宋体" w:eastAsia="宋体" w:hint="default"/>
          <w:spacing w:val="-4"/>
        </w:rPr>
        <w:t>11</w:t>
      </w:r>
      <w:r>
        <w:rPr>
          <w:spacing w:val="-4"/>
        </w:rPr>
        <w:t>月生，中国国籍，无永久境外居留权，博士学位。曾任上海财经大学会计学院</w:t>
      </w:r>
      <w:r>
        <w:rPr>
          <w:w w:val="100"/>
        </w:rPr>
        <w:t> </w:t>
      </w:r>
      <w:r>
        <w:rPr>
          <w:spacing w:val="-2"/>
        </w:rPr>
        <w:t>副教授、硕士生导师，香港城市大学会计系高级研究员、高级访问学者，国资委徐汇区财务咨询专家，获</w:t>
      </w:r>
      <w:r>
        <w:rPr>
          <w:spacing w:val="-43"/>
        </w:rPr>
        <w:t> </w:t>
      </w:r>
      <w:r>
        <w:rPr>
          <w:spacing w:val="-43"/>
        </w:rPr>
      </w:r>
      <w:r>
        <w:rPr>
          <w:spacing w:val="-2"/>
        </w:rPr>
        <w:t>上海市“曙光学者”称号。现任上海财经大学会计学院院长，《经济研究》等多家权威期刊匿名审稿人、</w:t>
      </w:r>
    </w:p>
    <w:p>
      <w:pPr>
        <w:pStyle w:val="BodyText"/>
        <w:spacing w:line="273" w:lineRule="auto" w:before="7"/>
        <w:ind w:right="208"/>
        <w:jc w:val="both"/>
      </w:pPr>
      <w:r>
        <w:rPr>
          <w:rFonts w:ascii="宋体" w:hAnsi="宋体" w:cs="宋体" w:eastAsia="宋体" w:hint="default"/>
        </w:rPr>
        <w:t>&lt;China Journal of Accounting</w:t>
      </w:r>
      <w:r>
        <w:rPr>
          <w:rFonts w:ascii="宋体" w:hAnsi="宋体" w:cs="宋体" w:eastAsia="宋体" w:hint="default"/>
          <w:spacing w:val="-32"/>
        </w:rPr>
        <w:t> </w:t>
      </w:r>
      <w:r>
        <w:rPr>
          <w:rFonts w:ascii="宋体" w:hAnsi="宋体" w:cs="宋体" w:eastAsia="宋体" w:hint="default"/>
        </w:rPr>
        <w:t>Research&gt;</w:t>
      </w:r>
      <w:r>
        <w:rPr/>
        <w:t>编委、申能股份、氯碱化工及东方财富独立董事。李增泉先生</w:t>
      </w:r>
      <w:r>
        <w:rPr>
          <w:w w:val="100"/>
        </w:rPr>
        <w:t> </w:t>
      </w:r>
      <w:r>
        <w:rPr/>
        <w:t>已于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16</w:t>
      </w:r>
      <w:r>
        <w:rPr/>
        <w:t>日向公司董事会提出辞任独立董事申请，在公司股东大会选举出新的独立董事前，李增</w:t>
      </w:r>
      <w:r>
        <w:rPr>
          <w:spacing w:val="-25"/>
        </w:rPr>
        <w:t> </w:t>
      </w:r>
      <w:r>
        <w:rPr>
          <w:spacing w:val="-25"/>
        </w:rPr>
      </w:r>
      <w:r>
        <w:rPr/>
        <w:t>泉先生将继续履职。</w:t>
      </w:r>
    </w:p>
    <w:p>
      <w:pPr>
        <w:pStyle w:val="BodyText"/>
        <w:spacing w:line="273" w:lineRule="auto" w:before="7"/>
        <w:ind w:left="573" w:right="103"/>
        <w:jc w:val="left"/>
      </w:pPr>
      <w:r>
        <w:rPr>
          <w:rFonts w:ascii="宋体" w:hAnsi="宋体" w:cs="宋体" w:eastAsia="宋体" w:hint="default"/>
          <w:b/>
          <w:bCs/>
        </w:rPr>
        <w:t>2</w:t>
      </w:r>
      <w:r>
        <w:rPr>
          <w:rFonts w:ascii="宋体" w:hAnsi="宋体" w:cs="宋体" w:eastAsia="宋体" w:hint="default"/>
          <w:b/>
          <w:bCs/>
        </w:rPr>
        <w:t>、监事会成员</w:t>
      </w:r>
      <w:r>
        <w:rPr>
          <w:rFonts w:ascii="宋体" w:hAnsi="宋体" w:cs="宋体" w:eastAsia="宋体" w:hint="default"/>
          <w:b/>
          <w:bCs/>
          <w:spacing w:val="-104"/>
        </w:rPr>
        <w:t> </w:t>
      </w:r>
      <w:r>
        <w:rPr>
          <w:spacing w:val="-2"/>
        </w:rPr>
        <w:t>鲍一青，男，</w:t>
      </w:r>
      <w:r>
        <w:rPr>
          <w:rFonts w:ascii="宋体" w:hAnsi="宋体" w:cs="宋体" w:eastAsia="宋体" w:hint="default"/>
          <w:spacing w:val="-2"/>
        </w:rPr>
        <w:t>1976</w:t>
      </w:r>
      <w:r>
        <w:rPr>
          <w:spacing w:val="-2"/>
        </w:rPr>
        <w:t>年</w:t>
      </w:r>
      <w:r>
        <w:rPr>
          <w:rFonts w:ascii="宋体" w:hAnsi="宋体" w:cs="宋体" w:eastAsia="宋体" w:hint="default"/>
          <w:spacing w:val="-2"/>
        </w:rPr>
        <w:t>9</w:t>
      </w:r>
      <w:r>
        <w:rPr>
          <w:spacing w:val="-2"/>
        </w:rPr>
        <w:t>月生，中国国籍，无永久境外居留权，大专学历。曾任上海世基投资顾问有限</w:t>
      </w:r>
    </w:p>
    <w:p>
      <w:pPr>
        <w:pStyle w:val="BodyText"/>
        <w:spacing w:line="273" w:lineRule="auto" w:before="7"/>
        <w:ind w:left="573" w:right="103" w:hanging="421"/>
        <w:jc w:val="left"/>
      </w:pPr>
      <w:r>
        <w:rPr/>
        <w:t>公司部门经理，上海益邦投资咨询有限公司副总经理。现任本公司内容部副总监、监事会主席。</w:t>
      </w:r>
      <w:r>
        <w:rPr>
          <w:w w:val="100"/>
        </w:rPr>
        <w:t> </w:t>
      </w:r>
      <w:r>
        <w:rPr>
          <w:spacing w:val="-2"/>
        </w:rPr>
        <w:t>叶露，女，</w:t>
      </w:r>
      <w:r>
        <w:rPr>
          <w:rFonts w:ascii="宋体" w:hAnsi="宋体" w:cs="宋体" w:eastAsia="宋体" w:hint="default"/>
          <w:spacing w:val="-2"/>
        </w:rPr>
        <w:t>1978</w:t>
      </w:r>
      <w:r>
        <w:rPr>
          <w:spacing w:val="-2"/>
        </w:rPr>
        <w:t>年</w:t>
      </w:r>
      <w:r>
        <w:rPr>
          <w:rFonts w:ascii="宋体" w:hAnsi="宋体" w:cs="宋体" w:eastAsia="宋体" w:hint="default"/>
          <w:spacing w:val="-2"/>
        </w:rPr>
        <w:t>12</w:t>
      </w:r>
      <w:r>
        <w:rPr>
          <w:spacing w:val="-2"/>
        </w:rPr>
        <w:t>月生，中国国籍，无永久境外居留权，大学本科。</w:t>
      </w:r>
      <w:r>
        <w:rPr>
          <w:rFonts w:ascii="宋体" w:hAnsi="宋体" w:cs="宋体" w:eastAsia="宋体" w:hint="default"/>
          <w:spacing w:val="-2"/>
        </w:rPr>
        <w:t>2007</w:t>
      </w:r>
      <w:r>
        <w:rPr>
          <w:spacing w:val="-2"/>
        </w:rPr>
        <w:t>年</w:t>
      </w:r>
      <w:r>
        <w:rPr>
          <w:rFonts w:ascii="宋体" w:hAnsi="宋体" w:cs="宋体" w:eastAsia="宋体" w:hint="default"/>
          <w:spacing w:val="-2"/>
        </w:rPr>
        <w:t>8</w:t>
      </w:r>
      <w:r>
        <w:rPr>
          <w:spacing w:val="-2"/>
        </w:rPr>
        <w:t>月加入本公司，现任</w:t>
      </w:r>
    </w:p>
    <w:p>
      <w:pPr>
        <w:spacing w:after="0" w:line="273" w:lineRule="auto"/>
        <w:jc w:val="left"/>
        <w:sectPr>
          <w:pgSz w:w="11910" w:h="16840"/>
          <w:pgMar w:header="852" w:footer="979" w:top="13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51"/>
        <w:ind w:left="573" w:right="0" w:hanging="421"/>
        <w:jc w:val="left"/>
      </w:pPr>
      <w:r>
        <w:rPr/>
        <w:t>本公司财务部经理、监事。</w:t>
      </w:r>
      <w:r>
        <w:rPr>
          <w:w w:val="100"/>
        </w:rPr>
        <w:t> </w:t>
      </w:r>
      <w:r>
        <w:rPr>
          <w:spacing w:val="-2"/>
        </w:rPr>
        <w:t>蔡玮，女</w:t>
      </w:r>
      <w:r>
        <w:rPr>
          <w:rFonts w:ascii="宋体" w:hAnsi="宋体" w:cs="宋体" w:eastAsia="宋体" w:hint="default"/>
          <w:spacing w:val="-2"/>
        </w:rPr>
        <w:t>,1987</w:t>
      </w:r>
      <w:r>
        <w:rPr>
          <w:spacing w:val="-2"/>
        </w:rPr>
        <w:t>年</w:t>
      </w:r>
      <w:r>
        <w:rPr>
          <w:rFonts w:ascii="宋体" w:hAnsi="宋体" w:cs="宋体" w:eastAsia="宋体" w:hint="default"/>
          <w:spacing w:val="-2"/>
        </w:rPr>
        <w:t>10</w:t>
      </w:r>
      <w:r>
        <w:rPr>
          <w:spacing w:val="-2"/>
        </w:rPr>
        <w:t>月生</w:t>
      </w:r>
      <w:r>
        <w:rPr>
          <w:rFonts w:ascii="宋体" w:hAnsi="宋体" w:cs="宋体" w:eastAsia="宋体" w:hint="default"/>
          <w:spacing w:val="-2"/>
        </w:rPr>
        <w:t>,</w:t>
      </w:r>
      <w:r>
        <w:rPr>
          <w:spacing w:val="-2"/>
        </w:rPr>
        <w:t>中国国籍</w:t>
      </w:r>
      <w:r>
        <w:rPr>
          <w:rFonts w:ascii="宋体" w:hAnsi="宋体" w:cs="宋体" w:eastAsia="宋体" w:hint="default"/>
          <w:spacing w:val="-2"/>
        </w:rPr>
        <w:t>,</w:t>
      </w:r>
      <w:r>
        <w:rPr>
          <w:spacing w:val="-2"/>
        </w:rPr>
        <w:t>无永久境外居留权</w:t>
      </w:r>
      <w:r>
        <w:rPr>
          <w:rFonts w:ascii="宋体" w:hAnsi="宋体" w:cs="宋体" w:eastAsia="宋体" w:hint="default"/>
          <w:spacing w:val="-2"/>
        </w:rPr>
        <w:t>,</w:t>
      </w:r>
      <w:r>
        <w:rPr>
          <w:spacing w:val="-2"/>
        </w:rPr>
        <w:t>大学本科。</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月加入本公司，现任本公</w:t>
      </w:r>
    </w:p>
    <w:p>
      <w:pPr>
        <w:pStyle w:val="BodyText"/>
        <w:spacing w:line="240" w:lineRule="auto" w:before="7"/>
        <w:ind w:right="0"/>
        <w:jc w:val="left"/>
      </w:pPr>
      <w:r>
        <w:rPr/>
        <w:t>司职工监事。</w:t>
      </w:r>
    </w:p>
    <w:p>
      <w:pPr>
        <w:spacing w:line="273" w:lineRule="auto" w:before="37"/>
        <w:ind w:left="573" w:right="366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spacing w:val="-104"/>
          <w:sz w:val="21"/>
          <w:szCs w:val="21"/>
        </w:rPr>
        <w:t> </w:t>
      </w:r>
      <w:r>
        <w:rPr>
          <w:rFonts w:ascii="宋体" w:hAnsi="宋体" w:cs="宋体" w:eastAsia="宋体" w:hint="default"/>
          <w:spacing w:val="-2"/>
          <w:sz w:val="21"/>
          <w:szCs w:val="21"/>
        </w:rPr>
        <w:t>陶涛，总经理，简历详见本节之“1、董事会成员”。</w:t>
      </w:r>
    </w:p>
    <w:p>
      <w:pPr>
        <w:pStyle w:val="BodyText"/>
        <w:spacing w:line="273" w:lineRule="auto" w:before="7"/>
        <w:ind w:left="573" w:right="0"/>
        <w:jc w:val="left"/>
      </w:pPr>
      <w:r>
        <w:rPr>
          <w:spacing w:val="-2"/>
        </w:rPr>
        <w:t>陆威，副总经理、财务总监、董事会秘书，简历详见本节之“1、董事会成员”。</w:t>
      </w:r>
      <w:r>
        <w:rPr>
          <w:spacing w:val="-39"/>
        </w:rPr>
        <w:t> </w:t>
      </w:r>
      <w:r>
        <w:rPr>
          <w:spacing w:val="-39"/>
        </w:rPr>
      </w:r>
      <w:r>
        <w:rPr/>
        <w:t>程磊，副总经理，简历详见本节之“1、董事会成员”。</w:t>
      </w:r>
      <w:r>
        <w:rPr>
          <w:w w:val="100"/>
        </w:rPr>
        <w:t> </w:t>
      </w:r>
      <w:r>
        <w:rPr/>
        <w:t>史佳，副总经理，简历详见本节之“1、董事会成员”。</w:t>
      </w:r>
    </w:p>
    <w:p>
      <w:pPr>
        <w:spacing w:line="240" w:lineRule="auto" w:before="2"/>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161"/>
        <w:gridCol w:w="1208"/>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9" w:right="57"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上海天天基金销售有限公司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上海优优商务咨询有限公司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上海东方财富金融数据服务有限公司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上海东睿资产管理有限公司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上海东方财富置业有限公司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上海东鑫互联网金融服务有限公司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上海长盛电子商务有限公司</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71"/>
        <w:gridCol w:w="5600"/>
      </w:tblGrid>
      <w:tr>
        <w:trPr>
          <w:trHeight w:val="735"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4" w:right="3"/>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3"/>
                <w:sz w:val="18"/>
                <w:szCs w:val="18"/>
              </w:rPr>
              <w:t> </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年度经营情况，按照有关业绩考核规定，经董事会薪酬与考核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委员会审核，公司董事、监事、高级管理人员从公司获得的报酬。</w:t>
            </w:r>
          </w:p>
        </w:tc>
      </w:tr>
      <w:tr>
        <w:trPr>
          <w:trHeight w:val="104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3"/>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董事、监事和高级管理人员的报酬按照公司董事会专门委员会《薪酬与 考核委员会议事规则》等规定，结合其经营绩效、工作能力、岗位职级 等考核确定并发放。</w:t>
            </w:r>
          </w:p>
        </w:tc>
      </w:tr>
      <w:tr>
        <w:trPr>
          <w:trHeight w:val="4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董事、监事和高级管理人员的报酬按照规定进行了发放。</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708"/>
        <w:gridCol w:w="1844"/>
        <w:gridCol w:w="710"/>
        <w:gridCol w:w="708"/>
        <w:gridCol w:w="850"/>
        <w:gridCol w:w="2268"/>
        <w:gridCol w:w="2485"/>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其实</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5"/>
              <w:jc w:val="left"/>
              <w:rPr>
                <w:rFonts w:ascii="宋体" w:hAnsi="宋体" w:cs="宋体" w:eastAsia="宋体" w:hint="default"/>
                <w:sz w:val="18"/>
                <w:szCs w:val="18"/>
              </w:rPr>
            </w:pPr>
            <w:r>
              <w:rPr>
                <w:rFonts w:ascii="宋体" w:hAnsi="宋体" w:cs="宋体" w:eastAsia="宋体" w:hint="default"/>
                <w:sz w:val="18"/>
                <w:szCs w:val="18"/>
              </w:rPr>
              <w:t>副董事长、副总经理、 财务总监、董事会秘书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66.43</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29.00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李增泉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鲍一青</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62.89</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叶露</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24.70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15.88</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505.30</w:t>
            </w:r>
          </w:p>
        </w:tc>
        <w:tc>
          <w:tcPr>
            <w:tcW w:w="2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r>
        <w:rPr/>
        <w:t>五、公司员工情况</w:t>
      </w:r>
      <w:r>
        <w:rPr>
          <w:b w:val="0"/>
          <w:bCs w:val="0"/>
        </w:rPr>
      </w:r>
    </w:p>
    <w:p>
      <w:pPr>
        <w:spacing w:line="240" w:lineRule="auto" w:before="3"/>
        <w:rPr>
          <w:rFonts w:ascii="宋体" w:hAnsi="宋体" w:cs="宋体" w:eastAsia="宋体" w:hint="default"/>
          <w:b/>
          <w:bCs/>
          <w:sz w:val="21"/>
          <w:szCs w:val="21"/>
        </w:rPr>
      </w:pPr>
    </w:p>
    <w:tbl>
      <w:tblPr>
        <w:tblW w:w="0" w:type="auto"/>
        <w:jc w:val="left"/>
        <w:tblInd w:w="133" w:type="dxa"/>
        <w:tblLayout w:type="fixed"/>
        <w:tblCellMar>
          <w:top w:w="0" w:type="dxa"/>
          <w:left w:w="0" w:type="dxa"/>
          <w:bottom w:w="0" w:type="dxa"/>
          <w:right w:w="0" w:type="dxa"/>
        </w:tblCellMar>
        <w:tblLook w:val="01E0"/>
      </w:tblPr>
      <w:tblGrid>
        <w:gridCol w:w="1534"/>
        <w:gridCol w:w="1537"/>
        <w:gridCol w:w="1536"/>
        <w:gridCol w:w="1534"/>
      </w:tblGrid>
      <w:tr>
        <w:trPr>
          <w:trHeight w:val="644" w:hRule="exact"/>
        </w:trPr>
        <w:tc>
          <w:tcPr>
            <w:tcW w:w="1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left="2"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right="46"/>
              <w:jc w:val="center"/>
              <w:rPr>
                <w:rFonts w:ascii="宋体" w:hAnsi="宋体" w:cs="宋体" w:eastAsia="宋体" w:hint="default"/>
                <w:sz w:val="20"/>
                <w:szCs w:val="20"/>
              </w:rPr>
            </w:pPr>
            <w:r>
              <w:rPr>
                <w:rFonts w:ascii="宋体" w:hAnsi="宋体" w:cs="宋体" w:eastAsia="宋体" w:hint="default"/>
                <w:b/>
                <w:bCs/>
                <w:sz w:val="20"/>
                <w:szCs w:val="20"/>
              </w:rPr>
              <w:t>细分类别</w:t>
            </w:r>
            <w:r>
              <w:rPr>
                <w:rFonts w:ascii="宋体" w:hAnsi="宋体" w:cs="宋体" w:eastAsia="宋体" w:hint="default"/>
                <w:sz w:val="20"/>
                <w:szCs w:val="20"/>
              </w:rPr>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right="0"/>
              <w:jc w:val="center"/>
              <w:rPr>
                <w:rFonts w:ascii="宋体" w:hAnsi="宋体" w:cs="宋体" w:eastAsia="宋体" w:hint="default"/>
                <w:sz w:val="20"/>
                <w:szCs w:val="20"/>
              </w:rPr>
            </w:pPr>
            <w:r>
              <w:rPr>
                <w:rFonts w:ascii="宋体" w:hAnsi="宋体" w:cs="宋体" w:eastAsia="宋体" w:hint="default"/>
                <w:b/>
                <w:bCs/>
                <w:sz w:val="20"/>
                <w:szCs w:val="20"/>
              </w:rPr>
              <w:t>员工数量</w:t>
            </w:r>
            <w:r>
              <w:rPr>
                <w:rFonts w:ascii="宋体" w:hAnsi="宋体" w:cs="宋体" w:eastAsia="宋体"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4"/>
              <w:ind w:left="461" w:right="0"/>
              <w:jc w:val="left"/>
              <w:rPr>
                <w:rFonts w:ascii="宋体" w:hAnsi="宋体" w:cs="宋体" w:eastAsia="宋体" w:hint="default"/>
                <w:sz w:val="20"/>
                <w:szCs w:val="20"/>
              </w:rPr>
            </w:pPr>
            <w:r>
              <w:rPr>
                <w:rFonts w:ascii="宋体" w:hAnsi="宋体" w:cs="宋体" w:eastAsia="宋体" w:hint="default"/>
                <w:b/>
                <w:bCs/>
                <w:spacing w:val="2"/>
                <w:sz w:val="20"/>
                <w:szCs w:val="20"/>
              </w:rPr>
              <w:t>百分比</w:t>
            </w:r>
            <w:r>
              <w:rPr>
                <w:rFonts w:ascii="宋体" w:hAnsi="宋体" w:cs="宋体" w:eastAsia="宋体" w:hint="default"/>
                <w:sz w:val="20"/>
                <w:szCs w:val="20"/>
              </w:rPr>
            </w:r>
          </w:p>
        </w:tc>
      </w:tr>
      <w:tr>
        <w:trPr>
          <w:trHeight w:val="322" w:hRule="exact"/>
        </w:trPr>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305" w:right="0"/>
              <w:jc w:val="left"/>
              <w:rPr>
                <w:rFonts w:ascii="宋体" w:hAnsi="宋体" w:cs="宋体" w:eastAsia="宋体" w:hint="default"/>
                <w:sz w:val="20"/>
                <w:szCs w:val="20"/>
              </w:rPr>
            </w:pPr>
            <w:r>
              <w:rPr>
                <w:rFonts w:ascii="宋体" w:hAnsi="宋体" w:cs="宋体" w:eastAsia="宋体" w:hint="default"/>
                <w:b/>
                <w:bCs/>
                <w:sz w:val="20"/>
                <w:szCs w:val="20"/>
              </w:rPr>
              <w:t>年龄构成</w:t>
            </w:r>
            <w:r>
              <w:rPr>
                <w:rFonts w:ascii="宋体" w:hAnsi="宋体" w:cs="宋体" w:eastAsia="宋体" w:hint="default"/>
                <w:sz w:val="20"/>
                <w:szCs w:val="20"/>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0"/>
                <w:szCs w:val="20"/>
              </w:rPr>
            </w:pPr>
            <w:r>
              <w:rPr>
                <w:rFonts w:ascii="Arial" w:hAnsi="Arial" w:cs="Arial" w:eastAsia="Arial" w:hint="default"/>
                <w:sz w:val="20"/>
                <w:szCs w:val="20"/>
              </w:rPr>
              <w:t>30</w:t>
            </w:r>
            <w:r>
              <w:rPr>
                <w:rFonts w:ascii="Arial" w:hAnsi="Arial" w:cs="Arial" w:eastAsia="Arial" w:hint="default"/>
                <w:spacing w:val="-10"/>
                <w:sz w:val="20"/>
                <w:szCs w:val="20"/>
              </w:rPr>
              <w:t> </w:t>
            </w:r>
            <w:r>
              <w:rPr>
                <w:rFonts w:ascii="宋体" w:hAnsi="宋体" w:cs="宋体" w:eastAsia="宋体" w:hint="default"/>
                <w:sz w:val="20"/>
                <w:szCs w:val="20"/>
              </w:rPr>
              <w:t>岁及以下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2477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left"/>
              <w:rPr>
                <w:rFonts w:ascii="Arial" w:hAnsi="Arial" w:cs="Arial" w:eastAsia="Arial" w:hint="default"/>
                <w:sz w:val="20"/>
                <w:szCs w:val="20"/>
              </w:rPr>
            </w:pPr>
            <w:r>
              <w:rPr>
                <w:rFonts w:ascii="Arial"/>
                <w:sz w:val="20"/>
              </w:rPr>
              <w:t>71.08%</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0"/>
                <w:szCs w:val="20"/>
              </w:rPr>
            </w:pP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岁至</w:t>
            </w:r>
            <w:r>
              <w:rPr>
                <w:rFonts w:ascii="宋体" w:hAnsi="宋体" w:cs="宋体" w:eastAsia="宋体" w:hint="default"/>
                <w:spacing w:val="-52"/>
                <w:sz w:val="20"/>
                <w:szCs w:val="20"/>
              </w:rPr>
              <w:t> </w:t>
            </w:r>
            <w:r>
              <w:rPr>
                <w:rFonts w:ascii="Arial" w:hAnsi="Arial" w:cs="Arial" w:eastAsia="Arial" w:hint="default"/>
                <w:sz w:val="20"/>
                <w:szCs w:val="20"/>
              </w:rPr>
              <w:t>40</w:t>
            </w:r>
            <w:r>
              <w:rPr>
                <w:rFonts w:ascii="Arial" w:hAnsi="Arial" w:cs="Arial" w:eastAsia="Arial" w:hint="default"/>
                <w:spacing w:val="-7"/>
                <w:sz w:val="20"/>
                <w:szCs w:val="20"/>
              </w:rPr>
              <w:t> </w:t>
            </w:r>
            <w:r>
              <w:rPr>
                <w:rFonts w:ascii="宋体" w:hAnsi="宋体" w:cs="宋体" w:eastAsia="宋体" w:hint="default"/>
                <w:sz w:val="20"/>
                <w:szCs w:val="20"/>
              </w:rPr>
              <w:t>岁</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748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left"/>
              <w:rPr>
                <w:rFonts w:ascii="Arial" w:hAnsi="Arial" w:cs="Arial" w:eastAsia="Arial" w:hint="default"/>
                <w:sz w:val="20"/>
                <w:szCs w:val="20"/>
              </w:rPr>
            </w:pPr>
            <w:r>
              <w:rPr>
                <w:rFonts w:ascii="Arial"/>
                <w:sz w:val="20"/>
              </w:rPr>
              <w:t>21.46%</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0"/>
                <w:szCs w:val="20"/>
              </w:rPr>
            </w:pPr>
            <w:r>
              <w:rPr>
                <w:rFonts w:ascii="Arial" w:hAnsi="Arial" w:cs="Arial" w:eastAsia="Arial" w:hint="default"/>
                <w:sz w:val="20"/>
                <w:szCs w:val="20"/>
              </w:rPr>
              <w:t>41</w:t>
            </w:r>
            <w:r>
              <w:rPr>
                <w:rFonts w:ascii="Arial" w:hAnsi="Arial" w:cs="Arial" w:eastAsia="Arial" w:hint="default"/>
                <w:spacing w:val="-8"/>
                <w:sz w:val="20"/>
                <w:szCs w:val="20"/>
              </w:rPr>
              <w:t> </w:t>
            </w:r>
            <w:r>
              <w:rPr>
                <w:rFonts w:ascii="宋体" w:hAnsi="宋体" w:cs="宋体" w:eastAsia="宋体" w:hint="default"/>
                <w:sz w:val="20"/>
                <w:szCs w:val="20"/>
              </w:rPr>
              <w:t>岁至</w:t>
            </w:r>
            <w:r>
              <w:rPr>
                <w:rFonts w:ascii="宋体" w:hAnsi="宋体" w:cs="宋体" w:eastAsia="宋体" w:hint="default"/>
                <w:spacing w:val="-52"/>
                <w:sz w:val="20"/>
                <w:szCs w:val="20"/>
              </w:rPr>
              <w:t> </w:t>
            </w:r>
            <w:r>
              <w:rPr>
                <w:rFonts w:ascii="Arial" w:hAnsi="Arial" w:cs="Arial" w:eastAsia="Arial" w:hint="default"/>
                <w:sz w:val="20"/>
                <w:szCs w:val="20"/>
              </w:rPr>
              <w:t>50</w:t>
            </w:r>
            <w:r>
              <w:rPr>
                <w:rFonts w:ascii="Arial" w:hAnsi="Arial" w:cs="Arial" w:eastAsia="Arial" w:hint="default"/>
                <w:spacing w:val="-7"/>
                <w:sz w:val="20"/>
                <w:szCs w:val="20"/>
              </w:rPr>
              <w:t> </w:t>
            </w:r>
            <w:r>
              <w:rPr>
                <w:rFonts w:ascii="宋体" w:hAnsi="宋体" w:cs="宋体" w:eastAsia="宋体" w:hint="default"/>
                <w:sz w:val="20"/>
                <w:szCs w:val="20"/>
              </w:rPr>
              <w:t>岁</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197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5.65%</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0"/>
                <w:szCs w:val="20"/>
              </w:rPr>
            </w:pPr>
            <w:r>
              <w:rPr>
                <w:rFonts w:ascii="Arial" w:hAnsi="Arial" w:cs="Arial" w:eastAsia="Arial" w:hint="default"/>
                <w:sz w:val="20"/>
                <w:szCs w:val="20"/>
              </w:rPr>
              <w:t>51</w:t>
            </w:r>
            <w:r>
              <w:rPr>
                <w:rFonts w:ascii="Arial" w:hAnsi="Arial" w:cs="Arial" w:eastAsia="Arial" w:hint="default"/>
                <w:spacing w:val="-8"/>
                <w:sz w:val="20"/>
                <w:szCs w:val="20"/>
              </w:rPr>
              <w:t> </w:t>
            </w:r>
            <w:r>
              <w:rPr>
                <w:rFonts w:ascii="宋体" w:hAnsi="宋体" w:cs="宋体" w:eastAsia="宋体" w:hint="default"/>
                <w:sz w:val="20"/>
                <w:szCs w:val="20"/>
              </w:rPr>
              <w:t>岁至</w:t>
            </w:r>
            <w:r>
              <w:rPr>
                <w:rFonts w:ascii="宋体" w:hAnsi="宋体" w:cs="宋体" w:eastAsia="宋体" w:hint="default"/>
                <w:spacing w:val="-52"/>
                <w:sz w:val="20"/>
                <w:szCs w:val="20"/>
              </w:rPr>
              <w:t> </w:t>
            </w:r>
            <w:r>
              <w:rPr>
                <w:rFonts w:ascii="Arial" w:hAnsi="Arial" w:cs="Arial" w:eastAsia="Arial" w:hint="default"/>
                <w:sz w:val="20"/>
                <w:szCs w:val="20"/>
              </w:rPr>
              <w:t>60</w:t>
            </w:r>
            <w:r>
              <w:rPr>
                <w:rFonts w:ascii="Arial" w:hAnsi="Arial" w:cs="Arial" w:eastAsia="Arial" w:hint="default"/>
                <w:spacing w:val="-7"/>
                <w:sz w:val="20"/>
                <w:szCs w:val="20"/>
              </w:rPr>
              <w:t> </w:t>
            </w:r>
            <w:r>
              <w:rPr>
                <w:rFonts w:ascii="宋体" w:hAnsi="宋体" w:cs="宋体" w:eastAsia="宋体" w:hint="default"/>
                <w:sz w:val="20"/>
                <w:szCs w:val="20"/>
              </w:rPr>
              <w:t>岁</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63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1.81%</w:t>
            </w:r>
          </w:p>
        </w:tc>
      </w:tr>
      <w:tr>
        <w:trPr>
          <w:trHeight w:val="324" w:hRule="exact"/>
        </w:trPr>
        <w:tc>
          <w:tcPr>
            <w:tcW w:w="1534"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Arial" w:hAnsi="Arial" w:cs="Arial" w:eastAsia="Arial" w:hint="default"/>
                <w:sz w:val="20"/>
                <w:szCs w:val="20"/>
              </w:rPr>
            </w:pPr>
            <w:r>
              <w:rPr>
                <w:rFonts w:ascii="Arial"/>
                <w:b/>
                <w:sz w:val="20"/>
              </w:rPr>
              <w:t>3485</w:t>
            </w:r>
            <w:r>
              <w:rPr>
                <w:rFonts w:ascii="Arial"/>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Arial" w:hAnsi="Arial" w:cs="Arial" w:eastAsia="Arial" w:hint="default"/>
                <w:sz w:val="20"/>
                <w:szCs w:val="20"/>
              </w:rPr>
            </w:pPr>
            <w:r>
              <w:rPr>
                <w:rFonts w:ascii="Arial"/>
                <w:b/>
                <w:sz w:val="20"/>
              </w:rPr>
              <w:t>100.00%</w:t>
            </w:r>
            <w:r>
              <w:rPr>
                <w:rFonts w:ascii="Arial"/>
                <w:sz w:val="20"/>
              </w:rPr>
            </w:r>
          </w:p>
        </w:tc>
      </w:tr>
      <w:tr>
        <w:trPr>
          <w:trHeight w:val="322" w:hRule="exact"/>
        </w:trPr>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360" w:right="0"/>
              <w:jc w:val="left"/>
              <w:rPr>
                <w:rFonts w:ascii="宋体" w:hAnsi="宋体" w:cs="宋体" w:eastAsia="宋体" w:hint="default"/>
                <w:sz w:val="20"/>
                <w:szCs w:val="20"/>
              </w:rPr>
            </w:pPr>
            <w:r>
              <w:rPr>
                <w:rFonts w:ascii="宋体" w:hAnsi="宋体" w:cs="宋体" w:eastAsia="宋体" w:hint="default"/>
                <w:b/>
                <w:bCs/>
                <w:sz w:val="20"/>
                <w:szCs w:val="20"/>
              </w:rPr>
              <w:t>学历构成</w:t>
            </w:r>
            <w:r>
              <w:rPr>
                <w:rFonts w:ascii="宋体" w:hAnsi="宋体" w:cs="宋体" w:eastAsia="宋体" w:hint="default"/>
                <w:sz w:val="20"/>
                <w:szCs w:val="20"/>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本科及以上</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2246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left"/>
              <w:rPr>
                <w:rFonts w:ascii="Arial" w:hAnsi="Arial" w:cs="Arial" w:eastAsia="Arial" w:hint="default"/>
                <w:sz w:val="20"/>
                <w:szCs w:val="20"/>
              </w:rPr>
            </w:pPr>
            <w:r>
              <w:rPr>
                <w:rFonts w:ascii="Arial"/>
                <w:sz w:val="20"/>
              </w:rPr>
              <w:t>64.45%</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958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left"/>
              <w:rPr>
                <w:rFonts w:ascii="Arial" w:hAnsi="Arial" w:cs="Arial" w:eastAsia="Arial" w:hint="default"/>
                <w:sz w:val="20"/>
                <w:szCs w:val="20"/>
              </w:rPr>
            </w:pPr>
            <w:r>
              <w:rPr>
                <w:rFonts w:ascii="Arial"/>
                <w:sz w:val="20"/>
              </w:rPr>
              <w:t>27.49%</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中专</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126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3.62%</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高中</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118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3.39%</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初中及以下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37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1.06%</w:t>
            </w:r>
          </w:p>
        </w:tc>
      </w:tr>
      <w:tr>
        <w:trPr>
          <w:trHeight w:val="324" w:hRule="exact"/>
        </w:trPr>
        <w:tc>
          <w:tcPr>
            <w:tcW w:w="1534"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Arial" w:hAnsi="Arial" w:cs="Arial" w:eastAsia="Arial" w:hint="default"/>
                <w:sz w:val="20"/>
                <w:szCs w:val="20"/>
              </w:rPr>
            </w:pPr>
            <w:r>
              <w:rPr>
                <w:rFonts w:ascii="Arial"/>
                <w:b/>
                <w:sz w:val="20"/>
              </w:rPr>
              <w:t>3485</w:t>
            </w:r>
            <w:r>
              <w:rPr>
                <w:rFonts w:ascii="Arial"/>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Arial" w:hAnsi="Arial" w:cs="Arial" w:eastAsia="Arial" w:hint="default"/>
                <w:sz w:val="20"/>
                <w:szCs w:val="20"/>
              </w:rPr>
            </w:pPr>
            <w:r>
              <w:rPr>
                <w:rFonts w:ascii="Arial"/>
                <w:b/>
                <w:sz w:val="20"/>
              </w:rPr>
              <w:t>100.00%</w:t>
            </w:r>
            <w:r>
              <w:rPr>
                <w:rFonts w:ascii="Arial"/>
                <w:sz w:val="20"/>
              </w:rPr>
            </w:r>
          </w:p>
        </w:tc>
      </w:tr>
      <w:tr>
        <w:trPr>
          <w:trHeight w:val="322" w:hRule="exact"/>
        </w:trPr>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1"/>
              <w:ind w:left="360" w:right="0"/>
              <w:jc w:val="left"/>
              <w:rPr>
                <w:rFonts w:ascii="宋体" w:hAnsi="宋体" w:cs="宋体" w:eastAsia="宋体" w:hint="default"/>
                <w:sz w:val="20"/>
                <w:szCs w:val="20"/>
              </w:rPr>
            </w:pPr>
            <w:r>
              <w:rPr>
                <w:rFonts w:ascii="宋体" w:hAnsi="宋体" w:cs="宋体" w:eastAsia="宋体" w:hint="default"/>
                <w:b/>
                <w:bCs/>
                <w:sz w:val="20"/>
                <w:szCs w:val="20"/>
              </w:rPr>
              <w:t>专业构成</w:t>
            </w:r>
            <w:r>
              <w:rPr>
                <w:rFonts w:ascii="宋体" w:hAnsi="宋体" w:cs="宋体" w:eastAsia="宋体" w:hint="default"/>
                <w:sz w:val="20"/>
                <w:szCs w:val="20"/>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行政管理人员</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261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7.49%</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财务管理人员</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85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2.44%</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研发技术人员</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1623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left"/>
              <w:rPr>
                <w:rFonts w:ascii="Arial" w:hAnsi="Arial" w:cs="Arial" w:eastAsia="Arial" w:hint="default"/>
                <w:sz w:val="20"/>
                <w:szCs w:val="20"/>
              </w:rPr>
            </w:pPr>
            <w:r>
              <w:rPr>
                <w:rFonts w:ascii="Arial"/>
                <w:sz w:val="20"/>
              </w:rPr>
              <w:t>46.57%</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内容管理人员</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270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0" w:right="0"/>
              <w:jc w:val="left"/>
              <w:rPr>
                <w:rFonts w:ascii="Arial" w:hAnsi="Arial" w:cs="Arial" w:eastAsia="Arial" w:hint="default"/>
                <w:sz w:val="20"/>
                <w:szCs w:val="20"/>
              </w:rPr>
            </w:pPr>
            <w:r>
              <w:rPr>
                <w:rFonts w:ascii="Arial"/>
                <w:sz w:val="20"/>
              </w:rPr>
              <w:t>7.75%</w:t>
            </w:r>
          </w:p>
        </w:tc>
      </w:tr>
      <w:tr>
        <w:trPr>
          <w:trHeight w:val="322"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市场营销人员</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center"/>
              <w:rPr>
                <w:rFonts w:ascii="Arial" w:hAnsi="Arial" w:cs="Arial" w:eastAsia="Arial" w:hint="default"/>
                <w:sz w:val="20"/>
                <w:szCs w:val="20"/>
              </w:rPr>
            </w:pPr>
            <w:r>
              <w:rPr>
                <w:rFonts w:ascii="Arial"/>
                <w:sz w:val="20"/>
              </w:rPr>
              <w:t>827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22" w:right="0"/>
              <w:jc w:val="left"/>
              <w:rPr>
                <w:rFonts w:ascii="Arial" w:hAnsi="Arial" w:cs="Arial" w:eastAsia="Arial" w:hint="default"/>
                <w:sz w:val="20"/>
                <w:szCs w:val="20"/>
              </w:rPr>
            </w:pPr>
            <w:r>
              <w:rPr>
                <w:rFonts w:ascii="Arial"/>
                <w:sz w:val="20"/>
              </w:rPr>
              <w:t>23.73%</w:t>
            </w:r>
          </w:p>
        </w:tc>
      </w:tr>
      <w:tr>
        <w:trPr>
          <w:trHeight w:val="324" w:hRule="exact"/>
        </w:trPr>
        <w:tc>
          <w:tcPr>
            <w:tcW w:w="1534" w:type="dxa"/>
            <w:vMerge/>
            <w:tcBorders>
              <w:left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其他人员</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w:hAnsi="Arial" w:cs="Arial" w:eastAsia="Arial" w:hint="default"/>
                <w:sz w:val="20"/>
                <w:szCs w:val="20"/>
              </w:rPr>
            </w:pPr>
            <w:r>
              <w:rPr>
                <w:rFonts w:ascii="Arial"/>
                <w:sz w:val="20"/>
              </w:rPr>
              <w:t>419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22" w:right="0"/>
              <w:jc w:val="left"/>
              <w:rPr>
                <w:rFonts w:ascii="Arial" w:hAnsi="Arial" w:cs="Arial" w:eastAsia="Arial" w:hint="default"/>
                <w:sz w:val="20"/>
                <w:szCs w:val="20"/>
              </w:rPr>
            </w:pPr>
            <w:r>
              <w:rPr>
                <w:rFonts w:ascii="Arial"/>
                <w:sz w:val="20"/>
              </w:rPr>
              <w:t>12.02%</w:t>
            </w:r>
          </w:p>
        </w:tc>
      </w:tr>
      <w:tr>
        <w:trPr>
          <w:trHeight w:val="322" w:hRule="exact"/>
        </w:trPr>
        <w:tc>
          <w:tcPr>
            <w:tcW w:w="1534"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w:hAnsi="Arial" w:cs="Arial" w:eastAsia="Arial" w:hint="default"/>
                <w:sz w:val="20"/>
                <w:szCs w:val="20"/>
              </w:rPr>
            </w:pPr>
            <w:r>
              <w:rPr>
                <w:rFonts w:ascii="Arial"/>
                <w:b/>
                <w:sz w:val="20"/>
              </w:rPr>
              <w:t>3485</w:t>
            </w:r>
            <w:r>
              <w:rPr>
                <w:rFonts w:ascii="Arial"/>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7" w:right="0"/>
              <w:jc w:val="left"/>
              <w:rPr>
                <w:rFonts w:ascii="Arial" w:hAnsi="Arial" w:cs="Arial" w:eastAsia="Arial" w:hint="default"/>
                <w:sz w:val="20"/>
                <w:szCs w:val="20"/>
              </w:rPr>
            </w:pPr>
            <w:r>
              <w:rPr>
                <w:rFonts w:ascii="Arial"/>
                <w:b/>
                <w:sz w:val="20"/>
              </w:rPr>
              <w:t>100.00%</w:t>
            </w:r>
            <w:r>
              <w:rPr>
                <w:rFonts w:ascii="Arial"/>
                <w:sz w:val="20"/>
              </w:rPr>
            </w:r>
          </w:p>
        </w:tc>
      </w:tr>
    </w:tbl>
    <w:p>
      <w:pPr>
        <w:spacing w:after="0" w:line="240" w:lineRule="auto"/>
        <w:jc w:val="left"/>
        <w:rPr>
          <w:rFonts w:ascii="Arial" w:hAnsi="Arial" w:cs="Arial" w:eastAsia="Arial" w:hint="default"/>
          <w:sz w:val="20"/>
          <w:szCs w:val="20"/>
        </w:rPr>
        <w:sectPr>
          <w:pgSz w:w="11910" w:h="16840"/>
          <w:pgMar w:header="852" w:footer="979" w:top="1300" w:bottom="1160" w:left="980" w:right="98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5856"/>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32,614.71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42.11</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w:t>
            </w:r>
          </w:p>
        </w:tc>
      </w:tr>
    </w:tbl>
    <w:p>
      <w:pPr>
        <w:spacing w:line="300" w:lineRule="auto" w:before="49"/>
        <w:ind w:left="152" w:right="140" w:firstLine="0"/>
        <w:jc w:val="left"/>
        <w:rPr>
          <w:rFonts w:ascii="宋体" w:hAnsi="宋体" w:cs="宋体" w:eastAsia="宋体" w:hint="default"/>
          <w:sz w:val="18"/>
          <w:szCs w:val="18"/>
        </w:rPr>
      </w:pPr>
      <w:r>
        <w:rPr>
          <w:rFonts w:ascii="宋体" w:hAnsi="宋体" w:cs="宋体" w:eastAsia="宋体" w:hint="default"/>
          <w:sz w:val="18"/>
          <w:szCs w:val="18"/>
        </w:rPr>
        <w:t>注：报告期内，公司完成收购同信证券相关事项，</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月起同信证券纳入合并报表范围，上表中相关数据统计未包含 同信证券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月相关数据。截至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日，同信证券员工人数为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1259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月同信证券薪酬发生</w:t>
      </w:r>
    </w:p>
    <w:p>
      <w:pPr>
        <w:spacing w:before="13"/>
        <w:ind w:left="152" w:right="0" w:firstLine="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4,802.87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3751" w:right="380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03"/>
        <w:jc w:val="left"/>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84" w:firstLine="480"/>
        <w:jc w:val="both"/>
      </w:pPr>
      <w:r>
        <w:rPr>
          <w:spacing w:val="-4"/>
        </w:rPr>
        <w:t>报告期内，公司严格按照《公司法》、《证券法》、《上市公司信息披露管理办法》、《深圳证券交</w:t>
      </w:r>
      <w:r>
        <w:rPr>
          <w:w w:val="100"/>
        </w:rPr>
        <w:t> </w:t>
      </w:r>
      <w:r>
        <w:rPr>
          <w:spacing w:val="-2"/>
        </w:rPr>
        <w:t>易所创业板股票上市规则》、《深圳证券交易所创业板上市公司规范运作指引》等法律、法规和中国证监</w:t>
      </w:r>
      <w:r>
        <w:rPr>
          <w:spacing w:val="-43"/>
        </w:rPr>
        <w:t> </w:t>
      </w:r>
      <w:r>
        <w:rPr>
          <w:spacing w:val="-43"/>
        </w:rPr>
      </w:r>
      <w:r>
        <w:rPr>
          <w:spacing w:val="-2"/>
        </w:rPr>
        <w:t>会有关要求，结合公司实际情况，进一步完善公司的法人治理结构，建立健全公司内部管理和控制制度，</w:t>
      </w:r>
      <w:r>
        <w:rPr>
          <w:spacing w:val="-20"/>
        </w:rPr>
        <w:t> </w:t>
      </w:r>
      <w:r>
        <w:rPr>
          <w:spacing w:val="-20"/>
        </w:rPr>
      </w:r>
      <w:r>
        <w:rPr/>
        <w:t>持续深入开展公司治理活动，不断规范公司运作，提高公司治理水平。</w:t>
      </w:r>
    </w:p>
    <w:p>
      <w:pPr>
        <w:pStyle w:val="BodyText"/>
        <w:spacing w:line="273" w:lineRule="auto" w:before="7"/>
        <w:ind w:right="206" w:firstLine="480"/>
        <w:jc w:val="both"/>
      </w:pPr>
      <w:r>
        <w:rPr>
          <w:spacing w:val="-4"/>
        </w:rPr>
        <w:t>报告期内，根据公司实际发展情况的变化，公司修订了《公司章程》等文件。通过一系列的制度建设</w:t>
      </w:r>
      <w:r>
        <w:rPr>
          <w:w w:val="100"/>
        </w:rPr>
        <w:t> </w:t>
      </w:r>
      <w:r>
        <w:rPr>
          <w:spacing w:val="-2"/>
        </w:rPr>
        <w:t>及完善工作，构建了公司法人治理结构的制度平台，并从制度上明确了股东大会、董事会、监事会及管理</w:t>
      </w:r>
      <w:r>
        <w:rPr>
          <w:spacing w:val="-47"/>
        </w:rPr>
        <w:t> </w:t>
      </w:r>
      <w:r>
        <w:rPr>
          <w:spacing w:val="-47"/>
        </w:rPr>
      </w:r>
      <w:r>
        <w:rPr/>
        <w:t>层各自应履行的职责和议事规程，从而为公司的规范运作提供了更强有力的制度保障。</w:t>
      </w:r>
    </w:p>
    <w:p>
      <w:pPr>
        <w:pStyle w:val="BodyText"/>
        <w:spacing w:line="273" w:lineRule="auto" w:before="7"/>
        <w:ind w:right="208" w:firstLine="480"/>
        <w:jc w:val="both"/>
      </w:pPr>
      <w:r>
        <w:rPr>
          <w:spacing w:val="-4"/>
        </w:rPr>
        <w:t>截至本报告期末，公司治理的实际状况符合中国证监会、深圳证券交易所等发布的法律法规和规范性</w:t>
      </w:r>
      <w:r>
        <w:rPr>
          <w:w w:val="100"/>
        </w:rPr>
        <w:t> </w:t>
      </w:r>
      <w:r>
        <w:rPr/>
        <w:t>文件的要求。</w:t>
      </w:r>
    </w:p>
    <w:p>
      <w:pPr>
        <w:pStyle w:val="BodyText"/>
        <w:spacing w:line="273" w:lineRule="auto" w:before="7"/>
        <w:ind w:left="633" w:right="103"/>
        <w:jc w:val="left"/>
      </w:pPr>
      <w:r>
        <w:rPr/>
        <w:t>（一）股东与股东大会</w:t>
      </w:r>
      <w:r>
        <w:rPr>
          <w:w w:val="100"/>
        </w:rPr>
        <w:t> </w:t>
      </w:r>
      <w:r>
        <w:rPr>
          <w:spacing w:val="-4"/>
        </w:rPr>
        <w:t>公司严格按照《上市公司股东大会规则》、《公司章程》、《股东大会议事规则》等规定和要求，规</w:t>
      </w:r>
    </w:p>
    <w:p>
      <w:pPr>
        <w:pStyle w:val="BodyText"/>
        <w:spacing w:line="273" w:lineRule="auto" w:before="7"/>
        <w:ind w:right="103"/>
        <w:jc w:val="left"/>
      </w:pPr>
      <w:r>
        <w:rPr>
          <w:spacing w:val="-2"/>
        </w:rPr>
        <w:t>范地召集、召开股东大会，平等对待所有股东，并尽可能为股东参加股东大会提供便利，使其充分行使股</w:t>
      </w:r>
      <w:r>
        <w:rPr>
          <w:spacing w:val="-47"/>
        </w:rPr>
        <w:t> </w:t>
      </w:r>
      <w:r>
        <w:rPr>
          <w:spacing w:val="-47"/>
        </w:rPr>
      </w:r>
      <w:r>
        <w:rPr/>
        <w:t>东权利。</w:t>
      </w:r>
    </w:p>
    <w:p>
      <w:pPr>
        <w:pStyle w:val="BodyText"/>
        <w:spacing w:line="273" w:lineRule="auto" w:before="7"/>
        <w:ind w:right="206" w:firstLine="480"/>
        <w:jc w:val="both"/>
      </w:pPr>
      <w:r>
        <w:rPr>
          <w:spacing w:val="-4"/>
        </w:rPr>
        <w:t>报告期内，公司召开的股东大会均由公司董事会召集召开，董事长主持，邀请见证律师进行现场见证</w:t>
      </w:r>
      <w:r>
        <w:rPr>
          <w:w w:val="100"/>
        </w:rPr>
        <w:t> </w:t>
      </w:r>
      <w:r>
        <w:rPr>
          <w:spacing w:val="-2"/>
        </w:rPr>
        <w:t>并出具法律意见书。在股东大会上能够保证各位股东有充分的发言权，确保全体股东特别是中小股东享有</w:t>
      </w:r>
      <w:r>
        <w:rPr>
          <w:spacing w:val="-42"/>
        </w:rPr>
        <w:t> </w:t>
      </w:r>
      <w:r>
        <w:rPr>
          <w:spacing w:val="-42"/>
        </w:rPr>
      </w:r>
      <w:r>
        <w:rPr/>
        <w:t>平等地位，充分行使自己的权力。</w:t>
      </w:r>
    </w:p>
    <w:p>
      <w:pPr>
        <w:pStyle w:val="BodyText"/>
        <w:spacing w:line="266" w:lineRule="auto" w:before="8"/>
        <w:ind w:right="208" w:firstLine="480"/>
        <w:jc w:val="both"/>
      </w:pPr>
      <w:r>
        <w:rPr>
          <w:spacing w:val="-4"/>
        </w:rPr>
        <w:t>报告期内，公司召开的股东大会不存在违反《上市公司股东大会规则》的情形，公司未发生单独或合</w:t>
      </w:r>
      <w:r>
        <w:rPr>
          <w:w w:val="100"/>
        </w:rPr>
        <w:t> </w:t>
      </w:r>
      <w:r>
        <w:rPr>
          <w:spacing w:val="-2"/>
        </w:rPr>
        <w:t>并持有本公司有表决权股份总数</w:t>
      </w:r>
      <w:r>
        <w:rPr>
          <w:rFonts w:ascii="Times New Roman" w:hAnsi="Times New Roman" w:cs="Times New Roman" w:eastAsia="Times New Roman" w:hint="default"/>
          <w:spacing w:val="-2"/>
        </w:rPr>
        <w:t>10%</w:t>
      </w:r>
      <w:r>
        <w:rPr>
          <w:spacing w:val="-2"/>
        </w:rPr>
        <w:t>以上的股东请求召开临时股东大会的情形，也不存在监事会提议召开</w:t>
      </w:r>
      <w:r>
        <w:rPr>
          <w:spacing w:val="-5"/>
        </w:rPr>
        <w:t> </w:t>
      </w:r>
      <w:r>
        <w:rPr>
          <w:spacing w:val="-5"/>
        </w:rPr>
      </w:r>
      <w:r>
        <w:rPr/>
        <w:t>的股东大会。</w:t>
      </w:r>
      <w:r>
        <w:rPr>
          <w:spacing w:val="58"/>
        </w:rPr>
        <w:t> </w:t>
      </w:r>
      <w:r>
        <w:rPr/>
        <w:t>按照《公司法》、《公司章程》的规定应由股东大会审议的重大事项，公司均按照相应的</w:t>
      </w:r>
      <w:r>
        <w:rPr>
          <w:spacing w:val="-89"/>
        </w:rPr>
        <w:t> </w:t>
      </w:r>
      <w:r>
        <w:rPr>
          <w:spacing w:val="-89"/>
        </w:rPr>
      </w:r>
      <w:r>
        <w:rPr/>
        <w:t>权限审批后交由股东大会审议，不存在绕过股东大会的情况，也不存在先实施后审议的情况。</w:t>
      </w:r>
    </w:p>
    <w:p>
      <w:pPr>
        <w:pStyle w:val="BodyText"/>
        <w:spacing w:line="273" w:lineRule="auto" w:before="14"/>
        <w:ind w:right="185" w:firstLine="480"/>
        <w:jc w:val="both"/>
      </w:pPr>
      <w:r>
        <w:rPr/>
        <w:t>（二）公司与控股股东</w:t>
      </w:r>
      <w:r>
        <w:rPr>
          <w:w w:val="100"/>
        </w:rPr>
        <w:t> </w:t>
      </w:r>
      <w:r>
        <w:rPr>
          <w:spacing w:val="-2"/>
        </w:rPr>
        <w:t>公司控股股东和实际控制人严格按照《上市公司治理准则》、《深圳证券交易所创业板股票上市规则》、</w:t>
      </w:r>
    </w:p>
    <w:p>
      <w:pPr>
        <w:pStyle w:val="BodyText"/>
        <w:spacing w:line="273" w:lineRule="auto" w:before="7"/>
        <w:ind w:right="103"/>
        <w:jc w:val="left"/>
      </w:pPr>
      <w:r>
        <w:rPr>
          <w:spacing w:val="-2"/>
        </w:rPr>
        <w:t>《深圳证券交易所创业板上市公司规范运作指引》、《公司章程》等规定和要求，规范自己的行为，没有</w:t>
      </w:r>
      <w:r>
        <w:rPr>
          <w:spacing w:val="-42"/>
        </w:rPr>
        <w:t> </w:t>
      </w:r>
      <w:r>
        <w:rPr>
          <w:spacing w:val="-42"/>
        </w:rPr>
      </w:r>
      <w:r>
        <w:rPr>
          <w:spacing w:val="-2"/>
        </w:rPr>
        <w:t>超越股东大会直接或间接干预公司的决策和经营活动，未损害公司及其他股东的利益。公司不存在控股股</w:t>
      </w:r>
      <w:r>
        <w:rPr>
          <w:spacing w:val="-42"/>
        </w:rPr>
        <w:t> </w:t>
      </w:r>
      <w:r>
        <w:rPr>
          <w:spacing w:val="-42"/>
        </w:rPr>
      </w:r>
      <w:r>
        <w:rPr>
          <w:spacing w:val="-5"/>
        </w:rPr>
        <w:t>东占用公司资金的现象，也不存在为控股股东提供担保的情形。公司拥有独立完整的业务和自主经营能力，</w:t>
      </w:r>
      <w:r>
        <w:rPr>
          <w:spacing w:val="-4"/>
        </w:rPr>
        <w:t> </w:t>
      </w:r>
      <w:r>
        <w:rPr>
          <w:spacing w:val="-4"/>
        </w:rPr>
      </w:r>
      <w:r>
        <w:rPr/>
        <w:t>在业务、人员、资产、机构、财务上独立于控股股东，公司董事会、监事会和内部机构独立运作。</w:t>
      </w:r>
    </w:p>
    <w:p>
      <w:pPr>
        <w:pStyle w:val="BodyText"/>
        <w:spacing w:line="273" w:lineRule="auto" w:before="7"/>
        <w:ind w:left="633" w:right="103"/>
        <w:jc w:val="left"/>
      </w:pPr>
      <w:r>
        <w:rPr/>
        <w:t>（三）董事与董事会</w:t>
      </w:r>
      <w:r>
        <w:rPr>
          <w:w w:val="100"/>
        </w:rPr>
        <w:t> </w:t>
      </w:r>
      <w:r>
        <w:rPr/>
        <w:t>公司第三届董事会设董事</w:t>
      </w:r>
      <w:r>
        <w:rPr>
          <w:rFonts w:ascii="Times New Roman" w:hAnsi="Times New Roman" w:cs="Times New Roman" w:eastAsia="Times New Roman" w:hint="default"/>
        </w:rPr>
        <w:t>9</w:t>
      </w:r>
      <w:r>
        <w:rPr/>
        <w:t>名，独立董事</w:t>
      </w:r>
      <w:r>
        <w:rPr>
          <w:rFonts w:ascii="Times New Roman" w:hAnsi="Times New Roman" w:cs="Times New Roman" w:eastAsia="Times New Roman" w:hint="default"/>
        </w:rPr>
        <w:t>3</w:t>
      </w:r>
      <w:r>
        <w:rPr/>
        <w:t>名，达到公司董事总数的</w:t>
      </w:r>
      <w:r>
        <w:rPr>
          <w:rFonts w:ascii="Times New Roman" w:hAnsi="Times New Roman" w:cs="Times New Roman" w:eastAsia="Times New Roman" w:hint="default"/>
        </w:rPr>
        <w:t>1/3</w:t>
      </w:r>
      <w:r>
        <w:rPr/>
        <w:t>。董事会的人数及人员构成符</w:t>
      </w:r>
    </w:p>
    <w:p>
      <w:pPr>
        <w:pStyle w:val="BodyText"/>
        <w:spacing w:line="273" w:lineRule="auto"/>
        <w:ind w:right="206"/>
        <w:jc w:val="both"/>
      </w:pPr>
      <w:r>
        <w:rPr>
          <w:spacing w:val="-2"/>
        </w:rPr>
        <w:t>合法律、法规和《公司章程》的要求。各位董事能够依据《董事会议事规则》、《独立董事制度》、《深</w:t>
      </w:r>
      <w:r>
        <w:rPr>
          <w:spacing w:val="-46"/>
        </w:rPr>
        <w:t> </w:t>
      </w:r>
      <w:r>
        <w:rPr>
          <w:spacing w:val="-46"/>
        </w:rPr>
      </w:r>
      <w:r>
        <w:rPr>
          <w:spacing w:val="-2"/>
        </w:rPr>
        <w:t>圳证券交易所创业板上市公司规范运作指引》等要求开展工作，出席董事会、董事会专门委员会和股东大</w:t>
      </w:r>
      <w:r>
        <w:rPr>
          <w:spacing w:val="-42"/>
        </w:rPr>
        <w:t> </w:t>
      </w:r>
      <w:r>
        <w:rPr>
          <w:spacing w:val="-42"/>
        </w:rPr>
      </w:r>
      <w:r>
        <w:rPr/>
        <w:t>会，勤勉尽责地履行职责和义务，同时积极参加相关培训，熟悉相关法律法规。</w:t>
      </w:r>
    </w:p>
    <w:p>
      <w:pPr>
        <w:pStyle w:val="BodyText"/>
        <w:spacing w:line="273" w:lineRule="auto" w:before="7"/>
        <w:ind w:right="103" w:firstLine="480"/>
        <w:jc w:val="left"/>
      </w:pPr>
      <w:r>
        <w:rPr>
          <w:spacing w:val="-6"/>
        </w:rPr>
        <w:t>公司按照《深圳证券交易所创业板上市公司规范运作指引》的要求，下设有战略委员会、提名委员会、</w:t>
      </w:r>
      <w:r>
        <w:rPr>
          <w:w w:val="100"/>
        </w:rPr>
        <w:t> </w:t>
      </w:r>
      <w:r>
        <w:rPr>
          <w:spacing w:val="-2"/>
        </w:rPr>
        <w:t>薪酬与考核委员会、审计委员会四个专门委员会，为董事会的决策提供了科学和专业的意见和参考。各专</w:t>
      </w:r>
      <w:r>
        <w:rPr>
          <w:spacing w:val="-42"/>
        </w:rPr>
        <w:t> </w:t>
      </w:r>
      <w:r>
        <w:rPr>
          <w:spacing w:val="-42"/>
        </w:rPr>
      </w:r>
      <w:r>
        <w:rPr/>
        <w:t>门委员会依据《公司章程》等相关规定认真履行职权，不受公司任何其他部门和个人的干预。</w:t>
      </w:r>
    </w:p>
    <w:p>
      <w:pPr>
        <w:pStyle w:val="BodyText"/>
        <w:spacing w:line="273" w:lineRule="auto" w:before="7"/>
        <w:ind w:left="633" w:right="103"/>
        <w:jc w:val="left"/>
      </w:pPr>
      <w:r>
        <w:rPr/>
        <w:t>（四）监事与监事会</w:t>
      </w:r>
      <w:r>
        <w:rPr>
          <w:w w:val="100"/>
        </w:rPr>
        <w:t> </w:t>
      </w:r>
      <w:r>
        <w:rPr>
          <w:spacing w:val="-4"/>
        </w:rPr>
        <w:t>公司第三届监事会设监事</w:t>
      </w:r>
      <w:r>
        <w:rPr>
          <w:rFonts w:ascii="Times New Roman" w:hAnsi="Times New Roman" w:cs="Times New Roman" w:eastAsia="Times New Roman" w:hint="default"/>
          <w:spacing w:val="-4"/>
        </w:rPr>
        <w:t>3</w:t>
      </w:r>
      <w:r>
        <w:rPr>
          <w:spacing w:val="-4"/>
        </w:rPr>
        <w:t>名，其中职工监事</w:t>
      </w:r>
      <w:r>
        <w:rPr>
          <w:rFonts w:ascii="Times New Roman" w:hAnsi="Times New Roman" w:cs="Times New Roman" w:eastAsia="Times New Roman" w:hint="default"/>
          <w:spacing w:val="-4"/>
        </w:rPr>
        <w:t>1</w:t>
      </w:r>
      <w:r>
        <w:rPr>
          <w:spacing w:val="-4"/>
        </w:rPr>
        <w:t>名，监事会的人数和构成符合法律、法规的要求。各位</w:t>
      </w:r>
    </w:p>
    <w:p>
      <w:pPr>
        <w:pStyle w:val="BodyText"/>
        <w:spacing w:line="273" w:lineRule="auto"/>
        <w:ind w:right="103"/>
        <w:jc w:val="left"/>
      </w:pPr>
      <w:r>
        <w:rPr>
          <w:spacing w:val="-5"/>
        </w:rPr>
        <w:t>监事能够按照《公司章程》、《监事会议事规则》等规定的要求，认真履行自己的职责，对公司重大事项、</w:t>
      </w:r>
      <w:r>
        <w:rPr>
          <w:spacing w:val="-8"/>
        </w:rPr>
        <w:t> </w:t>
      </w:r>
      <w:r>
        <w:rPr>
          <w:spacing w:val="-8"/>
        </w:rPr>
      </w:r>
      <w:r>
        <w:rPr/>
        <w:t>关联交易、财务状况以及董事和高管人员履行职责的合法合规性进行监督，维护公司及股东的合法权益。</w:t>
      </w:r>
    </w:p>
    <w:p>
      <w:pPr>
        <w:spacing w:after="0" w:line="273" w:lineRule="auto"/>
        <w:jc w:val="left"/>
        <w:sectPr>
          <w:pgSz w:w="11910" w:h="16840"/>
          <w:pgMar w:header="852" w:footer="979" w:top="1300" w:bottom="1160" w:left="980" w:right="920"/>
        </w:sectPr>
      </w:pPr>
    </w:p>
    <w:p>
      <w:pPr>
        <w:pStyle w:val="BodyText"/>
        <w:spacing w:line="273" w:lineRule="auto" w:before="108"/>
        <w:ind w:left="693" w:right="0"/>
        <w:jc w:val="left"/>
      </w:pPr>
      <w:r>
        <w:rPr/>
        <w:t>（五）绩效考核与激励机制</w:t>
      </w:r>
      <w:r>
        <w:rPr>
          <w:w w:val="100"/>
        </w:rPr>
        <w:t> </w:t>
      </w:r>
      <w:r>
        <w:rPr>
          <w:spacing w:val="-4"/>
        </w:rPr>
        <w:t>公司建立并逐步完善公正、有效的高级管理人员的绩效评价标准和激励约束机制，公司完成了首期股</w:t>
      </w:r>
    </w:p>
    <w:p>
      <w:pPr>
        <w:pStyle w:val="BodyText"/>
        <w:spacing w:line="256" w:lineRule="auto" w:before="7"/>
        <w:ind w:left="212" w:right="0"/>
        <w:jc w:val="left"/>
      </w:pPr>
      <w:r>
        <w:rPr>
          <w:spacing w:val="-2"/>
        </w:rPr>
        <w:t>票期权激励计划首次授予期权第四个行权期的行权工作和</w:t>
      </w:r>
      <w:r>
        <w:rPr>
          <w:rFonts w:ascii="Times New Roman" w:hAnsi="Times New Roman" w:cs="Times New Roman" w:eastAsia="Times New Roman" w:hint="default"/>
          <w:spacing w:val="-2"/>
        </w:rPr>
        <w:t>2014</w:t>
      </w:r>
      <w:r>
        <w:rPr>
          <w:spacing w:val="-2"/>
        </w:rPr>
        <w:t>年股票期权激励计划预留期权的授予工作，</w:t>
      </w:r>
      <w:r>
        <w:rPr>
          <w:spacing w:val="-16"/>
        </w:rPr>
        <w:t> </w:t>
      </w:r>
      <w:r>
        <w:rPr>
          <w:spacing w:val="-16"/>
        </w:rPr>
      </w:r>
      <w:r>
        <w:rPr/>
        <w:t>提升了员工积极性，增强凝聚力和向心力。</w:t>
      </w:r>
    </w:p>
    <w:p>
      <w:pPr>
        <w:pStyle w:val="BodyText"/>
        <w:spacing w:line="273" w:lineRule="auto" w:before="22"/>
        <w:ind w:left="693" w:right="0"/>
        <w:jc w:val="left"/>
      </w:pPr>
      <w:r>
        <w:rPr/>
        <w:t>（六）公司与投资者</w:t>
      </w:r>
      <w:r>
        <w:rPr>
          <w:w w:val="100"/>
        </w:rPr>
        <w:t> </w:t>
      </w:r>
      <w:r>
        <w:rPr>
          <w:spacing w:val="-4"/>
        </w:rPr>
        <w:t>公司严格按照有关法律法规以及《信息披露管理办法》、《投资者关系管理办法》等要求，真实、准</w:t>
      </w:r>
    </w:p>
    <w:p>
      <w:pPr>
        <w:pStyle w:val="BodyText"/>
        <w:spacing w:line="271" w:lineRule="auto" w:before="7"/>
        <w:ind w:left="212" w:right="0"/>
        <w:jc w:val="left"/>
      </w:pPr>
      <w:r>
        <w:rPr>
          <w:spacing w:val="-2"/>
        </w:rPr>
        <w:t>确、及时、公平、完整地披露有关信息。公司指定公司董事会秘书负责信息披露工作，协调公司与投资者</w:t>
      </w:r>
      <w:r>
        <w:rPr>
          <w:spacing w:val="-43"/>
        </w:rPr>
        <w:t> </w:t>
      </w:r>
      <w:r>
        <w:rPr>
          <w:spacing w:val="-43"/>
        </w:rPr>
      </w:r>
      <w:r>
        <w:rPr>
          <w:spacing w:val="17"/>
        </w:rPr>
        <w:t>的关系，接待股东来访，回答投资者咨询，向投资者提供公司已披露的资料；并指定巨潮资讯网</w:t>
      </w:r>
      <w:r>
        <w:rPr>
          <w:spacing w:val="-15"/>
        </w:rPr>
        <w:t> </w:t>
      </w:r>
      <w:hyperlink r:id="rId23">
        <w:r>
          <w:rPr>
            <w:rFonts w:ascii="Times New Roman" w:hAnsi="Times New Roman" w:cs="Times New Roman" w:eastAsia="Times New Roman" w:hint="default"/>
            <w:spacing w:val="-3"/>
          </w:rPr>
          <w:t>www.cninfo.com.cn</w:t>
        </w:r>
        <w:r>
          <w:rPr>
            <w:spacing w:val="-3"/>
          </w:rPr>
          <w:t>为公司信息披露的指定网站</w:t>
        </w:r>
      </w:hyperlink>
      <w:r>
        <w:rPr>
          <w:spacing w:val="-3"/>
        </w:rPr>
        <w:t>，《中国证券报》、《上海证券报》及《证券时报》为公司</w:t>
      </w:r>
      <w:r>
        <w:rPr>
          <w:spacing w:val="-1"/>
        </w:rPr>
        <w:t> </w:t>
      </w:r>
      <w:r>
        <w:rPr>
          <w:spacing w:val="-1"/>
        </w:rPr>
      </w:r>
      <w:r>
        <w:rPr>
          <w:spacing w:val="-5"/>
        </w:rPr>
        <w:t>信息披露的指定报刊，确保公司所有股东能够公平地获取公司信息。同时公司设立投资者电话专线、传真、 </w:t>
      </w:r>
      <w:r>
        <w:rPr>
          <w:spacing w:val="-5"/>
        </w:rPr>
      </w:r>
      <w:r>
        <w:rPr>
          <w:spacing w:val="-2"/>
        </w:rPr>
        <w:t>董秘邮箱等多种渠道，采取积极回复投资者咨询、进行网上业绩说明会及反向路演等多种形式。作为公众</w:t>
      </w:r>
      <w:r>
        <w:rPr>
          <w:spacing w:val="-43"/>
        </w:rPr>
        <w:t> </w:t>
      </w:r>
      <w:r>
        <w:rPr>
          <w:spacing w:val="-43"/>
        </w:rPr>
      </w:r>
      <w:r>
        <w:rPr>
          <w:spacing w:val="-2"/>
        </w:rPr>
        <w:t>公司，在资本市场需要与投资者建立良性互动的关系，公司仍需要进一步加强投资者关系管理工作，以提</w:t>
      </w:r>
      <w:r>
        <w:rPr>
          <w:spacing w:val="-43"/>
        </w:rPr>
        <w:t> </w:t>
      </w:r>
      <w:r>
        <w:rPr>
          <w:spacing w:val="-43"/>
        </w:rPr>
      </w:r>
      <w:r>
        <w:rPr/>
        <w:t>高公司信息透明度，保障全体股东的合法权益。</w:t>
      </w:r>
    </w:p>
    <w:p>
      <w:pPr>
        <w:pStyle w:val="BodyText"/>
        <w:spacing w:line="273" w:lineRule="auto" w:before="10"/>
        <w:ind w:left="693" w:right="0"/>
        <w:jc w:val="left"/>
      </w:pPr>
      <w:r>
        <w:rPr/>
        <w:t>（七）内部审计制度的建立与执行</w:t>
      </w:r>
      <w:r>
        <w:rPr>
          <w:w w:val="100"/>
        </w:rPr>
        <w:t> </w:t>
      </w:r>
      <w:r>
        <w:rPr>
          <w:spacing w:val="-9"/>
        </w:rPr>
        <w:t>为规范经营管理，控制风险，保证经营业务活动的正常开展，公司根据《公司法》、《证券法》、《企</w:t>
      </w:r>
    </w:p>
    <w:p>
      <w:pPr>
        <w:pStyle w:val="BodyText"/>
        <w:spacing w:line="273" w:lineRule="auto" w:before="7"/>
        <w:ind w:left="212" w:right="926"/>
        <w:jc w:val="both"/>
      </w:pPr>
      <w:r>
        <w:rPr>
          <w:spacing w:val="-2"/>
        </w:rPr>
        <w:t>业内部控制基本规范》等有关法律、法规和规章制度，结合公司的实际情况、自身特点和管理需要，制定</w:t>
      </w:r>
      <w:r>
        <w:rPr>
          <w:spacing w:val="-43"/>
        </w:rPr>
        <w:t> </w:t>
      </w:r>
      <w:r>
        <w:rPr>
          <w:spacing w:val="-43"/>
        </w:rPr>
      </w:r>
      <w:r>
        <w:rPr>
          <w:spacing w:val="-2"/>
        </w:rPr>
        <w:t>了贯穿于公司经营管理各层面、各环节的内部控制体系，并不断完善。通过对公司各项治理制度的规范和</w:t>
      </w:r>
      <w:r>
        <w:rPr>
          <w:spacing w:val="-45"/>
        </w:rPr>
        <w:t> </w:t>
      </w:r>
      <w:r>
        <w:rPr>
          <w:spacing w:val="-45"/>
        </w:rPr>
      </w:r>
      <w:r>
        <w:rPr/>
        <w:t>落实，公司的治理水平不断提高，有效地保证了公司各项经营目标的实现。</w:t>
      </w:r>
    </w:p>
    <w:p>
      <w:pPr>
        <w:pStyle w:val="BodyText"/>
        <w:spacing w:line="273" w:lineRule="auto" w:before="7"/>
        <w:ind w:left="212" w:right="0" w:firstLine="480"/>
        <w:jc w:val="left"/>
      </w:pPr>
      <w:r>
        <w:rPr>
          <w:spacing w:val="-4"/>
        </w:rPr>
        <w:t>公司董事会下设审计委员会，主要负责公司内部审计与外部审计之间进行沟通，并监督公司内部审计</w:t>
      </w:r>
      <w:r>
        <w:rPr>
          <w:w w:val="100"/>
        </w:rPr>
        <w:t> </w:t>
      </w:r>
      <w:r>
        <w:rPr>
          <w:spacing w:val="-5"/>
        </w:rPr>
        <w:t>制度的实施，审查公司内部控制制度的执行情况，审查公司的财务信息等。审计委员会下设独立的审计部，</w:t>
      </w:r>
      <w:r>
        <w:rPr>
          <w:spacing w:val="-4"/>
        </w:rPr>
        <w:t> </w:t>
      </w:r>
      <w:r>
        <w:rPr>
          <w:spacing w:val="-4"/>
        </w:rPr>
      </w:r>
      <w:r>
        <w:rPr/>
        <w:t>审计部直接对审计委员会负责及报告工作。</w:t>
      </w:r>
    </w:p>
    <w:p>
      <w:pPr>
        <w:pStyle w:val="BodyText"/>
        <w:spacing w:line="273" w:lineRule="auto" w:before="7"/>
        <w:ind w:left="693" w:right="0"/>
        <w:jc w:val="left"/>
      </w:pPr>
      <w:r>
        <w:rPr/>
        <w:t>（八）利益相关方</w:t>
      </w:r>
      <w:r>
        <w:rPr>
          <w:w w:val="100"/>
        </w:rPr>
        <w:t> </w:t>
      </w:r>
      <w:r>
        <w:rPr>
          <w:spacing w:val="-4"/>
        </w:rPr>
        <w:t>公司充分尊重和维护相关利益者的合法权益，积极与相关利益者合作，加强与各方的沟通与交流，实</w:t>
      </w:r>
    </w:p>
    <w:p>
      <w:pPr>
        <w:pStyle w:val="BodyText"/>
        <w:spacing w:line="240" w:lineRule="auto" w:before="8"/>
        <w:ind w:left="212" w:right="0"/>
        <w:jc w:val="left"/>
      </w:pPr>
      <w:r>
        <w:rPr/>
        <w:t>现股东、员工、社会等各方利益的协调平衡，共同推动公司持续、健康的发展。</w:t>
      </w:r>
    </w:p>
    <w:p>
      <w:pPr>
        <w:spacing w:line="240" w:lineRule="auto" w:before="0"/>
        <w:rPr>
          <w:rFonts w:ascii="宋体" w:hAnsi="宋体" w:cs="宋体" w:eastAsia="宋体" w:hint="default"/>
          <w:sz w:val="20"/>
          <w:szCs w:val="20"/>
        </w:rPr>
      </w:pPr>
    </w:p>
    <w:p>
      <w:pPr>
        <w:spacing w:before="149"/>
        <w:ind w:left="21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212" w:right="3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4"/>
        <w:spacing w:line="240" w:lineRule="auto"/>
        <w:ind w:left="212" w:right="0"/>
        <w:jc w:val="left"/>
        <w:rPr>
          <w:b w:val="0"/>
          <w:bCs w:val="0"/>
        </w:rPr>
      </w:pPr>
      <w:r>
        <w:rPr/>
        <w:t>二、公司相对于控股股东在业务、人员、资产、机构、财务等方面的独立情况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left="212" w:right="0" w:firstLine="480"/>
        <w:jc w:val="left"/>
      </w:pPr>
      <w:r>
        <w:rPr>
          <w:spacing w:val="-4"/>
        </w:rPr>
        <w:t>公司自成立及上市以来严格按照《公司法》、《证券法》等有关法律法规及《公司章程》的相关要求</w:t>
      </w:r>
      <w:r>
        <w:rPr>
          <w:w w:val="100"/>
        </w:rPr>
        <w:t> </w:t>
      </w:r>
      <w:r>
        <w:rPr/>
        <w:t>规范运作，在业务、资产、人员、机构和财务等方面独立于公司控股股东。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left="212" w:right="0"/>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4"/>
        <w:spacing w:line="240" w:lineRule="auto"/>
        <w:ind w:left="212"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2"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517"/>
        <w:gridCol w:w="1477"/>
        <w:gridCol w:w="1560"/>
        <w:gridCol w:w="1702"/>
        <w:gridCol w:w="1714"/>
        <w:gridCol w:w="1594"/>
      </w:tblGrid>
      <w:tr>
        <w:trPr>
          <w:trHeight w:val="403" w:hRule="exact"/>
        </w:trPr>
        <w:tc>
          <w:tcPr>
            <w:tcW w:w="2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52" w:footer="979" w:top="1300" w:bottom="1160" w:left="920" w:right="200"/>
        </w:sectPr>
      </w:pPr>
    </w:p>
    <w:p>
      <w:pPr>
        <w:spacing w:line="240" w:lineRule="auto" w:before="3"/>
        <w:rPr>
          <w:rFonts w:ascii="宋体" w:hAnsi="宋体" w:cs="宋体" w:eastAsia="宋体" w:hint="default"/>
          <w:b/>
          <w:bCs/>
          <w:sz w:val="9"/>
          <w:szCs w:val="9"/>
        </w:rPr>
      </w:pPr>
    </w:p>
    <w:tbl>
      <w:tblPr>
        <w:tblW w:w="0" w:type="auto"/>
        <w:jc w:val="left"/>
        <w:tblInd w:w="100" w:type="dxa"/>
        <w:tblLayout w:type="fixed"/>
        <w:tblCellMar>
          <w:top w:w="0" w:type="dxa"/>
          <w:left w:w="0" w:type="dxa"/>
          <w:bottom w:w="0" w:type="dxa"/>
          <w:right w:w="0" w:type="dxa"/>
        </w:tblCellMar>
        <w:tblLook w:val="01E0"/>
      </w:tblPr>
      <w:tblGrid>
        <w:gridCol w:w="2518"/>
        <w:gridCol w:w="1477"/>
        <w:gridCol w:w="1560"/>
        <w:gridCol w:w="1702"/>
        <w:gridCol w:w="1714"/>
        <w:gridCol w:w="1594"/>
      </w:tblGrid>
      <w:tr>
        <w:trPr>
          <w:trHeight w:val="71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1"/>
              <w:ind w:left="105" w:right="97" w:firstLine="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2"/>
                <w:sz w:val="18"/>
                <w:szCs w:val="18"/>
              </w:rPr>
              <w:t>com.cn</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2015-022</w:t>
            </w:r>
          </w:p>
        </w:tc>
      </w:tr>
      <w:tr>
        <w:trPr>
          <w:trHeight w:val="71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3"/>
              <w:ind w:left="105" w:right="97" w:firstLine="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2"/>
                <w:sz w:val="18"/>
                <w:szCs w:val="18"/>
              </w:rPr>
              <w:t>com.cn</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2015-059</w:t>
            </w:r>
          </w:p>
        </w:tc>
      </w:tr>
    </w:tbl>
    <w:p>
      <w:pPr>
        <w:pStyle w:val="BodyText"/>
        <w:spacing w:line="278" w:lineRule="exact"/>
        <w:ind w:left="212" w:right="0"/>
        <w:jc w:val="left"/>
      </w:pP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投资者参与比例是指参会的投资者占总股东人数比例，投资者指未担任公司职位的自然人。</w:t>
      </w:r>
    </w:p>
    <w:p>
      <w:pPr>
        <w:spacing w:line="240" w:lineRule="auto" w:before="7"/>
        <w:rPr>
          <w:rFonts w:ascii="宋体" w:hAnsi="宋体" w:cs="宋体" w:eastAsia="宋体" w:hint="default"/>
          <w:sz w:val="24"/>
          <w:szCs w:val="24"/>
        </w:rPr>
      </w:pPr>
    </w:p>
    <w:p>
      <w:pPr>
        <w:pStyle w:val="Heading5"/>
        <w:spacing w:line="240" w:lineRule="auto"/>
        <w:ind w:left="212"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left="212"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2"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颜学海</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李增泉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江泊</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before="49"/>
        <w:ind w:left="212"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18"/>
        <w:ind w:left="212"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2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7"/>
        <w:rPr>
          <w:rFonts w:ascii="宋体" w:hAnsi="宋体" w:cs="宋体" w:eastAsia="宋体" w:hint="default"/>
          <w:sz w:val="21"/>
          <w:szCs w:val="21"/>
        </w:rPr>
      </w:pPr>
    </w:p>
    <w:p>
      <w:pPr>
        <w:pStyle w:val="Heading5"/>
        <w:spacing w:line="240" w:lineRule="auto"/>
        <w:ind w:left="212"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2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left="212" w:right="0"/>
        <w:jc w:val="left"/>
        <w:rPr>
          <w:b w:val="0"/>
          <w:bCs w:val="0"/>
        </w:rPr>
      </w:pP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61" w:lineRule="auto"/>
        <w:ind w:left="212" w:right="926" w:firstLine="420"/>
        <w:jc w:val="both"/>
      </w:pPr>
      <w:r>
        <w:rPr>
          <w:rFonts w:ascii="Times New Roman" w:hAnsi="Times New Roman" w:cs="Times New Roman" w:eastAsia="Times New Roman" w:hint="default"/>
          <w:spacing w:val="-2"/>
        </w:rPr>
        <w:t>1</w:t>
      </w:r>
      <w:r>
        <w:rPr>
          <w:spacing w:val="-2"/>
        </w:rPr>
        <w:t>、薪酬与考核委员会：</w:t>
      </w:r>
      <w:r>
        <w:rPr>
          <w:rFonts w:ascii="Times New Roman" w:hAnsi="Times New Roman" w:cs="Times New Roman" w:eastAsia="Times New Roman" w:hint="default"/>
          <w:spacing w:val="-2"/>
        </w:rPr>
        <w:t>2015</w:t>
      </w:r>
      <w:r>
        <w:rPr>
          <w:spacing w:val="-2"/>
        </w:rPr>
        <w:t>年度组织召开了</w:t>
      </w:r>
      <w:r>
        <w:rPr>
          <w:rFonts w:ascii="Times New Roman" w:hAnsi="Times New Roman" w:cs="Times New Roman" w:eastAsia="Times New Roman" w:hint="default"/>
          <w:spacing w:val="-2"/>
        </w:rPr>
        <w:t>4</w:t>
      </w:r>
      <w:r>
        <w:rPr>
          <w:spacing w:val="-2"/>
        </w:rPr>
        <w:t>次薪酬与考核委员会会议。审议并通过了高管人员薪酬</w:t>
      </w:r>
      <w:r>
        <w:rPr>
          <w:w w:val="100"/>
        </w:rPr>
        <w:t> </w:t>
      </w:r>
      <w:r>
        <w:rPr>
          <w:spacing w:val="-2"/>
        </w:rPr>
        <w:t>审核事项，对</w:t>
      </w:r>
      <w:r>
        <w:rPr>
          <w:rFonts w:ascii="Times New Roman" w:hAnsi="Times New Roman" w:cs="Times New Roman" w:eastAsia="Times New Roman" w:hint="default"/>
          <w:spacing w:val="-2"/>
        </w:rPr>
        <w:t>2014</w:t>
      </w:r>
      <w:r>
        <w:rPr>
          <w:spacing w:val="-2"/>
        </w:rPr>
        <w:t>年度公司董监高所披露薪酬情况进行审核，认为符合公司薪酬管理的有关规定；审议并</w:t>
      </w:r>
      <w:r>
        <w:rPr>
          <w:spacing w:val="-42"/>
        </w:rPr>
        <w:t> </w:t>
      </w:r>
      <w:r>
        <w:rPr>
          <w:spacing w:val="-42"/>
        </w:rPr>
      </w:r>
      <w:r>
        <w:rPr>
          <w:spacing w:val="-2"/>
        </w:rPr>
        <w:t>通过了关于注销公司首期股票期权激励计划部分已授期权、关于公司首期股票期权激励计划期权数量和行</w:t>
      </w:r>
      <w:r>
        <w:rPr>
          <w:spacing w:val="-43"/>
        </w:rPr>
        <w:t> </w:t>
      </w:r>
      <w:r>
        <w:rPr>
          <w:spacing w:val="-43"/>
        </w:rPr>
      </w:r>
      <w:r>
        <w:rPr>
          <w:spacing w:val="-2"/>
        </w:rPr>
        <w:t>权价格调整、关于公司首期股票期权首次授予股票期权第四个行权期可行权的议案；审议并通过了关于注</w:t>
      </w:r>
      <w:r>
        <w:rPr>
          <w:spacing w:val="-44"/>
        </w:rPr>
        <w:t> </w:t>
      </w:r>
      <w:r>
        <w:rPr>
          <w:spacing w:val="-44"/>
        </w:rPr>
      </w:r>
      <w:r>
        <w:rPr>
          <w:spacing w:val="-2"/>
        </w:rPr>
        <w:t>销公司</w:t>
      </w:r>
      <w:r>
        <w:rPr>
          <w:rFonts w:ascii="Times New Roman" w:hAnsi="Times New Roman" w:cs="Times New Roman" w:eastAsia="Times New Roman" w:hint="default"/>
          <w:spacing w:val="-2"/>
        </w:rPr>
        <w:t>2014</w:t>
      </w:r>
      <w:r>
        <w:rPr>
          <w:spacing w:val="-2"/>
        </w:rPr>
        <w:t>年股票期权激励计划部分已授期权、调整公司</w:t>
      </w:r>
      <w:r>
        <w:rPr>
          <w:rFonts w:ascii="Times New Roman" w:hAnsi="Times New Roman" w:cs="Times New Roman" w:eastAsia="Times New Roman" w:hint="default"/>
          <w:spacing w:val="-2"/>
        </w:rPr>
        <w:t>2014</w:t>
      </w:r>
      <w:r>
        <w:rPr>
          <w:spacing w:val="-2"/>
        </w:rPr>
        <w:t>年股票期权激励计划首次授予期权数量和行</w:t>
      </w:r>
      <w:r>
        <w:rPr>
          <w:spacing w:val="-33"/>
        </w:rPr>
        <w:t> </w:t>
      </w:r>
      <w:r>
        <w:rPr>
          <w:spacing w:val="-33"/>
        </w:rPr>
      </w:r>
      <w:r>
        <w:rPr>
          <w:spacing w:val="-2"/>
        </w:rPr>
        <w:t>权价格、</w:t>
      </w:r>
      <w:r>
        <w:rPr>
          <w:rFonts w:ascii="Times New Roman" w:hAnsi="Times New Roman" w:cs="Times New Roman" w:eastAsia="Times New Roman" w:hint="default"/>
          <w:spacing w:val="-2"/>
        </w:rPr>
        <w:t>2014</w:t>
      </w:r>
      <w:r>
        <w:rPr>
          <w:spacing w:val="-2"/>
        </w:rPr>
        <w:t>年股票期权激励计划预留股票期权授予相关事项的议案；审议通过了关于公司</w:t>
      </w:r>
      <w:r>
        <w:rPr>
          <w:rFonts w:ascii="Times New Roman" w:hAnsi="Times New Roman" w:cs="Times New Roman" w:eastAsia="Times New Roman" w:hint="default"/>
          <w:spacing w:val="-2"/>
        </w:rPr>
        <w:t>2014</w:t>
      </w:r>
      <w:r>
        <w:rPr>
          <w:spacing w:val="-2"/>
        </w:rPr>
        <w:t>年股票期</w:t>
      </w:r>
      <w:r>
        <w:rPr>
          <w:spacing w:val="-34"/>
        </w:rPr>
        <w:t> </w:t>
      </w:r>
      <w:r>
        <w:rPr>
          <w:spacing w:val="-34"/>
        </w:rPr>
      </w:r>
      <w:r>
        <w:rPr/>
        <w:t>权激励计划预留股票期权数量进行调整的议案。</w:t>
      </w:r>
    </w:p>
    <w:p>
      <w:pPr>
        <w:spacing w:after="0" w:line="261" w:lineRule="auto"/>
        <w:jc w:val="both"/>
        <w:sectPr>
          <w:pgSz w:w="11910" w:h="16840"/>
          <w:pgMar w:header="852" w:footer="979" w:top="1300" w:bottom="1160" w:left="920" w:right="200"/>
        </w:sectPr>
      </w:pPr>
    </w:p>
    <w:p>
      <w:pPr>
        <w:pStyle w:val="BodyText"/>
        <w:spacing w:line="256" w:lineRule="auto" w:before="108"/>
        <w:ind w:right="148" w:firstLine="420"/>
        <w:jc w:val="both"/>
      </w:pPr>
      <w:r>
        <w:rPr>
          <w:rFonts w:ascii="Times New Roman" w:hAnsi="Times New Roman" w:cs="Times New Roman" w:eastAsia="Times New Roman" w:hint="default"/>
          <w:spacing w:val="-2"/>
        </w:rPr>
        <w:t>2</w:t>
      </w:r>
      <w:r>
        <w:rPr>
          <w:spacing w:val="-2"/>
        </w:rPr>
        <w:t>、审计委员会：</w:t>
      </w:r>
      <w:r>
        <w:rPr>
          <w:rFonts w:ascii="Times New Roman" w:hAnsi="Times New Roman" w:cs="Times New Roman" w:eastAsia="Times New Roman" w:hint="default"/>
          <w:spacing w:val="-2"/>
        </w:rPr>
        <w:t>2015</w:t>
      </w:r>
      <w:r>
        <w:rPr>
          <w:spacing w:val="-2"/>
        </w:rPr>
        <w:t>年度共组织了</w:t>
      </w:r>
      <w:r>
        <w:rPr>
          <w:rFonts w:ascii="Times New Roman" w:hAnsi="Times New Roman" w:cs="Times New Roman" w:eastAsia="Times New Roman" w:hint="default"/>
          <w:spacing w:val="-2"/>
        </w:rPr>
        <w:t>4</w:t>
      </w:r>
      <w:r>
        <w:rPr>
          <w:spacing w:val="-2"/>
        </w:rPr>
        <w:t>次审计委员会会议。对公司</w:t>
      </w:r>
      <w:r>
        <w:rPr>
          <w:rFonts w:ascii="Times New Roman" w:hAnsi="Times New Roman" w:cs="Times New Roman" w:eastAsia="Times New Roman" w:hint="default"/>
          <w:spacing w:val="-2"/>
        </w:rPr>
        <w:t>2014</w:t>
      </w:r>
      <w:r>
        <w:rPr>
          <w:spacing w:val="-2"/>
        </w:rPr>
        <w:t>年年度报告全文及摘要、</w:t>
      </w:r>
      <w:r>
        <w:rPr>
          <w:rFonts w:ascii="Times New Roman" w:hAnsi="Times New Roman" w:cs="Times New Roman" w:eastAsia="Times New Roman" w:hint="default"/>
          <w:spacing w:val="-2"/>
        </w:rPr>
        <w:t>2014</w:t>
      </w:r>
      <w:r>
        <w:rPr>
          <w:spacing w:val="-2"/>
        </w:rPr>
        <w:t>年</w:t>
      </w:r>
      <w:r>
        <w:rPr>
          <w:w w:val="100"/>
        </w:rPr>
        <w:t> </w:t>
      </w:r>
      <w:r>
        <w:rPr>
          <w:spacing w:val="-2"/>
        </w:rPr>
        <w:t>度内部审计开展情况、</w:t>
      </w:r>
      <w:r>
        <w:rPr>
          <w:rFonts w:ascii="Times New Roman" w:hAnsi="Times New Roman" w:cs="Times New Roman" w:eastAsia="Times New Roman" w:hint="default"/>
          <w:spacing w:val="-2"/>
        </w:rPr>
        <w:t>2015</w:t>
      </w:r>
      <w:r>
        <w:rPr>
          <w:spacing w:val="-2"/>
        </w:rPr>
        <w:t>年第一季度报告；</w:t>
      </w:r>
      <w:r>
        <w:rPr>
          <w:rFonts w:ascii="Times New Roman" w:hAnsi="Times New Roman" w:cs="Times New Roman" w:eastAsia="Times New Roman" w:hint="default"/>
          <w:spacing w:val="-2"/>
        </w:rPr>
        <w:t>2015</w:t>
      </w:r>
      <w:r>
        <w:rPr>
          <w:spacing w:val="-2"/>
        </w:rPr>
        <w:t>年半年度报告全文及摘要；</w:t>
      </w:r>
      <w:r>
        <w:rPr>
          <w:rFonts w:ascii="Times New Roman" w:hAnsi="Times New Roman" w:cs="Times New Roman" w:eastAsia="Times New Roman" w:hint="default"/>
          <w:spacing w:val="-2"/>
        </w:rPr>
        <w:t>2015</w:t>
      </w:r>
      <w:r>
        <w:rPr>
          <w:spacing w:val="-2"/>
        </w:rPr>
        <w:t>年第三季度报告等进行</w:t>
      </w:r>
      <w:r>
        <w:rPr>
          <w:spacing w:val="-38"/>
        </w:rPr>
        <w:t> </w:t>
      </w:r>
      <w:r>
        <w:rPr>
          <w:spacing w:val="-38"/>
        </w:rPr>
      </w:r>
      <w:r>
        <w:rPr/>
        <w:t>了审核，并参与了年度审计与主审会计机构的事前、事中沟通和事后评价工作。</w:t>
      </w:r>
    </w:p>
    <w:p>
      <w:pPr>
        <w:pStyle w:val="BodyText"/>
        <w:spacing w:line="256" w:lineRule="auto" w:before="22"/>
        <w:ind w:right="148" w:firstLine="420"/>
        <w:jc w:val="both"/>
      </w:pPr>
      <w:r>
        <w:rPr>
          <w:rFonts w:ascii="Times New Roman" w:hAnsi="Times New Roman" w:cs="Times New Roman" w:eastAsia="Times New Roman" w:hint="default"/>
          <w:spacing w:val="-2"/>
        </w:rPr>
        <w:t>3</w:t>
      </w:r>
      <w:r>
        <w:rPr>
          <w:spacing w:val="-2"/>
        </w:rPr>
        <w:t>、战略委员会：</w:t>
      </w:r>
      <w:r>
        <w:rPr>
          <w:rFonts w:ascii="Times New Roman" w:hAnsi="Times New Roman" w:cs="Times New Roman" w:eastAsia="Times New Roman" w:hint="default"/>
          <w:spacing w:val="-2"/>
        </w:rPr>
        <w:t>2015</w:t>
      </w:r>
      <w:r>
        <w:rPr>
          <w:spacing w:val="-2"/>
        </w:rPr>
        <w:t>年度共组织了</w:t>
      </w:r>
      <w:r>
        <w:rPr>
          <w:rFonts w:ascii="Times New Roman" w:hAnsi="Times New Roman" w:cs="Times New Roman" w:eastAsia="Times New Roman" w:hint="default"/>
          <w:spacing w:val="-2"/>
        </w:rPr>
        <w:t>2</w:t>
      </w:r>
      <w:r>
        <w:rPr>
          <w:spacing w:val="-2"/>
        </w:rPr>
        <w:t>次战略委员会会议。审议并通过公司</w:t>
      </w:r>
      <w:r>
        <w:rPr>
          <w:rFonts w:ascii="Times New Roman" w:hAnsi="Times New Roman" w:cs="Times New Roman" w:eastAsia="Times New Roman" w:hint="default"/>
          <w:spacing w:val="-2"/>
        </w:rPr>
        <w:t>2014</w:t>
      </w:r>
      <w:r>
        <w:rPr>
          <w:spacing w:val="-2"/>
        </w:rPr>
        <w:t>年度公司发展战略取得</w:t>
      </w:r>
      <w:r>
        <w:rPr>
          <w:w w:val="100"/>
        </w:rPr>
        <w:t> </w:t>
      </w:r>
      <w:r>
        <w:rPr/>
        <w:t>的成果及</w:t>
      </w:r>
      <w:r>
        <w:rPr>
          <w:rFonts w:ascii="Times New Roman" w:hAnsi="Times New Roman" w:cs="Times New Roman" w:eastAsia="Times New Roman" w:hint="default"/>
        </w:rPr>
        <w:t>2015</w:t>
      </w:r>
      <w:r>
        <w:rPr/>
        <w:t>年将实施的战略规划、讨论公司收购同信证券后对公司发展的影响。</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5"/>
        <w:ind w:left="152" w:right="63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24" w:firstLine="420"/>
        <w:jc w:val="both"/>
      </w:pPr>
      <w:r>
        <w:rPr>
          <w:spacing w:val="-2"/>
        </w:rPr>
        <w:t>公司依据国家法律法规并结合实际情况制定了薪酬管理制度，建立和完善了公司组织绩效管理框架，</w:t>
      </w:r>
      <w:r>
        <w:rPr>
          <w:w w:val="100"/>
        </w:rPr>
        <w:t> </w:t>
      </w:r>
      <w:r>
        <w:rPr>
          <w:spacing w:val="-2"/>
        </w:rPr>
        <w:t>不断完善绩效考核机制和激励机制，公司高级管理人员严格按照相关法律法规的规定和要求进行聘任，确</w:t>
      </w:r>
      <w:r>
        <w:rPr>
          <w:spacing w:val="-43"/>
        </w:rPr>
        <w:t> </w:t>
      </w:r>
      <w:r>
        <w:rPr>
          <w:spacing w:val="-43"/>
        </w:rPr>
      </w:r>
      <w:r>
        <w:rPr>
          <w:spacing w:val="-2"/>
        </w:rPr>
        <w:t>保公开、透明、公正，同时公司董事会设立薪酬和考核委员会，主要负责对公司董事及高级管理人员进行</w:t>
      </w:r>
      <w:r>
        <w:rPr>
          <w:spacing w:val="-44"/>
        </w:rPr>
        <w:t> </w:t>
      </w:r>
      <w:r>
        <w:rPr>
          <w:spacing w:val="-44"/>
        </w:rPr>
      </w:r>
      <w:r>
        <w:rPr/>
        <w:t>绩效考核。</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44"/>
        <w:ind w:left="0" w:right="183" w:firstLine="0"/>
        <w:jc w:val="right"/>
        <w:rPr>
          <w:rFonts w:ascii="宋体" w:hAnsi="宋体" w:cs="宋体" w:eastAsia="宋体" w:hint="default"/>
          <w:sz w:val="18"/>
          <w:szCs w:val="18"/>
        </w:rPr>
      </w:pPr>
      <w:r>
        <w:rPr/>
        <w:pict>
          <v:shape style="position:absolute;margin-left:57pt;margin-top:-214.954269pt;width:478.7pt;height:232.8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8"/>
                    <w:gridCol w:w="3327"/>
                    <w:gridCol w:w="3053"/>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3"/>
                            <w:sz w:val="18"/>
                            <w:szCs w:val="18"/>
                          </w:rPr>
                          <w:t> </w:t>
                        </w:r>
                        <w:hyperlink r:id="rId16">
                          <w:r>
                            <w:rPr>
                              <w:rFonts w:ascii="Times New Roman" w:hAnsi="Times New Roman" w:cs="Times New Roman" w:eastAsia="Times New Roman" w:hint="default"/>
                              <w:sz w:val="18"/>
                              <w:szCs w:val="18"/>
                            </w:rPr>
                            <w:t>http://www.cninfo.com.cn</w:t>
                          </w:r>
                        </w:hyperlink>
                      </w:p>
                    </w:tc>
                  </w:tr>
                  <w:tr>
                    <w:trPr>
                      <w:trHeight w:val="71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10"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3"/>
                            <w:sz w:val="18"/>
                            <w:szCs w:val="18"/>
                          </w:rPr>
                          <w:t>重大缺陷认定标准：①</w:t>
                        </w:r>
                        <w:r>
                          <w:rPr>
                            <w:rFonts w:ascii="宋体" w:hAnsi="宋体" w:cs="宋体" w:eastAsia="宋体" w:hint="default"/>
                            <w:spacing w:val="10"/>
                            <w:sz w:val="18"/>
                            <w:szCs w:val="18"/>
                          </w:rPr>
                          <w:t> </w:t>
                        </w:r>
                        <w:r>
                          <w:rPr>
                            <w:rFonts w:ascii="宋体" w:hAnsi="宋体" w:cs="宋体" w:eastAsia="宋体" w:hint="default"/>
                            <w:spacing w:val="-6"/>
                            <w:sz w:val="18"/>
                            <w:szCs w:val="18"/>
                          </w:rPr>
                          <w:t>董事、监事、高级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管理人员舞弊；②</w:t>
                        </w:r>
                        <w:r>
                          <w:rPr>
                            <w:rFonts w:ascii="宋体" w:hAnsi="宋体" w:cs="宋体" w:eastAsia="宋体" w:hint="default"/>
                            <w:spacing w:val="-1"/>
                            <w:sz w:val="18"/>
                            <w:szCs w:val="18"/>
                          </w:rPr>
                          <w:t> </w:t>
                        </w:r>
                        <w:r>
                          <w:rPr>
                            <w:rFonts w:ascii="宋体" w:hAnsi="宋体" w:cs="宋体" w:eastAsia="宋体" w:hint="default"/>
                            <w:sz w:val="18"/>
                            <w:szCs w:val="18"/>
                          </w:rPr>
                          <w:t>对已经公告的财务报告</w:t>
                        </w:r>
                        <w:r>
                          <w:rPr>
                            <w:rFonts w:ascii="宋体" w:hAnsi="宋体" w:cs="宋体" w:eastAsia="宋体" w:hint="default"/>
                            <w:sz w:val="18"/>
                            <w:szCs w:val="18"/>
                          </w:rPr>
                          <w:t> 出现重大差错而进行的差错更正； ③</w:t>
                        </w:r>
                        <w:r>
                          <w:rPr>
                            <w:rFonts w:ascii="宋体" w:hAnsi="宋体" w:cs="宋体" w:eastAsia="宋体" w:hint="default"/>
                            <w:spacing w:val="2"/>
                            <w:sz w:val="18"/>
                            <w:szCs w:val="18"/>
                          </w:rPr>
                          <w:t> </w:t>
                        </w:r>
                        <w:r>
                          <w:rPr>
                            <w:rFonts w:ascii="宋体" w:hAnsi="宋体" w:cs="宋体" w:eastAsia="宋体" w:hint="default"/>
                            <w:sz w:val="18"/>
                            <w:szCs w:val="18"/>
                          </w:rPr>
                          <w:t>当</w:t>
                        </w:r>
                        <w:r>
                          <w:rPr>
                            <w:rFonts w:ascii="宋体" w:hAnsi="宋体" w:cs="宋体" w:eastAsia="宋体" w:hint="default"/>
                            <w:sz w:val="18"/>
                            <w:szCs w:val="18"/>
                          </w:rPr>
                          <w:t> 期财务报告存在重大差错，而内部控制运 </w:t>
                        </w:r>
                        <w:r>
                          <w:rPr>
                            <w:rFonts w:ascii="宋体" w:hAnsi="宋体" w:cs="宋体" w:eastAsia="宋体" w:hint="default"/>
                            <w:spacing w:val="-6"/>
                            <w:sz w:val="18"/>
                            <w:szCs w:val="18"/>
                          </w:rPr>
                          <w:t>行过程中未发现该差错；④</w:t>
                        </w:r>
                        <w:r>
                          <w:rPr>
                            <w:rFonts w:ascii="宋体" w:hAnsi="宋体" w:cs="宋体" w:eastAsia="宋体" w:hint="default"/>
                            <w:spacing w:val="8"/>
                            <w:sz w:val="18"/>
                            <w:szCs w:val="18"/>
                          </w:rPr>
                          <w:t> </w:t>
                        </w:r>
                        <w:r>
                          <w:rPr>
                            <w:rFonts w:ascii="宋体" w:hAnsi="宋体" w:cs="宋体" w:eastAsia="宋体" w:hint="default"/>
                            <w:sz w:val="18"/>
                            <w:szCs w:val="18"/>
                          </w:rPr>
                          <w:t>公司审计委员</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重大缺陷认定标准：①公司经营活动违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反国家法律、法规；②媒体负面新闻频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频曝光，对公司声誉造成重大影响；③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高级管理人员和核心技术人员严重流 失；④内部控制重大缺陷未得到整改</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610"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44"/>
        <w:ind w:left="0" w:right="159" w:firstLine="0"/>
        <w:jc w:val="right"/>
        <w:rPr>
          <w:rFonts w:ascii="宋体" w:hAnsi="宋体" w:cs="宋体" w:eastAsia="宋体" w:hint="default"/>
          <w:sz w:val="18"/>
          <w:szCs w:val="18"/>
        </w:rPr>
      </w:pPr>
      <w:r>
        <w:rPr/>
        <w:pict>
          <v:shape style="position:absolute;margin-left:56.459999pt;margin-top:-76.708282pt;width:479.2pt;height:337.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会和审计部门对财务报告内部控制监督无</w:t>
                        </w:r>
                      </w:p>
                    </w:tc>
                    <w:tc>
                      <w:tcPr>
                        <w:tcW w:w="30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pacing w:val="-4"/>
                            <w:sz w:val="18"/>
                            <w:szCs w:val="18"/>
                          </w:rPr>
                          <w:t>重要缺陷认定标准：①公司违反国家法</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效。重要缺陷认定标准</w:t>
                        </w:r>
                        <w:r>
                          <w:rPr>
                            <w:rFonts w:ascii="宋体" w:hAnsi="宋体" w:cs="宋体" w:eastAsia="宋体" w:hint="default"/>
                            <w:spacing w:val="14"/>
                            <w:sz w:val="18"/>
                            <w:szCs w:val="18"/>
                          </w:rPr>
                          <w:t> </w:t>
                        </w:r>
                        <w:r>
                          <w:rPr>
                            <w:rFonts w:ascii="宋体" w:hAnsi="宋体" w:cs="宋体" w:eastAsia="宋体" w:hint="default"/>
                            <w:spacing w:val="-5"/>
                            <w:sz w:val="18"/>
                            <w:szCs w:val="18"/>
                          </w:rPr>
                          <w:t>：①未建立反舞弊</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律、法规活动受到轻微处罚；②媒体出</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7"/>
                            <w:sz w:val="18"/>
                            <w:szCs w:val="18"/>
                          </w:rPr>
                          <w:t>程序和控制措施；②</w:t>
                        </w:r>
                        <w:r>
                          <w:rPr>
                            <w:rFonts w:ascii="宋体" w:hAnsi="宋体" w:cs="宋体" w:eastAsia="宋体" w:hint="default"/>
                            <w:spacing w:val="-2"/>
                            <w:sz w:val="18"/>
                            <w:szCs w:val="18"/>
                          </w:rPr>
                          <w:t> </w:t>
                        </w:r>
                        <w:r>
                          <w:rPr>
                            <w:rFonts w:ascii="宋体" w:hAnsi="宋体" w:cs="宋体" w:eastAsia="宋体" w:hint="default"/>
                            <w:sz w:val="18"/>
                            <w:szCs w:val="18"/>
                          </w:rPr>
                          <w:t>对于非常规或特殊交</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现负面新闻，对公司声誉造成影响；③</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易的账务处理没有建立相应控制机制；③</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关键岗位人员严重流失；④内部控制重</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对于财务报告编制过程中存在一项或多项</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要缺陷未得到整改。一般缺陷认定标</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缺陷不能保证编制的财务报表达到真实、</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pacing w:val="-77"/>
                            <w:sz w:val="18"/>
                            <w:szCs w:val="18"/>
                          </w:rPr>
                          <w:t>：</w:t>
                        </w:r>
                        <w:r>
                          <w:rPr>
                            <w:rFonts w:ascii="宋体" w:hAnsi="宋体" w:cs="宋体" w:eastAsia="宋体" w:hint="default"/>
                            <w:sz w:val="18"/>
                            <w:szCs w:val="18"/>
                          </w:rPr>
                          <w:t>①媒体出现负面新闻</w:t>
                        </w:r>
                        <w:r>
                          <w:rPr>
                            <w:rFonts w:ascii="宋体" w:hAnsi="宋体" w:cs="宋体" w:eastAsia="宋体" w:hint="default"/>
                            <w:spacing w:val="-77"/>
                            <w:sz w:val="18"/>
                            <w:szCs w:val="18"/>
                          </w:rPr>
                          <w:t>，</w:t>
                        </w:r>
                        <w:r>
                          <w:rPr>
                            <w:rFonts w:ascii="宋体" w:hAnsi="宋体" w:cs="宋体" w:eastAsia="宋体" w:hint="default"/>
                            <w:sz w:val="18"/>
                            <w:szCs w:val="18"/>
                          </w:rPr>
                          <w:t>但</w:t>
                        </w:r>
                        <w:r>
                          <w:rPr>
                            <w:rFonts w:ascii="宋体" w:hAnsi="宋体" w:cs="宋体" w:eastAsia="宋体" w:hint="default"/>
                            <w:spacing w:val="-3"/>
                            <w:sz w:val="18"/>
                            <w:szCs w:val="18"/>
                          </w:rPr>
                          <w:t>影</w:t>
                        </w:r>
                        <w:r>
                          <w:rPr>
                            <w:rFonts w:ascii="宋体" w:hAnsi="宋体" w:cs="宋体" w:eastAsia="宋体" w:hint="default"/>
                            <w:sz w:val="18"/>
                            <w:szCs w:val="18"/>
                          </w:rPr>
                          <w:t>响不大</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准确的目标。一般缺陷认定标准：①</w:t>
                        </w:r>
                        <w:r>
                          <w:rPr>
                            <w:rFonts w:ascii="宋体" w:hAnsi="宋体" w:cs="宋体" w:eastAsia="宋体" w:hint="default"/>
                            <w:spacing w:val="2"/>
                            <w:sz w:val="18"/>
                            <w:szCs w:val="18"/>
                          </w:rPr>
                          <w:t> </w:t>
                        </w:r>
                        <w:r>
                          <w:rPr>
                            <w:rFonts w:ascii="宋体" w:hAnsi="宋体" w:cs="宋体" w:eastAsia="宋体" w:hint="default"/>
                            <w:sz w:val="18"/>
                            <w:szCs w:val="18"/>
                          </w:rPr>
                          <w:t>当期</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②一般岗位人员流失严重；③内部控制</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财务报告存在小额差错，而内部控制运行</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一般缺陷未得到整改。</w:t>
                        </w: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过程中未发现该差错；②</w:t>
                        </w:r>
                        <w:r>
                          <w:rPr>
                            <w:rFonts w:ascii="宋体" w:hAnsi="宋体" w:cs="宋体" w:eastAsia="宋体" w:hint="default"/>
                            <w:spacing w:val="2"/>
                            <w:sz w:val="18"/>
                            <w:szCs w:val="18"/>
                          </w:rPr>
                          <w:t> </w:t>
                        </w:r>
                        <w:r>
                          <w:rPr>
                            <w:rFonts w:ascii="宋体" w:hAnsi="宋体" w:cs="宋体" w:eastAsia="宋体" w:hint="default"/>
                            <w:sz w:val="18"/>
                            <w:szCs w:val="18"/>
                          </w:rPr>
                          <w:t>公司审计委员会</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和审计部门对内部控制的监督存在一般缺</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陷。</w:t>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14" w:space="0" w:color="FFFFFF"/>
                        </w:tcBorders>
                      </w:tcPr>
                      <w:p>
                        <w:pPr/>
                      </w:p>
                    </w:tc>
                    <w:tc>
                      <w:tcPr>
                        <w:tcW w:w="3053" w:type="dxa"/>
                        <w:tcBorders>
                          <w:top w:val="single" w:sz="4" w:space="0" w:color="000000"/>
                          <w:left w:val="single" w:sz="14" w:space="0" w:color="FFFFFF"/>
                          <w:bottom w:val="nil" w:sz="6" w:space="0" w:color="auto"/>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重大缺陷：直接损失金额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重大缺陷：错报 </w:t>
                        </w:r>
                        <w:r>
                          <w:rPr>
                            <w:rFonts w:ascii="Times New Roman" w:hAnsi="Times New Roman" w:cs="Times New Roman" w:eastAsia="Times New Roman" w:hint="default"/>
                            <w:sz w:val="18"/>
                            <w:szCs w:val="18"/>
                          </w:rPr>
                          <w:t>≥</w:t>
                        </w:r>
                        <w:r>
                          <w:rPr>
                            <w:rFonts w:ascii="宋体" w:hAnsi="宋体" w:cs="宋体" w:eastAsia="宋体" w:hint="default"/>
                            <w:sz w:val="18"/>
                            <w:szCs w:val="18"/>
                          </w:rPr>
                          <w:t>税前利润</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w:t>
                        </w:r>
                      </w:p>
                    </w:tc>
                    <w:tc>
                      <w:tcPr>
                        <w:tcW w:w="3053"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0.05%</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陷：税前利润的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错报＜税前利润</w:t>
                        </w:r>
                      </w:p>
                    </w:tc>
                    <w:tc>
                      <w:tcPr>
                        <w:tcW w:w="3053"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宋体" w:hAnsi="宋体" w:cs="宋体" w:eastAsia="宋体" w:hint="default"/>
                            <w:sz w:val="18"/>
                            <w:szCs w:val="18"/>
                          </w:rPr>
                          <w:t>＜直接损失金额＜资产总额的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14" w:space="0" w:color="FFFFFF"/>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pacing w:val="-7"/>
                            <w:sz w:val="18"/>
                            <w:szCs w:val="18"/>
                          </w:rPr>
                          <w:t>；一般缺陷：错报＜税前利润的</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w:t>
                        </w:r>
                      </w:p>
                    </w:tc>
                    <w:tc>
                      <w:tcPr>
                        <w:tcW w:w="3053"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44"/>
                            <w:sz w:val="18"/>
                            <w:szCs w:val="18"/>
                          </w:rPr>
                          <w:t>。</w:t>
                        </w:r>
                        <w:r>
                          <w:rPr>
                            <w:rFonts w:ascii="宋体" w:hAnsi="宋体" w:cs="宋体" w:eastAsia="宋体" w:hint="default"/>
                            <w:sz w:val="18"/>
                            <w:szCs w:val="18"/>
                          </w:rPr>
                          <w:t>一般缺陷：直接损失金额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资产总额的</w:t>
                        </w:r>
                      </w:p>
                    </w:tc>
                  </w:tr>
                  <w:tr>
                    <w:trPr>
                      <w:trHeight w:val="353"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14" w:space="0" w:color="FFFFFF"/>
                        </w:tcBorders>
                      </w:tcPr>
                      <w:p>
                        <w:pPr/>
                      </w:p>
                    </w:tc>
                    <w:tc>
                      <w:tcPr>
                        <w:tcW w:w="3053" w:type="dxa"/>
                        <w:tcBorders>
                          <w:top w:val="nil" w:sz="6" w:space="0" w:color="auto"/>
                          <w:left w:val="single" w:sz="14" w:space="0" w:color="FFFFFF"/>
                          <w:bottom w:val="single" w:sz="4" w:space="0" w:color="000000"/>
                          <w:right w:val="single" w:sz="4" w:space="0" w:color="000000"/>
                        </w:tcBorders>
                      </w:tcPr>
                      <w:p>
                        <w:pPr>
                          <w:pStyle w:val="TableParagraph"/>
                          <w:spacing w:line="240" w:lineRule="auto" w:before="5"/>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3751" w:right="3847"/>
        <w:jc w:val="center"/>
        <w:rPr>
          <w:b w:val="0"/>
          <w:bCs w:val="0"/>
        </w:rPr>
      </w:pPr>
      <w:bookmarkStart w:name="_bookmark9" w:id="10"/>
      <w:bookmarkEnd w:id="10"/>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111184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杨志平 </w:t>
            </w:r>
            <w:r>
              <w:rPr>
                <w:rFonts w:ascii="宋体" w:hAnsi="宋体" w:cs="宋体" w:eastAsia="宋体" w:hint="default"/>
                <w:spacing w:val="2"/>
                <w:sz w:val="18"/>
                <w:szCs w:val="18"/>
              </w:rPr>
              <w:t> </w:t>
            </w:r>
            <w:r>
              <w:rPr>
                <w:rFonts w:ascii="宋体" w:hAnsi="宋体" w:cs="宋体" w:eastAsia="宋体" w:hint="default"/>
                <w:sz w:val="18"/>
                <w:szCs w:val="18"/>
              </w:rPr>
              <w:t>钱骁玲</w:t>
            </w:r>
          </w:p>
        </w:tc>
      </w:tr>
    </w:tbl>
    <w:p>
      <w:pPr>
        <w:spacing w:before="49"/>
        <w:ind w:left="3749" w:right="384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9"/>
        <w:rPr>
          <w:rFonts w:ascii="宋体" w:hAnsi="宋体" w:cs="宋体" w:eastAsia="宋体" w:hint="default"/>
          <w:sz w:val="14"/>
          <w:szCs w:val="14"/>
        </w:rPr>
      </w:pPr>
    </w:p>
    <w:p>
      <w:pPr>
        <w:spacing w:line="408" w:lineRule="auto" w:before="0"/>
        <w:ind w:left="712" w:right="0" w:hanging="560"/>
        <w:jc w:val="left"/>
        <w:rPr>
          <w:rFonts w:ascii="宋体" w:hAnsi="宋体" w:cs="宋体" w:eastAsia="宋体" w:hint="default"/>
          <w:sz w:val="28"/>
          <w:szCs w:val="28"/>
        </w:rPr>
      </w:pPr>
      <w:r>
        <w:rPr>
          <w:rFonts w:ascii="宋体" w:hAnsi="宋体" w:cs="宋体" w:eastAsia="宋体" w:hint="default"/>
          <w:b/>
          <w:bCs/>
          <w:sz w:val="28"/>
          <w:szCs w:val="28"/>
        </w:rPr>
        <w:t>东方财富信息股份有限公司全体股东：</w:t>
      </w:r>
      <w:r>
        <w:rPr>
          <w:rFonts w:ascii="宋体" w:hAnsi="宋体" w:cs="宋体" w:eastAsia="宋体" w:hint="default"/>
          <w:b/>
          <w:bCs/>
          <w:w w:val="99"/>
          <w:sz w:val="28"/>
          <w:szCs w:val="28"/>
        </w:rPr>
        <w:t> </w:t>
      </w:r>
      <w:r>
        <w:rPr>
          <w:rFonts w:ascii="宋体" w:hAnsi="宋体" w:cs="宋体" w:eastAsia="宋体" w:hint="default"/>
          <w:spacing w:val="2"/>
          <w:sz w:val="28"/>
          <w:szCs w:val="28"/>
        </w:rPr>
        <w:t>我们审计了后附的东方财富信息股份有限公司（以下简称贵公司）财务报</w:t>
      </w:r>
    </w:p>
    <w:p>
      <w:pPr>
        <w:pStyle w:val="Heading3"/>
        <w:spacing w:line="398" w:lineRule="auto"/>
        <w:ind w:right="250"/>
        <w:jc w:val="both"/>
      </w:pPr>
      <w:r>
        <w:rPr/>
        <w:t>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2015</w:t>
      </w:r>
      <w:r>
        <w:rPr/>
        <w:t>年度的合并及公司利</w:t>
      </w:r>
      <w:r>
        <w:rPr>
          <w:spacing w:val="-39"/>
        </w:rPr>
        <w:t> </w:t>
      </w:r>
      <w:r>
        <w:rPr>
          <w:spacing w:val="-39"/>
        </w:rPr>
      </w:r>
      <w:r>
        <w:rPr>
          <w:spacing w:val="2"/>
        </w:rPr>
        <w:t>润表、合并及公司现金流量表、合并及公司所有者权益变动表以及财务报表附</w:t>
      </w:r>
      <w:r>
        <w:rPr>
          <w:spacing w:val="-106"/>
        </w:rPr>
        <w:t> </w:t>
      </w:r>
      <w:r>
        <w:rPr>
          <w:spacing w:val="-106"/>
        </w:rPr>
      </w:r>
      <w:r>
        <w:rPr/>
        <w:t>注。</w:t>
      </w:r>
    </w:p>
    <w:p>
      <w:pPr>
        <w:spacing w:line="408" w:lineRule="auto" w:before="72"/>
        <w:ind w:left="712" w:right="0" w:firstLine="160"/>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2"/>
          <w:sz w:val="28"/>
          <w:szCs w:val="28"/>
        </w:rPr>
        <w:t>编制和公允列报财务报表是贵公司管理层的责任。这种责任包括：（</w:t>
      </w:r>
      <w:r>
        <w:rPr>
          <w:rFonts w:ascii="Times New Roman" w:hAnsi="Times New Roman" w:cs="Times New Roman" w:eastAsia="Times New Roman" w:hint="default"/>
          <w:spacing w:val="-2"/>
          <w:sz w:val="28"/>
          <w:szCs w:val="28"/>
        </w:rPr>
        <w:t>1</w:t>
      </w:r>
      <w:r>
        <w:rPr>
          <w:rFonts w:ascii="宋体" w:hAnsi="宋体" w:cs="宋体" w:eastAsia="宋体" w:hint="default"/>
          <w:spacing w:val="-2"/>
          <w:sz w:val="28"/>
          <w:szCs w:val="28"/>
        </w:rPr>
        <w:t>）按</w:t>
      </w:r>
      <w:r>
        <w:rPr>
          <w:rFonts w:ascii="宋体" w:hAnsi="宋体" w:cs="宋体" w:eastAsia="宋体" w:hint="default"/>
          <w:sz w:val="28"/>
          <w:szCs w:val="28"/>
        </w:rPr>
      </w:r>
    </w:p>
    <w:p>
      <w:pPr>
        <w:pStyle w:val="Heading3"/>
        <w:spacing w:line="386" w:lineRule="auto" w:before="19"/>
        <w:ind w:right="115" w:hanging="136"/>
        <w:jc w:val="center"/>
      </w:pPr>
      <w:r>
        <w:rPr/>
        <w:t>照企业会计准则的规定编制财务报表，并使其实现公允反映；（</w:t>
      </w:r>
      <w:r>
        <w:rPr>
          <w:rFonts w:ascii="Times New Roman" w:hAnsi="Times New Roman" w:cs="Times New Roman" w:eastAsia="Times New Roman" w:hint="default"/>
        </w:rPr>
        <w:t>2</w:t>
      </w:r>
      <w:r>
        <w:rPr/>
        <w:t>）设计、执行</w:t>
      </w:r>
      <w:r>
        <w:rPr>
          <w:w w:val="100"/>
        </w:rPr>
        <w:t> </w:t>
      </w:r>
      <w:r>
        <w:rPr>
          <w:spacing w:val="-2"/>
        </w:rPr>
        <w:t>和维护必要的内部控制，以使财务报表不存在由于舞弊或错误导致的重大错报。</w:t>
      </w:r>
    </w:p>
    <w:p>
      <w:pPr>
        <w:spacing w:line="408" w:lineRule="auto" w:before="86"/>
        <w:ind w:left="712" w:right="0" w:firstLine="160"/>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2"/>
          <w:sz w:val="28"/>
          <w:szCs w:val="28"/>
        </w:rPr>
        <w:t>我们的责任是在执行审计工作的基础上对财务报表发表审计意见。我们按</w:t>
      </w:r>
    </w:p>
    <w:p>
      <w:pPr>
        <w:pStyle w:val="Heading3"/>
        <w:spacing w:line="408" w:lineRule="auto"/>
        <w:ind w:right="253"/>
        <w:jc w:val="both"/>
      </w:pPr>
      <w:r>
        <w:rPr>
          <w:spacing w:val="2"/>
        </w:rPr>
        <w:t>照中国注册会计师审计准则的规定执行了审计工作。中国注册会计师审计准则</w:t>
      </w:r>
      <w:r>
        <w:rPr>
          <w:spacing w:val="-106"/>
        </w:rPr>
        <w:t> </w:t>
      </w:r>
      <w:r>
        <w:rPr>
          <w:spacing w:val="-106"/>
        </w:rPr>
      </w:r>
      <w:r>
        <w:rPr>
          <w:spacing w:val="2"/>
        </w:rPr>
        <w:t>要求我们遵守中国注册会计师职业道德守则，计划和执行审计工作以对财务报</w:t>
      </w:r>
      <w:r>
        <w:rPr>
          <w:spacing w:val="-106"/>
        </w:rPr>
        <w:t> </w:t>
      </w:r>
      <w:r>
        <w:rPr>
          <w:spacing w:val="-106"/>
        </w:rPr>
      </w:r>
      <w:r>
        <w:rPr/>
        <w:t>表是否不存在重大错报获取合理保证。</w:t>
      </w:r>
    </w:p>
    <w:p>
      <w:pPr>
        <w:pStyle w:val="Heading3"/>
        <w:spacing w:line="240" w:lineRule="auto"/>
        <w:ind w:left="712" w:right="0"/>
        <w:jc w:val="left"/>
      </w:pPr>
      <w:r>
        <w:rPr/>
        <w:t>审计工作涉及实施审计程序，以获取有关财务报表金额和披露的审计证据。</w:t>
      </w:r>
    </w:p>
    <w:p>
      <w:pPr>
        <w:spacing w:after="0" w:line="240" w:lineRule="auto"/>
        <w:jc w:val="left"/>
        <w:sectPr>
          <w:pgSz w:w="11910" w:h="16840"/>
          <w:pgMar w:header="852" w:footer="979" w:top="1300" w:bottom="1160" w:left="980" w:right="880"/>
        </w:sectPr>
      </w:pPr>
    </w:p>
    <w:p>
      <w:pPr>
        <w:spacing w:line="240" w:lineRule="auto" w:before="10"/>
        <w:rPr>
          <w:rFonts w:ascii="宋体" w:hAnsi="宋体" w:cs="宋体" w:eastAsia="宋体" w:hint="default"/>
          <w:sz w:val="14"/>
          <w:szCs w:val="14"/>
        </w:rPr>
      </w:pPr>
    </w:p>
    <w:p>
      <w:pPr>
        <w:pStyle w:val="Heading3"/>
        <w:spacing w:line="408" w:lineRule="auto" w:before="14"/>
        <w:ind w:right="253"/>
        <w:jc w:val="both"/>
      </w:pPr>
      <w:r>
        <w:rPr>
          <w:spacing w:val="2"/>
        </w:rPr>
        <w:t>选择的审计程序取决于注册会计师的判断，包括对由于舞弊或错误导致的财务</w:t>
      </w:r>
      <w:r>
        <w:rPr>
          <w:spacing w:val="-106"/>
        </w:rPr>
        <w:t> </w:t>
      </w:r>
      <w:r>
        <w:rPr>
          <w:spacing w:val="-106"/>
        </w:rPr>
      </w:r>
      <w:r>
        <w:rPr>
          <w:spacing w:val="2"/>
        </w:rPr>
        <w:t>报表重大错报风险的评估。在进行风险评估时，注册会计师考虑与财务报表编</w:t>
      </w:r>
      <w:r>
        <w:rPr>
          <w:spacing w:val="-106"/>
        </w:rPr>
        <w:t> </w:t>
      </w:r>
      <w:r>
        <w:rPr>
          <w:spacing w:val="-106"/>
        </w:rPr>
      </w:r>
      <w:r>
        <w:rPr>
          <w:spacing w:val="2"/>
        </w:rPr>
        <w:t>制和公允列报相关的内部控制，以设计恰当的审计程序，但目的并非对内部控</w:t>
      </w:r>
      <w:r>
        <w:rPr>
          <w:spacing w:val="-106"/>
        </w:rPr>
        <w:t> </w:t>
      </w:r>
      <w:r>
        <w:rPr>
          <w:spacing w:val="-106"/>
        </w:rPr>
      </w:r>
      <w:r>
        <w:rPr>
          <w:spacing w:val="2"/>
        </w:rPr>
        <w:t>制的有效性发表意见。审计工作还包括评价管理层选用会计政策的恰当性和作</w:t>
      </w:r>
      <w:r>
        <w:rPr>
          <w:spacing w:val="-106"/>
        </w:rPr>
        <w:t> </w:t>
      </w:r>
      <w:r>
        <w:rPr>
          <w:spacing w:val="-106"/>
        </w:rPr>
      </w:r>
      <w:r>
        <w:rPr/>
        <w:t>出会计估计的合理性，以及评价财务报表的总体列报。</w:t>
      </w:r>
    </w:p>
    <w:p>
      <w:pPr>
        <w:pStyle w:val="Heading3"/>
        <w:spacing w:line="408" w:lineRule="auto"/>
        <w:ind w:right="0" w:firstLine="559"/>
        <w:jc w:val="left"/>
      </w:pPr>
      <w:r>
        <w:rPr>
          <w:spacing w:val="2"/>
        </w:rPr>
        <w:t>我们相信，我们获取的审计证据是充分、适当的，为发表审计意见提供了</w:t>
      </w:r>
      <w:r>
        <w:rPr>
          <w:w w:val="100"/>
        </w:rPr>
        <w:t> </w:t>
      </w:r>
      <w:r>
        <w:rPr/>
        <w:t>基础。</w:t>
      </w:r>
    </w:p>
    <w:p>
      <w:pPr>
        <w:pStyle w:val="Heading3"/>
        <w:spacing w:line="408" w:lineRule="auto"/>
        <w:ind w:left="712" w:right="0" w:firstLine="160"/>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我们认为，贵公司财务报表在所有重大方面按照企业会计准则的规定编制，</w:t>
      </w:r>
    </w:p>
    <w:p>
      <w:pPr>
        <w:pStyle w:val="Heading3"/>
        <w:spacing w:line="386" w:lineRule="auto"/>
        <w:ind w:right="251"/>
        <w:jc w:val="both"/>
      </w:pPr>
      <w:r>
        <w:rPr/>
        <w:t>公允反映了贵公司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w:t>
      </w:r>
      <w:r>
        <w:rPr>
          <w:spacing w:val="-40"/>
        </w:rPr>
        <w:t> </w:t>
      </w:r>
      <w:r>
        <w:rPr>
          <w:spacing w:val="-40"/>
        </w:rPr>
      </w:r>
      <w:r>
        <w:rPr/>
        <w:t>及公司经营成果和现金流量。</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6"/>
          <w:szCs w:val="26"/>
        </w:rPr>
      </w:pPr>
    </w:p>
    <w:p>
      <w:pPr>
        <w:pStyle w:val="Heading2"/>
        <w:tabs>
          <w:tab w:pos="6082" w:val="left" w:leader="none"/>
        </w:tabs>
        <w:spacing w:line="240" w:lineRule="auto"/>
        <w:ind w:left="705" w:right="0"/>
        <w:jc w:val="left"/>
        <w:rPr>
          <w:b w:val="0"/>
          <w:bCs w:val="0"/>
        </w:rPr>
      </w:pPr>
      <w:r>
        <w:rPr>
          <w:w w:val="95"/>
        </w:rPr>
        <w:t>立信会计师事务所</w:t>
        <w:tab/>
      </w:r>
      <w:r>
        <w:rPr/>
        <w:t>中国注册会计师：杨志平</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705" w:right="0"/>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6012" w:right="0"/>
        <w:jc w:val="left"/>
        <w:rPr>
          <w:b w:val="0"/>
          <w:bCs w:val="0"/>
        </w:rPr>
      </w:pPr>
      <w:r>
        <w:rPr/>
        <w:t>中国注册会计师：钱骁玲</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0"/>
        <w:rPr>
          <w:rFonts w:ascii="宋体" w:hAnsi="宋体" w:cs="宋体" w:eastAsia="宋体" w:hint="default"/>
          <w:b/>
          <w:bCs/>
          <w:sz w:val="22"/>
          <w:szCs w:val="22"/>
        </w:rPr>
      </w:pPr>
    </w:p>
    <w:p>
      <w:pPr>
        <w:pStyle w:val="Heading2"/>
        <w:tabs>
          <w:tab w:pos="6151" w:val="left" w:leader="none"/>
        </w:tabs>
        <w:spacing w:line="240" w:lineRule="auto"/>
        <w:ind w:left="750" w:right="0"/>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二〇一六年三月十七日</w:t>
      </w:r>
      <w:r>
        <w:rPr>
          <w:b w:val="0"/>
          <w:bCs w:val="0"/>
        </w:rPr>
      </w:r>
    </w:p>
    <w:p>
      <w:pPr>
        <w:spacing w:after="0" w:line="240" w:lineRule="auto"/>
        <w:jc w:val="left"/>
        <w:sectPr>
          <w:pgSz w:w="11910" w:h="16840"/>
          <w:pgMar w:header="852" w:footer="979" w:top="1300" w:bottom="1160" w:left="980" w:right="8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79" w:top="1300" w:bottom="1160" w:left="980" w:right="98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编制单位：东方财富信息股份有限公司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300" w:bottom="1160" w:left="980" w:right="980"/>
          <w:cols w:num="3" w:equalWidth="0">
            <w:col w:w="3214" w:space="862"/>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12,248,736,007.30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4,028,492,765.76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1,454,821,110.19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5,705,945.07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1,359,969,072.99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1,967,549,345.37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3,864,216.81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328,419,125.85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103,973,294.49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59,423,295.60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20,582,565.24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50,979,569.53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14,370,767.27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1,451,449,900.30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1,556,989,021.19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503,844,169.54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31,202,751.45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283,785,194.10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220,295,702.13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19,744,043,759.03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5,950,410,061.15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30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97,916,135.18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266,256,761.83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395,582,020.64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48,481,119.22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19,076,072.84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186,733,944.30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130,497,913.04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2,932,170,828.21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39,551,848.69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11,361,946.48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52,144,287.09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9,091,090.87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3,989,431,898.78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232,363,937.69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23,733,475,657.81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6,182,773,998.84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103,019,246.47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51,004,796.57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184,877,351.32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137,252,963.04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1,639,256,452.19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212,814,779.30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11,011,867.40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54,263,168.79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46,779,816.70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5,568,988.10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737,466,727.99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859,097.97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11,897,234,271.83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4,051,570,322.77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15,034,500,985.99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4,298,478,864.45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5,463,666.65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4,587,666.67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16,717,629.92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522,181,296.57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4,587,666.67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15,556,682,282.56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4,303,066,531.12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1,853,892,052.00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4,403,784,930.45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292,695,462.76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127,815.33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2,528.00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230,856,472.11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58,056,660.66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1,680,628,191.27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319,352,816.30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8,169,289,461.16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1,879,707,467.72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7,503,914.09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8,176,793,375.25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1,879,707,467.72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23,733,475,657.81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6,182,773,998.84</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460,355,781.41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852,565,500.55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2,058,632,507.21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357,583,672.63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19,240,693.25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17,415,882.52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3,909,727.00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14,290,100.59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71,935,291.21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513,729,962.81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215,540,056.48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295,702.13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2,829,614,056.56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1,755,880,821.23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5,309,892,395.38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412,951,933.55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157,183,147.22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46,652,533.95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17,084,899.82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1,948,728.75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6,854,442.91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8,125,610.65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13,699,955.86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7,785,770.31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5,579,714,841.19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477,464,577.21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8,409,328,897.75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2,233,345,398.44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42,722,766.21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24,445,875.39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61,156,904.43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35,582,357.93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23,746,813.03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4,711,666.80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15,888,294.66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38,020,620.32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182,064,021.70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216,594,414.47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325,578,800.03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319,354,934.91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5,463,666.65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4,587,666.67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5,463,666.65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4,587,666.67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331,042,466.68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323,942,601.58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1,853,892,052.00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4,404,826,534.24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293,737,066.55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230,856,472.11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58,056,660.66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1,588,711,372.72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348,009,069.65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8,078,286,431.07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1,909,402,796.86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8,409,328,897.75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2,233,345,398.44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3022"/>
        <w:gridCol w:w="3013"/>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2,925,879,408.31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612,007,004.55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2,812,712,721.18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612,007,004.55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6,563,394.39</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02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106,603,292.74</w:t>
            </w:r>
          </w:p>
        </w:tc>
        <w:tc>
          <w:tcPr>
            <w:tcW w:w="30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545"/>
        <w:gridCol w:w="3010"/>
        <w:gridCol w:w="3013"/>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876,413,284.56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418,120,619.89</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324,054,378.17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148,569,133.68</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45,589,811.25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23,815,725.77</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202,505,335.17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115,249,744.46</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394,427,244.17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183,892,483.26</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-108,382,490.13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-59,693,215.78</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18,219,005.93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6,286,748.50</w:t>
            </w:r>
          </w:p>
        </w:tc>
      </w:tr>
      <w:tr>
        <w:trPr>
          <w:trHeight w:val="71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22,355,846.26</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38,916,333.56</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16,256,761.83</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117,842.31</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2,110,856,145.88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193,886,384.66</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62,883,052.54</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4,880,225.76</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2,812,861.82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1,512,810.02</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131,821.38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20,510.02</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2,170,926,336.60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197,253,800.40</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322,412,515.04</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31,584,938.56</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1,848,513,821.56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165,668,861.84</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1,848,571,186.42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165,723,821.57</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-57,364.86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-54,959.73</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137,606.49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2,528.00</w:t>
            </w:r>
          </w:p>
        </w:tc>
      </w:tr>
      <w:tr>
        <w:trPr>
          <w:trHeight w:val="715"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 净额</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125,287.33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2,528.00</w:t>
            </w:r>
          </w:p>
        </w:tc>
      </w:tr>
      <w:tr>
        <w:trPr>
          <w:trHeight w:val="715"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9"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 合收益</w:t>
            </w:r>
          </w:p>
        </w:tc>
        <w:tc>
          <w:tcPr>
            <w:tcW w:w="3010"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2"/>
        <w:gridCol w:w="3022"/>
        <w:gridCol w:w="3013"/>
      </w:tblGrid>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 或净资产的变动</w:t>
            </w:r>
          </w:p>
        </w:tc>
        <w:tc>
          <w:tcPr>
            <w:tcW w:w="302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 分类进损益的其他综合收益中享有的份额</w:t>
            </w:r>
          </w:p>
        </w:tc>
        <w:tc>
          <w:tcPr>
            <w:tcW w:w="302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125,287.33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2,528.00</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 重分类进损益的其他综合收益中享有的份额</w:t>
            </w:r>
          </w:p>
        </w:tc>
        <w:tc>
          <w:tcPr>
            <w:tcW w:w="302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动损益</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377,687.95</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 出售金融资产损益</w:t>
            </w:r>
          </w:p>
        </w:tc>
        <w:tc>
          <w:tcPr>
            <w:tcW w:w="302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02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-252,400.62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2,528.00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02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12,319.16</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1,848,651,428.05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165,671,389.84</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1,848,696,473.75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165,726,349.57</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-45,045.70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-54,959.73</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0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0.0979</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1.0897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0.0979</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746" w:val="left" w:leader="none"/>
        </w:tabs>
        <w:spacing w:before="44"/>
        <w:ind w:left="0" w:right="244" w:firstLine="0"/>
        <w:jc w:val="right"/>
        <w:rPr>
          <w:rFonts w:ascii="宋体" w:hAnsi="宋体" w:cs="宋体" w:eastAsia="宋体" w:hint="default"/>
          <w:sz w:val="18"/>
          <w:szCs w:val="18"/>
        </w:rPr>
      </w:pPr>
      <w:r>
        <w:rPr>
          <w:rFonts w:ascii="宋体" w:hAnsi="宋体" w:cs="宋体" w:eastAsia="宋体" w:hint="default"/>
          <w:sz w:val="18"/>
          <w:szCs w:val="18"/>
        </w:rPr>
        <w:t>法定代表人：其实</w:t>
        <w:tab/>
      </w:r>
      <w:r>
        <w:rPr>
          <w:rFonts w:ascii="宋体" w:hAnsi="宋体" w:cs="宋体" w:eastAsia="宋体" w:hint="default"/>
          <w:spacing w:val="-1"/>
          <w:sz w:val="18"/>
          <w:szCs w:val="18"/>
        </w:rPr>
        <w:t>主管会计工作负责人：陆威</w:t>
        <w:tab/>
      </w:r>
      <w:r>
        <w:rPr>
          <w:rFonts w:ascii="宋体" w:hAnsi="宋体" w:cs="宋体" w:eastAsia="宋体" w:hint="default"/>
          <w:sz w:val="18"/>
          <w:szCs w:val="18"/>
        </w:rPr>
        <w:t>会计机构负责人：叶露</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3024"/>
        <w:gridCol w:w="3013"/>
      </w:tblGrid>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75"/>
              <w:jc w:val="right"/>
              <w:rPr>
                <w:rFonts w:ascii="宋体" w:hAnsi="宋体" w:cs="宋体" w:eastAsia="宋体" w:hint="default"/>
                <w:sz w:val="18"/>
                <w:szCs w:val="18"/>
              </w:rPr>
            </w:pPr>
            <w:r>
              <w:rPr>
                <w:rFonts w:ascii="宋体" w:hAnsi="宋体" w:cs="宋体" w:eastAsia="宋体" w:hint="default"/>
                <w:sz w:val="18"/>
                <w:szCs w:val="18"/>
              </w:rPr>
              <w:t>项目</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2,504,035,193.75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456,877,360.39</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185,861,412.51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97,880,512.59</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17"/>
              <w:jc w:val="right"/>
              <w:rPr>
                <w:rFonts w:ascii="宋体" w:hAnsi="宋体" w:cs="宋体" w:eastAsia="宋体" w:hint="default"/>
                <w:sz w:val="18"/>
                <w:szCs w:val="18"/>
              </w:rPr>
            </w:pPr>
            <w:r>
              <w:rPr>
                <w:rFonts w:ascii="宋体" w:hAnsi="宋体" w:cs="宋体" w:eastAsia="宋体" w:hint="default"/>
                <w:sz w:val="18"/>
                <w:szCs w:val="18"/>
              </w:rPr>
              <w:t>营业税金及附加</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12,666,190.00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1,803,601.64</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120,137,797.19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50,766,941.00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236,134,096.87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148,113,270.64</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-17,567,584.15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-37,834,427.91</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3,504,636.56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3,125,018.88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2"/>
        <w:gridCol w:w="3024"/>
        <w:gridCol w:w="3013"/>
      </w:tblGrid>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16,256,761.83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6,979,238.54</w:t>
            </w: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16,256,761.83</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1,979,555,406.60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200,001,682.09</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52,072,297.02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3,704,042.76</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2,712,380.02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1,496,448.60</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82,380.02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4,148.60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2,028,915,323.60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202,209,276.25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300,917,209.08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28,483,265.64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1,727,998,114.52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173,726,010.61</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7"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 合收益</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 或净资产的变动</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 分类进损益的其他综合收益中享有的份额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 重分类进损益的其他综合收益中享有的份额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动损益</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 出售金融资产损益</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1,727,998,114.52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173,726,010.61</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pStyle w:val="Heading5"/>
        <w:spacing w:line="240" w:lineRule="auto" w:before="10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5"/>
        <w:gridCol w:w="3012"/>
        <w:gridCol w:w="3013"/>
      </w:tblGrid>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0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2,759,862,734.02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659,323,319.98</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49"/>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01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01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49"/>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01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01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01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01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损益的金融资产净增加额</w:t>
            </w:r>
          </w:p>
        </w:tc>
        <w:tc>
          <w:tcPr>
            <w:tcW w:w="3012"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0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199,092,238.84</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融出资金净减少额</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25,835,387.16</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2,158,150,889.14</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1,547,018.65</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248,370,649.31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67,236,825.67</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3,233,161,009.33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2,886,258,053.44</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310,294,714.07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167,857,181.74</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代理买卖证券支付的现金净额</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418,875,924.31</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89" w:firstLine="36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损益的金融资产净减少额</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297,282,676.97</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回购业务资金净减少额</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10,344,610.82</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449"/>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43,081,745.76</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49"/>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281,172,115.02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164,709,628.50</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486,772,312.70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58,216,122.78</w:t>
            </w:r>
          </w:p>
        </w:tc>
      </w:tr>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837,963,784.71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132,557,495.74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2"/>
        <w:gridCol w:w="3024"/>
        <w:gridCol w:w="3013"/>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2,685,787,884.36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523,340,428.76</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547,373,124.97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2,362,917,624.68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30,688,758.65</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389,374.12</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产收回的现金净额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10,002,544,747.43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10,033,640,530.20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200,002,000.00</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 产支付的现金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195,734,984.22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12,935,116.83</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325,000,000.00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88,211,033.55</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1,618,065.85</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350,053,003.40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872,406,053.47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261,146,150.38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9,161,234,476.73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-61,144,150.38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28,827,064.96</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29,867,064.96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72,576,000.00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13,440,000.00</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23,345.88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72,576,000.00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13,463,345.88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-42,708,935.04</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-13,223,345.88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3,459,740.00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-741,629.76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545"/>
        <w:gridCol w:w="3012"/>
        <w:gridCol w:w="3013"/>
      </w:tblGrid>
      <w:tr>
        <w:trPr>
          <w:trHeight w:val="401"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9,669,358,406.66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2,287,808,498.66</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4,034,198,710.83</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1,746,390,212.17</w:t>
            </w:r>
          </w:p>
        </w:tc>
      </w:tr>
      <w:tr>
        <w:trPr>
          <w:trHeight w:val="403"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13,703,557,117.49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4,034,198,710.83</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2"/>
        <w:gridCol w:w="3024"/>
        <w:gridCol w:w="3013"/>
      </w:tblGrid>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977,087,456.17</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183,486,990.72</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1,547,018.65</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533,400,924.08</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214,180,574.57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1,510,488,380.25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399,214,583.94</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194,154,797.91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112,009,294.52</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140,240,347.19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90,266,647.78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417,412,667.49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28,943,269.02</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191,300,550.86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338,104,944.78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943,108,363.45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569,324,156.10</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567,380,016.80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-170,109,572.16</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44,046,300.00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7,829,238.54</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产收回的现金净额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r>
      <w:tr>
        <w:trPr>
          <w:trHeight w:val="71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44,063,950.00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210,331,238.54</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 产支付的现金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149,300,478.01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12,378,565.76</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595,100,000.00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50,799,933.55</w:t>
            </w:r>
          </w:p>
        </w:tc>
      </w:tr>
      <w:tr>
        <w:trPr>
          <w:trHeight w:val="715"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214,000,000.00</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958,400,478.01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63,178,499.31</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-914,336,528.01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147,152,739.23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522"/>
        <w:gridCol w:w="3024"/>
        <w:gridCol w:w="3013"/>
      </w:tblGrid>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26,327,064.96</w:t>
            </w: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27,367,064.96</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72,576,000.00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13,440,000.00</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024" w:type="dxa"/>
            <w:tcBorders>
              <w:top w:val="single" w:sz="4" w:space="0" w:color="000000"/>
              <w:left w:val="single" w:sz="13" w:space="0" w:color="D2D2D2"/>
              <w:bottom w:val="single" w:sz="4" w:space="0" w:color="000000"/>
              <w:right w:val="single" w:sz="4" w:space="0" w:color="000000"/>
            </w:tcBorders>
          </w:tcPr>
          <w:p>
            <w:pP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23,345.88</w:t>
            </w:r>
          </w:p>
        </w:tc>
      </w:tr>
      <w:tr>
        <w:trPr>
          <w:trHeight w:val="404"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72,576,000.00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13,463,345.88</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-45,208,935.04</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-13,223,345.88</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-44,272.89</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-744,157.76</w:t>
            </w:r>
          </w:p>
        </w:tc>
      </w:tr>
      <w:tr>
        <w:trPr>
          <w:trHeight w:val="401"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-392,209,719.14</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-36,924,336.57</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852,565,500.55</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889,489,837.12</w:t>
            </w:r>
          </w:p>
        </w:tc>
      </w:tr>
      <w:tr>
        <w:trPr>
          <w:trHeight w:val="403" w:hRule="exact"/>
        </w:trPr>
        <w:tc>
          <w:tcPr>
            <w:tcW w:w="3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460,355,781.41</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852,565,500.55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65"/>
        <w:gridCol w:w="991"/>
        <w:gridCol w:w="435"/>
        <w:gridCol w:w="533"/>
        <w:gridCol w:w="530"/>
        <w:gridCol w:w="662"/>
        <w:gridCol w:w="668"/>
        <w:gridCol w:w="665"/>
        <w:gridCol w:w="665"/>
        <w:gridCol w:w="662"/>
        <w:gridCol w:w="665"/>
        <w:gridCol w:w="667"/>
        <w:gridCol w:w="665"/>
        <w:gridCol w:w="658"/>
      </w:tblGrid>
      <w:tr>
        <w:trPr>
          <w:trHeight w:val="401" w:hRule="exact"/>
        </w:trPr>
        <w:tc>
          <w:tcPr>
            <w:tcW w:w="1265" w:type="dxa"/>
            <w:vMerge w:val="restart"/>
            <w:tcBorders>
              <w:top w:val="single" w:sz="4" w:space="0" w:color="000000"/>
              <w:left w:val="single" w:sz="4" w:space="0" w:color="000000"/>
              <w:right w:val="single" w:sz="4" w:space="0" w:color="000000"/>
            </w:tcBorders>
            <w:shd w:val="clear" w:color="auto" w:fill="D2D2D2"/>
          </w:tcPr>
          <w:p>
            <w:pPr/>
          </w:p>
        </w:tc>
        <w:tc>
          <w:tcPr>
            <w:tcW w:w="846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265" w:type="dxa"/>
            <w:vMerge/>
            <w:tcBorders>
              <w:left w:val="single" w:sz="4" w:space="0" w:color="000000"/>
              <w:right w:val="single" w:sz="4" w:space="0" w:color="000000"/>
            </w:tcBorders>
            <w:shd w:val="clear" w:color="auto" w:fill="D2D2D2"/>
          </w:tcPr>
          <w:p>
            <w:pPr/>
          </w:p>
        </w:tc>
        <w:tc>
          <w:tcPr>
            <w:tcW w:w="714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7144"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vMerge w:val="restart"/>
            <w:tcBorders>
              <w:top w:val="single" w:sz="4" w:space="0" w:color="000000"/>
              <w:left w:val="single" w:sz="4" w:space="0" w:color="000000"/>
              <w:right w:val="single" w:sz="4" w:space="0" w:color="000000"/>
            </w:tcBorders>
            <w:shd w:val="clear" w:color="auto" w:fill="D2D2D2"/>
          </w:tcPr>
          <w:p>
            <w:pPr/>
          </w:p>
        </w:tc>
        <w:tc>
          <w:tcPr>
            <w:tcW w:w="14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498"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1"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1"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3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22" w:right="2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26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435"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265"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
        </w:tc>
        <w:tc>
          <w:tcPr>
            <w:tcW w:w="435"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435"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1,209,600,0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00.00</w:t>
            </w:r>
          </w:p>
        </w:tc>
        <w:tc>
          <w:tcPr>
            <w:tcW w:w="435"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292,695</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,462.76</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58,056,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660.66</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319,352</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,816.30</w:t>
            </w:r>
          </w:p>
        </w:tc>
        <w:tc>
          <w:tcPr>
            <w:tcW w:w="66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r>
        <w:trPr>
          <w:trHeight w:val="703"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z w:val="18"/>
                <w:szCs w:val="18"/>
              </w:rPr>
              <w:t> 额</w:t>
            </w:r>
          </w:p>
        </w:tc>
        <w:tc>
          <w:tcPr>
            <w:tcW w:w="991" w:type="dxa"/>
            <w:vMerge/>
            <w:tcBorders>
              <w:left w:val="single" w:sz="10" w:space="0" w:color="D2D2D2"/>
              <w:right w:val="single" w:sz="4" w:space="0" w:color="000000"/>
            </w:tcBorders>
          </w:tcPr>
          <w:p>
            <w:pPr/>
          </w:p>
        </w:tc>
        <w:tc>
          <w:tcPr>
            <w:tcW w:w="435"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10" w:space="0" w:color="D2D2D2"/>
              <w:bottom w:val="single" w:sz="4" w:space="0" w:color="000000"/>
              <w:right w:val="single" w:sz="4" w:space="0" w:color="000000"/>
            </w:tcBorders>
          </w:tcPr>
          <w:p>
            <w:pPr/>
          </w:p>
        </w:tc>
        <w:tc>
          <w:tcPr>
            <w:tcW w:w="435"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6"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firstLine="360"/>
              <w:jc w:val="left"/>
              <w:rPr>
                <w:rFonts w:ascii="宋体" w:hAnsi="宋体" w:cs="宋体" w:eastAsia="宋体" w:hint="default"/>
                <w:sz w:val="18"/>
                <w:szCs w:val="18"/>
              </w:rPr>
            </w:pPr>
            <w:r>
              <w:rPr>
                <w:rFonts w:ascii="宋体" w:hAnsi="宋体" w:cs="宋体" w:eastAsia="宋体" w:hint="default"/>
                <w:spacing w:val="-9"/>
                <w:sz w:val="18"/>
                <w:szCs w:val="18"/>
              </w:rPr>
              <w:t>加：会计政</w:t>
            </w:r>
            <w:r>
              <w:rPr>
                <w:rFonts w:ascii="宋体" w:hAnsi="宋体" w:cs="宋体" w:eastAsia="宋体" w:hint="default"/>
                <w:sz w:val="18"/>
                <w:szCs w:val="18"/>
              </w:rPr>
              <w:t> 策变更</w:t>
            </w:r>
          </w:p>
        </w:tc>
        <w:tc>
          <w:tcPr>
            <w:tcW w:w="991" w:type="dxa"/>
            <w:tcBorders>
              <w:top w:val="single" w:sz="4" w:space="0" w:color="000000"/>
              <w:left w:val="single" w:sz="13" w:space="0" w:color="D2D2D2"/>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991" w:type="dxa"/>
            <w:tcBorders>
              <w:top w:val="single" w:sz="4" w:space="0" w:color="000000"/>
              <w:left w:val="single" w:sz="13" w:space="0" w:color="D2D2D2"/>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1"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991" w:type="dxa"/>
            <w:tcBorders>
              <w:top w:val="single" w:sz="4" w:space="0" w:color="000000"/>
              <w:left w:val="single" w:sz="13" w:space="0" w:color="D2D2D2"/>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13" w:space="0" w:color="D2D2D2"/>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6"/>
                <w:sz w:val="18"/>
                <w:szCs w:val="18"/>
              </w:rPr>
              <w:t>二、本年期初余</w:t>
            </w:r>
          </w:p>
        </w:tc>
        <w:tc>
          <w:tcPr>
            <w:tcW w:w="9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1,209,600,0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292,695</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2,528.0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58,056,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319,352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1,879,7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0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435"/>
        <w:gridCol w:w="533"/>
        <w:gridCol w:w="530"/>
        <w:gridCol w:w="662"/>
        <w:gridCol w:w="668"/>
        <w:gridCol w:w="665"/>
        <w:gridCol w:w="665"/>
        <w:gridCol w:w="662"/>
        <w:gridCol w:w="665"/>
        <w:gridCol w:w="667"/>
        <w:gridCol w:w="665"/>
        <w:gridCol w:w="658"/>
      </w:tblGrid>
      <w:tr>
        <w:trPr>
          <w:trHeight w:val="67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 w:right="0"/>
              <w:jc w:val="center"/>
              <w:rPr>
                <w:rFonts w:ascii="Times New Roman" w:hAnsi="Times New Roman" w:cs="Times New Roman" w:eastAsia="Times New Roman" w:hint="default"/>
                <w:sz w:val="18"/>
                <w:szCs w:val="18"/>
              </w:rPr>
            </w:pPr>
            <w:r>
              <w:rPr>
                <w:rFonts w:ascii="Times New Roman"/>
                <w:sz w:val="18"/>
              </w:rPr>
              <w:t>,462.76</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660.66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,816.30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07,467.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z w:val="18"/>
                <w:szCs w:val="18"/>
              </w:rPr>
              <w:t> </w:t>
            </w:r>
            <w:r>
              <w:rPr>
                <w:rFonts w:ascii="宋体" w:hAnsi="宋体" w:cs="宋体" w:eastAsia="宋体" w:hint="default"/>
                <w:spacing w:val="-6"/>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644,292,052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3"/>
                <w:sz w:val="18"/>
              </w:rPr>
              <w:t>4,111,0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125,287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172,799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,811.45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75,374.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7,503,9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14.09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85,907.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z w:val="18"/>
                <w:szCs w:val="18"/>
              </w:rPr>
              <w:t> 总额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125,287</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71,186.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51,428.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z w:val="18"/>
                <w:szCs w:val="18"/>
              </w:rPr>
              <w:t> 入和减少资本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160,452,052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09,467.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61,519.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160,452,052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05,012.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57,064.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r>
        <w:trPr>
          <w:trHeight w:val="360"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w:t>
            </w:r>
          </w:p>
        </w:tc>
        <w:tc>
          <w:tcPr>
            <w:tcW w:w="991" w:type="dxa"/>
            <w:vMerge w:val="restart"/>
            <w:tcBorders>
              <w:top w:val="single" w:sz="4" w:space="0" w:color="000000"/>
              <w:left w:val="single" w:sz="4" w:space="0" w:color="000000"/>
              <w:right w:val="single" w:sz="4" w:space="0" w:color="000000"/>
            </w:tcBorders>
          </w:tcPr>
          <w:p>
            <w:pPr/>
          </w:p>
        </w:tc>
        <w:tc>
          <w:tcPr>
            <w:tcW w:w="435"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0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具持有者投入</w:t>
            </w:r>
          </w:p>
        </w:tc>
        <w:tc>
          <w:tcPr>
            <w:tcW w:w="991" w:type="dxa"/>
            <w:vMerge/>
            <w:tcBorders>
              <w:left w:val="single" w:sz="4" w:space="0" w:color="000000"/>
              <w:right w:val="single" w:sz="4" w:space="0" w:color="000000"/>
            </w:tcBorders>
          </w:tcPr>
          <w:p>
            <w:pPr/>
          </w:p>
        </w:tc>
        <w:tc>
          <w:tcPr>
            <w:tcW w:w="435"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991" w:type="dxa"/>
            <w:vMerge/>
            <w:tcBorders>
              <w:left w:val="single" w:sz="4" w:space="0" w:color="000000"/>
              <w:bottom w:val="single" w:sz="4" w:space="0" w:color="000000"/>
              <w:right w:val="single" w:sz="4" w:space="0" w:color="000000"/>
            </w:tcBorders>
          </w:tcPr>
          <w:p>
            <w:pPr/>
          </w:p>
        </w:tc>
        <w:tc>
          <w:tcPr>
            <w:tcW w:w="435"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40,320,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155.06</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40,320,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155.06</w:t>
            </w: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42,184,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299.67</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42,184,</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299.67</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241,920,000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172,799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,811.45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5,811.4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-72,576,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172,799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,811.45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9,811.4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241,920,000</w:t>
            </w:r>
          </w:p>
        </w:tc>
        <w:tc>
          <w:tcPr>
            <w:tcW w:w="435"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-72,576,</w:t>
            </w:r>
          </w:p>
        </w:tc>
        <w:tc>
          <w:tcPr>
            <w:tcW w:w="665" w:type="dxa"/>
            <w:vMerge w:val="restart"/>
            <w:tcBorders>
              <w:top w:val="single" w:sz="4" w:space="0" w:color="000000"/>
              <w:left w:val="single" w:sz="4" w:space="0" w:color="000000"/>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169,344</w:t>
            </w:r>
          </w:p>
        </w:tc>
      </w:tr>
      <w:tr>
        <w:trPr>
          <w:trHeight w:val="353"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.00</w:t>
            </w:r>
          </w:p>
        </w:tc>
        <w:tc>
          <w:tcPr>
            <w:tcW w:w="435"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000.00</w:t>
            </w:r>
          </w:p>
        </w:tc>
        <w:tc>
          <w:tcPr>
            <w:tcW w:w="665" w:type="dxa"/>
            <w:vMerge/>
            <w:tcBorders>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,000.00</w:t>
            </w:r>
          </w:p>
        </w:tc>
      </w:tr>
      <w:tr>
        <w:trPr>
          <w:trHeight w:val="360"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435"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-241,92</w:t>
            </w:r>
          </w:p>
        </w:tc>
        <w:tc>
          <w:tcPr>
            <w:tcW w:w="665" w:type="dxa"/>
            <w:vMerge w:val="restart"/>
            <w:tcBorders>
              <w:top w:val="single" w:sz="4" w:space="0" w:color="000000"/>
              <w:left w:val="single" w:sz="4" w:space="0" w:color="000000"/>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-241,92</w:t>
            </w:r>
          </w:p>
        </w:tc>
      </w:tr>
      <w:tr>
        <w:trPr>
          <w:trHeight w:val="317"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1" w:type="dxa"/>
            <w:vMerge/>
            <w:tcBorders>
              <w:left w:val="single" w:sz="4" w:space="0" w:color="000000"/>
              <w:right w:val="single" w:sz="4" w:space="0" w:color="000000"/>
            </w:tcBorders>
          </w:tcPr>
          <w:p>
            <w:pPr/>
          </w:p>
        </w:tc>
        <w:tc>
          <w:tcPr>
            <w:tcW w:w="435"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0,000.0</w:t>
            </w:r>
          </w:p>
        </w:tc>
        <w:tc>
          <w:tcPr>
            <w:tcW w:w="665" w:type="dxa"/>
            <w:vMerge/>
            <w:tcBorders>
              <w:left w:val="single" w:sz="4" w:space="0" w:color="000000"/>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0,000.0</w:t>
            </w:r>
          </w:p>
        </w:tc>
      </w:tr>
      <w:tr>
        <w:trPr>
          <w:trHeight w:val="350"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435"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0</w:t>
            </w:r>
          </w:p>
        </w:tc>
        <w:tc>
          <w:tcPr>
            <w:tcW w:w="665" w:type="dxa"/>
            <w:vMerge/>
            <w:tcBorders>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right="2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z w:val="18"/>
                <w:szCs w:val="18"/>
              </w:rPr>
              <w:t> 益内部结转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241,920,000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76"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241,920,000</w:t>
            </w:r>
          </w:p>
        </w:tc>
        <w:tc>
          <w:tcPr>
            <w:tcW w:w="435"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2"/>
              <w:ind w:left="55" w:right="0"/>
              <w:jc w:val="center"/>
              <w:rPr>
                <w:rFonts w:ascii="Times New Roman" w:hAnsi="Times New Roman" w:cs="Times New Roman" w:eastAsia="Times New Roman" w:hint="default"/>
                <w:sz w:val="18"/>
                <w:szCs w:val="18"/>
              </w:rPr>
            </w:pPr>
            <w:r>
              <w:rPr>
                <w:rFonts w:ascii="Times New Roman"/>
                <w:sz w:val="18"/>
              </w:rPr>
              <w:t>-241,92</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39"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增资本（或股</w:t>
            </w:r>
          </w:p>
        </w:tc>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18"/>
              <w:jc w:val="right"/>
              <w:rPr>
                <w:rFonts w:ascii="Times New Roman" w:hAnsi="Times New Roman" w:cs="Times New Roman" w:eastAsia="Times New Roman" w:hint="default"/>
                <w:sz w:val="18"/>
                <w:szCs w:val="18"/>
              </w:rPr>
            </w:pPr>
            <w:r>
              <w:rPr>
                <w:rFonts w:ascii="Times New Roman"/>
                <w:sz w:val="18"/>
              </w:rPr>
              <w:t>.00</w:t>
            </w:r>
          </w:p>
        </w:tc>
        <w:tc>
          <w:tcPr>
            <w:tcW w:w="435"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70" w:right="0"/>
              <w:jc w:val="center"/>
              <w:rPr>
                <w:rFonts w:ascii="Times New Roman" w:hAnsi="Times New Roman" w:cs="Times New Roman" w:eastAsia="Times New Roman" w:hint="default"/>
                <w:sz w:val="18"/>
                <w:szCs w:val="18"/>
              </w:rPr>
            </w:pPr>
            <w:r>
              <w:rPr>
                <w:rFonts w:ascii="Times New Roman"/>
                <w:sz w:val="18"/>
              </w:rPr>
              <w:t>0,000.0</w:t>
            </w: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0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276"/>
        <w:gridCol w:w="991"/>
        <w:gridCol w:w="435"/>
        <w:gridCol w:w="533"/>
        <w:gridCol w:w="530"/>
        <w:gridCol w:w="662"/>
        <w:gridCol w:w="668"/>
        <w:gridCol w:w="665"/>
        <w:gridCol w:w="665"/>
        <w:gridCol w:w="662"/>
        <w:gridCol w:w="665"/>
        <w:gridCol w:w="667"/>
        <w:gridCol w:w="665"/>
        <w:gridCol w:w="658"/>
      </w:tblGrid>
      <w:tr>
        <w:trPr>
          <w:trHeight w:val="36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5,048,9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59.79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5,048,9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59.79</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z w:val="18"/>
                <w:szCs w:val="18"/>
              </w:rPr>
              <w:t> 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1,853,892,0</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52.00</w:t>
            </w:r>
          </w:p>
        </w:tc>
        <w:tc>
          <w:tcPr>
            <w:tcW w:w="435"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84,930.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127,815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230,856</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,472.11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28,191.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7,503,9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14.09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93,375.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1"/>
        <w:gridCol w:w="530"/>
        <w:gridCol w:w="533"/>
        <w:gridCol w:w="662"/>
        <w:gridCol w:w="665"/>
        <w:gridCol w:w="667"/>
        <w:gridCol w:w="665"/>
        <w:gridCol w:w="662"/>
        <w:gridCol w:w="665"/>
        <w:gridCol w:w="679"/>
        <w:gridCol w:w="653"/>
        <w:gridCol w:w="658"/>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7"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791,982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,903.84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40,684,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059.60</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184,441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,595.79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74,552.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672,00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791,982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,903.84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40,684,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059.60</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184,441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,595.79</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65,993.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28</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74,552.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7,441.0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134,911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,220.51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-65,993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.28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190,532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,915.21</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0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165,723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,821.57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-54,959</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165,671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,389.84</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38,312,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558.92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38,301,</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525.37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38,312,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558.92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38,312,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558.92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601.06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-30,812,</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601.06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-13,440,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601.06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601.06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-13,440,</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-13,440,</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537,60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9" w:right="0"/>
              <w:jc w:val="left"/>
              <w:rPr>
                <w:rFonts w:ascii="Times New Roman" w:hAnsi="Times New Roman" w:cs="Times New Roman" w:eastAsia="Times New Roman" w:hint="default"/>
                <w:sz w:val="18"/>
                <w:szCs w:val="18"/>
              </w:rPr>
            </w:pPr>
            <w:r>
              <w:rPr>
                <w:rFonts w:ascii="Times New Roman"/>
                <w:sz w:val="18"/>
              </w:rPr>
              <w:t>1,209,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600,00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292,695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,462.76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58,056,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660.66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319,352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,816.30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1,879,7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07,467.</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1"/>
        <w:gridCol w:w="530"/>
        <w:gridCol w:w="533"/>
        <w:gridCol w:w="662"/>
        <w:gridCol w:w="665"/>
        <w:gridCol w:w="667"/>
        <w:gridCol w:w="665"/>
        <w:gridCol w:w="662"/>
        <w:gridCol w:w="665"/>
        <w:gridCol w:w="679"/>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5"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72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1,209,60</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293,737,0</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66.55</w:t>
            </w:r>
          </w:p>
        </w:tc>
        <w:tc>
          <w:tcPr>
            <w:tcW w:w="797" w:type="dxa"/>
            <w:vMerge w:val="restart"/>
            <w:tcBorders>
              <w:top w:val="single" w:sz="21" w:space="0" w:color="D2D2D2"/>
              <w:left w:val="single" w:sz="4" w:space="0" w:color="000000"/>
              <w:right w:val="single" w:sz="4" w:space="0" w:color="000000"/>
            </w:tcBorders>
          </w:tcPr>
          <w:p>
            <w:pPr/>
          </w:p>
        </w:tc>
        <w:tc>
          <w:tcPr>
            <w:tcW w:w="797" w:type="dxa"/>
            <w:vMerge w:val="restart"/>
            <w:tcBorders>
              <w:top w:val="single" w:sz="21"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58,056,66</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0.66</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348,009</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,069.65</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1,909,402</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,796.86</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1,209,60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293,737,0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66.55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58,056,66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0.66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348,009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,069.65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1,909,402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,796.86</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644,292,</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4,111,089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,467.69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172,799,8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6,168,883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,634.21</w:t>
            </w: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1,727,9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w w:val="95"/>
                <w:sz w:val="18"/>
              </w:rPr>
              <w:t>98,114.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1,727,998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,114.52</w:t>
            </w:r>
          </w:p>
        </w:tc>
      </w:tr>
      <w:tr>
        <w:trPr>
          <w:trHeight w:val="703"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160,452,</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4,353,009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,467.69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4,513,461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,519.69</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160,452,</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4,270,505</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,012.96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4,430,957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,064.96</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40,320,15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40,320,15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5.06</w:t>
            </w: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42,184,29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42,184,29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17"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241,920,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172,799,8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11.45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-487,29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2"/>
                <w:sz w:val="18"/>
              </w:rPr>
              <w:t>5,811.4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-72,576,0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172,799,8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-172,79</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7" w:right="0"/>
              <w:jc w:val="left"/>
              <w:rPr>
                <w:rFonts w:ascii="Times New Roman" w:hAnsi="Times New Roman" w:cs="Times New Roman" w:eastAsia="Times New Roman" w:hint="default"/>
                <w:sz w:val="18"/>
                <w:szCs w:val="18"/>
              </w:rPr>
            </w:pPr>
            <w:r>
              <w:rPr>
                <w:rFonts w:ascii="Times New Roman"/>
                <w:sz w:val="18"/>
              </w:rPr>
              <w:t>11.45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9,811.4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241,920,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-72,576,0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241,920,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-241,920,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241,920,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-241,920,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1,853,89</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2,052.00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4,404,826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,534.24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230,856,4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72.11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w w:val="95"/>
                <w:sz w:val="18"/>
              </w:rPr>
              <w:t>11,372.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8,078,286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,431.07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800"/>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793,024,5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07.63</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40,684,05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9.60</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205,095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,660.10</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1,710,804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,227.33</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672,000,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793,024,5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07.63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40,684,05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205,095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,660.10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1,710,804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,227.33</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2" w:right="18"/>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-499,287,</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441.08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142,913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,409.55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198,598,5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69.53</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173,726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10.61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8.92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38,312,55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8.92</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-30,812,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601.06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-13,440,0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17,372,60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-17,372,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601.06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-13,440,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-13,440,0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-537,600,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1,209,60</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293,737,0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58,056,66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0.66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348,009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,069.65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1,909,402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,796.86</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26"/>
        <w:ind w:right="103"/>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66" w:lineRule="auto"/>
        <w:ind w:left="825" w:right="103" w:firstLine="84"/>
        <w:jc w:val="left"/>
      </w:pPr>
      <w:r>
        <w:rPr>
          <w:rFonts w:ascii="Times New Roman" w:hAnsi="Times New Roman" w:cs="Times New Roman" w:eastAsia="Times New Roman" w:hint="default"/>
          <w:b/>
          <w:bCs/>
        </w:rPr>
        <w:t>1</w:t>
      </w:r>
      <w:r>
        <w:rPr>
          <w:rFonts w:ascii="宋体" w:hAnsi="宋体" w:cs="宋体" w:eastAsia="宋体" w:hint="default"/>
          <w:b/>
          <w:bCs/>
        </w:rPr>
        <w:t>、公司概况</w:t>
      </w:r>
      <w:r>
        <w:rPr>
          <w:rFonts w:ascii="宋体" w:hAnsi="宋体" w:cs="宋体" w:eastAsia="宋体" w:hint="default"/>
          <w:b/>
          <w:bCs/>
          <w:w w:val="100"/>
        </w:rPr>
        <w:t> </w:t>
      </w:r>
      <w:r>
        <w:rPr/>
        <w:t>东方财富信息股份有限公司前身系上海东财信息技术有限公司，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日改制为股份有限</w:t>
      </w:r>
      <w:r>
        <w:rPr>
          <w:spacing w:val="-8"/>
        </w:rPr>
        <w:t> </w:t>
      </w:r>
      <w:r>
        <w:rPr>
          <w:spacing w:val="-8"/>
        </w:rPr>
      </w:r>
      <w:r>
        <w:rPr/>
        <w:t>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日由上海东财信息技术股份有限公司更名为东方财富信息股份有限公司。</w:t>
      </w:r>
      <w:r>
        <w:rPr>
          <w:w w:val="100"/>
        </w:rPr>
        <w:t> </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1,853,892,052</w:t>
      </w:r>
      <w:r>
        <w:rPr/>
        <w:t>股，注册资本为</w:t>
      </w:r>
      <w:r>
        <w:rPr>
          <w:rFonts w:ascii="Times New Roman" w:hAnsi="Times New Roman" w:cs="Times New Roman" w:eastAsia="Times New Roman" w:hint="default"/>
        </w:rPr>
        <w:t>1,853,892,052</w:t>
      </w:r>
      <w:r>
        <w:rPr/>
        <w:t>元，注</w:t>
      </w:r>
      <w:r>
        <w:rPr>
          <w:spacing w:val="-3"/>
          <w:w w:val="100"/>
        </w:rPr>
        <w:t> </w:t>
      </w:r>
      <w:r>
        <w:rPr/>
        <w:t>册地：上海市嘉定区宝安公路</w:t>
      </w:r>
      <w:r>
        <w:rPr>
          <w:rFonts w:ascii="Times New Roman" w:hAnsi="Times New Roman" w:cs="Times New Roman" w:eastAsia="Times New Roman" w:hint="default"/>
        </w:rPr>
        <w:t>2999</w:t>
      </w:r>
      <w:r>
        <w:rPr/>
        <w:t>号</w:t>
      </w:r>
      <w:r>
        <w:rPr>
          <w:rFonts w:ascii="Times New Roman" w:hAnsi="Times New Roman" w:cs="Times New Roman" w:eastAsia="Times New Roman" w:hint="default"/>
        </w:rPr>
        <w:t>1</w:t>
      </w:r>
      <w:r>
        <w:rPr/>
        <w:t>幢，总部地址：上海市龙田路</w:t>
      </w:r>
      <w:r>
        <w:rPr>
          <w:rFonts w:ascii="Times New Roman" w:hAnsi="Times New Roman" w:cs="Times New Roman" w:eastAsia="Times New Roman" w:hint="default"/>
        </w:rPr>
        <w:t>195</w:t>
      </w:r>
      <w:r>
        <w:rPr/>
        <w:t>号</w:t>
      </w:r>
      <w:r>
        <w:rPr>
          <w:rFonts w:ascii="Times New Roman" w:hAnsi="Times New Roman" w:cs="Times New Roman" w:eastAsia="Times New Roman" w:hint="default"/>
        </w:rPr>
        <w:t>3</w:t>
      </w:r>
      <w:r>
        <w:rPr/>
        <w:t>号楼</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9</w:t>
      </w:r>
      <w:r>
        <w:rPr/>
        <w:t>楼。</w:t>
      </w:r>
      <w:r>
        <w:rPr>
          <w:spacing w:val="-3"/>
          <w:w w:val="100"/>
        </w:rPr>
        <w:t> </w:t>
      </w:r>
      <w:r>
        <w:rPr>
          <w:spacing w:val="-2"/>
        </w:rPr>
        <w:t>本公司主要经营活动为：金融数据服务、互联网广告服务、金融电子商务服务及证券服务等业务。</w:t>
      </w:r>
      <w:r>
        <w:rPr>
          <w:spacing w:val="-31"/>
        </w:rPr>
        <w:t> </w:t>
      </w:r>
      <w:r>
        <w:rPr>
          <w:spacing w:val="-31"/>
        </w:rPr>
      </w:r>
      <w:r>
        <w:rPr/>
        <w:t>本公司的实际控制人为其实先生。</w:t>
      </w:r>
      <w:r>
        <w:rPr>
          <w:w w:val="100"/>
        </w:rPr>
        <w:t> </w:t>
      </w:r>
      <w:r>
        <w:rPr/>
        <w:t>公司的主要经营范围：第二类增值电信业务中的呼叫中心业务和信息服务业务（以经营许可证为</w:t>
      </w:r>
      <w:r>
        <w:rPr>
          <w:spacing w:val="29"/>
        </w:rPr>
        <w:t> </w:t>
      </w:r>
      <w:r>
        <w:rPr>
          <w:spacing w:val="29"/>
        </w:rPr>
      </w:r>
      <w:r>
        <w:rPr>
          <w:spacing w:val="-6"/>
        </w:rPr>
        <w:t>准），企业投资咨询、策划，商务咨询，会务会展咨询服务，计算机软硬件及网络系统的技术开发、</w:t>
      </w:r>
      <w:r>
        <w:rPr>
          <w:spacing w:val="-19"/>
        </w:rPr>
        <w:t> </w:t>
      </w:r>
      <w:r>
        <w:rPr>
          <w:spacing w:val="-19"/>
        </w:rPr>
      </w:r>
      <w:r>
        <w:rPr/>
        <w:t>技术服务、技术咨询、技术转让，设计、制作、发布、代理国内外各类广告。</w:t>
      </w:r>
      <w:r>
        <w:rPr>
          <w:rFonts w:ascii="宋体" w:hAnsi="宋体" w:cs="宋体" w:eastAsia="宋体" w:hint="default"/>
        </w:rPr>
        <w:t>(</w:t>
      </w:r>
      <w:r>
        <w:rPr/>
        <w:t>依法须经批准的项</w:t>
      </w:r>
      <w:r>
        <w:rPr>
          <w:spacing w:val="-62"/>
        </w:rPr>
        <w:t> </w:t>
      </w:r>
      <w:r>
        <w:rPr/>
        <w:t>目，经相关部门批准后方可开展经营活动）。</w:t>
      </w:r>
      <w:r>
        <w:rPr>
          <w:w w:val="100"/>
        </w:rPr>
        <w:t> </w:t>
      </w: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日批准报出。</w:t>
      </w:r>
    </w:p>
    <w:p>
      <w:pPr>
        <w:spacing w:line="240" w:lineRule="auto" w:before="7"/>
        <w:rPr>
          <w:rFonts w:ascii="宋体" w:hAnsi="宋体" w:cs="宋体" w:eastAsia="宋体" w:hint="default"/>
          <w:sz w:val="23"/>
          <w:szCs w:val="23"/>
        </w:rPr>
      </w:pPr>
    </w:p>
    <w:p>
      <w:pPr>
        <w:spacing w:line="256" w:lineRule="auto" w:before="0"/>
        <w:ind w:left="870" w:right="1286" w:firstLine="3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、合并财务报表范围</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日止，本公司合并财务报表范围内子公司如下：</w:t>
      </w:r>
    </w:p>
    <w:p>
      <w:pPr>
        <w:spacing w:line="20" w:lineRule="exact"/>
        <w:ind w:left="712" w:right="0" w:firstLine="0"/>
        <w:rPr>
          <w:rFonts w:ascii="宋体" w:hAnsi="宋体" w:cs="宋体" w:eastAsia="宋体" w:hint="default"/>
          <w:sz w:val="2"/>
          <w:szCs w:val="2"/>
        </w:rPr>
      </w:pPr>
      <w:r>
        <w:rPr>
          <w:rFonts w:ascii="宋体" w:hAnsi="宋体" w:cs="宋体" w:eastAsia="宋体" w:hint="default"/>
          <w:sz w:val="2"/>
          <w:szCs w:val="2"/>
        </w:rPr>
        <w:pict>
          <v:group style="width:391.75pt;height:.75pt;mso-position-horizontal-relative:char;mso-position-vertical-relative:line" coordorigin="0,0" coordsize="7835,15">
            <v:group style="position:absolute;left:7;top:7;width:7821;height:2" coordorigin="7,7" coordsize="7821,2">
              <v:shape style="position:absolute;left:7;top:7;width:7821;height:2" coordorigin="7,7" coordsize="7821,0" path="m7,7l7828,7e" filled="false" stroked="true" strokeweight=".72pt" strokecolor="#000000">
                <v:path arrowok="t"/>
              </v:shape>
            </v:group>
          </v:group>
        </w:pict>
      </w:r>
      <w:r>
        <w:rPr>
          <w:rFonts w:ascii="宋体" w:hAnsi="宋体" w:cs="宋体" w:eastAsia="宋体" w:hint="default"/>
          <w:sz w:val="2"/>
          <w:szCs w:val="2"/>
        </w:rPr>
      </w:r>
    </w:p>
    <w:p>
      <w:pPr>
        <w:spacing w:before="29"/>
        <w:ind w:left="3065" w:right="3807" w:firstLine="0"/>
        <w:jc w:val="center"/>
        <w:rPr>
          <w:rFonts w:ascii="宋体" w:hAnsi="宋体" w:cs="宋体" w:eastAsia="宋体" w:hint="default"/>
          <w:sz w:val="18"/>
          <w:szCs w:val="18"/>
        </w:rPr>
      </w:pPr>
      <w:r>
        <w:rPr>
          <w:rFonts w:ascii="宋体" w:hAnsi="宋体" w:cs="宋体" w:eastAsia="宋体" w:hint="default"/>
          <w:sz w:val="18"/>
          <w:szCs w:val="18"/>
        </w:rPr>
        <w:t>子公司名称</w:t>
      </w:r>
    </w:p>
    <w:p>
      <w:pPr>
        <w:spacing w:line="240" w:lineRule="auto" w:before="12"/>
        <w:rPr>
          <w:rFonts w:ascii="宋体" w:hAnsi="宋体" w:cs="宋体" w:eastAsia="宋体" w:hint="default"/>
          <w:sz w:val="5"/>
          <w:szCs w:val="5"/>
        </w:rPr>
      </w:pPr>
    </w:p>
    <w:p>
      <w:pPr>
        <w:spacing w:line="28" w:lineRule="exact"/>
        <w:ind w:left="70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2.5pt;height:1.45pt;mso-position-horizontal-relative:char;mso-position-vertical-relative:line" coordorigin="0,0" coordsize="7850,29">
            <v:group style="position:absolute;left:14;top:14;width:7821;height:2" coordorigin="14,14" coordsize="7821,2">
              <v:shape style="position:absolute;left:14;top:14;width:7821;height:2" coordorigin="14,14" coordsize="7821,0" path="m14,14l7835,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307" w:lineRule="auto"/>
        <w:ind w:left="731" w:right="4255"/>
        <w:jc w:val="left"/>
      </w:pPr>
      <w:r>
        <w:rPr/>
        <w:pict>
          <v:group style="position:absolute;margin-left:84.984001pt;margin-top:17.423685pt;width:391.05pt;height:.1pt;mso-position-horizontal-relative:page;mso-position-vertical-relative:paragraph;z-index:-869296" coordorigin="1700,348" coordsize="7821,2">
            <v:shape style="position:absolute;left:1700;top:348;width:7821;height:2" coordorigin="1700,348" coordsize="7821,0" path="m1700,348l9520,348e" filled="false" stroked="true" strokeweight="1.44pt" strokecolor="#000000">
              <v:path arrowok="t"/>
            </v:shape>
            <w10:wrap type="none"/>
          </v:group>
        </w:pict>
      </w:r>
      <w:r>
        <w:rPr/>
        <w:pict>
          <v:group style="position:absolute;margin-left:84.984001pt;margin-top:34.943684pt;width:391.05pt;height:.1pt;mso-position-horizontal-relative:page;mso-position-vertical-relative:paragraph;z-index:-869272" coordorigin="1700,699" coordsize="7821,2">
            <v:shape style="position:absolute;left:1700;top:699;width:7821;height:2" coordorigin="1700,699" coordsize="7821,0" path="m1700,699l9520,699e" filled="false" stroked="true" strokeweight="1.44pt" strokecolor="#000000">
              <v:path arrowok="t"/>
            </v:shape>
            <w10:wrap type="none"/>
          </v:group>
        </w:pict>
      </w:r>
      <w:r>
        <w:rPr/>
        <w:pict>
          <v:group style="position:absolute;margin-left:84.984001pt;margin-top:52.583687pt;width:391.05pt;height:.1pt;mso-position-horizontal-relative:page;mso-position-vertical-relative:paragraph;z-index:-869248" coordorigin="1700,1052" coordsize="7821,2">
            <v:shape style="position:absolute;left:1700;top:1052;width:7821;height:2" coordorigin="1700,1052" coordsize="7821,0" path="m1700,1052l9520,1052e" filled="false" stroked="true" strokeweight="1.44pt" strokecolor="#000000">
              <v:path arrowok="t"/>
            </v:shape>
            <w10:wrap type="none"/>
          </v:group>
        </w:pict>
      </w:r>
      <w:r>
        <w:rPr/>
        <w:pict>
          <v:group style="position:absolute;margin-left:84.984001pt;margin-top:70.223686pt;width:391.05pt;height:.1pt;mso-position-horizontal-relative:page;mso-position-vertical-relative:paragraph;z-index:-869224" coordorigin="1700,1404" coordsize="7821,2">
            <v:shape style="position:absolute;left:1700;top:1404;width:7821;height:2" coordorigin="1700,1404" coordsize="7821,0" path="m1700,1404l9520,1404e" filled="false" stroked="true" strokeweight="1.44pt" strokecolor="#000000">
              <v:path arrowok="t"/>
            </v:shape>
            <w10:wrap type="none"/>
          </v:group>
        </w:pict>
      </w:r>
      <w:r>
        <w:rPr/>
        <w:pict>
          <v:group style="position:absolute;margin-left:84.984001pt;margin-top:87.763687pt;width:391.05pt;height:.1pt;mso-position-horizontal-relative:page;mso-position-vertical-relative:paragraph;z-index:-869200" coordorigin="1700,1755" coordsize="7821,2">
            <v:shape style="position:absolute;left:1700;top:1755;width:7821;height:2" coordorigin="1700,1755" coordsize="7821,0" path="m1700,1755l9520,1755e" filled="false" stroked="true" strokeweight="1.44pt" strokecolor="#000000">
              <v:path arrowok="t"/>
            </v:shape>
            <w10:wrap type="none"/>
          </v:group>
        </w:pict>
      </w:r>
      <w:r>
        <w:rPr/>
        <w:pict>
          <v:group style="position:absolute;margin-left:84.984001pt;margin-top:105.403687pt;width:391.05pt;height:.1pt;mso-position-horizontal-relative:page;mso-position-vertical-relative:paragraph;z-index:-869176" coordorigin="1700,2108" coordsize="7821,2">
            <v:shape style="position:absolute;left:1700;top:2108;width:7821;height:2" coordorigin="1700,2108" coordsize="7821,0" path="m1700,2108l9520,2108e" filled="false" stroked="true" strokeweight="1.44pt" strokecolor="#000000">
              <v:path arrowok="t"/>
            </v:shape>
            <w10:wrap type="none"/>
          </v:group>
        </w:pict>
      </w:r>
      <w:r>
        <w:rPr/>
        <w:pict>
          <v:group style="position:absolute;margin-left:84.984001pt;margin-top:123.043686pt;width:391.05pt;height:.1pt;mso-position-horizontal-relative:page;mso-position-vertical-relative:paragraph;z-index:-869152" coordorigin="1700,2461" coordsize="7821,2">
            <v:shape style="position:absolute;left:1700;top:2461;width:7821;height:2" coordorigin="1700,2461" coordsize="7821,0" path="m1700,2461l9520,2461e" filled="false" stroked="true" strokeweight="1.44pt" strokecolor="#000000">
              <v:path arrowok="t"/>
            </v:shape>
            <w10:wrap type="none"/>
          </v:group>
        </w:pict>
      </w:r>
      <w:r>
        <w:rPr/>
        <w:pict>
          <v:group style="position:absolute;margin-left:84.984001pt;margin-top:140.56369pt;width:391.05pt;height:.1pt;mso-position-horizontal-relative:page;mso-position-vertical-relative:paragraph;z-index:-869128" coordorigin="1700,2811" coordsize="7821,2">
            <v:shape style="position:absolute;left:1700;top:2811;width:7821;height:2" coordorigin="1700,2811" coordsize="7821,0" path="m1700,2811l9520,2811e" filled="false" stroked="true" strokeweight="1.44pt" strokecolor="#000000">
              <v:path arrowok="t"/>
            </v:shape>
            <w10:wrap type="none"/>
          </v:group>
        </w:pict>
      </w:r>
      <w:r>
        <w:rPr/>
        <w:pict>
          <v:group style="position:absolute;margin-left:84.984001pt;margin-top:158.20369pt;width:391.05pt;height:.1pt;mso-position-horizontal-relative:page;mso-position-vertical-relative:paragraph;z-index:-869104" coordorigin="1700,3164" coordsize="7821,2">
            <v:shape style="position:absolute;left:1700;top:3164;width:7821;height:2" coordorigin="1700,3164" coordsize="7821,0" path="m1700,3164l9520,3164e" filled="false" stroked="true" strokeweight="1.44pt" strokecolor="#000000">
              <v:path arrowok="t"/>
            </v:shape>
            <w10:wrap type="none"/>
          </v:group>
        </w:pict>
      </w:r>
      <w:r>
        <w:rPr/>
        <w:pict>
          <v:group style="position:absolute;margin-left:84.984001pt;margin-top:175.843689pt;width:391.05pt;height:.1pt;mso-position-horizontal-relative:page;mso-position-vertical-relative:paragraph;z-index:-869080" coordorigin="1700,3517" coordsize="7821,2">
            <v:shape style="position:absolute;left:1700;top:3517;width:7821;height:2" coordorigin="1700,3517" coordsize="7821,0" path="m1700,3517l9520,3517e" filled="false" stroked="true" strokeweight="1.44pt" strokecolor="#000000">
              <v:path arrowok="t"/>
            </v:shape>
            <w10:wrap type="none"/>
          </v:group>
        </w:pict>
      </w:r>
      <w:r>
        <w:rPr/>
        <w:pict>
          <v:group style="position:absolute;margin-left:84.984001pt;margin-top:193.363678pt;width:391.05pt;height:.1pt;mso-position-horizontal-relative:page;mso-position-vertical-relative:paragraph;z-index:-869056" coordorigin="1700,3867" coordsize="7821,2">
            <v:shape style="position:absolute;left:1700;top:3867;width:7821;height:2" coordorigin="1700,3867" coordsize="7821,0" path="m1700,3867l9520,3867e" filled="false" stroked="true" strokeweight="1.44pt" strokecolor="#000000">
              <v:path arrowok="t"/>
            </v:shape>
            <w10:wrap type="none"/>
          </v:group>
        </w:pict>
      </w:r>
      <w:r>
        <w:rPr/>
        <w:pict>
          <v:group style="position:absolute;margin-left:84.984001pt;margin-top:211.003738pt;width:391.05pt;height:.1pt;mso-position-horizontal-relative:page;mso-position-vertical-relative:paragraph;z-index:-869032" coordorigin="1700,4220" coordsize="7821,2">
            <v:shape style="position:absolute;left:1700;top:4220;width:7821;height:2" coordorigin="1700,4220" coordsize="7821,0" path="m1700,4220l9520,4220e" filled="false" stroked="true" strokeweight="1.4399pt" strokecolor="#000000">
              <v:path arrowok="t"/>
            </v:shape>
            <w10:wrap type="none"/>
          </v:group>
        </w:pict>
      </w:r>
      <w:r>
        <w:rPr/>
        <w:pict>
          <v:group style="position:absolute;margin-left:84.984001pt;margin-top:228.643692pt;width:391.05pt;height:.1pt;mso-position-horizontal-relative:page;mso-position-vertical-relative:paragraph;z-index:-869008" coordorigin="1700,4573" coordsize="7821,2">
            <v:shape style="position:absolute;left:1700;top:4573;width:7821;height:2" coordorigin="1700,4573" coordsize="7821,0" path="m1700,4573l9520,4573e" filled="false" stroked="true" strokeweight="1.44pt" strokecolor="#000000">
              <v:path arrowok="t"/>
            </v:shape>
            <w10:wrap type="none"/>
          </v:group>
        </w:pict>
      </w:r>
      <w:r>
        <w:rPr/>
        <w:t>上海天天基金销售有限公司</w:t>
      </w:r>
      <w:r>
        <w:rPr>
          <w:w w:val="100"/>
        </w:rPr>
        <w:t> </w:t>
      </w:r>
      <w:r>
        <w:rPr/>
        <w:t>上海东方财富证券研究所有限公司</w:t>
      </w:r>
      <w:r>
        <w:rPr>
          <w:w w:val="100"/>
        </w:rPr>
        <w:t> </w:t>
      </w:r>
      <w:r>
        <w:rPr>
          <w:spacing w:val="-2"/>
        </w:rPr>
        <w:t>上海东方财富金融数据服务有限公司</w:t>
      </w:r>
      <w:r>
        <w:rPr>
          <w:spacing w:val="-72"/>
        </w:rPr>
        <w:t> </w:t>
      </w:r>
      <w:r>
        <w:rPr>
          <w:spacing w:val="-72"/>
        </w:rPr>
      </w:r>
      <w:r>
        <w:rPr/>
        <w:t>北京京东财信息科技有限公司</w:t>
      </w:r>
      <w:r>
        <w:rPr>
          <w:w w:val="100"/>
        </w:rPr>
        <w:t> </w:t>
      </w:r>
      <w:r>
        <w:rPr/>
        <w:t>广州东财信息科技有限公司</w:t>
      </w:r>
      <w:r>
        <w:rPr>
          <w:w w:val="100"/>
        </w:rPr>
        <w:t> </w:t>
      </w:r>
      <w:r>
        <w:rPr/>
        <w:t>上海东方财富置业有限公司</w:t>
      </w:r>
      <w:r>
        <w:rPr>
          <w:w w:val="100"/>
        </w:rPr>
        <w:t> </w:t>
      </w:r>
      <w:r>
        <w:rPr/>
        <w:t>上海优优商务咨询有限公司</w:t>
      </w:r>
      <w:r>
        <w:rPr>
          <w:w w:val="100"/>
        </w:rPr>
        <w:t> </w:t>
      </w:r>
      <w:r>
        <w:rPr/>
        <w:t>上海长盛电子商务有限公司</w:t>
      </w:r>
      <w:r>
        <w:rPr>
          <w:w w:val="100"/>
        </w:rPr>
        <w:t> </w:t>
      </w:r>
      <w:r>
        <w:rPr/>
        <w:t>东方财富（香港）有限公司</w:t>
      </w:r>
      <w:r>
        <w:rPr>
          <w:w w:val="100"/>
        </w:rPr>
        <w:t> </w:t>
      </w:r>
      <w:r>
        <w:rPr/>
        <w:t>上海东睿资产管理有限公司</w:t>
      </w:r>
      <w:r>
        <w:rPr>
          <w:w w:val="100"/>
        </w:rPr>
        <w:t> </w:t>
      </w:r>
      <w:r>
        <w:rPr/>
        <w:t>上海东鑫互联网金融服务有限公司</w:t>
      </w:r>
      <w:r>
        <w:rPr>
          <w:w w:val="100"/>
        </w:rPr>
        <w:t> </w:t>
      </w:r>
      <w:r>
        <w:rPr/>
        <w:t>西藏同信证券股份有限公司</w:t>
      </w:r>
      <w:r>
        <w:rPr>
          <w:w w:val="100"/>
        </w:rPr>
        <w:t> </w:t>
      </w:r>
      <w:r>
        <w:rPr/>
        <w:t>上海微兆信息科技有限公司</w:t>
      </w:r>
      <w:r>
        <w:rPr>
          <w:w w:val="100"/>
        </w:rPr>
        <w:t> </w:t>
      </w:r>
      <w:r>
        <w:rPr>
          <w:spacing w:val="-2"/>
        </w:rPr>
        <w:t>扬州东方财富金融信息服务有限公司</w:t>
      </w:r>
    </w:p>
    <w:p>
      <w:pPr>
        <w:spacing w:line="28" w:lineRule="exact"/>
        <w:ind w:left="690"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3.2pt;height:1.45pt;mso-position-horizontal-relative:char;mso-position-vertical-relative:line" coordorigin="0,0" coordsize="7864,29">
            <v:group style="position:absolute;left:14;top:14;width:7835;height:2" coordorigin="14,14" coordsize="7835,2">
              <v:shape style="position:absolute;left:14;top:14;width:7835;height:2" coordorigin="14,14" coordsize="7835,0" path="m14,14l7849,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6"/>
        <w:rPr>
          <w:rFonts w:ascii="宋体" w:hAnsi="宋体" w:cs="宋体" w:eastAsia="宋体" w:hint="default"/>
          <w:sz w:val="20"/>
          <w:szCs w:val="20"/>
        </w:rPr>
      </w:pPr>
    </w:p>
    <w:p>
      <w:pPr>
        <w:pStyle w:val="BodyText"/>
        <w:spacing w:line="240" w:lineRule="auto" w:before="36"/>
        <w:ind w:left="870" w:right="103"/>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日，本公司合并财务报表范围内孙公司如下：</w:t>
      </w:r>
    </w:p>
    <w:p>
      <w:pPr>
        <w:spacing w:line="240" w:lineRule="auto" w:before="8"/>
        <w:rPr>
          <w:rFonts w:ascii="宋体" w:hAnsi="宋体" w:cs="宋体" w:eastAsia="宋体" w:hint="default"/>
          <w:sz w:val="2"/>
          <w:szCs w:val="2"/>
        </w:rPr>
      </w:pPr>
    </w:p>
    <w:p>
      <w:pPr>
        <w:spacing w:line="20" w:lineRule="exact"/>
        <w:ind w:left="712" w:right="0" w:firstLine="0"/>
        <w:rPr>
          <w:rFonts w:ascii="宋体" w:hAnsi="宋体" w:cs="宋体" w:eastAsia="宋体" w:hint="default"/>
          <w:sz w:val="2"/>
          <w:szCs w:val="2"/>
        </w:rPr>
      </w:pPr>
      <w:r>
        <w:rPr>
          <w:rFonts w:ascii="宋体" w:hAnsi="宋体" w:cs="宋体" w:eastAsia="宋体" w:hint="default"/>
          <w:sz w:val="2"/>
          <w:szCs w:val="2"/>
        </w:rPr>
        <w:pict>
          <v:group style="width:391.75pt;height:.75pt;mso-position-horizontal-relative:char;mso-position-vertical-relative:line" coordorigin="0,0" coordsize="7835,15">
            <v:group style="position:absolute;left:7;top:7;width:7821;height:2" coordorigin="7,7" coordsize="7821,2">
              <v:shape style="position:absolute;left:7;top:7;width:7821;height:2" coordorigin="7,7" coordsize="7821,0" path="m7,7l7828,7e" filled="false" stroked="true" strokeweight=".72003pt" strokecolor="#000000">
                <v:path arrowok="t"/>
              </v:shape>
            </v:group>
          </v:group>
        </w:pict>
      </w:r>
      <w:r>
        <w:rPr>
          <w:rFonts w:ascii="宋体" w:hAnsi="宋体" w:cs="宋体" w:eastAsia="宋体" w:hint="default"/>
          <w:sz w:val="2"/>
          <w:szCs w:val="2"/>
        </w:rPr>
      </w:r>
    </w:p>
    <w:p>
      <w:pPr>
        <w:pStyle w:val="BodyText"/>
        <w:spacing w:line="240" w:lineRule="auto"/>
        <w:ind w:left="3065" w:right="3807"/>
        <w:jc w:val="center"/>
      </w:pPr>
      <w:r>
        <w:rPr/>
        <w:t>孙公司名称</w:t>
      </w:r>
    </w:p>
    <w:p>
      <w:pPr>
        <w:spacing w:line="240" w:lineRule="auto" w:before="7"/>
        <w:rPr>
          <w:rFonts w:ascii="宋体" w:hAnsi="宋体" w:cs="宋体" w:eastAsia="宋体" w:hint="default"/>
          <w:sz w:val="4"/>
          <w:szCs w:val="4"/>
        </w:rPr>
      </w:pPr>
    </w:p>
    <w:p>
      <w:pPr>
        <w:spacing w:line="28" w:lineRule="exact"/>
        <w:ind w:left="705"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2.5pt;height:1.45pt;mso-position-horizontal-relative:char;mso-position-vertical-relative:line" coordorigin="0,0" coordsize="7850,29">
            <v:group style="position:absolute;left:14;top:14;width:7821;height:2" coordorigin="14,14" coordsize="7821,2">
              <v:shape style="position:absolute;left:14;top:14;width:7821;height:2" coordorigin="14,14" coordsize="7821,0" path="m14,14l7835,14e" filled="false" stroked="true" strokeweight="1.44pt" strokecolor="#000000">
                <v:path arrowok="t"/>
              </v:shape>
            </v:group>
          </v:group>
        </w:pict>
      </w:r>
      <w:r>
        <w:rPr>
          <w:rFonts w:ascii="宋体" w:hAnsi="宋体" w:cs="宋体" w:eastAsia="宋体" w:hint="default"/>
          <w:position w:val="0"/>
          <w:sz w:val="2"/>
          <w:szCs w:val="2"/>
        </w:rPr>
      </w:r>
    </w:p>
    <w:p>
      <w:pPr>
        <w:pStyle w:val="BodyText"/>
        <w:spacing w:line="290" w:lineRule="auto"/>
        <w:ind w:left="731" w:right="4255"/>
        <w:jc w:val="left"/>
      </w:pPr>
      <w:r>
        <w:rPr/>
        <w:pict>
          <v:group style="position:absolute;margin-left:84.984001pt;margin-top:17.423674pt;width:391.05pt;height:.1pt;mso-position-horizontal-relative:page;mso-position-vertical-relative:paragraph;z-index:-868984" coordorigin="1700,348" coordsize="7821,2">
            <v:shape style="position:absolute;left:1700;top:348;width:7821;height:2" coordorigin="1700,348" coordsize="7821,0" path="m1700,348l9520,348e" filled="false" stroked="true" strokeweight="1.44pt" strokecolor="#000000">
              <v:path arrowok="t"/>
            </v:shape>
            <w10:wrap type="none"/>
          </v:group>
        </w:pict>
      </w:r>
      <w:r>
        <w:rPr/>
        <w:pict>
          <v:group style="position:absolute;margin-left:84.984001pt;margin-top:35.063675pt;width:391.05pt;height:.1pt;mso-position-horizontal-relative:page;mso-position-vertical-relative:paragraph;z-index:-868960" coordorigin="1700,701" coordsize="7821,2">
            <v:shape style="position:absolute;left:1700;top:701;width:7821;height:2" coordorigin="1700,701" coordsize="7821,0" path="m1700,701l9520,701e" filled="false" stroked="true" strokeweight="1.44pt" strokecolor="#000000">
              <v:path arrowok="t"/>
            </v:shape>
            <w10:wrap type="none"/>
          </v:group>
        </w:pict>
      </w:r>
      <w:r>
        <w:rPr/>
        <w:pict>
          <v:group style="position:absolute;margin-left:84.984001pt;margin-top:52.583672pt;width:391.05pt;height:.1pt;mso-position-horizontal-relative:page;mso-position-vertical-relative:paragraph;z-index:-868936" coordorigin="1700,1052" coordsize="7821,2">
            <v:shape style="position:absolute;left:1700;top:1052;width:7821;height:2" coordorigin="1700,1052" coordsize="7821,0" path="m1700,1052l9520,1052e" filled="false" stroked="true" strokeweight="1.44pt" strokecolor="#000000">
              <v:path arrowok="t"/>
            </v:shape>
            <w10:wrap type="none"/>
          </v:group>
        </w:pict>
      </w:r>
      <w:r>
        <w:rPr/>
        <w:t>东方财富国际证劵有限公司（注</w:t>
      </w:r>
      <w:r>
        <w:rPr>
          <w:rFonts w:ascii="Times New Roman" w:hAnsi="Times New Roman" w:cs="Times New Roman" w:eastAsia="Times New Roman" w:hint="default"/>
        </w:rPr>
        <w:t>1</w:t>
      </w:r>
      <w:r>
        <w:rPr/>
        <w:t>）</w:t>
      </w:r>
      <w:r>
        <w:rPr>
          <w:w w:val="100"/>
        </w:rPr>
        <w:t> </w:t>
      </w:r>
      <w:r>
        <w:rPr>
          <w:spacing w:val="-2"/>
        </w:rPr>
        <w:t>深圳东财金融数据服务有限公司（注</w:t>
      </w:r>
      <w:r>
        <w:rPr>
          <w:rFonts w:ascii="Times New Roman" w:hAnsi="Times New Roman" w:cs="Times New Roman" w:eastAsia="Times New Roman" w:hint="default"/>
          <w:spacing w:val="-2"/>
        </w:rPr>
        <w:t>2</w:t>
      </w:r>
      <w:r>
        <w:rPr>
          <w:spacing w:val="-2"/>
        </w:rPr>
        <w:t>）</w:t>
      </w:r>
      <w:r>
        <w:rPr>
          <w:spacing w:val="-69"/>
        </w:rPr>
        <w:t> </w:t>
      </w:r>
      <w:r>
        <w:rPr/>
        <w:t>同信久恒期货有限责任公司（注</w:t>
      </w:r>
      <w:r>
        <w:rPr>
          <w:rFonts w:ascii="Times New Roman" w:hAnsi="Times New Roman" w:cs="Times New Roman" w:eastAsia="Times New Roman" w:hint="default"/>
        </w:rPr>
        <w:t>3</w:t>
      </w:r>
      <w:r>
        <w:rPr/>
        <w:t>）</w:t>
      </w:r>
      <w:r>
        <w:rPr>
          <w:w w:val="100"/>
        </w:rPr>
        <w:t> </w:t>
      </w:r>
      <w:r>
        <w:rPr/>
        <w:t>同信投资有限责任公司（注</w:t>
      </w:r>
      <w:r>
        <w:rPr>
          <w:rFonts w:ascii="Times New Roman" w:hAnsi="Times New Roman" w:cs="Times New Roman" w:eastAsia="Times New Roman" w:hint="default"/>
        </w:rPr>
        <w:t>4</w:t>
      </w:r>
      <w:r>
        <w:rPr/>
        <w:t>）</w:t>
      </w:r>
    </w:p>
    <w:p>
      <w:pPr>
        <w:spacing w:line="28" w:lineRule="exact"/>
        <w:ind w:left="690" w:right="0" w:firstLine="0"/>
        <w:rPr>
          <w:rFonts w:ascii="宋体" w:hAnsi="宋体" w:cs="宋体" w:eastAsia="宋体" w:hint="default"/>
          <w:sz w:val="2"/>
          <w:szCs w:val="2"/>
        </w:rPr>
      </w:pPr>
      <w:r>
        <w:rPr>
          <w:rFonts w:ascii="宋体" w:hAnsi="宋体" w:cs="宋体" w:eastAsia="宋体" w:hint="default"/>
          <w:position w:val="0"/>
          <w:sz w:val="2"/>
          <w:szCs w:val="2"/>
        </w:rPr>
        <w:pict>
          <v:group style="width:393.2pt;height:1.45pt;mso-position-horizontal-relative:char;mso-position-vertical-relative:line" coordorigin="0,0" coordsize="7864,29">
            <v:group style="position:absolute;left:14;top:14;width:7835;height:2" coordorigin="14,14" coordsize="7835,2">
              <v:shape style="position:absolute;left:14;top:14;width:7835;height:2" coordorigin="14,14" coordsize="7835,0" path="m14,14l7849,14e" filled="false" stroked="true" strokeweight="1.44pt" strokecolor="#000000">
                <v:path arrowok="t"/>
              </v:shape>
            </v:group>
          </v:group>
        </w:pict>
      </w:r>
      <w:r>
        <w:rPr>
          <w:rFonts w:ascii="宋体" w:hAnsi="宋体" w:cs="宋体" w:eastAsia="宋体" w:hint="default"/>
          <w:position w:val="0"/>
          <w:sz w:val="2"/>
          <w:szCs w:val="2"/>
        </w:rPr>
      </w:r>
    </w:p>
    <w:p>
      <w:pPr>
        <w:spacing w:line="300" w:lineRule="auto" w:before="9"/>
        <w:ind w:left="870" w:right="128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：东方财富国际证劵有限公司系子公司东方财富（香港）有限公司的全资子公司。 注</w:t>
      </w:r>
      <w:r>
        <w:rPr>
          <w:rFonts w:ascii="Times New Roman" w:hAnsi="Times New Roman" w:cs="Times New Roman" w:eastAsia="Times New Roman" w:hint="default"/>
          <w:sz w:val="18"/>
          <w:szCs w:val="18"/>
        </w:rPr>
        <w:t>2</w:t>
      </w:r>
      <w:r>
        <w:rPr>
          <w:rFonts w:ascii="宋体" w:hAnsi="宋体" w:cs="宋体" w:eastAsia="宋体" w:hint="default"/>
          <w:sz w:val="18"/>
          <w:szCs w:val="18"/>
        </w:rPr>
        <w:t>：深圳东财金融数据服务有限公司系子公司上海东方财富金融数据服务有限公司的全资子公司。 注</w:t>
      </w:r>
      <w:r>
        <w:rPr>
          <w:rFonts w:ascii="Times New Roman" w:hAnsi="Times New Roman" w:cs="Times New Roman" w:eastAsia="Times New Roman" w:hint="default"/>
          <w:sz w:val="18"/>
          <w:szCs w:val="18"/>
        </w:rPr>
        <w:t>3</w:t>
      </w:r>
      <w:r>
        <w:rPr>
          <w:rFonts w:ascii="宋体" w:hAnsi="宋体" w:cs="宋体" w:eastAsia="宋体" w:hint="default"/>
          <w:sz w:val="18"/>
          <w:szCs w:val="18"/>
        </w:rPr>
        <w:t>：同信久恒期货有限责任公司系子公司西藏同信证券股份有限公司的控股子公司。</w:t>
      </w:r>
    </w:p>
    <w:p>
      <w:pPr>
        <w:spacing w:after="0" w:line="300" w:lineRule="auto"/>
        <w:jc w:val="left"/>
        <w:rPr>
          <w:rFonts w:ascii="宋体" w:hAnsi="宋体" w:cs="宋体" w:eastAsia="宋体" w:hint="default"/>
          <w:sz w:val="18"/>
          <w:szCs w:val="18"/>
        </w:rPr>
        <w:sectPr>
          <w:pgSz w:w="11910" w:h="16840"/>
          <w:pgMar w:header="852" w:footer="979" w:top="13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68" w:lineRule="auto" w:before="72"/>
        <w:ind w:left="870" w:right="0" w:firstLine="0"/>
        <w:jc w:val="left"/>
        <w:rPr>
          <w:rFonts w:ascii="宋体" w:hAnsi="宋体" w:cs="宋体" w:eastAsia="宋体" w:hint="default"/>
          <w:sz w:val="21"/>
          <w:szCs w:val="21"/>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：同信投资有限责任公司系子公司西藏同信证券股份有限公司的全资子公司。 </w:t>
      </w:r>
      <w:r>
        <w:rPr>
          <w:rFonts w:ascii="宋体" w:hAnsi="宋体" w:cs="宋体" w:eastAsia="宋体" w:hint="default"/>
          <w:spacing w:val="-1"/>
          <w:sz w:val="21"/>
          <w:szCs w:val="21"/>
        </w:rPr>
        <w:t>本期合并财务报表范围及其变化情况详见本附注</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八、合并范围的变更</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九、在其他主体中的权</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4"/>
        <w:rPr>
          <w:rFonts w:ascii="宋体" w:hAnsi="宋体" w:cs="宋体" w:eastAsia="宋体" w:hint="default"/>
          <w:sz w:val="23"/>
          <w:szCs w:val="23"/>
        </w:rPr>
      </w:pPr>
    </w:p>
    <w:p>
      <w:pPr>
        <w:pStyle w:val="BodyText"/>
        <w:spacing w:line="273" w:lineRule="auto"/>
        <w:ind w:left="885" w:right="0" w:hanging="15"/>
        <w:jc w:val="left"/>
      </w:pPr>
      <w:r>
        <w:rPr/>
        <w:t>其他纳入合并范围的会计主体：</w:t>
      </w:r>
      <w:r>
        <w:rPr>
          <w:w w:val="100"/>
        </w:rPr>
        <w:t> </w:t>
      </w:r>
      <w:r>
        <w:rPr>
          <w:spacing w:val="-2"/>
        </w:rPr>
        <w:t>国泰君安东睿富盈基金由天天基金以自有资金认购，为该基金的单一投资人，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月份起纳入</w:t>
      </w:r>
      <w:r>
        <w:rPr>
          <w:spacing w:val="-65"/>
        </w:rPr>
        <w:t> </w:t>
      </w:r>
      <w:r>
        <w:rPr>
          <w:spacing w:val="-65"/>
        </w:rPr>
      </w:r>
      <w:r>
        <w:rPr/>
        <w:t>合并范围。</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left="870" w:right="146"/>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w:t>
      </w:r>
      <w:r>
        <w:rPr>
          <w:spacing w:val="-5"/>
        </w:rPr>
        <w:t> </w:t>
      </w:r>
      <w:r>
        <w:rPr/>
        <w:t>本准则》和各项具体会计准则、企业会计准则应用指南、企业会计准则解释及其他相关规定（以</w:t>
      </w:r>
      <w:r>
        <w:rPr>
          <w:spacing w:val="-9"/>
        </w:rPr>
        <w:t> </w:t>
      </w:r>
      <w:r>
        <w:rPr>
          <w:spacing w:val="-9"/>
        </w:rPr>
      </w:r>
      <w:r>
        <w:rPr>
          <w:spacing w:val="-4"/>
        </w:rPr>
        <w:t>下合称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），以及中国证券监督管理委员会《公开发行证券的公司信息披露编报规则</w:t>
      </w:r>
      <w:r>
        <w:rPr>
          <w:spacing w:val="-24"/>
        </w:rPr>
        <w:t> </w:t>
      </w:r>
      <w:r>
        <w:rPr>
          <w:spacing w:val="-24"/>
        </w:rPr>
      </w:r>
      <w:r>
        <w:rPr/>
        <w:t>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870" w:right="0"/>
        <w:jc w:val="left"/>
      </w:pPr>
      <w:r>
        <w:rPr/>
        <w:t>公司综合考虑宏观政策风险、市场经营风险、企业目前或长期的盈利能力、偿债能力、财务弹性</w:t>
      </w:r>
      <w:r>
        <w:rPr>
          <w:spacing w:val="-9"/>
        </w:rPr>
        <w:t> </w:t>
      </w:r>
      <w:r>
        <w:rPr>
          <w:spacing w:val="-9"/>
        </w:rPr>
      </w:r>
      <w:r>
        <w:rPr/>
        <w:t>等因素，认为公司具有自报告期末起至少</w:t>
      </w:r>
      <w:r>
        <w:rPr>
          <w:rFonts w:ascii="Times New Roman" w:hAnsi="Times New Roman" w:cs="Times New Roman" w:eastAsia="Times New Roman" w:hint="default"/>
        </w:rPr>
        <w:t>12</w:t>
      </w:r>
      <w:r>
        <w:rPr/>
        <w:t>个月的持续经营能力。</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6"/>
        <w:ind w:left="870" w:right="0"/>
        <w:jc w:val="left"/>
      </w:pPr>
      <w:r>
        <w:rPr/>
        <w:t>具体会计政策和会计估计提示：</w:t>
      </w:r>
      <w:r>
        <w:rPr>
          <w:w w:val="100"/>
        </w:rPr>
        <w:t> </w:t>
      </w:r>
      <w:r>
        <w:rPr/>
        <w:t>以下披露内容已涵盖了本公司根据实际生产经营特点制定的具体会计政策和会计估计，详见本附</w:t>
      </w:r>
      <w:r>
        <w:rPr>
          <w:spacing w:val="-9"/>
        </w:rPr>
        <w:t> </w:t>
      </w:r>
      <w:r>
        <w:rPr>
          <w:spacing w:val="-9"/>
        </w:rPr>
      </w:r>
      <w:r>
        <w:rPr/>
        <w:t>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870" w:right="0"/>
        <w:jc w:val="left"/>
      </w:pPr>
      <w:r>
        <w:rPr/>
        <w:t>公司所编制的财务报表符合企业会计准则的要求，真实、完整地反映了报告期公司的财务状况、</w:t>
      </w:r>
      <w:r>
        <w:rPr>
          <w:spacing w:val="-2"/>
        </w:rPr>
        <w:t> </w:t>
      </w:r>
      <w:r>
        <w:rPr>
          <w:spacing w:val="-2"/>
        </w:rPr>
      </w:r>
      <w:r>
        <w:rPr/>
        <w:t>经营成果、现金流量等有关信息。</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870"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left"/>
        <w:sectPr>
          <w:pgSz w:w="11910" w:h="16840"/>
          <w:pgMar w:header="852" w:footer="979" w:top="1300" w:bottom="1160" w:left="980" w:right="980"/>
        </w:sectPr>
      </w:pPr>
    </w:p>
    <w:p>
      <w:pPr>
        <w:pStyle w:val="Heading5"/>
        <w:spacing w:line="240" w:lineRule="auto" w:before="108"/>
        <w:ind w:right="10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870" w:right="103"/>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10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0" w:right="103"/>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10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870" w:right="103"/>
        <w:jc w:val="left"/>
      </w:pPr>
      <w:r>
        <w:rPr/>
        <w:t>同一控制下企业合并：本公司在企业合并中取得的资产和负债，按照合并日在被合并方资产、负</w:t>
      </w:r>
      <w:r>
        <w:rPr>
          <w:spacing w:val="-9"/>
        </w:rPr>
        <w:t> </w:t>
      </w:r>
      <w:r>
        <w:rPr>
          <w:spacing w:val="-9"/>
        </w:rPr>
      </w:r>
      <w:r>
        <w:rPr>
          <w:spacing w:val="-2"/>
        </w:rPr>
        <w:t>债（包括最终控制方收购被合并方而形成的商誉）在最终控制方合并财务报表中的账面价值计量。</w:t>
      </w:r>
      <w:r>
        <w:rPr>
          <w:spacing w:val="-30"/>
        </w:rPr>
        <w:t> </w:t>
      </w:r>
      <w:r>
        <w:rPr>
          <w:spacing w:val="-30"/>
        </w:rPr>
      </w:r>
      <w:r>
        <w:rPr/>
        <w:t>在合并中取得的净资产账面价值与支付的合并对价账面价值（或发行股份面值总额）的差额，调</w:t>
      </w:r>
      <w:r>
        <w:rPr>
          <w:spacing w:val="-9"/>
        </w:rPr>
        <w:t> </w:t>
      </w:r>
      <w:r>
        <w:rPr>
          <w:spacing w:val="-9"/>
        </w:rPr>
      </w:r>
      <w:r>
        <w:rPr/>
        <w:t>整资本公积中的股本溢价，资本公积中的股本溢价不足冲减的，调整留存收益。</w:t>
      </w:r>
      <w:r>
        <w:rPr>
          <w:w w:val="100"/>
        </w:rPr>
        <w:t> </w:t>
      </w:r>
      <w:r>
        <w:rPr/>
        <w:t>非同一控制下企业合并：本公司在购买日对作为企业合并对价付出的资产、发生或承担的负债按</w:t>
      </w:r>
      <w:r>
        <w:rPr>
          <w:spacing w:val="-9"/>
        </w:rPr>
        <w:t> </w:t>
      </w:r>
      <w:r>
        <w:rPr>
          <w:spacing w:val="-9"/>
        </w:rPr>
      </w:r>
      <w:r>
        <w:rPr/>
        <w:t>照公允价值计量，公允价值与其账面价值的差额，计入当期损益。本公司对合并成本大于合并中</w:t>
      </w:r>
      <w:r>
        <w:rPr>
          <w:spacing w:val="-9"/>
        </w:rPr>
        <w:t> </w:t>
      </w:r>
      <w:r>
        <w:rPr>
          <w:spacing w:val="-9"/>
        </w:rPr>
      </w:r>
      <w:r>
        <w:rPr/>
        <w:t>取得的被购买方可辨认净资产公允价值份额的差额，确认为商誉；合并成本小于合并中取得的被</w:t>
      </w:r>
      <w:r>
        <w:rPr>
          <w:spacing w:val="-9"/>
        </w:rPr>
        <w:t> </w:t>
      </w:r>
      <w:r>
        <w:rPr>
          <w:spacing w:val="-9"/>
        </w:rPr>
      </w:r>
      <w:r>
        <w:rPr/>
        <w:t>购买方可辨认净资产公允价值份额的差额，经复核后，计入当期损益。</w:t>
      </w:r>
      <w:r>
        <w:rPr>
          <w:w w:val="100"/>
        </w:rPr>
        <w:t> </w:t>
      </w:r>
      <w:r>
        <w:rPr/>
        <w:t>为企业合并发生的审计、法律服务、评估咨询等中介费用以及其他直接相关费用，于发生时计入</w:t>
      </w:r>
      <w:r>
        <w:rPr>
          <w:spacing w:val="-9"/>
        </w:rPr>
        <w:t> </w:t>
      </w:r>
      <w:r>
        <w:rPr>
          <w:spacing w:val="-9"/>
        </w:rPr>
      </w:r>
      <w:r>
        <w:rPr/>
        <w:t>当期损益；为企业合并而发行权益性证券的交易费用，冲减权益。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本公司合并财务报表的合并范围以控制为基础确定，所有子公司（包括本公司所控制的被投</w:t>
      </w:r>
      <w:r>
        <w:rPr>
          <w:spacing w:val="-59"/>
        </w:rPr>
        <w:t> </w:t>
      </w:r>
      <w:r>
        <w:rPr>
          <w:spacing w:val="-59"/>
        </w:rPr>
      </w:r>
      <w:r>
        <w:rPr/>
        <w:t>资方可分割的部分）均纳入合并财务报表。</w:t>
      </w:r>
    </w:p>
    <w:p>
      <w:pPr>
        <w:spacing w:line="240" w:lineRule="auto" w:before="1"/>
        <w:rPr>
          <w:rFonts w:ascii="宋体" w:hAnsi="宋体" w:cs="宋体" w:eastAsia="宋体" w:hint="default"/>
          <w:sz w:val="25"/>
          <w:szCs w:val="25"/>
        </w:rPr>
      </w:pPr>
    </w:p>
    <w:p>
      <w:pPr>
        <w:pStyle w:val="BodyText"/>
        <w:spacing w:line="271"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w:t>
      </w:r>
      <w:r>
        <w:rPr>
          <w:spacing w:val="-59"/>
        </w:rPr>
        <w:t> </w:t>
      </w:r>
      <w:r>
        <w:rPr>
          <w:spacing w:val="-59"/>
        </w:rPr>
      </w:r>
      <w:r>
        <w:rPr>
          <w:spacing w:val="-2"/>
        </w:rPr>
        <w:t>司编制合并财务报表，将整个企业集团视为一个会计主体，依据相关企业会计准则的确认、</w:t>
      </w:r>
      <w:r>
        <w:rPr>
          <w:spacing w:val="-36"/>
        </w:rPr>
        <w:t> </w:t>
      </w:r>
      <w:r>
        <w:rPr>
          <w:spacing w:val="-36"/>
        </w:rPr>
      </w:r>
      <w:r>
        <w:rPr>
          <w:spacing w:val="-2"/>
        </w:rPr>
        <w:t>计量和列报要求，按照统一的会计政策，反映本企业集团整体财务状况、经营成果和现金流</w:t>
      </w:r>
      <w:r>
        <w:rPr>
          <w:spacing w:val="-60"/>
        </w:rPr>
        <w:t> </w:t>
      </w:r>
      <w:r>
        <w:rPr>
          <w:spacing w:val="-60"/>
        </w:rPr>
      </w:r>
      <w:r>
        <w:rPr/>
        <w:t>量。</w:t>
      </w:r>
      <w:r>
        <w:rPr>
          <w:w w:val="100"/>
        </w:rPr>
        <w:t> </w:t>
      </w:r>
      <w:r>
        <w:rPr>
          <w:spacing w:val="-2"/>
        </w:rPr>
        <w:t>所有纳入合并财务报表合并范围的子公司所采用的会计政策、会计期间与本公司一致，如子</w:t>
      </w:r>
      <w:r>
        <w:rPr>
          <w:spacing w:val="-57"/>
        </w:rPr>
        <w:t> </w:t>
      </w:r>
      <w:r>
        <w:rPr>
          <w:spacing w:val="-57"/>
        </w:rPr>
      </w:r>
      <w:r>
        <w:rPr>
          <w:spacing w:val="-2"/>
        </w:rPr>
        <w:t>公司采用的会计政策、会计期间与本公司不一致的，在编制合并财务报表时，按本公司的会</w:t>
      </w:r>
      <w:r>
        <w:rPr>
          <w:spacing w:val="-60"/>
        </w:rPr>
        <w:t> </w:t>
      </w:r>
      <w:r>
        <w:rPr>
          <w:spacing w:val="-60"/>
        </w:rPr>
      </w:r>
      <w:r>
        <w:rPr>
          <w:spacing w:val="-2"/>
        </w:rPr>
        <w:t>计政策、会计期间进行必要的调整。对于非同一控制下企业合并取得的子公司，以购买日可</w:t>
      </w:r>
      <w:r>
        <w:rPr>
          <w:spacing w:val="-58"/>
        </w:rPr>
        <w:t> </w:t>
      </w:r>
      <w:r>
        <w:rPr>
          <w:spacing w:val="-58"/>
        </w:rPr>
      </w:r>
      <w:r>
        <w:rPr>
          <w:spacing w:val="2"/>
        </w:rPr>
        <w:t>辨认净资产公允价值为基础对其财务报表进行调整。对于同一控制下企业合并取得的子公</w:t>
      </w:r>
      <w:r>
        <w:rPr>
          <w:spacing w:val="-24"/>
        </w:rPr>
        <w:t> </w:t>
      </w:r>
      <w:r>
        <w:rPr>
          <w:spacing w:val="-24"/>
        </w:rPr>
      </w:r>
      <w:r>
        <w:rPr>
          <w:spacing w:val="-2"/>
        </w:rPr>
        <w:t>司，以其资产、负债（包括最终控制方收购该子公司而形成的商誉）在最终控制方财务报表</w:t>
      </w:r>
      <w:r>
        <w:rPr>
          <w:spacing w:val="-59"/>
        </w:rPr>
        <w:t> </w:t>
      </w:r>
      <w:r>
        <w:rPr>
          <w:spacing w:val="-59"/>
        </w:rPr>
      </w:r>
      <w:r>
        <w:rPr/>
        <w:t>中的账面价值为基础对其财务报表进行调整。</w:t>
      </w:r>
      <w:r>
        <w:rPr>
          <w:w w:val="100"/>
        </w:rPr>
        <w:t> </w:t>
      </w:r>
      <w:r>
        <w:rPr>
          <w:spacing w:val="-2"/>
        </w:rPr>
        <w:t>子公司所有者权益、当期净损益和当期综合收益中属于少数股东的份额分别在合并资产负债</w:t>
      </w:r>
      <w:r>
        <w:rPr>
          <w:spacing w:val="-58"/>
        </w:rPr>
        <w:t> </w:t>
      </w:r>
      <w:r>
        <w:rPr>
          <w:spacing w:val="-58"/>
        </w:rPr>
      </w:r>
      <w:r>
        <w:rPr>
          <w:spacing w:val="-2"/>
        </w:rPr>
        <w:t>表中所有者权益项目下、合并利润表中净利润项目下和综合收益总额项目下单独列示。子公</w:t>
      </w:r>
      <w:r>
        <w:rPr>
          <w:spacing w:val="-56"/>
        </w:rPr>
        <w:t> </w:t>
      </w:r>
      <w:r>
        <w:rPr>
          <w:spacing w:val="-56"/>
        </w:rPr>
      </w:r>
      <w:r>
        <w:rPr>
          <w:spacing w:val="2"/>
        </w:rPr>
        <w:t>司少数股东分担的当期亏损超过了少数股东在该子公司期初所有者权益中所享有份额而形</w:t>
      </w:r>
      <w:r>
        <w:rPr>
          <w:spacing w:val="-24"/>
        </w:rPr>
        <w:t> </w:t>
      </w:r>
      <w:r>
        <w:rPr>
          <w:spacing w:val="-24"/>
        </w:rPr>
      </w:r>
      <w:r>
        <w:rPr/>
        <w:t>成的余额，冲减少数股东权益。</w:t>
      </w:r>
    </w:p>
    <w:p>
      <w:pPr>
        <w:spacing w:after="0" w:line="271" w:lineRule="auto"/>
        <w:jc w:val="left"/>
        <w:sectPr>
          <w:pgSz w:w="11910" w:h="16840"/>
          <w:pgMar w:header="852" w:footer="979" w:top="1300" w:bottom="1160" w:left="980" w:right="920"/>
        </w:sectPr>
      </w:pPr>
    </w:p>
    <w:p>
      <w:pPr>
        <w:pStyle w:val="BodyText"/>
        <w:spacing w:line="271" w:lineRule="auto" w:before="108"/>
        <w:ind w:left="1413" w:right="0"/>
        <w:jc w:val="left"/>
      </w:pP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w:t>
      </w:r>
      <w:r>
        <w:rPr>
          <w:spacing w:val="-53"/>
        </w:rPr>
        <w:t> </w:t>
      </w:r>
      <w:r>
        <w:rPr>
          <w:spacing w:val="-53"/>
        </w:rPr>
      </w:r>
      <w:r>
        <w:rPr>
          <w:spacing w:val="-2"/>
        </w:rPr>
        <w:t>数；将子公司或业务合并当期期初至报告期末的收入、费用、利润纳入合并利润表；将子公</w:t>
      </w:r>
      <w:r>
        <w:rPr>
          <w:spacing w:val="-57"/>
        </w:rPr>
        <w:t> </w:t>
      </w:r>
      <w:r>
        <w:rPr>
          <w:spacing w:val="-57"/>
        </w:rPr>
      </w:r>
      <w:r>
        <w:rPr>
          <w:spacing w:val="-2"/>
        </w:rPr>
        <w:t>司或业务合并当期期初至报告期末的现金流量纳入合并现金流量表，同时对比较报表的相关</w:t>
      </w:r>
      <w:r>
        <w:rPr>
          <w:spacing w:val="-53"/>
        </w:rPr>
        <w:t> </w:t>
      </w:r>
      <w:r>
        <w:rPr>
          <w:spacing w:val="-53"/>
        </w:rPr>
      </w:r>
      <w:r>
        <w:rPr/>
        <w:t>项目进行调整，视同合并后的报告主体自最终控制方开始控制时点起一直存在。</w:t>
      </w:r>
      <w:r>
        <w:rPr>
          <w:w w:val="100"/>
        </w:rPr>
        <w:t> </w:t>
      </w:r>
      <w:r>
        <w:rPr>
          <w:spacing w:val="-2"/>
        </w:rPr>
        <w:t>因追加投资等原因能够对同一控制下的被投资方实施控制的，视同参与合并的各方在最终控</w:t>
      </w:r>
      <w:r>
        <w:rPr>
          <w:spacing w:val="-53"/>
        </w:rPr>
        <w:t> </w:t>
      </w:r>
      <w:r>
        <w:rPr>
          <w:spacing w:val="-53"/>
        </w:rPr>
      </w:r>
      <w:r>
        <w:rPr>
          <w:spacing w:val="2"/>
        </w:rPr>
        <w:t>制方开始控制时即以目前的状态存在进行调整。在取得被合并方控制权之前持有的股权投</w:t>
      </w:r>
      <w:r>
        <w:rPr>
          <w:spacing w:val="-19"/>
        </w:rPr>
        <w:t> </w:t>
      </w:r>
      <w:r>
        <w:rPr>
          <w:spacing w:val="-19"/>
        </w:rPr>
      </w:r>
      <w:r>
        <w:rPr>
          <w:spacing w:val="-2"/>
        </w:rPr>
        <w:t>资，在取得原股权之日与合并方和被合并方同处于同一控制之日孰晚日起至合并日之间已确</w:t>
      </w:r>
      <w:r>
        <w:rPr>
          <w:spacing w:val="-53"/>
        </w:rPr>
        <w:t> </w:t>
      </w:r>
      <w:r>
        <w:rPr>
          <w:spacing w:val="-53"/>
        </w:rPr>
      </w:r>
      <w:r>
        <w:rPr>
          <w:spacing w:val="-2"/>
        </w:rPr>
        <w:t>认有关损益、其他综合收益以及其他净资产变动，分别冲减比较报表期间的期初留存收益或</w:t>
      </w:r>
      <w:r>
        <w:rPr>
          <w:spacing w:val="-53"/>
        </w:rPr>
        <w:t> </w:t>
      </w:r>
      <w:r>
        <w:rPr>
          <w:spacing w:val="-53"/>
        </w:rPr>
      </w:r>
      <w:r>
        <w:rPr/>
        <w:t>当期损益。</w:t>
      </w:r>
      <w:r>
        <w:rPr>
          <w:spacing w:val="-102"/>
        </w:rPr>
        <w:t> </w:t>
      </w:r>
      <w:r>
        <w:rPr>
          <w:spacing w:val="-102"/>
        </w:rPr>
      </w:r>
      <w:r>
        <w:rPr>
          <w:spacing w:val="-2"/>
        </w:rPr>
        <w:t>在报告期内，若因非同一控制下企业合并增加子公司或业务的，则不调整合并资产负债表期</w:t>
      </w:r>
      <w:r>
        <w:rPr>
          <w:spacing w:val="-54"/>
        </w:rPr>
        <w:t> </w:t>
      </w:r>
      <w:r>
        <w:rPr>
          <w:spacing w:val="-54"/>
        </w:rPr>
      </w:r>
      <w:r>
        <w:rPr>
          <w:spacing w:val="-2"/>
        </w:rPr>
        <w:t>初数；将该子公司或业务自购买日至报告期末的收入、费用、利润纳入合并利润表；该子公</w:t>
      </w:r>
      <w:r>
        <w:rPr>
          <w:spacing w:val="-57"/>
        </w:rPr>
        <w:t> </w:t>
      </w:r>
      <w:r>
        <w:rPr>
          <w:spacing w:val="-57"/>
        </w:rPr>
      </w:r>
      <w:r>
        <w:rPr/>
        <w:t>司或业务自购买日至报告期末的现金流量纳入合并现金流量表。</w:t>
      </w:r>
      <w:r>
        <w:rPr>
          <w:w w:val="100"/>
        </w:rPr>
        <w:t> </w:t>
      </w:r>
      <w:r>
        <w:rPr>
          <w:spacing w:val="-2"/>
        </w:rPr>
        <w:t>因追加投资等原因能够对非同一控制下的被投资方实施控制的，对于购买日之前持有的被购</w:t>
      </w:r>
      <w:r>
        <w:rPr>
          <w:spacing w:val="-53"/>
        </w:rPr>
        <w:t> </w:t>
      </w:r>
      <w:r>
        <w:rPr>
          <w:spacing w:val="-53"/>
        </w:rPr>
      </w:r>
      <w:r>
        <w:rPr>
          <w:spacing w:val="-2"/>
        </w:rPr>
        <w:t>买方的股权，本公司按照该股权在购买日的公允价值进行重新计量，公允价值与其账面价值</w:t>
      </w:r>
      <w:r>
        <w:rPr>
          <w:spacing w:val="-54"/>
        </w:rPr>
        <w:t> </w:t>
      </w:r>
      <w:r>
        <w:rPr>
          <w:spacing w:val="-54"/>
        </w:rPr>
      </w:r>
      <w:r>
        <w:rPr>
          <w:spacing w:val="-2"/>
        </w:rPr>
        <w:t>的差额计入当期投资收益。购买日之前持有的被购买方的股权涉及权益法核算下的其他综合</w:t>
      </w:r>
      <w:r>
        <w:rPr>
          <w:spacing w:val="-53"/>
        </w:rPr>
        <w:t> </w:t>
      </w:r>
      <w:r>
        <w:rPr>
          <w:spacing w:val="-53"/>
        </w:rPr>
      </w:r>
      <w:r>
        <w:rPr>
          <w:spacing w:val="-2"/>
        </w:rPr>
        <w:t>收益以及除净损益、其他综合收益和利润分配之外的其他所有者权益变动的，与其相关的其</w:t>
      </w:r>
      <w:r>
        <w:rPr>
          <w:spacing w:val="-53"/>
        </w:rPr>
        <w:t> </w:t>
      </w:r>
      <w:r>
        <w:rPr>
          <w:spacing w:val="-53"/>
        </w:rPr>
      </w:r>
      <w:r>
        <w:rPr>
          <w:spacing w:val="-2"/>
        </w:rPr>
        <w:t>他综合收益、其他所有者权益变动转为购买日所属当期投资收益，由于被投资方重新计量设</w:t>
      </w:r>
      <w:r>
        <w:rPr>
          <w:spacing w:val="-53"/>
        </w:rPr>
        <w:t> </w:t>
      </w:r>
      <w:r>
        <w:rPr>
          <w:spacing w:val="-53"/>
        </w:rPr>
      </w:r>
      <w:r>
        <w:rPr/>
        <w:t>定受益计划净负债或净资产变动而产生的其他综合收益除外。</w:t>
      </w:r>
    </w:p>
    <w:p>
      <w:pPr>
        <w:pStyle w:val="BodyText"/>
        <w:spacing w:line="240" w:lineRule="auto" w:before="10"/>
        <w:ind w:left="1413" w:right="0"/>
        <w:jc w:val="left"/>
      </w:pPr>
      <w:r>
        <w:rPr>
          <w:rFonts w:ascii="Times New Roman" w:hAnsi="Times New Roman" w:cs="Times New Roman" w:eastAsia="Times New Roman" w:hint="default"/>
        </w:rPr>
        <w:t>2</w:t>
      </w:r>
      <w:r>
        <w:rPr/>
        <w:t>）处置子公司或业务</w:t>
      </w:r>
    </w:p>
    <w:p>
      <w:pPr>
        <w:pStyle w:val="BodyText"/>
        <w:spacing w:line="273" w:lineRule="auto" w:before="21"/>
        <w:ind w:left="1413" w:right="0"/>
        <w:jc w:val="left"/>
      </w:pPr>
      <w:r>
        <w:rPr/>
        <w:t>①一般处理方法</w:t>
      </w:r>
      <w:r>
        <w:rPr>
          <w:spacing w:val="-103"/>
        </w:rPr>
        <w:t> </w:t>
      </w:r>
      <w:r>
        <w:rPr>
          <w:spacing w:val="-103"/>
        </w:rPr>
      </w:r>
      <w:r>
        <w:rPr>
          <w:spacing w:val="-2"/>
        </w:rPr>
        <w:t>在报告期内，本公司处置子公司或业务，则该子公司或业务期初至处置日的收入、费用、利</w:t>
      </w:r>
      <w:r>
        <w:rPr>
          <w:spacing w:val="-57"/>
        </w:rPr>
        <w:t> </w:t>
      </w:r>
      <w:r>
        <w:rPr>
          <w:spacing w:val="-57"/>
        </w:rPr>
      </w:r>
      <w:r>
        <w:rPr/>
        <w:t>润纳入合并利润表；该子公司或业务期初至处置日的现金流量纳入合并现金流量表。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w:t>
      </w:r>
      <w:r>
        <w:rPr>
          <w:spacing w:val="-31"/>
        </w:rPr>
        <w:t> </w:t>
      </w:r>
      <w:r>
        <w:rPr>
          <w:spacing w:val="-31"/>
        </w:rPr>
      </w:r>
      <w:r>
        <w:rPr>
          <w:spacing w:val="-2"/>
        </w:rPr>
        <w:t>本公司按照其在丧失控制权日的公允价值进行重新计量。处置股权取得的对价与剩余股权公</w:t>
      </w:r>
      <w:r>
        <w:rPr>
          <w:spacing w:val="-53"/>
        </w:rPr>
        <w:t> </w:t>
      </w:r>
      <w:r>
        <w:rPr>
          <w:spacing w:val="-53"/>
        </w:rPr>
      </w:r>
      <w:r>
        <w:rPr>
          <w:spacing w:val="-2"/>
        </w:rPr>
        <w:t>允价值之和，减去按原持股比例计算应享有原有子公司自购买日或合并日开始持续计算的净</w:t>
      </w:r>
      <w:r>
        <w:rPr>
          <w:spacing w:val="-53"/>
        </w:rPr>
        <w:t> </w:t>
      </w:r>
      <w:r>
        <w:rPr>
          <w:spacing w:val="-53"/>
        </w:rPr>
      </w:r>
      <w:r>
        <w:rPr>
          <w:spacing w:val="-2"/>
        </w:rPr>
        <w:t>资产的份额与商誉之和的差额，计入丧失控制权当期的投资收益。与原有子公司股权投资相</w:t>
      </w:r>
      <w:r>
        <w:rPr>
          <w:spacing w:val="-52"/>
        </w:rPr>
        <w:t> </w:t>
      </w:r>
      <w:r>
        <w:rPr>
          <w:spacing w:val="-52"/>
        </w:rPr>
      </w:r>
      <w:r>
        <w:rPr>
          <w:spacing w:val="-2"/>
        </w:rPr>
        <w:t>关的其他综合收益或除净损益、其他综合收益及利润分配之外的其他所有者权益变动，在丧</w:t>
      </w:r>
      <w:r>
        <w:rPr>
          <w:spacing w:val="-52"/>
        </w:rPr>
        <w:t> </w:t>
      </w:r>
      <w:r>
        <w:rPr>
          <w:spacing w:val="-52"/>
        </w:rPr>
      </w:r>
      <w:r>
        <w:rPr>
          <w:spacing w:val="-2"/>
        </w:rPr>
        <w:t>失控制权时转为当期投资收益，由于被投资方重新计量设定受益计划净负债或净资产变动而</w:t>
      </w:r>
      <w:r>
        <w:rPr>
          <w:spacing w:val="-53"/>
        </w:rPr>
        <w:t> </w:t>
      </w:r>
      <w:r>
        <w:rPr>
          <w:spacing w:val="-53"/>
        </w:rPr>
      </w:r>
      <w:r>
        <w:rPr/>
        <w:t>产生的其他综合收益除外。</w:t>
      </w:r>
      <w:r>
        <w:rPr>
          <w:w w:val="100"/>
        </w:rPr>
        <w:t> </w:t>
      </w:r>
      <w:r>
        <w:rPr>
          <w:spacing w:val="-2"/>
        </w:rPr>
        <w:t>因其他投资方对子公司增资而导致本公司持股比例下降从而丧失控制权的，按照上述原则进</w:t>
      </w:r>
      <w:r>
        <w:rPr>
          <w:spacing w:val="-53"/>
        </w:rPr>
        <w:t> </w:t>
      </w:r>
      <w:r>
        <w:rPr>
          <w:spacing w:val="-53"/>
        </w:rPr>
      </w:r>
      <w:r>
        <w:rPr/>
        <w:t>行会计处理。</w:t>
      </w:r>
    </w:p>
    <w:p>
      <w:pPr>
        <w:pStyle w:val="BodyText"/>
        <w:spacing w:line="273" w:lineRule="auto" w:before="7"/>
        <w:ind w:left="1413" w:right="0"/>
        <w:jc w:val="left"/>
      </w:pPr>
      <w:r>
        <w:rPr/>
        <w:t>②分步处置子公司</w:t>
      </w:r>
      <w:r>
        <w:rPr>
          <w:w w:val="100"/>
        </w:rPr>
        <w:t> </w:t>
      </w:r>
      <w:r>
        <w:rPr>
          <w:spacing w:val="-2"/>
        </w:rPr>
        <w:t>通过多次交易分步处置对子公司股权投资直至丧失控制权的，处置对子公司股权投资的各项</w:t>
      </w:r>
      <w:r>
        <w:rPr>
          <w:spacing w:val="-53"/>
        </w:rPr>
        <w:t> </w:t>
      </w:r>
      <w:r>
        <w:rPr>
          <w:spacing w:val="-53"/>
        </w:rPr>
      </w:r>
      <w:r>
        <w:rPr>
          <w:spacing w:val="-2"/>
        </w:rPr>
        <w:t>交易的条款、条件以及经济影响符合以下一种或多种情况，通常表明应将多次交易事项作为</w:t>
      </w:r>
      <w:r>
        <w:rPr>
          <w:spacing w:val="-54"/>
        </w:rPr>
        <w:t> </w:t>
      </w:r>
      <w:r>
        <w:rPr>
          <w:spacing w:val="-54"/>
        </w:rPr>
      </w:r>
      <w:r>
        <w:rPr/>
        <w:t>一揽子交易进行会计处理：</w:t>
      </w:r>
    </w:p>
    <w:p>
      <w:pPr>
        <w:pStyle w:val="BodyText"/>
        <w:spacing w:line="273" w:lineRule="auto" w:before="7"/>
        <w:ind w:left="1413" w:right="0"/>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2"/>
        </w:rPr>
        <w:t>处置对子公司股权投资直至丧失控制权的各项交易属于一揽子交易的，本公司将各项交易作</w:t>
      </w:r>
      <w:r>
        <w:rPr>
          <w:spacing w:val="-53"/>
        </w:rPr>
        <w:t> </w:t>
      </w:r>
      <w:r>
        <w:rPr>
          <w:spacing w:val="-53"/>
        </w:rPr>
      </w:r>
      <w:r>
        <w:rPr>
          <w:spacing w:val="-2"/>
        </w:rPr>
        <w:t>为一项处置子公司并丧失控制权的交易进行会计处理；但是，在丧失控制权之前每一次处置</w:t>
      </w:r>
      <w:r>
        <w:rPr>
          <w:spacing w:val="-54"/>
        </w:rPr>
        <w:t> </w:t>
      </w:r>
      <w:r>
        <w:rPr>
          <w:spacing w:val="-54"/>
        </w:rPr>
      </w:r>
      <w:r>
        <w:rPr>
          <w:spacing w:val="-2"/>
        </w:rPr>
        <w:t>价款与处置投资对应的享有该子公司净资产份额的差额，在合并财务报表中确认为其他综合</w:t>
      </w:r>
      <w:r>
        <w:rPr>
          <w:spacing w:val="-53"/>
        </w:rPr>
        <w:t> </w:t>
      </w:r>
      <w:r>
        <w:rPr>
          <w:spacing w:val="-53"/>
        </w:rPr>
      </w:r>
      <w:r>
        <w:rPr/>
        <w:t>收益，在丧失控制权时一并转入丧失控制权当期的损益。</w:t>
      </w:r>
    </w:p>
    <w:p>
      <w:pPr>
        <w:spacing w:after="0" w:line="273" w:lineRule="auto"/>
        <w:jc w:val="left"/>
        <w:sectPr>
          <w:pgSz w:w="11910" w:h="16840"/>
          <w:pgMar w:header="852" w:footer="979" w:top="1300" w:bottom="1160" w:left="980" w:right="980"/>
        </w:sectPr>
      </w:pPr>
    </w:p>
    <w:p>
      <w:pPr>
        <w:pStyle w:val="BodyText"/>
        <w:spacing w:line="273" w:lineRule="auto" w:before="108"/>
        <w:ind w:left="1413" w:right="146"/>
        <w:jc w:val="both"/>
      </w:pPr>
      <w:r>
        <w:rPr>
          <w:spacing w:val="2"/>
        </w:rPr>
        <w:t>处置对子公司股权投资直至丧失控制权的各项交易不属于一揽子交易的，在丧失控制权之</w:t>
      </w:r>
      <w:r>
        <w:rPr>
          <w:spacing w:val="-19"/>
        </w:rPr>
        <w:t> </w:t>
      </w:r>
      <w:r>
        <w:rPr>
          <w:spacing w:val="-19"/>
        </w:rPr>
      </w:r>
      <w:r>
        <w:rPr>
          <w:spacing w:val="-2"/>
        </w:rPr>
        <w:t>前，按不丧失控制权的情况下部分处置对子公司的股权投资的相关政策进行会计处理；在丧</w:t>
      </w:r>
      <w:r>
        <w:rPr>
          <w:spacing w:val="-53"/>
        </w:rPr>
        <w:t> </w:t>
      </w:r>
      <w:r>
        <w:rPr>
          <w:spacing w:val="-53"/>
        </w:rPr>
      </w:r>
      <w:r>
        <w:rPr/>
        <w:t>失控制权时，按处置子公司一般处理方法进行会计处理。</w:t>
      </w:r>
    </w:p>
    <w:p>
      <w:pPr>
        <w:pStyle w:val="BodyText"/>
        <w:spacing w:line="268" w:lineRule="auto" w:before="7"/>
        <w:ind w:left="1413" w:right="0"/>
        <w:jc w:val="left"/>
      </w:pP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w:t>
      </w:r>
      <w:r>
        <w:rPr>
          <w:spacing w:val="-19"/>
        </w:rPr>
        <w:t> </w:t>
      </w:r>
      <w:r>
        <w:rPr>
          <w:spacing w:val="-19"/>
        </w:rPr>
      </w:r>
      <w:r>
        <w:rPr>
          <w:spacing w:val="-2"/>
        </w:rPr>
        <w:t>买日（或合并日）开始持续计算的净资产份额之间的差额，调整合并资产负债表中的资本公</w:t>
      </w:r>
      <w:r>
        <w:rPr>
          <w:spacing w:val="-52"/>
        </w:rPr>
        <w:t> </w:t>
      </w:r>
      <w:r>
        <w:rPr>
          <w:spacing w:val="-52"/>
        </w:rPr>
      </w:r>
      <w:r>
        <w:rPr/>
        <w:t>积中的股本溢价，资本公积中的股本溢价不足冲减的，调整留存收益。</w:t>
      </w:r>
      <w:r>
        <w:rPr>
          <w:w w:val="100"/>
        </w:rPr>
        <w:t> </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w:t>
      </w:r>
      <w:r>
        <w:rPr>
          <w:spacing w:val="-19"/>
        </w:rPr>
        <w:t> </w:t>
      </w:r>
      <w:r>
        <w:rPr>
          <w:spacing w:val="-19"/>
        </w:rPr>
      </w:r>
      <w:r>
        <w:rPr>
          <w:spacing w:val="-2"/>
        </w:rPr>
        <w:t>期股权投资相对应享有子公司自购买日或合并日开始持续计算的净资产份额之间的差额，调</w:t>
      </w:r>
      <w:r>
        <w:rPr>
          <w:spacing w:val="-53"/>
        </w:rPr>
        <w:t> </w:t>
      </w:r>
      <w:r>
        <w:rPr>
          <w:spacing w:val="-53"/>
        </w:rPr>
      </w:r>
      <w:r>
        <w:rPr>
          <w:spacing w:val="-2"/>
        </w:rPr>
        <w:t>整合并资产负债表中的资本公积中的股本溢价，资本公积中的股本溢价不足冲减的，调整留</w:t>
      </w:r>
      <w:r>
        <w:rPr>
          <w:spacing w:val="-54"/>
        </w:rPr>
        <w:t> </w:t>
      </w:r>
      <w:r>
        <w:rPr>
          <w:spacing w:val="-54"/>
        </w:rPr>
      </w:r>
      <w:r>
        <w:rPr/>
        <w:t>存收益。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870" w:right="154"/>
        <w:jc w:val="both"/>
      </w:pPr>
      <w:r>
        <w:rPr/>
        <w:t>在编制现金流量表时，将本公司库存现金以及可以随时用于支付的存款确认为现金。将同时具备</w:t>
      </w:r>
      <w:r>
        <w:rPr>
          <w:spacing w:val="-9"/>
        </w:rPr>
        <w:t> </w:t>
      </w:r>
      <w:r>
        <w:rPr>
          <w:spacing w:val="-9"/>
        </w:rPr>
      </w:r>
      <w:r>
        <w:rPr/>
        <w:t>期限短（从购买日起三个月内到期）、流动性强、易于转换为已知现金、价值变动风险很小四个</w:t>
      </w:r>
      <w:r>
        <w:rPr>
          <w:spacing w:val="-9"/>
        </w:rPr>
        <w:t> </w:t>
      </w:r>
      <w:r>
        <w:rPr>
          <w:spacing w:val="-9"/>
        </w:rPr>
      </w:r>
      <w:r>
        <w:rPr/>
        <w:t>条件的投资，确定为现金等价物。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BodyText"/>
        <w:spacing w:line="268" w:lineRule="auto"/>
        <w:ind w:left="1413" w:right="0"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100"/>
        </w:rPr>
        <w:t> </w:t>
      </w:r>
      <w:r>
        <w:rPr/>
        <w:t>外币业务采用交易发生日的即期汇率作为折算汇率将外币金额折合成人民币记账。</w:t>
      </w:r>
      <w:r>
        <w:rPr>
          <w:w w:val="100"/>
        </w:rPr>
        <w:t> </w:t>
      </w:r>
      <w:r>
        <w:rPr>
          <w:spacing w:val="-2"/>
        </w:rPr>
        <w:t>资产负债表日外币货币性项目余额按资产负债表日即期汇率折算，由此产生的汇兑差额，除</w:t>
      </w:r>
      <w:r>
        <w:rPr>
          <w:spacing w:val="-57"/>
        </w:rPr>
        <w:t> </w:t>
      </w:r>
      <w:r>
        <w:rPr>
          <w:spacing w:val="-57"/>
        </w:rPr>
      </w:r>
      <w:r>
        <w:rPr>
          <w:spacing w:val="2"/>
        </w:rPr>
        <w:t>属于与购建符合资本化条件的资产相关的外币专门借款产生的汇兑差额按照借款费用资本</w:t>
      </w:r>
      <w:r>
        <w:rPr>
          <w:spacing w:val="-24"/>
        </w:rPr>
        <w:t> </w:t>
      </w:r>
      <w:r>
        <w:rPr>
          <w:spacing w:val="-24"/>
        </w:rPr>
      </w:r>
      <w:r>
        <w:rPr/>
        <w:t>化的原则处理外，均计入当期损益。</w:t>
      </w:r>
    </w:p>
    <w:p>
      <w:pPr>
        <w:spacing w:line="240" w:lineRule="auto" w:before="10"/>
        <w:rPr>
          <w:rFonts w:ascii="宋体" w:hAnsi="宋体" w:cs="宋体" w:eastAsia="宋体" w:hint="default"/>
          <w:sz w:val="24"/>
          <w:szCs w:val="24"/>
        </w:rPr>
      </w:pPr>
    </w:p>
    <w:p>
      <w:pPr>
        <w:pStyle w:val="BodyText"/>
        <w:spacing w:line="268" w:lineRule="auto"/>
        <w:ind w:left="1307" w:right="0" w:firstLine="10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100"/>
        </w:rPr>
        <w:t> </w:t>
      </w:r>
      <w:r>
        <w:rPr>
          <w:spacing w:val="-5"/>
        </w:rPr>
        <w:t>资产负债表中的资产和负债项目，采用资产负债表日的即期汇率折算；所有者权益项目除“未</w:t>
      </w:r>
      <w:r>
        <w:rPr>
          <w:spacing w:val="-33"/>
        </w:rPr>
        <w:t> </w:t>
      </w:r>
      <w:r>
        <w:rPr>
          <w:spacing w:val="-33"/>
        </w:rPr>
      </w:r>
      <w:r>
        <w:rPr/>
        <w:t>分配利润”项目外，其他项目采用发生时的即期汇率折算。利润表中的收入和费用项目，采</w:t>
      </w:r>
      <w:r>
        <w:rPr>
          <w:w w:val="100"/>
        </w:rPr>
        <w:t> </w:t>
      </w:r>
      <w:r>
        <w:rPr/>
        <w:t>用按照系统合理的方法确定的、与交易发生日即期汇率近似的汇率折算。处置境外经营时，</w:t>
      </w:r>
      <w:r>
        <w:rPr>
          <w:w w:val="100"/>
        </w:rPr>
        <w:t> </w:t>
      </w:r>
      <w:r>
        <w:rPr/>
        <w:t>将与该境外经营相关的外币财务报表折算差额，自所有者权益项目转入处置当期损益。</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870" w:right="0"/>
        <w:jc w:val="both"/>
      </w:pPr>
      <w:r>
        <w:rPr/>
        <w:t>金融工具包括金融资产、金融负债和权益工具。</w:t>
      </w:r>
    </w:p>
    <w:p>
      <w:pPr>
        <w:pStyle w:val="BodyText"/>
        <w:spacing w:line="268" w:lineRule="auto" w:before="37"/>
        <w:ind w:left="1413" w:right="0"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金融资产和金融负债于初始确认时分类为：以公允价值计量且其变动计入当期损益的金融资</w:t>
      </w:r>
      <w:r>
        <w:rPr>
          <w:spacing w:val="-58"/>
        </w:rPr>
        <w:t> </w:t>
      </w:r>
      <w:r>
        <w:rPr>
          <w:spacing w:val="-58"/>
        </w:rPr>
      </w:r>
      <w:r>
        <w:rPr>
          <w:spacing w:val="-2"/>
        </w:rPr>
        <w:t>产或金融负债，包括交易性金融资产或金融负债和直接指定为以公允价值计量且其变动计入</w:t>
      </w:r>
      <w:r>
        <w:rPr>
          <w:spacing w:val="-58"/>
        </w:rPr>
        <w:t> </w:t>
      </w:r>
      <w:r>
        <w:rPr>
          <w:spacing w:val="-58"/>
        </w:rPr>
      </w:r>
      <w:r>
        <w:rPr>
          <w:spacing w:val="-2"/>
        </w:rPr>
        <w:t>当期损益的金融资产或金融负债；持有至到期投资；应收款项；可供出售金融资产；其他金</w:t>
      </w:r>
      <w:r>
        <w:rPr>
          <w:spacing w:val="-62"/>
        </w:rPr>
        <w:t> </w:t>
      </w:r>
      <w:r>
        <w:rPr>
          <w:spacing w:val="-62"/>
        </w:rPr>
      </w:r>
      <w:r>
        <w:rPr/>
        <w:t>融负债等。</w:t>
      </w:r>
    </w:p>
    <w:p>
      <w:pPr>
        <w:spacing w:line="240" w:lineRule="auto" w:before="10"/>
        <w:rPr>
          <w:rFonts w:ascii="宋体" w:hAnsi="宋体" w:cs="宋体" w:eastAsia="宋体" w:hint="default"/>
          <w:sz w:val="24"/>
          <w:szCs w:val="24"/>
        </w:rPr>
      </w:pPr>
    </w:p>
    <w:p>
      <w:pPr>
        <w:pStyle w:val="Heading5"/>
        <w:spacing w:line="240" w:lineRule="auto"/>
        <w:ind w:left="1408"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after="0" w:line="240" w:lineRule="auto"/>
        <w:jc w:val="left"/>
        <w:sectPr>
          <w:pgSz w:w="11910" w:h="16840"/>
          <w:pgMar w:header="852" w:footer="979" w:top="1300" w:bottom="1160" w:left="980" w:right="980"/>
        </w:sectPr>
      </w:pPr>
    </w:p>
    <w:p>
      <w:pPr>
        <w:pStyle w:val="BodyText"/>
        <w:spacing w:line="268" w:lineRule="auto" w:before="108"/>
        <w:ind w:left="1413" w:right="0"/>
        <w:jc w:val="left"/>
      </w:pP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w:t>
      </w:r>
      <w:r>
        <w:rPr>
          <w:spacing w:val="-11"/>
        </w:rPr>
        <w:t> </w:t>
      </w:r>
      <w:r>
        <w:rPr>
          <w:spacing w:val="-11"/>
        </w:rPr>
      </w:r>
      <w:r>
        <w:rPr/>
        <w:t>息）作为初始确认金额，相关的交易费用计入当期损益。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w:t>
      </w:r>
      <w:r>
        <w:rPr>
          <w:spacing w:val="-53"/>
        </w:rPr>
        <w:t> </w:t>
      </w:r>
      <w:r>
        <w:rPr>
          <w:spacing w:val="-53"/>
        </w:rPr>
      </w:r>
      <w:r>
        <w:rPr/>
        <w:t>益。</w:t>
      </w:r>
    </w:p>
    <w:p>
      <w:pPr>
        <w:pStyle w:val="BodyText"/>
        <w:spacing w:line="268" w:lineRule="auto" w:before="12"/>
        <w:ind w:left="1413" w:right="0"/>
        <w:jc w:val="left"/>
      </w:pPr>
      <w:r>
        <w:rPr>
          <w:rFonts w:ascii="Times New Roman" w:hAnsi="Times New Roman" w:cs="Times New Roman" w:eastAsia="Times New Roman" w:hint="default"/>
        </w:rPr>
        <w:t>2</w:t>
      </w:r>
      <w:r>
        <w:rPr/>
        <w:t>）持有至到期投资</w:t>
      </w:r>
      <w:r>
        <w:rPr>
          <w:w w:val="100"/>
        </w:rPr>
        <w:t> </w:t>
      </w:r>
      <w:r>
        <w:rPr>
          <w:spacing w:val="-2"/>
        </w:rPr>
        <w:t>取得时按公允价值（扣除已到付息期但尚未领取的债券利息）和相关交易费用之和作为初始</w:t>
      </w:r>
      <w:r>
        <w:rPr>
          <w:spacing w:val="-53"/>
        </w:rPr>
        <w:t> </w:t>
      </w:r>
      <w:r>
        <w:rPr>
          <w:spacing w:val="-53"/>
        </w:rPr>
      </w:r>
      <w:r>
        <w:rPr/>
        <w:t>确认金额。</w:t>
      </w:r>
      <w:r>
        <w:rPr>
          <w:spacing w:val="-102"/>
        </w:rPr>
        <w:t> </w:t>
      </w:r>
      <w:r>
        <w:rPr>
          <w:spacing w:val="-102"/>
        </w:rPr>
      </w:r>
      <w:r>
        <w:rPr>
          <w:spacing w:val="-2"/>
        </w:rPr>
        <w:t>持有期间按照摊余成本和实际利率计算确认利息收入，计入投资收益。实际利率在取得时确</w:t>
      </w:r>
      <w:r>
        <w:rPr>
          <w:spacing w:val="-54"/>
        </w:rPr>
        <w:t> </w:t>
      </w:r>
      <w:r>
        <w:rPr>
          <w:spacing w:val="-54"/>
        </w:rPr>
      </w:r>
      <w:r>
        <w:rPr/>
        <w:t>定，在该预期存续期间或适用的更短期间内保持不变。</w:t>
      </w:r>
      <w:r>
        <w:rPr>
          <w:w w:val="100"/>
        </w:rPr>
        <w:t> </w:t>
      </w:r>
      <w:r>
        <w:rPr/>
        <w:t>处置时，将所取得价款与该投资账面价值之间的差额计入投资收益。</w:t>
      </w:r>
    </w:p>
    <w:p>
      <w:pPr>
        <w:pStyle w:val="BodyText"/>
        <w:spacing w:line="268" w:lineRule="auto" w:before="12"/>
        <w:ind w:left="1413" w:right="0"/>
        <w:jc w:val="left"/>
      </w:pPr>
      <w:r>
        <w:rPr>
          <w:rFonts w:ascii="Times New Roman" w:hAnsi="Times New Roman" w:cs="Times New Roman" w:eastAsia="Times New Roman" w:hint="default"/>
        </w:rPr>
        <w:t>3</w:t>
      </w:r>
      <w:r>
        <w:rPr/>
        <w:t>）应收款项</w:t>
      </w:r>
      <w:r>
        <w:rPr>
          <w:w w:val="100"/>
        </w:rPr>
        <w:t> </w:t>
      </w:r>
      <w:r>
        <w:rPr>
          <w:spacing w:val="-2"/>
        </w:rPr>
        <w:t>公司对外销售商品或提供劳务形成的应收债权，以及公司持有的其他企业的不包括在活跃市</w:t>
      </w:r>
      <w:r>
        <w:rPr>
          <w:spacing w:val="-53"/>
        </w:rPr>
        <w:t> </w:t>
      </w:r>
      <w:r>
        <w:rPr>
          <w:spacing w:val="-53"/>
        </w:rPr>
      </w:r>
      <w:r>
        <w:rPr>
          <w:spacing w:val="-2"/>
        </w:rPr>
        <w:t>场上有报价的债务工具的债权，包括应收账款、其他应收款等，以向购货方应收的合同或协</w:t>
      </w:r>
      <w:r>
        <w:rPr>
          <w:spacing w:val="-53"/>
        </w:rPr>
        <w:t> </w:t>
      </w:r>
      <w:r>
        <w:rPr>
          <w:spacing w:val="-53"/>
        </w:rPr>
      </w:r>
      <w:r>
        <w:rPr/>
        <w:t>议价款作为初始确认金额；具有融资性质的，按其现值进行初始确认。</w:t>
      </w:r>
      <w:r>
        <w:rPr>
          <w:w w:val="100"/>
        </w:rPr>
        <w:t> </w:t>
      </w:r>
      <w:r>
        <w:rPr/>
        <w:t>收回或处置时，将取得的价款与该应收款项账面价值之间的差额计入当期损益。</w:t>
      </w:r>
      <w:r>
        <w:rPr>
          <w:w w:val="100"/>
        </w:rPr>
        <w:t> </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w:t>
      </w:r>
      <w:r>
        <w:rPr>
          <w:spacing w:val="-19"/>
        </w:rPr>
        <w:t> </w:t>
      </w:r>
      <w:r>
        <w:rPr>
          <w:spacing w:val="-19"/>
        </w:rPr>
      </w:r>
      <w:r>
        <w:rPr/>
        <w:t>息）和相关交易费用之和作为初始确认金额。</w:t>
      </w:r>
      <w:r>
        <w:rPr>
          <w:w w:val="100"/>
        </w:rPr>
        <w:t> </w:t>
      </w:r>
      <w:r>
        <w:rPr>
          <w:spacing w:val="-2"/>
        </w:rPr>
        <w:t>持有期间将取得的利息或现金股利确认为投资收益。期末以公允价值计量且将公允价值变动</w:t>
      </w:r>
      <w:r>
        <w:rPr>
          <w:spacing w:val="-53"/>
        </w:rPr>
        <w:t> </w:t>
      </w:r>
      <w:r>
        <w:rPr>
          <w:spacing w:val="-53"/>
        </w:rPr>
      </w:r>
      <w:r>
        <w:rPr>
          <w:spacing w:val="-2"/>
        </w:rPr>
        <w:t>计入其他综合收益。但是，在活跃市场中没有报价且其公允价值不能可靠计量的权益工具投</w:t>
      </w:r>
      <w:r>
        <w:rPr>
          <w:spacing w:val="-53"/>
        </w:rPr>
        <w:t> </w:t>
      </w:r>
      <w:r>
        <w:rPr>
          <w:spacing w:val="-53"/>
        </w:rPr>
      </w:r>
      <w:r>
        <w:rPr>
          <w:spacing w:val="-2"/>
        </w:rPr>
        <w:t>资，以及与该权益工具挂钩并须通过交付该权益工具结算的衍生金融资产，按照成本计量。</w:t>
      </w:r>
      <w:r>
        <w:rPr>
          <w:spacing w:val="-34"/>
        </w:rPr>
        <w:t> </w:t>
      </w:r>
      <w:r>
        <w:rPr>
          <w:spacing w:val="-34"/>
        </w:rPr>
      </w:r>
      <w:r>
        <w:rPr>
          <w:spacing w:val="-2"/>
        </w:rPr>
        <w:t>处置时，将取得的价款与该金融资产账面价值之间的差额，计入投资损益；同时，将原直接</w:t>
      </w:r>
      <w:r>
        <w:rPr>
          <w:spacing w:val="-57"/>
        </w:rPr>
        <w:t> </w:t>
      </w:r>
      <w:r>
        <w:rPr>
          <w:spacing w:val="-57"/>
        </w:rPr>
      </w:r>
      <w:r>
        <w:rPr/>
        <w:t>计入其他综合收益的公允价值变动累计额对应处置部分的金额转出，计入当期损益。</w:t>
      </w:r>
      <w:r>
        <w:rPr>
          <w:w w:val="100"/>
        </w:rPr>
        <w:t> </w:t>
      </w:r>
      <w:r>
        <w:rPr>
          <w:rFonts w:ascii="Times New Roman" w:hAnsi="Times New Roman" w:cs="Times New Roman" w:eastAsia="Times New Roman" w:hint="default"/>
        </w:rPr>
        <w:t>5</w:t>
      </w:r>
      <w:r>
        <w:rPr/>
        <w:t>）其他金融负债</w:t>
      </w:r>
      <w:r>
        <w:rPr>
          <w:w w:val="100"/>
        </w:rPr>
        <w:t> </w:t>
      </w:r>
      <w:r>
        <w:rPr/>
        <w:t>按其公允价值和相关交易费用之和作为初始确认金额。采用摊余成本进行后续计量。</w:t>
      </w:r>
    </w:p>
    <w:p>
      <w:pPr>
        <w:spacing w:line="240" w:lineRule="auto" w:before="10"/>
        <w:rPr>
          <w:rFonts w:ascii="宋体" w:hAnsi="宋体" w:cs="宋体" w:eastAsia="宋体" w:hint="default"/>
          <w:sz w:val="24"/>
          <w:szCs w:val="24"/>
        </w:rPr>
      </w:pPr>
    </w:p>
    <w:p>
      <w:pPr>
        <w:pStyle w:val="BodyText"/>
        <w:spacing w:line="271" w:lineRule="auto"/>
        <w:ind w:left="1413" w:right="0" w:hanging="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公司发生金融资产转移时，如已将金融资产所有权上几乎所有的风险和报酬转移给转入方，</w:t>
      </w:r>
      <w:r>
        <w:rPr>
          <w:spacing w:val="-36"/>
        </w:rPr>
        <w:t> </w:t>
      </w:r>
      <w:r>
        <w:rPr>
          <w:spacing w:val="-36"/>
        </w:rPr>
      </w:r>
      <w:r>
        <w:rPr>
          <w:spacing w:val="-2"/>
        </w:rPr>
        <w:t>则终止确认该金融资产；如保留了金融资产所有权上几乎所有的风险和报酬的，则不终止确</w:t>
      </w:r>
      <w:r>
        <w:rPr>
          <w:spacing w:val="-58"/>
        </w:rPr>
        <w:t> </w:t>
      </w:r>
      <w:r>
        <w:rPr>
          <w:spacing w:val="-58"/>
        </w:rPr>
      </w:r>
      <w:r>
        <w:rPr/>
        <w:t>认该金融资产。</w:t>
      </w:r>
      <w:r>
        <w:rPr>
          <w:w w:val="100"/>
        </w:rPr>
        <w:t> </w:t>
      </w:r>
      <w:r>
        <w:rPr>
          <w:spacing w:val="-2"/>
        </w:rPr>
        <w:t>在判断金融资产转移是否满足上述金融资产终止确认条件时，采用实质重于形式的原则。公</w:t>
      </w:r>
      <w:r>
        <w:rPr>
          <w:spacing w:val="-58"/>
        </w:rPr>
        <w:t> </w:t>
      </w:r>
      <w:r>
        <w:rPr>
          <w:spacing w:val="-58"/>
        </w:rPr>
      </w:r>
      <w:r>
        <w:rPr>
          <w:spacing w:val="-2"/>
        </w:rPr>
        <w:t>司将金融资产转移区分为金融资产整体转移和部分转移。金融资产整体转移满足终止确认条</w:t>
      </w:r>
      <w:r>
        <w:rPr>
          <w:spacing w:val="-58"/>
        </w:rPr>
        <w:t> </w:t>
      </w:r>
      <w:r>
        <w:rPr>
          <w:spacing w:val="-58"/>
        </w:rPr>
      </w:r>
      <w:r>
        <w:rPr/>
        <w:t>件的，将下列两项金额的差额计入当期损益：</w:t>
      </w:r>
    </w:p>
    <w:p>
      <w:pPr>
        <w:pStyle w:val="BodyText"/>
        <w:spacing w:line="240" w:lineRule="auto" w:before="10"/>
        <w:ind w:left="1413" w:right="0"/>
        <w:jc w:val="left"/>
      </w:pPr>
      <w:r>
        <w:rPr>
          <w:rFonts w:ascii="Times New Roman" w:hAnsi="Times New Roman" w:cs="Times New Roman" w:eastAsia="Times New Roman" w:hint="default"/>
        </w:rPr>
        <w:t>1</w:t>
      </w:r>
      <w:r>
        <w:rPr/>
        <w:t>）所转移金融资产的账面价值；</w:t>
      </w:r>
    </w:p>
    <w:p>
      <w:pPr>
        <w:pStyle w:val="BodyText"/>
        <w:spacing w:line="268" w:lineRule="auto" w:before="21"/>
        <w:ind w:left="1413" w:right="0"/>
        <w:jc w:val="left"/>
      </w:pPr>
      <w:r>
        <w:rPr>
          <w:rFonts w:ascii="Times New Roman" w:hAnsi="Times New Roman" w:cs="Times New Roman" w:eastAsia="Times New Roman" w:hint="default"/>
        </w:rPr>
        <w:t>2</w:t>
      </w:r>
      <w:r>
        <w:rPr/>
        <w:t>）因转移而收到的对价，与原直接计入所有者权益的公允价值变动累计额（涉及转移的金</w:t>
      </w:r>
      <w:r>
        <w:rPr>
          <w:spacing w:val="-28"/>
        </w:rPr>
        <w:t> </w:t>
      </w:r>
      <w:r>
        <w:rPr>
          <w:spacing w:val="-28"/>
        </w:rPr>
      </w:r>
      <w:r>
        <w:rPr/>
        <w:t>融资产为可供出售金融资产的情形）之和。</w:t>
      </w:r>
      <w:r>
        <w:rPr>
          <w:w w:val="100"/>
        </w:rPr>
        <w:t> </w:t>
      </w:r>
      <w:r>
        <w:rPr>
          <w:spacing w:val="-2"/>
        </w:rPr>
        <w:t>金融资产部分转移满足终止确认条件的，将所转移金融资产整体的账面价值，在终止确认部</w:t>
      </w:r>
      <w:r>
        <w:rPr>
          <w:spacing w:val="-53"/>
        </w:rPr>
        <w:t> </w:t>
      </w:r>
      <w:r>
        <w:rPr>
          <w:spacing w:val="-53"/>
        </w:rPr>
      </w:r>
      <w:r>
        <w:rPr>
          <w:spacing w:val="-2"/>
        </w:rPr>
        <w:t>分和未终止确认部分之间，按照各自的相对公允价值进行分摊，并将下列两项金额的差额计</w:t>
      </w:r>
      <w:r>
        <w:rPr>
          <w:spacing w:val="-54"/>
        </w:rPr>
        <w:t> </w:t>
      </w:r>
      <w:r>
        <w:rPr>
          <w:spacing w:val="-54"/>
        </w:rPr>
      </w:r>
      <w:r>
        <w:rPr/>
        <w:t>入当期损益：</w:t>
      </w:r>
    </w:p>
    <w:p>
      <w:pPr>
        <w:pStyle w:val="BodyText"/>
        <w:spacing w:line="240" w:lineRule="auto" w:before="12"/>
        <w:ind w:left="1413" w:right="0"/>
        <w:jc w:val="left"/>
      </w:pPr>
      <w:r>
        <w:rPr>
          <w:rFonts w:ascii="Times New Roman" w:hAnsi="Times New Roman" w:cs="Times New Roman" w:eastAsia="Times New Roman" w:hint="default"/>
        </w:rPr>
        <w:t>1</w:t>
      </w:r>
      <w:r>
        <w:rPr/>
        <w:t>）终止确认部分的账面价值；</w:t>
      </w:r>
    </w:p>
    <w:p>
      <w:pPr>
        <w:pStyle w:val="BodyText"/>
        <w:spacing w:line="256" w:lineRule="auto" w:before="21"/>
        <w:ind w:left="1413" w:right="0"/>
        <w:jc w:val="left"/>
      </w:pPr>
      <w:r>
        <w:rPr>
          <w:rFonts w:ascii="Times New Roman" w:hAnsi="Times New Roman" w:cs="Times New Roman" w:eastAsia="Times New Roman" w:hint="default"/>
        </w:rPr>
        <w:t>2</w:t>
      </w:r>
      <w:r>
        <w:rPr/>
        <w:t>）终止确认部分的对价，与原直接计入所有者权益的公允价值变动累计额中对应终止确认</w:t>
      </w:r>
      <w:r>
        <w:rPr>
          <w:spacing w:val="-28"/>
        </w:rPr>
        <w:t> </w:t>
      </w:r>
      <w:r>
        <w:rPr>
          <w:spacing w:val="-28"/>
        </w:rPr>
      </w:r>
      <w:r>
        <w:rPr/>
        <w:t>部分的金额（涉及转移的金融资产为可供出售金融资产的情形）之和。</w:t>
      </w:r>
    </w:p>
    <w:p>
      <w:pPr>
        <w:spacing w:after="0" w:line="256" w:lineRule="auto"/>
        <w:jc w:val="left"/>
        <w:sectPr>
          <w:pgSz w:w="11910" w:h="16840"/>
          <w:pgMar w:header="852" w:footer="979" w:top="1300" w:bottom="1160" w:left="980" w:right="980"/>
        </w:sectPr>
      </w:pPr>
    </w:p>
    <w:p>
      <w:pPr>
        <w:pStyle w:val="BodyText"/>
        <w:spacing w:line="273" w:lineRule="auto" w:before="108"/>
        <w:ind w:left="1413" w:right="103"/>
        <w:jc w:val="left"/>
      </w:pPr>
      <w:r>
        <w:rPr>
          <w:spacing w:val="-2"/>
        </w:rPr>
        <w:t>金融资产转移不满足终止确认条件的，继续确认该金融资产，所收到的对价确认为一项金融</w:t>
      </w:r>
      <w:r>
        <w:rPr>
          <w:spacing w:val="-53"/>
        </w:rPr>
        <w:t> </w:t>
      </w:r>
      <w:r>
        <w:rPr>
          <w:spacing w:val="-53"/>
        </w:rPr>
      </w:r>
      <w:r>
        <w:rPr/>
        <w:t>负债。</w:t>
      </w:r>
    </w:p>
    <w:p>
      <w:pPr>
        <w:spacing w:line="240" w:lineRule="auto" w:before="6"/>
        <w:rPr>
          <w:rFonts w:ascii="宋体" w:hAnsi="宋体" w:cs="宋体" w:eastAsia="宋体" w:hint="default"/>
          <w:sz w:val="24"/>
          <w:szCs w:val="24"/>
        </w:rPr>
      </w:pPr>
    </w:p>
    <w:p>
      <w:pPr>
        <w:pStyle w:val="BodyText"/>
        <w:spacing w:line="271"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100"/>
        </w:rPr>
        <w:t> </w:t>
      </w:r>
      <w:r>
        <w:rPr>
          <w:spacing w:val="-2"/>
        </w:rPr>
        <w:t>金融负债的现时义务全部或部分已经解除的，则终止确认该金融负债或其一部分；本公司若</w:t>
      </w:r>
      <w:r>
        <w:rPr>
          <w:spacing w:val="-57"/>
        </w:rPr>
        <w:t> </w:t>
      </w:r>
      <w:r>
        <w:rPr>
          <w:spacing w:val="-57"/>
        </w:rPr>
      </w:r>
      <w:r>
        <w:rPr>
          <w:spacing w:val="-2"/>
        </w:rPr>
        <w:t>与债权人签定协议，以承担新金融负债方式替换现存金融负债，且新金融负债与现存金融负</w:t>
      </w:r>
      <w:r>
        <w:rPr>
          <w:spacing w:val="-58"/>
        </w:rPr>
        <w:t> </w:t>
      </w:r>
      <w:r>
        <w:rPr>
          <w:spacing w:val="-58"/>
        </w:rPr>
      </w:r>
      <w:r>
        <w:rPr/>
        <w:t>债的合同条款实质上不同的，则终止确认现存金融负债，并同时确认新金融负债。</w:t>
      </w:r>
      <w:r>
        <w:rPr>
          <w:w w:val="100"/>
        </w:rPr>
        <w:t> </w:t>
      </w:r>
      <w:r>
        <w:rPr>
          <w:spacing w:val="-2"/>
        </w:rPr>
        <w:t>对现存金融负债全部或部分合同条款作出实质性修改的，则终止确认现存金融负债或其一部</w:t>
      </w:r>
      <w:r>
        <w:rPr>
          <w:spacing w:val="-58"/>
        </w:rPr>
        <w:t> </w:t>
      </w:r>
      <w:r>
        <w:rPr>
          <w:spacing w:val="-58"/>
        </w:rPr>
      </w:r>
      <w:r>
        <w:rPr/>
        <w:t>分，同时将修改条款后的金融负债确认为一项新金融负债。</w:t>
      </w:r>
      <w:r>
        <w:rPr>
          <w:w w:val="100"/>
        </w:rPr>
        <w:t> </w:t>
      </w:r>
      <w:r>
        <w:rPr>
          <w:spacing w:val="-2"/>
        </w:rPr>
        <w:t>金融负债全部或部分终止确认时，终止确认的金融负债账面价值与支付对价（包括转出的非</w:t>
      </w:r>
      <w:r>
        <w:rPr>
          <w:spacing w:val="-58"/>
        </w:rPr>
        <w:t> </w:t>
      </w:r>
      <w:r>
        <w:rPr>
          <w:spacing w:val="-58"/>
        </w:rPr>
      </w:r>
      <w:r>
        <w:rPr/>
        <w:t>现金资产或承担的新金融负债）之间的差额，计入当期损益。</w:t>
      </w:r>
      <w:r>
        <w:rPr>
          <w:w w:val="100"/>
        </w:rPr>
        <w:t> </w:t>
      </w:r>
      <w:r>
        <w:rPr>
          <w:spacing w:val="2"/>
        </w:rPr>
        <w:t>本公司若回购部分金融负债的，在回购日按照继续确认部分与终止确认部分的相对公允价</w:t>
      </w:r>
      <w:r>
        <w:rPr>
          <w:spacing w:val="-17"/>
        </w:rPr>
        <w:t> </w:t>
      </w:r>
      <w:r>
        <w:rPr>
          <w:spacing w:val="-17"/>
        </w:rPr>
      </w:r>
      <w:r>
        <w:rPr>
          <w:spacing w:val="-2"/>
        </w:rPr>
        <w:t>值，将该金融负债整体的账面价值进行分配。分配给终止确认部分的账面价值与支付的对价</w:t>
      </w:r>
    </w:p>
    <w:p>
      <w:pPr>
        <w:pStyle w:val="BodyText"/>
        <w:spacing w:line="240" w:lineRule="auto" w:before="10"/>
        <w:ind w:left="1413" w:right="103"/>
        <w:jc w:val="left"/>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BodyText"/>
        <w:spacing w:line="268"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100"/>
        </w:rPr>
        <w:t> </w:t>
      </w:r>
      <w:r>
        <w:rPr>
          <w:spacing w:val="-2"/>
        </w:rPr>
        <w:t>存在活跃市场的金融工具，以活跃市场中的报价确定其公允价值。不存在活跃市场的金融工</w:t>
      </w:r>
      <w:r>
        <w:rPr>
          <w:spacing w:val="-58"/>
        </w:rPr>
        <w:t> </w:t>
      </w:r>
      <w:r>
        <w:rPr>
          <w:spacing w:val="-58"/>
        </w:rPr>
      </w:r>
      <w:r>
        <w:rPr>
          <w:spacing w:val="-2"/>
        </w:rPr>
        <w:t>具，采用估值技术确定其公允价值。在估值时，本公司采用在当前情况下适用并且有足够可</w:t>
      </w:r>
      <w:r>
        <w:rPr>
          <w:spacing w:val="-58"/>
        </w:rPr>
        <w:t> </w:t>
      </w:r>
      <w:r>
        <w:rPr>
          <w:spacing w:val="-58"/>
        </w:rPr>
      </w:r>
      <w:r>
        <w:rPr>
          <w:spacing w:val="-2"/>
        </w:rPr>
        <w:t>利用数据和其他信息支持的估值技术，选择与市场参与者在相关资产或负债的交易中所考虑</w:t>
      </w:r>
      <w:r>
        <w:rPr>
          <w:spacing w:val="-58"/>
        </w:rPr>
        <w:t> </w:t>
      </w:r>
      <w:r>
        <w:rPr>
          <w:spacing w:val="-58"/>
        </w:rPr>
      </w:r>
      <w:r>
        <w:rPr>
          <w:spacing w:val="-2"/>
        </w:rPr>
        <w:t>的资产或负债特征相一致的输入值，并优先使用相关可观察输入值。只有在相关可观察输入</w:t>
      </w:r>
      <w:r>
        <w:rPr>
          <w:spacing w:val="-58"/>
        </w:rPr>
        <w:t> </w:t>
      </w:r>
      <w:r>
        <w:rPr>
          <w:spacing w:val="-58"/>
        </w:rPr>
      </w:r>
      <w:r>
        <w:rPr/>
        <w:t>值无法取得或取得不切实可行的情况下，才使用不可观察输入值。</w:t>
      </w:r>
    </w:p>
    <w:p>
      <w:pPr>
        <w:spacing w:line="240" w:lineRule="auto" w:before="10"/>
        <w:rPr>
          <w:rFonts w:ascii="宋体" w:hAnsi="宋体" w:cs="宋体" w:eastAsia="宋体" w:hint="default"/>
          <w:sz w:val="24"/>
          <w:szCs w:val="24"/>
        </w:rPr>
      </w:pPr>
    </w:p>
    <w:p>
      <w:pPr>
        <w:pStyle w:val="BodyText"/>
        <w:spacing w:line="271"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）金融资产（不含应收款项）减值的测试方法及会计处理方法</w:t>
      </w:r>
      <w:r>
        <w:rPr>
          <w:rFonts w:ascii="宋体" w:hAnsi="宋体" w:cs="宋体" w:eastAsia="宋体" w:hint="default"/>
          <w:b/>
          <w:bCs/>
          <w:w w:val="100"/>
        </w:rPr>
        <w:t> </w:t>
      </w:r>
      <w:r>
        <w:rPr/>
        <w:t>本公司于资产负债表日对金融资产的账面价值进行检查，有客观证据表明该金融资产发生减</w:t>
      </w:r>
      <w:r>
        <w:rPr>
          <w:w w:val="100"/>
        </w:rPr>
        <w:t> </w:t>
      </w:r>
      <w:r>
        <w:rPr/>
        <w:t>值的，计提减值准备。表明金融资产发生减值的客观证据，是指金融资产初始确认后实际发</w:t>
      </w:r>
      <w:r>
        <w:rPr>
          <w:w w:val="100"/>
        </w:rPr>
        <w:t> </w:t>
      </w:r>
      <w:r>
        <w:rPr>
          <w:spacing w:val="-5"/>
        </w:rPr>
        <w:t>生的、对该金融资产的预计未来现金流量有影响，且企业能够对该影响进行可靠计量的事项。</w:t>
      </w:r>
      <w:r>
        <w:rPr>
          <w:spacing w:val="-41"/>
        </w:rPr>
        <w:t> </w:t>
      </w:r>
      <w:r>
        <w:rPr>
          <w:spacing w:val="-41"/>
        </w:rPr>
      </w:r>
      <w:r>
        <w:rPr/>
        <w:t>以摊余成本计量的金融资产</w:t>
      </w:r>
      <w:r>
        <w:rPr>
          <w:w w:val="100"/>
        </w:rPr>
        <w:t> </w:t>
      </w:r>
      <w:r>
        <w:rPr/>
        <w:t>发生减值时，将该金融资产的账面价值减记至预计未来现金流量（不包括尚未发生的未来信</w:t>
      </w:r>
      <w:r>
        <w:rPr>
          <w:w w:val="100"/>
        </w:rPr>
        <w:t> </w:t>
      </w:r>
      <w:r>
        <w:rPr/>
        <w:t>用损失）现值，减记金额计入当期损益。预计未来现金流量现值，按照该金融资产原实际利</w:t>
      </w:r>
      <w:r>
        <w:rPr>
          <w:w w:val="100"/>
        </w:rPr>
        <w:t> </w:t>
      </w:r>
      <w:r>
        <w:rPr/>
        <w:t>率（即初始确认时计算确定的或合同规定的现行的实际利率）折现确定，并考虑相关担保物</w:t>
      </w:r>
      <w:r>
        <w:rPr>
          <w:w w:val="100"/>
        </w:rPr>
        <w:t> </w:t>
      </w:r>
      <w:r>
        <w:rPr/>
        <w:t>的价值。</w:t>
      </w:r>
      <w:r>
        <w:rPr>
          <w:w w:val="100"/>
        </w:rPr>
        <w:t> </w:t>
      </w:r>
      <w:r>
        <w:rPr/>
        <w:t>本公司先对单项金额重大的金融资产单独进行减值测试，如有客观证据表明其已发生减值，</w:t>
      </w:r>
      <w:r>
        <w:rPr>
          <w:w w:val="100"/>
        </w:rPr>
        <w:t> </w:t>
      </w:r>
      <w:r>
        <w:rPr/>
        <w:t>则确认减值损失，计入当期损益。本公司将单项金额不重大的金融资产或单独测试未发生减</w:t>
      </w:r>
      <w:r>
        <w:rPr>
          <w:w w:val="100"/>
        </w:rPr>
        <w:t> </w:t>
      </w:r>
      <w:r>
        <w:rPr/>
        <w:t>值的金融资产包括在具有类似信用风险特征的金融资产组合中进行减值测试。</w:t>
      </w:r>
      <w:r>
        <w:rPr>
          <w:w w:val="100"/>
        </w:rPr>
        <w:t> </w:t>
      </w:r>
      <w:r>
        <w:rPr/>
        <w:t>本公司对以摊余成本计量的金融资产确认减值损失后，如有客观证据表明该金融资产价值已</w:t>
      </w:r>
      <w:r>
        <w:rPr>
          <w:w w:val="100"/>
        </w:rPr>
        <w:t> </w:t>
      </w:r>
      <w:r>
        <w:rPr/>
        <w:t>恢复，且客观上与确认该损失后发生的事项有关，原确认的减值损失予以转回，计入当期损</w:t>
      </w:r>
      <w:r>
        <w:rPr>
          <w:w w:val="100"/>
        </w:rPr>
        <w:t> </w:t>
      </w:r>
      <w:r>
        <w:rPr/>
        <w:t>益。但是，该转回后的账面价值不超过假定不计提减值准备情况下该金融资产在转回日的摊</w:t>
      </w:r>
      <w:r>
        <w:rPr>
          <w:w w:val="100"/>
        </w:rPr>
        <w:t> </w:t>
      </w:r>
      <w:r>
        <w:rPr/>
        <w:t>余成本。</w:t>
      </w:r>
    </w:p>
    <w:p>
      <w:pPr>
        <w:pStyle w:val="BodyText"/>
        <w:spacing w:line="268" w:lineRule="auto" w:before="10"/>
        <w:ind w:left="1413" w:right="103"/>
        <w:jc w:val="left"/>
      </w:pPr>
      <w:r>
        <w:rPr>
          <w:rFonts w:ascii="Times New Roman" w:hAnsi="Times New Roman" w:cs="Times New Roman" w:eastAsia="Times New Roman" w:hint="default"/>
        </w:rPr>
        <w:t>1</w:t>
      </w:r>
      <w:r>
        <w:rPr/>
        <w:t>）可供出售金融资产</w:t>
      </w:r>
      <w:r>
        <w:rPr>
          <w:w w:val="100"/>
        </w:rPr>
        <w:t> </w:t>
      </w:r>
      <w:r>
        <w:rPr>
          <w:spacing w:val="-2"/>
        </w:rPr>
        <w:t>期末如果可供出售金融资产的公允价值发生严重下降，或在综合考虑各种相关因素后，预期</w:t>
      </w:r>
      <w:r>
        <w:rPr>
          <w:spacing w:val="-53"/>
        </w:rPr>
        <w:t> </w:t>
      </w:r>
      <w:r>
        <w:rPr>
          <w:spacing w:val="-53"/>
        </w:rPr>
      </w:r>
      <w:r>
        <w:rPr>
          <w:spacing w:val="-2"/>
        </w:rPr>
        <w:t>这种下降趋势属于非暂时性的，就认定其已发生减值，将原直接计入所有者权益的公允价值</w:t>
      </w:r>
      <w:r>
        <w:rPr>
          <w:spacing w:val="-53"/>
        </w:rPr>
        <w:t> </w:t>
      </w:r>
      <w:r>
        <w:rPr>
          <w:spacing w:val="-53"/>
        </w:rPr>
      </w:r>
      <w:r>
        <w:rPr/>
        <w:t>下降形成的累计损失一并转出，确认减值损失。</w:t>
      </w:r>
      <w:r>
        <w:rPr>
          <w:w w:val="100"/>
        </w:rPr>
        <w:t> </w:t>
      </w:r>
      <w:r>
        <w:rPr>
          <w:spacing w:val="-2"/>
        </w:rPr>
        <w:t>对于已确认减值损失的可供出售债务工具，在随后的会计期间公允价值已上升且客观上与确</w:t>
      </w:r>
      <w:r>
        <w:rPr>
          <w:spacing w:val="-53"/>
        </w:rPr>
        <w:t> </w:t>
      </w:r>
      <w:r>
        <w:rPr>
          <w:spacing w:val="-53"/>
        </w:rPr>
      </w:r>
      <w:r>
        <w:rPr/>
        <w:t>认原减值损失确认后发生的事项有关的，原确认的减值损失予以转回，计入当期损益。</w:t>
      </w:r>
    </w:p>
    <w:p>
      <w:pPr>
        <w:spacing w:after="0" w:line="268" w:lineRule="auto"/>
        <w:jc w:val="left"/>
        <w:sectPr>
          <w:pgSz w:w="11910" w:h="16840"/>
          <w:pgMar w:header="852" w:footer="979" w:top="1300" w:bottom="1160" w:left="980" w:right="920"/>
        </w:sectPr>
      </w:pPr>
    </w:p>
    <w:p>
      <w:pPr>
        <w:pStyle w:val="BodyText"/>
        <w:spacing w:line="261" w:lineRule="auto" w:before="108"/>
        <w:ind w:left="1413" w:right="103"/>
        <w:jc w:val="left"/>
      </w:pPr>
      <w:r>
        <w:rPr/>
        <w:t>可供出售权益工具投资发生的减值损失，不通过损益转回。</w:t>
      </w:r>
      <w:r>
        <w:rPr>
          <w:w w:val="100"/>
        </w:rPr>
        <w:t> </w:t>
      </w:r>
      <w:r>
        <w:rPr>
          <w:spacing w:val="-2"/>
        </w:rPr>
        <w:t>本公司对可供出售权益工具投资的公允价值下跌</w:t>
      </w:r>
      <w:r>
        <w:rPr>
          <w:rFonts w:ascii="Times New Roman" w:hAnsi="Times New Roman" w:cs="Times New Roman" w:eastAsia="Times New Roman" w:hint="default"/>
          <w:spacing w:val="-2"/>
        </w:rPr>
        <w:t>“</w:t>
      </w:r>
      <w:r>
        <w:rPr>
          <w:spacing w:val="-2"/>
        </w:rPr>
        <w:t>严重</w:t>
      </w:r>
      <w:r>
        <w:rPr>
          <w:rFonts w:ascii="Times New Roman" w:hAnsi="Times New Roman" w:cs="Times New Roman" w:eastAsia="Times New Roman" w:hint="default"/>
          <w:spacing w:val="-2"/>
        </w:rPr>
        <w:t>”</w:t>
      </w:r>
      <w:r>
        <w:rPr>
          <w:spacing w:val="-2"/>
        </w:rPr>
        <w:t>的标准为：可供出售权益工具投资的</w:t>
      </w:r>
      <w:r>
        <w:rPr>
          <w:spacing w:val="-28"/>
        </w:rPr>
        <w:t> </w:t>
      </w:r>
      <w:r>
        <w:rPr>
          <w:spacing w:val="-28"/>
        </w:rPr>
      </w:r>
      <w:r>
        <w:rPr/>
        <w:t>公允价值累计下跌超过初始成本的</w:t>
      </w:r>
      <w:r>
        <w:rPr>
          <w:rFonts w:ascii="Times New Roman" w:hAnsi="Times New Roman" w:cs="Times New Roman" w:eastAsia="Times New Roman" w:hint="default"/>
        </w:rPr>
        <w:t>40%</w:t>
      </w:r>
      <w:r>
        <w:rPr/>
        <w:t>（含</w:t>
      </w:r>
      <w:r>
        <w:rPr>
          <w:rFonts w:ascii="Times New Roman" w:hAnsi="Times New Roman" w:cs="Times New Roman" w:eastAsia="Times New Roman" w:hint="default"/>
        </w:rPr>
        <w:t>40%</w:t>
      </w:r>
      <w:r>
        <w:rPr/>
        <w:t>）。</w:t>
      </w:r>
      <w:r>
        <w:rPr>
          <w:w w:val="100"/>
        </w:rPr>
        <w:t> </w:t>
      </w:r>
      <w:r>
        <w:rPr>
          <w:spacing w:val="-2"/>
        </w:rPr>
        <w:t>本公司对可供出售权益工具投资的公允价值下跌</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的标准为：可供出售权益工具投</w:t>
      </w:r>
      <w:r>
        <w:rPr>
          <w:spacing w:val="-28"/>
        </w:rPr>
        <w:t> </w:t>
      </w:r>
      <w:r>
        <w:rPr>
          <w:spacing w:val="-28"/>
        </w:rPr>
      </w:r>
      <w:r>
        <w:rPr/>
        <w:t>资的公允价值连续下跌趋势已持续</w:t>
      </w:r>
      <w:r>
        <w:rPr>
          <w:rFonts w:ascii="Times New Roman" w:hAnsi="Times New Roman" w:cs="Times New Roman" w:eastAsia="Times New Roman" w:hint="default"/>
        </w:rPr>
        <w:t>12</w:t>
      </w:r>
      <w:r>
        <w:rPr/>
        <w:t>个月以上，且资产负债表日后</w:t>
      </w:r>
      <w:r>
        <w:rPr>
          <w:rFonts w:ascii="Times New Roman" w:hAnsi="Times New Roman" w:cs="Times New Roman" w:eastAsia="Times New Roman" w:hint="default"/>
        </w:rPr>
        <w:t>2</w:t>
      </w:r>
      <w:r>
        <w:rPr/>
        <w:t>个月无明显恢复迹象，</w:t>
      </w:r>
      <w:r>
        <w:rPr>
          <w:spacing w:val="-24"/>
        </w:rPr>
        <w:t> </w:t>
      </w:r>
      <w:r>
        <w:rPr>
          <w:spacing w:val="-24"/>
        </w:rPr>
      </w:r>
      <w:r>
        <w:rPr/>
        <w:t>本公司认为需按个别评估方式计提减值准备。</w:t>
      </w:r>
    </w:p>
    <w:p>
      <w:pPr>
        <w:pStyle w:val="BodyText"/>
        <w:spacing w:line="266" w:lineRule="auto" w:before="18"/>
        <w:ind w:left="1413" w:right="103"/>
        <w:jc w:val="left"/>
      </w:pPr>
      <w:r>
        <w:rPr>
          <w:rFonts w:ascii="Times New Roman" w:hAnsi="Times New Roman" w:cs="Times New Roman" w:eastAsia="Times New Roman" w:hint="default"/>
        </w:rPr>
        <w:t>2</w:t>
      </w:r>
      <w:r>
        <w:rPr/>
        <w:t>）以成本计量的金融资产</w:t>
      </w:r>
      <w:r>
        <w:rPr>
          <w:w w:val="100"/>
        </w:rPr>
        <w:t> </w:t>
      </w:r>
      <w:r>
        <w:rPr>
          <w:spacing w:val="-2"/>
        </w:rPr>
        <w:t>如果有客观证据表明该金融资产发生减值，将该金融资产的账面价值，与按照类似金融资产</w:t>
      </w:r>
      <w:r>
        <w:rPr>
          <w:spacing w:val="-53"/>
        </w:rPr>
        <w:t> </w:t>
      </w:r>
      <w:r>
        <w:rPr>
          <w:spacing w:val="-53"/>
        </w:rPr>
      </w:r>
      <w:r>
        <w:rPr>
          <w:spacing w:val="-2"/>
        </w:rPr>
        <w:t>当时市场收益率对未来现金流量折现确定的现值之间的差额，确认为减值损失，计入当期损</w:t>
      </w:r>
      <w:r>
        <w:rPr>
          <w:spacing w:val="-53"/>
        </w:rPr>
        <w:t> </w:t>
      </w:r>
      <w:r>
        <w:rPr>
          <w:spacing w:val="-53"/>
        </w:rPr>
      </w:r>
      <w:r>
        <w:rPr/>
        <w:t>益。发生的减值损失一经确认，不再转回。</w:t>
      </w:r>
    </w:p>
    <w:p>
      <w:pPr>
        <w:spacing w:line="240" w:lineRule="auto" w:before="12"/>
        <w:rPr>
          <w:rFonts w:ascii="宋体" w:hAnsi="宋体" w:cs="宋体" w:eastAsia="宋体" w:hint="default"/>
          <w:sz w:val="24"/>
          <w:szCs w:val="24"/>
        </w:rPr>
      </w:pPr>
    </w:p>
    <w:p>
      <w:pPr>
        <w:pStyle w:val="BodyText"/>
        <w:spacing w:line="271"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）衍生金融工具</w:t>
      </w:r>
      <w:r>
        <w:rPr>
          <w:rFonts w:ascii="宋体" w:hAnsi="宋体" w:cs="宋体" w:eastAsia="宋体" w:hint="default"/>
          <w:b/>
          <w:bCs/>
          <w:spacing w:val="-104"/>
        </w:rPr>
        <w:t> </w:t>
      </w:r>
      <w:r>
        <w:rPr>
          <w:spacing w:val="-2"/>
        </w:rPr>
        <w:t>本公司使用远期外汇合约、利率掉期和股指期货合约等衍生金融工具分别规避汇率、利率和</w:t>
      </w:r>
      <w:r>
        <w:rPr>
          <w:spacing w:val="-59"/>
        </w:rPr>
        <w:t> </w:t>
      </w:r>
      <w:r>
        <w:rPr>
          <w:spacing w:val="-59"/>
        </w:rPr>
      </w:r>
      <w:r>
        <w:rPr>
          <w:spacing w:val="-2"/>
        </w:rPr>
        <w:t>证券价格变动等风险。衍生金融工具初始以衍生交易合同签订当日的公允价值进行计量，并</w:t>
      </w:r>
      <w:r>
        <w:rPr>
          <w:spacing w:val="-59"/>
        </w:rPr>
        <w:t> </w:t>
      </w:r>
      <w:r>
        <w:rPr>
          <w:spacing w:val="-59"/>
        </w:rPr>
      </w:r>
      <w:r>
        <w:rPr>
          <w:spacing w:val="-2"/>
        </w:rPr>
        <w:t>以其公允价值进行后续计量。公允价值为正数的衍生金融工具确认为一项资产，公允价值为</w:t>
      </w:r>
      <w:r>
        <w:rPr>
          <w:spacing w:val="-59"/>
        </w:rPr>
        <w:t> </w:t>
      </w:r>
      <w:r>
        <w:rPr>
          <w:spacing w:val="-59"/>
        </w:rPr>
      </w:r>
      <w:r>
        <w:rPr>
          <w:spacing w:val="-2"/>
        </w:rPr>
        <w:t>负数的确认为一项负债。公允价值从活跃市场上的公开市场报价中取得（包括最近的市场交</w:t>
      </w:r>
      <w:r>
        <w:rPr>
          <w:spacing w:val="-57"/>
        </w:rPr>
        <w:t> </w:t>
      </w:r>
      <w:r>
        <w:rPr>
          <w:spacing w:val="-57"/>
        </w:rPr>
      </w:r>
      <w:r>
        <w:rPr>
          <w:spacing w:val="-2"/>
        </w:rPr>
        <w:t>易价格等），或使用估值技术确定（例如：现金流量折现法、期权定价模型等）。本公司对</w:t>
      </w:r>
      <w:r>
        <w:rPr>
          <w:spacing w:val="-61"/>
        </w:rPr>
        <w:t> </w:t>
      </w:r>
      <w:r>
        <w:rPr>
          <w:spacing w:val="-61"/>
        </w:rPr>
      </w:r>
      <w:r>
        <w:rPr>
          <w:spacing w:val="-2"/>
        </w:rPr>
        <w:t>场外交易的衍生工具作出了信贷估值调整及债务估值调整，以反映交易对手和公司自身的信</w:t>
      </w:r>
      <w:r>
        <w:rPr>
          <w:spacing w:val="-58"/>
        </w:rPr>
        <w:t> </w:t>
      </w:r>
      <w:r>
        <w:rPr>
          <w:spacing w:val="-58"/>
        </w:rPr>
      </w:r>
      <w:r>
        <w:rPr/>
        <w:t>用风险。</w:t>
      </w:r>
    </w:p>
    <w:p>
      <w:pPr>
        <w:spacing w:line="240" w:lineRule="auto" w:before="8"/>
        <w:rPr>
          <w:rFonts w:ascii="宋体" w:hAnsi="宋体" w:cs="宋体" w:eastAsia="宋体" w:hint="default"/>
          <w:sz w:val="24"/>
          <w:szCs w:val="24"/>
        </w:rPr>
      </w:pPr>
    </w:p>
    <w:p>
      <w:pPr>
        <w:pStyle w:val="BodyText"/>
        <w:spacing w:line="271"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）可转换债券</w:t>
      </w:r>
      <w:r>
        <w:rPr>
          <w:rFonts w:ascii="宋体" w:hAnsi="宋体" w:cs="宋体" w:eastAsia="宋体" w:hint="default"/>
          <w:b/>
          <w:bCs/>
          <w:spacing w:val="-104"/>
        </w:rPr>
        <w:t> </w:t>
      </w:r>
      <w:r>
        <w:rPr/>
        <w:t>本公司发行可转换债券时依据条款确定其是否同时包含负债和权益成份。发行的可转换债券</w:t>
      </w:r>
      <w:r>
        <w:rPr>
          <w:w w:val="100"/>
        </w:rPr>
        <w:t> </w:t>
      </w:r>
      <w:r>
        <w:rPr>
          <w:spacing w:val="-5"/>
        </w:rPr>
        <w:t>既包含负债也包含权益成份的，在初始确认时将负债和权益成份进行分拆，并分别进行处理。</w:t>
      </w:r>
      <w:r>
        <w:rPr>
          <w:spacing w:val="-41"/>
        </w:rPr>
        <w:t> </w:t>
      </w:r>
      <w:r>
        <w:rPr>
          <w:spacing w:val="-41"/>
        </w:rPr>
      </w:r>
      <w:r>
        <w:rPr/>
        <w:t>在进行分拆时，先确定负债成份的公允价值并以此作为其初始确认金额，再按照可转换债券</w:t>
      </w:r>
      <w:r>
        <w:rPr>
          <w:w w:val="100"/>
        </w:rPr>
        <w:t> </w:t>
      </w:r>
      <w:r>
        <w:rPr/>
        <w:t>整体的发行价格扣除负债成份初始确认金额后的金额确定权益成份的初始确认金额。交易费</w:t>
      </w:r>
      <w:r>
        <w:rPr>
          <w:w w:val="100"/>
        </w:rPr>
        <w:t> </w:t>
      </w:r>
      <w:r>
        <w:rPr/>
        <w:t>用在负债成份和权益成份之间按照各自的相对公允价值进行分摊。负债成份作为负债列示，</w:t>
      </w:r>
      <w:r>
        <w:rPr>
          <w:w w:val="100"/>
        </w:rPr>
        <w:t> </w:t>
      </w:r>
      <w:r>
        <w:rPr/>
        <w:t>以摊余成本进行后续计量，直至被撤销、转换或赎回。权益成份作为权益列示，不进行后续</w:t>
      </w:r>
      <w:r>
        <w:rPr>
          <w:w w:val="100"/>
        </w:rPr>
        <w:t> </w:t>
      </w:r>
      <w:r>
        <w:rPr/>
        <w:t>计量。</w:t>
      </w:r>
    </w:p>
    <w:p>
      <w:pPr>
        <w:spacing w:line="240" w:lineRule="auto" w:before="8"/>
        <w:rPr>
          <w:rFonts w:ascii="宋体" w:hAnsi="宋体" w:cs="宋体" w:eastAsia="宋体" w:hint="default"/>
          <w:sz w:val="24"/>
          <w:szCs w:val="24"/>
        </w:rPr>
      </w:pPr>
    </w:p>
    <w:p>
      <w:pPr>
        <w:pStyle w:val="BodyText"/>
        <w:spacing w:line="264"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9</w:t>
      </w:r>
      <w:r>
        <w:rPr>
          <w:rFonts w:ascii="宋体" w:hAnsi="宋体" w:cs="宋体" w:eastAsia="宋体" w:hint="default"/>
          <w:b/>
          <w:bCs/>
        </w:rPr>
        <w:t>）金融工具的抵销</w:t>
      </w:r>
      <w:r>
        <w:rPr>
          <w:rFonts w:ascii="宋体" w:hAnsi="宋体" w:cs="宋体" w:eastAsia="宋体" w:hint="default"/>
          <w:b/>
          <w:bCs/>
          <w:w w:val="100"/>
        </w:rPr>
        <w:t> </w:t>
      </w:r>
      <w:r>
        <w:rPr>
          <w:spacing w:val="2"/>
        </w:rPr>
        <w:t>当依法有权抵销债权债务且该法定权利现在是可执行的，同时交易双方准备按净额进行结</w:t>
      </w:r>
      <w:r>
        <w:rPr>
          <w:spacing w:val="-24"/>
        </w:rPr>
        <w:t> </w:t>
      </w:r>
      <w:r>
        <w:rPr>
          <w:spacing w:val="-24"/>
        </w:rPr>
      </w:r>
      <w:r>
        <w:rPr/>
        <w:t>算，或同时结清资产和负债时，金融资产和负债以抵销后的净额在财务状况表中列示。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ind w:right="103"/>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3"/>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 和。</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after="0" w:line="316" w:lineRule="auto"/>
        <w:jc w:val="both"/>
        <w:rPr>
          <w:rFonts w:ascii="宋体" w:hAnsi="宋体" w:cs="宋体" w:eastAsia="宋体" w:hint="default"/>
          <w:sz w:val="18"/>
          <w:szCs w:val="18"/>
        </w:rPr>
        <w:sectPr>
          <w:pgSz w:w="11910" w:h="16840"/>
          <w:pgMar w:header="852" w:footer="979" w:top="1300" w:bottom="1160" w:left="980" w:right="920"/>
        </w:sectPr>
      </w:pPr>
    </w:p>
    <w:p>
      <w:pPr>
        <w:pStyle w:val="Heading5"/>
        <w:spacing w:line="240" w:lineRule="auto" w:before="108"/>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集团公司内部往来形成的应收款项不计提减值准备（集团公 司指本公司及本公司纳入合并范围的子公司）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单项金额不重大但经单项测试后存在减值的应收款项。</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4"/>
          <w:szCs w:val="24"/>
        </w:rPr>
      </w:pPr>
    </w:p>
    <w:p>
      <w:pPr>
        <w:pStyle w:val="BodyText"/>
        <w:spacing w:line="271" w:lineRule="auto"/>
        <w:ind w:left="1413" w:right="0"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）共同控制、重大影响的判断标准</w:t>
      </w:r>
      <w:r>
        <w:rPr>
          <w:rFonts w:ascii="宋体" w:hAnsi="宋体" w:cs="宋体" w:eastAsia="宋体" w:hint="default"/>
          <w:b/>
          <w:bCs/>
          <w:w w:val="100"/>
        </w:rPr>
        <w:t> </w:t>
      </w:r>
      <w:r>
        <w:rPr>
          <w:spacing w:val="-2"/>
        </w:rPr>
        <w:t>共同控制，是指按照相关约定对某项安排所共有的控制，并且该安排的相关活动必须经过分</w:t>
      </w:r>
      <w:r>
        <w:rPr>
          <w:spacing w:val="-57"/>
        </w:rPr>
        <w:t> </w:t>
      </w:r>
      <w:r>
        <w:rPr>
          <w:spacing w:val="-57"/>
        </w:rPr>
      </w:r>
      <w:r>
        <w:rPr>
          <w:spacing w:val="-2"/>
        </w:rPr>
        <w:t>享控制权的参与方一致同意后才能决策。本公司与其他合营方一同对被投资单位实施共同控</w:t>
      </w:r>
      <w:r>
        <w:rPr>
          <w:spacing w:val="-58"/>
        </w:rPr>
        <w:t> </w:t>
      </w:r>
      <w:r>
        <w:rPr>
          <w:spacing w:val="-58"/>
        </w:rPr>
      </w:r>
      <w:r>
        <w:rPr/>
        <w:t>制且对被投资单位净资产享有权利的，被投资单位为本公司的合营企业。</w:t>
      </w:r>
      <w:r>
        <w:rPr>
          <w:w w:val="100"/>
        </w:rPr>
        <w:t> </w:t>
      </w:r>
      <w:r>
        <w:rPr>
          <w:spacing w:val="-2"/>
        </w:rPr>
        <w:t>重大影响，是指对一个企业的财务和经营决策有参与决策的权力，但并不能够控制或者与其</w:t>
      </w:r>
      <w:r>
        <w:rPr>
          <w:spacing w:val="-57"/>
        </w:rPr>
        <w:t> </w:t>
      </w:r>
      <w:r>
        <w:rPr>
          <w:spacing w:val="-57"/>
        </w:rPr>
      </w:r>
      <w:r>
        <w:rPr>
          <w:spacing w:val="-2"/>
        </w:rPr>
        <w:t>他方一起共同控制这些政策的制定。本公司能够对被投资单位施加重大影响的，被投资单位</w:t>
      </w:r>
      <w:r>
        <w:rPr>
          <w:spacing w:val="-58"/>
        </w:rPr>
        <w:t> </w:t>
      </w:r>
      <w:r>
        <w:rPr>
          <w:spacing w:val="-58"/>
        </w:rPr>
      </w:r>
      <w:r>
        <w:rPr/>
        <w:t>为本公司联营企业。</w:t>
      </w:r>
    </w:p>
    <w:p>
      <w:pPr>
        <w:spacing w:line="240" w:lineRule="auto" w:before="8"/>
        <w:rPr>
          <w:rFonts w:ascii="宋体" w:hAnsi="宋体" w:cs="宋体" w:eastAsia="宋体" w:hint="default"/>
          <w:sz w:val="24"/>
          <w:szCs w:val="24"/>
        </w:rPr>
      </w:pPr>
    </w:p>
    <w:p>
      <w:pPr>
        <w:pStyle w:val="Heading5"/>
        <w:spacing w:line="240" w:lineRule="auto"/>
        <w:ind w:left="1408" w:right="0"/>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268" w:lineRule="auto" w:before="21"/>
        <w:ind w:left="1413" w:right="0"/>
        <w:jc w:val="left"/>
      </w:pPr>
      <w:r>
        <w:rPr/>
        <w:t>（</w:t>
      </w:r>
      <w:r>
        <w:rPr>
          <w:rFonts w:ascii="Times New Roman" w:hAnsi="Times New Roman" w:cs="Times New Roman" w:eastAsia="Times New Roman" w:hint="default"/>
        </w:rPr>
        <w:t>1</w:t>
      </w:r>
      <w:r>
        <w:rPr/>
        <w:t>）企业合并形成的长期股权投资</w:t>
      </w:r>
      <w:r>
        <w:rPr>
          <w:w w:val="100"/>
        </w:rPr>
        <w:t> </w:t>
      </w:r>
      <w:r>
        <w:rPr>
          <w:spacing w:val="-2"/>
        </w:rPr>
        <w:t>同一控制下的企业合并：公司以支付现金、转让非现金资产或承担债务方式以及以发行权益</w:t>
      </w:r>
      <w:r>
        <w:rPr>
          <w:spacing w:val="-53"/>
        </w:rPr>
        <w:t> </w:t>
      </w:r>
      <w:r>
        <w:rPr>
          <w:spacing w:val="-53"/>
        </w:rPr>
      </w:r>
      <w:r>
        <w:rPr>
          <w:spacing w:val="-2"/>
        </w:rPr>
        <w:t>性证券作为合并对价的，在合并日按照取得被合并方所有者权益在最终控制方合并财务报表</w:t>
      </w:r>
      <w:r>
        <w:rPr>
          <w:spacing w:val="-53"/>
        </w:rPr>
        <w:t> </w:t>
      </w:r>
      <w:r>
        <w:rPr>
          <w:spacing w:val="-53"/>
        </w:rPr>
      </w:r>
      <w:r>
        <w:rPr>
          <w:spacing w:val="-2"/>
        </w:rPr>
        <w:t>中的账面价值的份额作为长期股权投资的初始投资成本。因追加投资等原因能够对同一控制</w:t>
      </w:r>
      <w:r>
        <w:rPr>
          <w:spacing w:val="-53"/>
        </w:rPr>
        <w:t> </w:t>
      </w:r>
      <w:r>
        <w:rPr>
          <w:spacing w:val="-53"/>
        </w:rPr>
      </w:r>
      <w:r>
        <w:rPr>
          <w:spacing w:val="-2"/>
        </w:rPr>
        <w:t>下的被投资单位实施控制的，在合并日根据合并后应享有被合并方净资产在最终控制方合并</w:t>
      </w:r>
    </w:p>
    <w:p>
      <w:pPr>
        <w:spacing w:after="0" w:line="268" w:lineRule="auto"/>
        <w:jc w:val="left"/>
        <w:sectPr>
          <w:pgSz w:w="11910" w:h="16840"/>
          <w:pgMar w:header="852" w:footer="979" w:top="1300" w:bottom="1160" w:left="980" w:right="980"/>
        </w:sectPr>
      </w:pPr>
    </w:p>
    <w:p>
      <w:pPr>
        <w:pStyle w:val="BodyText"/>
        <w:spacing w:line="273" w:lineRule="auto" w:before="108"/>
        <w:ind w:left="1413" w:right="103"/>
        <w:jc w:val="left"/>
      </w:pPr>
      <w:r>
        <w:rPr>
          <w:spacing w:val="-2"/>
        </w:rPr>
        <w:t>财务报表中的账面价值的份额，确定长期股权投资的初始投资成本。合并日长期股权投资的</w:t>
      </w:r>
      <w:r>
        <w:rPr>
          <w:spacing w:val="-53"/>
        </w:rPr>
        <w:t> </w:t>
      </w:r>
      <w:r>
        <w:rPr>
          <w:spacing w:val="-53"/>
        </w:rPr>
      </w:r>
      <w:r>
        <w:rPr>
          <w:spacing w:val="-2"/>
        </w:rPr>
        <w:t>初始投资成本，与达到合并前的长期股权投资账面价值加上合并日进一步取得股份新支付对</w:t>
      </w:r>
      <w:r>
        <w:rPr>
          <w:spacing w:val="-53"/>
        </w:rPr>
        <w:t> </w:t>
      </w:r>
      <w:r>
        <w:rPr>
          <w:spacing w:val="-53"/>
        </w:rPr>
      </w:r>
      <w:r>
        <w:rPr/>
        <w:t>价的账面价值之和的差额，调整股本溢价，股本溢价不足冲减的，冲减留存收益。</w:t>
      </w:r>
      <w:r>
        <w:rPr>
          <w:w w:val="100"/>
        </w:rPr>
        <w:t> </w:t>
      </w:r>
      <w:r>
        <w:rPr>
          <w:spacing w:val="-2"/>
        </w:rPr>
        <w:t>非同一控制下的企业合并：公司按照购买日确定的合并成本作为长期股权投资的初始投资成</w:t>
      </w:r>
      <w:r>
        <w:rPr>
          <w:spacing w:val="-53"/>
        </w:rPr>
        <w:t> </w:t>
      </w:r>
      <w:r>
        <w:rPr>
          <w:spacing w:val="-53"/>
        </w:rPr>
      </w:r>
      <w:r>
        <w:rPr>
          <w:spacing w:val="-2"/>
        </w:rPr>
        <w:t>本。因追加投资等原因能够对非同一控制下的被投资单位实施控制的，按照原持有的股权投</w:t>
      </w:r>
      <w:r>
        <w:rPr>
          <w:spacing w:val="-53"/>
        </w:rPr>
        <w:t> </w:t>
      </w:r>
      <w:r>
        <w:rPr>
          <w:spacing w:val="-53"/>
        </w:rPr>
      </w:r>
      <w:r>
        <w:rPr/>
        <w:t>资账面价值加上新增投资成本之和，作为改按成本法核算的初始投资成本。</w:t>
      </w:r>
    </w:p>
    <w:p>
      <w:pPr>
        <w:pStyle w:val="BodyText"/>
        <w:spacing w:line="271" w:lineRule="auto" w:before="7"/>
        <w:ind w:left="1413" w:right="206"/>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spacing w:val="2"/>
        </w:rPr>
        <w:t>以发行权益性证券取得的长期股权投资，按照发行权益性证券的公允价值作为初始投资成</w:t>
      </w:r>
      <w:r>
        <w:rPr>
          <w:spacing w:val="-19"/>
        </w:rPr>
        <w:t> </w:t>
      </w:r>
      <w:r>
        <w:rPr>
          <w:spacing w:val="-19"/>
        </w:rPr>
      </w:r>
      <w:r>
        <w:rPr/>
        <w:t>本。</w:t>
      </w:r>
      <w:r>
        <w:rPr>
          <w:spacing w:val="-103"/>
        </w:rPr>
        <w:t> </w:t>
      </w:r>
      <w:r>
        <w:rPr>
          <w:spacing w:val="2"/>
        </w:rPr>
        <w:t>在非货币性资产交换具备商业实质和换入资产或换出资产的公允价值能够可靠计量的前提</w:t>
      </w:r>
      <w:r>
        <w:rPr>
          <w:spacing w:val="-17"/>
        </w:rPr>
        <w:t> </w:t>
      </w:r>
      <w:r>
        <w:rPr>
          <w:spacing w:val="-17"/>
        </w:rPr>
      </w:r>
      <w:r>
        <w:rPr>
          <w:spacing w:val="-2"/>
        </w:rPr>
        <w:t>下，非货币性资产交换换入的长期股权投资以换出资产的公允价值和应支付的相关税费确定</w:t>
      </w:r>
      <w:r>
        <w:rPr>
          <w:spacing w:val="-53"/>
        </w:rPr>
        <w:t> </w:t>
      </w:r>
      <w:r>
        <w:rPr>
          <w:spacing w:val="-53"/>
        </w:rPr>
      </w:r>
      <w:r>
        <w:rPr>
          <w:spacing w:val="-2"/>
        </w:rPr>
        <w:t>其初始投资成本，除非有确凿证据表明换入资产的公允价值更加可靠；不满足上述前提的非</w:t>
      </w:r>
      <w:r>
        <w:rPr>
          <w:spacing w:val="-53"/>
        </w:rPr>
        <w:t> </w:t>
      </w:r>
      <w:r>
        <w:rPr>
          <w:spacing w:val="-53"/>
        </w:rPr>
      </w:r>
      <w:r>
        <w:rPr>
          <w:spacing w:val="-2"/>
        </w:rPr>
        <w:t>货币性资产交换，以换出资产的账面价值和应支付的相关税费作为换入长期股权投资的初始</w:t>
      </w:r>
      <w:r>
        <w:rPr>
          <w:spacing w:val="-53"/>
        </w:rPr>
        <w:t> </w:t>
      </w:r>
      <w:r>
        <w:rPr>
          <w:spacing w:val="-53"/>
        </w:rPr>
      </w:r>
      <w:r>
        <w:rPr/>
        <w:t>投资成本。</w:t>
      </w:r>
      <w:r>
        <w:rPr>
          <w:spacing w:val="-102"/>
        </w:rPr>
        <w:t> </w:t>
      </w:r>
      <w:r>
        <w:rPr>
          <w:spacing w:val="-102"/>
        </w:rPr>
      </w:r>
      <w:r>
        <w:rPr/>
        <w:t>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5"/>
        <w:spacing w:line="240" w:lineRule="auto"/>
        <w:ind w:left="1408" w:right="103"/>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266" w:lineRule="auto" w:before="21"/>
        <w:ind w:left="1413" w:right="103"/>
        <w:jc w:val="left"/>
      </w:pPr>
      <w:r>
        <w:rPr>
          <w:rFonts w:ascii="Times New Roman" w:hAnsi="Times New Roman" w:cs="Times New Roman" w:eastAsia="Times New Roman" w:hint="default"/>
        </w:rPr>
        <w:t>1</w:t>
      </w:r>
      <w:r>
        <w:rPr/>
        <w:t>）成本法核算的长期股权投资</w:t>
      </w:r>
      <w:r>
        <w:rPr>
          <w:w w:val="100"/>
        </w:rPr>
        <w:t> </w:t>
      </w:r>
      <w:r>
        <w:rPr>
          <w:spacing w:val="-2"/>
        </w:rPr>
        <w:t>公司对子公司的长期股权投资，采用成本法核算。除取得投资时实际支付的价款或对价中包</w:t>
      </w:r>
      <w:r>
        <w:rPr>
          <w:spacing w:val="-52"/>
        </w:rPr>
        <w:t> </w:t>
      </w:r>
      <w:r>
        <w:rPr>
          <w:spacing w:val="-52"/>
        </w:rPr>
      </w:r>
      <w:r>
        <w:rPr>
          <w:spacing w:val="-2"/>
        </w:rPr>
        <w:t>含的已宣告但尚未发放的现金股利或利润外，公司按照享有被投资单位宣告发放的现金股利</w:t>
      </w:r>
      <w:r>
        <w:rPr>
          <w:spacing w:val="-53"/>
        </w:rPr>
        <w:t> </w:t>
      </w:r>
      <w:r>
        <w:rPr>
          <w:spacing w:val="-53"/>
        </w:rPr>
      </w:r>
      <w:r>
        <w:rPr/>
        <w:t>或利润确认当期投资收益。</w:t>
      </w:r>
    </w:p>
    <w:p>
      <w:pPr>
        <w:pStyle w:val="BodyText"/>
        <w:spacing w:line="271" w:lineRule="auto" w:before="14"/>
        <w:ind w:left="1413" w:right="103"/>
        <w:jc w:val="left"/>
      </w:pPr>
      <w:r>
        <w:rPr>
          <w:rFonts w:ascii="Times New Roman" w:hAnsi="Times New Roman" w:cs="Times New Roman" w:eastAsia="Times New Roman" w:hint="default"/>
        </w:rPr>
        <w:t>2</w:t>
      </w:r>
      <w:r>
        <w:rPr/>
        <w:t>）权益法核算的长期股权投资</w:t>
      </w:r>
      <w:r>
        <w:rPr>
          <w:w w:val="100"/>
        </w:rPr>
        <w:t> </w:t>
      </w:r>
      <w:r>
        <w:rPr/>
        <w:t>对联营企业和合营企业的长期股权投资，采用权益法核算。初始投资成本大于投资时应享有</w:t>
      </w:r>
      <w:r>
        <w:rPr>
          <w:w w:val="100"/>
        </w:rPr>
        <w:t> </w:t>
      </w:r>
      <w:r>
        <w:rPr/>
        <w:t>被投资单位可辨认净资产公允价值份额的差额，不调整长期股权投资的初始投资成本；初始</w:t>
      </w:r>
      <w:r>
        <w:rPr>
          <w:w w:val="100"/>
        </w:rPr>
        <w:t> </w:t>
      </w:r>
      <w:r>
        <w:rPr/>
        <w:t>投资成本小于投资时应享有被投资单位可辨认净资产公允价值份额的差额，计入当期损益。</w:t>
      </w:r>
      <w:r>
        <w:rPr>
          <w:w w:val="100"/>
        </w:rPr>
        <w:t> </w:t>
      </w:r>
      <w:r>
        <w:rPr/>
        <w:t>公司按照应享有或应分担的被投资单位实现的净损益和其他综合收益的份额，分别确认投资</w:t>
      </w:r>
      <w:r>
        <w:rPr>
          <w:w w:val="100"/>
        </w:rPr>
        <w:t> </w:t>
      </w:r>
      <w:r>
        <w:rPr/>
        <w:t>收益和其他综合收益，同时调整长期股权投资的账面价值；按照被投资单位宣告分派的利润</w:t>
      </w:r>
      <w:r>
        <w:rPr>
          <w:w w:val="100"/>
        </w:rPr>
        <w:t> </w:t>
      </w:r>
      <w:r>
        <w:rPr/>
        <w:t>或现金股利计算应享有的部分，相应减少长期股权投资的账面价值；对于被投资单位除净损</w:t>
      </w:r>
      <w:r>
        <w:rPr>
          <w:w w:val="100"/>
        </w:rPr>
        <w:t> </w:t>
      </w:r>
      <w:r>
        <w:rPr/>
        <w:t>益、其他综合收益和利润分配以外所有者权益的其他变动，调整长期股权投资的账面价值并</w:t>
      </w:r>
      <w:r>
        <w:rPr>
          <w:w w:val="100"/>
        </w:rPr>
        <w:t> </w:t>
      </w:r>
      <w:r>
        <w:rPr/>
        <w:t>计入所有者权益。</w:t>
      </w:r>
      <w:r>
        <w:rPr>
          <w:w w:val="100"/>
        </w:rPr>
        <w:t> </w:t>
      </w:r>
      <w:r>
        <w:rPr/>
        <w:t>在确认应享有被投资单位净损益的份额时，以取得投资时被投资单位可辨认净资产的公允价</w:t>
      </w:r>
      <w:r>
        <w:rPr>
          <w:w w:val="100"/>
        </w:rPr>
        <w:t> </w:t>
      </w:r>
      <w:r>
        <w:rPr/>
        <w:t>值为基础，并按照公司的会计政策及会计期间，对被投资单位的净利润进行调整后确认。在</w:t>
      </w:r>
      <w:r>
        <w:rPr>
          <w:w w:val="100"/>
        </w:rPr>
        <w:t> </w:t>
      </w:r>
      <w:r>
        <w:rPr/>
        <w:t>持有投资期间，被投资单位编制合并财务报表的，以合并财务报表中的净利润、其他综合收</w:t>
      </w:r>
      <w:r>
        <w:rPr>
          <w:w w:val="100"/>
        </w:rPr>
        <w:t> </w:t>
      </w:r>
      <w:r>
        <w:rPr/>
        <w:t>益和其他所有者权益变动中归属于被投资单位的金额为基础进行核算。</w:t>
      </w:r>
      <w:r>
        <w:rPr>
          <w:w w:val="100"/>
        </w:rPr>
        <w:t> </w:t>
      </w:r>
      <w:r>
        <w:rPr/>
        <w:t>公司与联营企业、合营企业之间发生的未实现内部交易损益按照应享有的比例计算归属于公</w:t>
      </w:r>
      <w:r>
        <w:rPr>
          <w:w w:val="100"/>
        </w:rPr>
        <w:t> </w:t>
      </w:r>
      <w:r>
        <w:rPr>
          <w:spacing w:val="-5"/>
        </w:rPr>
        <w:t>司的部分，予以抵销，在此基础上确认投资收益。与被投资单位发生的未实现内部交易损失，</w:t>
      </w:r>
      <w:r>
        <w:rPr>
          <w:spacing w:val="-32"/>
        </w:rPr>
        <w:t> </w:t>
      </w:r>
      <w:r>
        <w:rPr>
          <w:spacing w:val="-32"/>
        </w:rPr>
      </w:r>
      <w:r>
        <w:rPr/>
        <w:t>属于资产减值损失的，全额确认。</w:t>
      </w:r>
      <w:r>
        <w:rPr>
          <w:w w:val="100"/>
        </w:rPr>
        <w:t> </w:t>
      </w:r>
      <w:r>
        <w:rPr/>
        <w:t>在公司确认应分担被投资单位发生的亏损时，按照以下顺序进行处理：首先，冲减长期股权</w:t>
      </w:r>
      <w:r>
        <w:rPr>
          <w:w w:val="100"/>
        </w:rPr>
        <w:t> </w:t>
      </w:r>
      <w:r>
        <w:rPr/>
        <w:t>投资的账面价值。其次，长期股权投资的账面价值不足以冲减的，以其他实质上构成对被投</w:t>
      </w:r>
      <w:r>
        <w:rPr>
          <w:w w:val="100"/>
        </w:rPr>
        <w:t> </w:t>
      </w:r>
      <w:r>
        <w:rPr>
          <w:spacing w:val="2"/>
        </w:rPr>
        <w:t>资单位净投资的长期权益账面价值为限继续确认投资损失，冲减长期应收项目等的账面价</w:t>
      </w:r>
      <w:r>
        <w:rPr>
          <w:spacing w:val="-19"/>
        </w:rPr>
        <w:t> </w:t>
      </w:r>
      <w:r>
        <w:rPr>
          <w:spacing w:val="-19"/>
        </w:rPr>
      </w:r>
      <w:r>
        <w:rPr/>
        <w:t>值。最后，经过上述处理，按照投资合同或协议约定企业仍承担额外义务的，按预计承担的</w:t>
      </w:r>
      <w:r>
        <w:rPr>
          <w:w w:val="100"/>
        </w:rPr>
        <w:t> </w:t>
      </w:r>
      <w:r>
        <w:rPr/>
        <w:t>义务确认预计负债，计入当期投资损失。</w:t>
      </w:r>
    </w:p>
    <w:p>
      <w:pPr>
        <w:pStyle w:val="BodyText"/>
        <w:spacing w:line="240" w:lineRule="auto" w:before="10"/>
        <w:ind w:left="1413" w:right="103"/>
        <w:jc w:val="left"/>
      </w:pPr>
      <w:r>
        <w:rPr>
          <w:rFonts w:ascii="Times New Roman" w:hAnsi="Times New Roman" w:cs="Times New Roman" w:eastAsia="Times New Roman" w:hint="default"/>
        </w:rPr>
        <w:t>3</w:t>
      </w:r>
      <w:r>
        <w:rPr/>
        <w:t>）长期股权投资的处置</w:t>
      </w:r>
    </w:p>
    <w:p>
      <w:pPr>
        <w:spacing w:after="0" w:line="240" w:lineRule="auto"/>
        <w:jc w:val="left"/>
        <w:sectPr>
          <w:pgSz w:w="11910" w:h="16840"/>
          <w:pgMar w:header="852" w:footer="979" w:top="1300" w:bottom="1160" w:left="980" w:right="920"/>
        </w:sectPr>
      </w:pPr>
    </w:p>
    <w:p>
      <w:pPr>
        <w:pStyle w:val="BodyText"/>
        <w:spacing w:line="273" w:lineRule="auto" w:before="108"/>
        <w:ind w:left="1413" w:right="103"/>
        <w:jc w:val="left"/>
      </w:pPr>
      <w:r>
        <w:rPr/>
        <w:t>处置长期股权投资，其账面价值与实际取得价款的差额，计入当期损益。</w:t>
      </w:r>
      <w:r>
        <w:rPr>
          <w:w w:val="100"/>
        </w:rPr>
        <w:t> </w:t>
      </w:r>
      <w:r>
        <w:rPr/>
        <w:t>采用权益法核算的长期股权投资，在处置该项投资时，采用与被投资单位直接处置相关资产</w:t>
      </w:r>
      <w:r>
        <w:rPr>
          <w:w w:val="100"/>
        </w:rPr>
        <w:t> </w:t>
      </w:r>
      <w:r>
        <w:rPr/>
        <w:t>或负债相同的基础，按相应比例对原计入其他综合收益的部分进行会计处理。因被投资单位</w:t>
      </w:r>
      <w:r>
        <w:rPr>
          <w:w w:val="100"/>
        </w:rPr>
        <w:t> </w:t>
      </w:r>
      <w:r>
        <w:rPr/>
        <w:t>除净损益、其他综合收益和利润分配以外的其他所有者权益变动而确认的所有者权益，按比</w:t>
      </w:r>
      <w:r>
        <w:rPr>
          <w:w w:val="100"/>
        </w:rPr>
        <w:t> </w:t>
      </w:r>
      <w:r>
        <w:rPr/>
        <w:t>例结转入当期损益，由于被投资方重新计量设定受益计划净负债或净资产变动而产生的其他</w:t>
      </w:r>
      <w:r>
        <w:rPr>
          <w:w w:val="100"/>
        </w:rPr>
        <w:t> </w:t>
      </w:r>
      <w:r>
        <w:rPr/>
        <w:t>综合收益除外。</w:t>
      </w:r>
      <w:r>
        <w:rPr>
          <w:spacing w:val="-103"/>
        </w:rPr>
        <w:t> </w:t>
      </w:r>
      <w:r>
        <w:rPr>
          <w:spacing w:val="-103"/>
        </w:rPr>
      </w:r>
      <w:r>
        <w:rPr/>
        <w:t>因处置部分股权投资等原因丧失了对被投资单位的共同控制或重大影响的，处置后的剩余股</w:t>
      </w:r>
      <w:r>
        <w:rPr>
          <w:w w:val="100"/>
        </w:rPr>
        <w:t> </w:t>
      </w:r>
      <w:r>
        <w:rPr/>
        <w:t>权改按金融工具确认和计量准则核算，其在丧失共同控制或重大影响之日的公允价值与账面</w:t>
      </w:r>
      <w:r>
        <w:rPr>
          <w:w w:val="100"/>
        </w:rPr>
        <w:t> </w:t>
      </w:r>
      <w:r>
        <w:rPr/>
        <w:t>价值之间的差额计入当期损益。原股权投资因采用权益法核算而确认的其他综合收益，在终</w:t>
      </w:r>
      <w:r>
        <w:rPr>
          <w:w w:val="100"/>
        </w:rPr>
        <w:t> </w:t>
      </w:r>
      <w:r>
        <w:rPr/>
        <w:t>止采用权益法核算时采用与被投资单位直接处置相关资产或负债相同的基础进行会计处理。</w:t>
      </w:r>
      <w:r>
        <w:rPr>
          <w:w w:val="100"/>
        </w:rPr>
        <w:t> </w:t>
      </w:r>
      <w:r>
        <w:rPr/>
        <w:t>因被投资方除净损益、其他综合收益和利润分配以外的其他所有者权益变动而确认的所有者</w:t>
      </w:r>
      <w:r>
        <w:rPr>
          <w:w w:val="100"/>
        </w:rPr>
        <w:t> </w:t>
      </w:r>
      <w:r>
        <w:rPr/>
        <w:t>权益，在终止采用权益法核算时全部转入当期损益。</w:t>
      </w:r>
      <w:r>
        <w:rPr>
          <w:w w:val="100"/>
        </w:rPr>
        <w:t> </w:t>
      </w:r>
      <w:r>
        <w:rPr/>
        <w:t>因处置部分股权投资、因其他投资方对子公司增资而导致本公司持股比例下降等原因丧失了</w:t>
      </w:r>
      <w:r>
        <w:rPr>
          <w:w w:val="100"/>
        </w:rPr>
        <w:t> </w:t>
      </w:r>
      <w:r>
        <w:rPr/>
        <w:t>对被投资单位控制权的，在编制个别财务报表时，剩余股权能够对被投资单位实施共同控制</w:t>
      </w:r>
      <w:r>
        <w:rPr>
          <w:w w:val="100"/>
        </w:rPr>
        <w:t> </w:t>
      </w:r>
      <w:r>
        <w:rPr>
          <w:spacing w:val="-5"/>
        </w:rPr>
        <w:t>或重大影响的，改按权益法核算，并对该剩余股权视同自取得时即采用权益法核算进行调整；</w:t>
      </w:r>
      <w:r>
        <w:rPr>
          <w:spacing w:val="-36"/>
        </w:rPr>
        <w:t> </w:t>
      </w:r>
      <w:r>
        <w:rPr>
          <w:spacing w:val="-36"/>
        </w:rPr>
      </w:r>
      <w:r>
        <w:rPr/>
        <w:t>剩余股权不能对被投资单位实施共同控制或施加重大影响的，改按金融工具确认和计量准则</w:t>
      </w:r>
      <w:r>
        <w:rPr>
          <w:w w:val="100"/>
        </w:rPr>
        <w:t> </w:t>
      </w:r>
      <w:r>
        <w:rPr>
          <w:spacing w:val="2"/>
        </w:rPr>
        <w:t>的有关规定进行会计处理，其在丧失控制之日的公允价值与账面价值间的差额计入当期损</w:t>
      </w:r>
      <w:r>
        <w:rPr>
          <w:spacing w:val="-19"/>
        </w:rPr>
        <w:t> </w:t>
      </w:r>
      <w:r>
        <w:rPr>
          <w:spacing w:val="-19"/>
        </w:rPr>
      </w:r>
      <w:r>
        <w:rPr/>
        <w:t>益。</w:t>
      </w:r>
      <w:r>
        <w:rPr>
          <w:spacing w:val="-103"/>
        </w:rPr>
        <w:t> </w:t>
      </w:r>
      <w:r>
        <w:rPr/>
        <w:t>处置的股权是因追加投资等原因通过企业合并取得的，在编制个别财务报表时，处置后的剩</w:t>
      </w:r>
      <w:r>
        <w:rPr>
          <w:w w:val="100"/>
        </w:rPr>
        <w:t> </w:t>
      </w:r>
      <w:r>
        <w:rPr/>
        <w:t>余股权采用成本法或权益法核算的，购买日之前持有的股权投资因采用权益法核算而确认的</w:t>
      </w:r>
      <w:r>
        <w:rPr>
          <w:w w:val="100"/>
        </w:rPr>
        <w:t> </w:t>
      </w:r>
      <w:r>
        <w:rPr/>
        <w:t>其他综合收益和其他所有者权益按比例结转；处置后的剩余股权改按金融工具确认和计量准</w:t>
      </w:r>
      <w:r>
        <w:rPr>
          <w:w w:val="100"/>
        </w:rPr>
        <w:t> </w:t>
      </w:r>
      <w:r>
        <w:rPr/>
        <w:t>则进行会计处理的，其他综合收益和其他所有者权益全部结转。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3"/>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206"/>
        <w:jc w:val="both"/>
      </w:pPr>
      <w:r>
        <w:rPr>
          <w:spacing w:val="-2"/>
        </w:rPr>
        <w:t>固定资产指为生产商品、提供劳务、出租或经营管理而持有，并且使用寿命超过一个会计年</w:t>
      </w:r>
      <w:r>
        <w:rPr>
          <w:spacing w:val="-54"/>
        </w:rPr>
        <w:t> </w:t>
      </w:r>
      <w:r>
        <w:rPr>
          <w:spacing w:val="-54"/>
        </w:rPr>
      </w:r>
      <w:r>
        <w:rPr/>
        <w:t>度的有形资产。固定资产在同时满足下列条件时予以确认：</w:t>
      </w:r>
      <w:r>
        <w:rPr>
          <w:rFonts w:ascii="宋体" w:hAnsi="宋体" w:cs="宋体" w:eastAsia="宋体" w:hint="default"/>
        </w:rPr>
        <w:t>1</w:t>
      </w:r>
      <w:r>
        <w:rPr/>
        <w:t>）与该固定资产有关的经济利</w:t>
      </w:r>
      <w:r>
        <w:rPr>
          <w:spacing w:val="-25"/>
        </w:rPr>
        <w:t> </w:t>
      </w:r>
      <w:r>
        <w:rPr>
          <w:spacing w:val="-25"/>
        </w:rPr>
      </w:r>
      <w:r>
        <w:rPr/>
        <w:t>益很可能流入企业；</w:t>
      </w:r>
      <w:r>
        <w:rPr>
          <w:rFonts w:ascii="宋体" w:hAnsi="宋体" w:cs="宋体" w:eastAsia="宋体" w:hint="default"/>
        </w:rPr>
        <w:t>2</w:t>
      </w:r>
      <w:r>
        <w:rPr/>
        <w:t>）该固定资产的成本能够可靠地计量。</w:t>
      </w:r>
    </w:p>
    <w:p>
      <w:pPr>
        <w:spacing w:line="240" w:lineRule="auto" w:before="7"/>
        <w:rPr>
          <w:rFonts w:ascii="宋体" w:hAnsi="宋体" w:cs="宋体" w:eastAsia="宋体" w:hint="default"/>
          <w:sz w:val="23"/>
          <w:szCs w:val="23"/>
        </w:rPr>
      </w:pPr>
    </w:p>
    <w:p>
      <w:pPr>
        <w:pStyle w:val="Heading5"/>
        <w:spacing w:line="240" w:lineRule="auto"/>
        <w:ind w:right="10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175" w:type="dxa"/>
        <w:tblLayout w:type="fixed"/>
        <w:tblCellMar>
          <w:top w:w="0" w:type="dxa"/>
          <w:left w:w="0" w:type="dxa"/>
          <w:bottom w:w="0" w:type="dxa"/>
          <w:right w:w="0" w:type="dxa"/>
        </w:tblCellMar>
        <w:tblLook w:val="01E0"/>
      </w:tblPr>
      <w:tblGrid>
        <w:gridCol w:w="1508"/>
        <w:gridCol w:w="1510"/>
        <w:gridCol w:w="1510"/>
        <w:gridCol w:w="1510"/>
        <w:gridCol w:w="1508"/>
      </w:tblGrid>
      <w:tr>
        <w:trPr>
          <w:trHeight w:val="401"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4.75</w:t>
            </w:r>
          </w:p>
        </w:tc>
      </w:tr>
      <w:tr>
        <w:trPr>
          <w:trHeight w:val="401"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w:t>
            </w:r>
          </w:p>
        </w:tc>
      </w:tr>
      <w:tr>
        <w:trPr>
          <w:trHeight w:val="410"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19</w:t>
            </w:r>
          </w:p>
        </w:tc>
      </w:tr>
    </w:tbl>
    <w:p>
      <w:pPr>
        <w:pStyle w:val="BodyText"/>
        <w:spacing w:line="273" w:lineRule="auto"/>
        <w:ind w:left="1413" w:right="103"/>
        <w:jc w:val="left"/>
      </w:pPr>
      <w:r>
        <w:rPr>
          <w:spacing w:val="-2"/>
        </w:rPr>
        <w:t>固定资产折旧采用年限平均法分类计提，根据固定资产类别、预计使用寿命和预计净残值率</w:t>
      </w:r>
      <w:r>
        <w:rPr>
          <w:spacing w:val="-52"/>
        </w:rPr>
        <w:t> </w:t>
      </w:r>
      <w:r>
        <w:rPr>
          <w:spacing w:val="-52"/>
        </w:rPr>
      </w:r>
      <w:r>
        <w:rPr>
          <w:spacing w:val="-2"/>
        </w:rPr>
        <w:t>确定折旧率。如固定资产各组成部分的使用寿命不同或者以不同方式为企业提供经济利益，</w:t>
      </w:r>
      <w:r>
        <w:rPr>
          <w:spacing w:val="-31"/>
        </w:rPr>
        <w:t> </w:t>
      </w:r>
      <w:r>
        <w:rPr>
          <w:spacing w:val="-31"/>
        </w:rPr>
      </w:r>
      <w:r>
        <w:rPr/>
        <w:t>则选择不同折旧率或折旧方法，分别计提折旧。</w:t>
      </w:r>
      <w:r>
        <w:rPr>
          <w:w w:val="100"/>
        </w:rPr>
        <w:t> </w:t>
      </w:r>
      <w:r>
        <w:rPr>
          <w:spacing w:val="-2"/>
        </w:rPr>
        <w:t>本公司本期通过非同一控制下企业合并取得同信证券，同信证券与母公司经营范围不同，因</w:t>
      </w:r>
    </w:p>
    <w:p>
      <w:pPr>
        <w:spacing w:after="0" w:line="273" w:lineRule="auto"/>
        <w:jc w:val="left"/>
        <w:sectPr>
          <w:pgSz w:w="11910" w:h="16840"/>
          <w:pgMar w:header="852" w:footer="979" w:top="1300" w:bottom="1160" w:left="980" w:right="920"/>
        </w:sectPr>
      </w:pPr>
    </w:p>
    <w:p>
      <w:pPr>
        <w:pStyle w:val="BodyText"/>
        <w:spacing w:line="273" w:lineRule="auto" w:before="108"/>
        <w:ind w:left="1413" w:right="103"/>
        <w:jc w:val="left"/>
      </w:pPr>
      <w:r>
        <w:rPr/>
        <w:t>此部分固定资产根据自身使用特征确定的年折旧率与母公司不同，其中：专用设备折旧年限</w:t>
      </w:r>
      <w:r>
        <w:rPr>
          <w:w w:val="100"/>
        </w:rPr>
        <w:t> </w:t>
      </w:r>
      <w:r>
        <w:rPr>
          <w:spacing w:val="-2"/>
        </w:rPr>
        <w:t>为</w:t>
      </w:r>
      <w:r>
        <w:rPr>
          <w:rFonts w:ascii="宋体" w:hAnsi="宋体" w:cs="宋体" w:eastAsia="宋体" w:hint="default"/>
          <w:spacing w:val="-2"/>
        </w:rPr>
        <w:t>3</w:t>
      </w:r>
      <w:r>
        <w:rPr>
          <w:spacing w:val="-2"/>
        </w:rPr>
        <w:t>～</w:t>
      </w:r>
      <w:r>
        <w:rPr>
          <w:rFonts w:ascii="宋体" w:hAnsi="宋体" w:cs="宋体" w:eastAsia="宋体" w:hint="default"/>
          <w:spacing w:val="-2"/>
        </w:rPr>
        <w:t>11</w:t>
      </w:r>
      <w:r>
        <w:rPr>
          <w:spacing w:val="-2"/>
        </w:rPr>
        <w:t>年，残值率为</w:t>
      </w:r>
      <w:r>
        <w:rPr>
          <w:rFonts w:ascii="宋体" w:hAnsi="宋体" w:cs="宋体" w:eastAsia="宋体" w:hint="default"/>
          <w:spacing w:val="-2"/>
        </w:rPr>
        <w:t>3%</w:t>
      </w:r>
      <w:r>
        <w:rPr>
          <w:spacing w:val="-2"/>
        </w:rPr>
        <w:t>，年折旧率</w:t>
      </w:r>
      <w:r>
        <w:rPr>
          <w:rFonts w:ascii="宋体" w:hAnsi="宋体" w:cs="宋体" w:eastAsia="宋体" w:hint="default"/>
          <w:spacing w:val="-2"/>
        </w:rPr>
        <w:t>32.33%</w:t>
      </w:r>
      <w:r>
        <w:rPr>
          <w:spacing w:val="-2"/>
        </w:rPr>
        <w:t>～</w:t>
      </w:r>
      <w:r>
        <w:rPr>
          <w:rFonts w:ascii="宋体" w:hAnsi="宋体" w:cs="宋体" w:eastAsia="宋体" w:hint="default"/>
          <w:spacing w:val="-2"/>
        </w:rPr>
        <w:t>8.82%</w:t>
      </w:r>
      <w:r>
        <w:rPr>
          <w:spacing w:val="-2"/>
        </w:rPr>
        <w:t>；运输设备折旧年限为</w:t>
      </w:r>
      <w:r>
        <w:rPr>
          <w:rFonts w:ascii="宋体" w:hAnsi="宋体" w:cs="宋体" w:eastAsia="宋体" w:hint="default"/>
          <w:spacing w:val="-2"/>
        </w:rPr>
        <w:t>6</w:t>
      </w:r>
      <w:r>
        <w:rPr>
          <w:spacing w:val="-2"/>
        </w:rPr>
        <w:t>年，残值率为</w:t>
      </w:r>
      <w:r>
        <w:rPr>
          <w:rFonts w:ascii="宋体" w:hAnsi="宋体" w:cs="宋体" w:eastAsia="宋体" w:hint="default"/>
          <w:spacing w:val="-2"/>
        </w:rPr>
        <w:t>3%</w:t>
      </w:r>
      <w:r>
        <w:rPr>
          <w:spacing w:val="-2"/>
        </w:rPr>
        <w:t>，</w:t>
      </w:r>
      <w:r>
        <w:rPr>
          <w:spacing w:val="-38"/>
        </w:rPr>
        <w:t> </w:t>
      </w:r>
      <w:r>
        <w:rPr/>
        <w:t>年折旧率</w:t>
      </w:r>
      <w:r>
        <w:rPr>
          <w:rFonts w:ascii="宋体" w:hAnsi="宋体" w:cs="宋体" w:eastAsia="宋体" w:hint="default"/>
        </w:rPr>
        <w:t>16.17%</w:t>
      </w:r>
      <w:r>
        <w:rPr/>
        <w:t>。</w:t>
      </w:r>
    </w:p>
    <w:p>
      <w:pPr>
        <w:spacing w:line="240" w:lineRule="auto" w:before="7"/>
        <w:rPr>
          <w:rFonts w:ascii="宋体" w:hAnsi="宋体" w:cs="宋体" w:eastAsia="宋体" w:hint="default"/>
          <w:sz w:val="23"/>
          <w:szCs w:val="23"/>
        </w:rPr>
      </w:pPr>
    </w:p>
    <w:p>
      <w:pPr>
        <w:pStyle w:val="Heading5"/>
        <w:spacing w:line="240" w:lineRule="auto"/>
        <w:ind w:right="103"/>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413" w:right="206"/>
        <w:jc w:val="both"/>
      </w:pPr>
      <w:r>
        <w:rPr>
          <w:spacing w:val="-2"/>
        </w:rPr>
        <w:t>在建工程项目按建造该项资产达到预定可使用状态前所发生的必要支出，作为固定资产的入</w:t>
      </w:r>
      <w:r>
        <w:rPr>
          <w:spacing w:val="-53"/>
        </w:rPr>
        <w:t> </w:t>
      </w:r>
      <w:r>
        <w:rPr>
          <w:spacing w:val="-53"/>
        </w:rPr>
      </w:r>
      <w:r>
        <w:rPr>
          <w:spacing w:val="-2"/>
        </w:rPr>
        <w:t>账价值。所建造的固定资产在建工程已达到预定可使用状态，但尚未办理竣工决算的，自达</w:t>
      </w:r>
      <w:r>
        <w:rPr>
          <w:spacing w:val="-54"/>
        </w:rPr>
        <w:t> </w:t>
      </w:r>
      <w:r>
        <w:rPr>
          <w:spacing w:val="-54"/>
        </w:rPr>
      </w:r>
      <w:r>
        <w:rPr>
          <w:spacing w:val="-2"/>
        </w:rPr>
        <w:t>到预定可使用状态之日起，根据工程预算、造价或者工程实际成本等，按估计的价值转入固</w:t>
      </w:r>
      <w:r>
        <w:rPr>
          <w:spacing w:val="-53"/>
        </w:rPr>
        <w:t> </w:t>
      </w:r>
      <w:r>
        <w:rPr>
          <w:spacing w:val="-53"/>
        </w:rPr>
      </w:r>
      <w:r>
        <w:rPr>
          <w:spacing w:val="-2"/>
        </w:rPr>
        <w:t>定资产，并按本公司固定资产折旧政策计提固定资产的折旧，待办理竣工决算后，再按实际</w:t>
      </w:r>
      <w:r>
        <w:rPr>
          <w:spacing w:val="-54"/>
        </w:rPr>
        <w:t> </w:t>
      </w:r>
      <w:r>
        <w:rPr>
          <w:spacing w:val="-54"/>
        </w:rPr>
      </w:r>
      <w:r>
        <w:rPr/>
        <w:t>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3"/>
        <w:jc w:val="left"/>
        <w:rPr>
          <w:b w:val="0"/>
          <w:bCs w:val="0"/>
        </w:rPr>
      </w:pPr>
      <w:r>
        <w:rPr>
          <w:rFonts w:ascii="Times New Roman" w:hAnsi="Times New Roman" w:cs="Times New Roman" w:eastAsia="Times New Roman" w:hint="default"/>
        </w:rPr>
        <w:t>14</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t>借款费用，包括借款利息、折价或者溢价的摊销、辅助费用以及因外币借款而发生的汇兑差</w:t>
      </w:r>
      <w:r>
        <w:rPr>
          <w:w w:val="100"/>
        </w:rPr>
        <w:t> </w:t>
      </w:r>
      <w:r>
        <w:rPr/>
        <w:t>额等。</w:t>
      </w:r>
      <w:r>
        <w:rPr>
          <w:w w:val="100"/>
        </w:rPr>
        <w:t> </w:t>
      </w:r>
      <w:r>
        <w:rPr>
          <w:spacing w:val="-5"/>
        </w:rPr>
        <w:t>公司发生的借款费用，可直接归属于符合资本化条件的资产的购建或者生产的，予以资本化，</w:t>
      </w:r>
      <w:r>
        <w:rPr>
          <w:spacing w:val="-37"/>
        </w:rPr>
        <w:t> </w:t>
      </w:r>
      <w:r>
        <w:rPr>
          <w:spacing w:val="-37"/>
        </w:rPr>
      </w:r>
      <w:r>
        <w:rPr/>
        <w:t>计入相关资产成本；其他借款费用，在发生时根据其发生额确认为费用，计入当期损益。</w:t>
      </w:r>
      <w:r>
        <w:rPr>
          <w:w w:val="100"/>
        </w:rPr>
        <w:t> </w:t>
      </w:r>
      <w:r>
        <w:rPr/>
        <w:t>符合资本化条件的资产，是指需要经过相当长时间的购建或者生产活动才能达到预定可使用</w:t>
      </w:r>
      <w:r>
        <w:rPr>
          <w:w w:val="100"/>
        </w:rPr>
        <w:t> </w:t>
      </w:r>
      <w:r>
        <w:rPr/>
        <w:t>或者可销售状态的固定资产、投资性房地产和存货等资产。</w:t>
      </w:r>
      <w:r>
        <w:rPr>
          <w:w w:val="100"/>
        </w:rPr>
        <w:t> </w:t>
      </w:r>
      <w:r>
        <w:rPr/>
        <w:t>借款费用同时满足下列条件时开始资本化：</w:t>
      </w:r>
      <w:r>
        <w:rPr>
          <w:w w:val="100"/>
        </w:rPr>
        <w:t> </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w:t>
      </w:r>
      <w:r>
        <w:rPr>
          <w:spacing w:val="-56"/>
        </w:rPr>
        <w:t> </w:t>
      </w:r>
      <w:r>
        <w:rPr>
          <w:spacing w:val="-56"/>
        </w:rPr>
      </w:r>
      <w:r>
        <w:rPr/>
        <w:t>转移非现金资产或者承担带息债务形式发生的支出；</w:t>
      </w:r>
    </w:p>
    <w:p>
      <w:pPr>
        <w:pStyle w:val="BodyText"/>
        <w:spacing w:line="240" w:lineRule="auto" w:before="12"/>
        <w:ind w:left="1413" w:right="103"/>
        <w:jc w:val="left"/>
      </w:pPr>
      <w:r>
        <w:rPr>
          <w:rFonts w:ascii="Times New Roman" w:hAnsi="Times New Roman" w:cs="Times New Roman" w:eastAsia="Times New Roman" w:hint="default"/>
        </w:rPr>
        <w:t>2</w:t>
      </w:r>
      <w:r>
        <w:rPr/>
        <w:t>）借款费用已经发生；</w:t>
      </w:r>
    </w:p>
    <w:p>
      <w:pPr>
        <w:pStyle w:val="BodyText"/>
        <w:spacing w:line="240" w:lineRule="auto" w:before="21"/>
        <w:ind w:left="1413" w:right="103"/>
        <w:jc w:val="left"/>
      </w:pP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BodyText"/>
        <w:spacing w:line="271"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100"/>
        </w:rPr>
        <w:t> </w:t>
      </w:r>
      <w:r>
        <w:rPr>
          <w:spacing w:val="-2"/>
        </w:rPr>
        <w:t>资本化期间，指从借款费用开始资本化时点到停止资本化时点的期间，借款费用暂停资本化</w:t>
      </w:r>
      <w:r>
        <w:rPr>
          <w:spacing w:val="-58"/>
        </w:rPr>
        <w:t> </w:t>
      </w:r>
      <w:r>
        <w:rPr>
          <w:spacing w:val="-58"/>
        </w:rPr>
      </w:r>
      <w:r>
        <w:rPr/>
        <w:t>的期间不包括在内。</w:t>
      </w:r>
      <w:r>
        <w:rPr>
          <w:w w:val="100"/>
        </w:rPr>
        <w:t> </w:t>
      </w:r>
      <w:r>
        <w:rPr>
          <w:spacing w:val="-2"/>
        </w:rPr>
        <w:t>当购建或者生产符合资本化条件的资产达到预定可使用或者可销售状态时，借款费用停止资</w:t>
      </w:r>
      <w:r>
        <w:rPr>
          <w:spacing w:val="-58"/>
        </w:rPr>
        <w:t> </w:t>
      </w:r>
      <w:r>
        <w:rPr>
          <w:spacing w:val="-58"/>
        </w:rPr>
      </w:r>
      <w:r>
        <w:rPr/>
        <w:t>本化。</w:t>
      </w:r>
      <w:r>
        <w:rPr>
          <w:w w:val="100"/>
        </w:rPr>
        <w:t> </w:t>
      </w:r>
      <w:r>
        <w:rPr>
          <w:spacing w:val="-2"/>
        </w:rPr>
        <w:t>当购建或者生产符合资本化条件的资产中部分项目分别完工且可单独使用时，该部分资产借</w:t>
      </w:r>
      <w:r>
        <w:rPr>
          <w:spacing w:val="-58"/>
        </w:rPr>
        <w:t> </w:t>
      </w:r>
      <w:r>
        <w:rPr>
          <w:spacing w:val="-58"/>
        </w:rPr>
      </w:r>
      <w:r>
        <w:rPr/>
        <w:t>款费用停止资本化。</w:t>
      </w:r>
      <w:r>
        <w:rPr>
          <w:w w:val="100"/>
        </w:rPr>
        <w:t> </w:t>
      </w:r>
      <w:r>
        <w:rPr>
          <w:spacing w:val="-2"/>
        </w:rPr>
        <w:t>购建或者生产的资产的各部分分别完工，但必须等到整体完工后才可使用或可对外销售的，</w:t>
      </w:r>
      <w:r>
        <w:rPr>
          <w:spacing w:val="-36"/>
        </w:rPr>
        <w:t> </w:t>
      </w:r>
      <w:r>
        <w:rPr>
          <w:spacing w:val="-36"/>
        </w:rPr>
      </w:r>
      <w:r>
        <w:rPr/>
        <w:t>在该资产整体完工时停止借款费用资本化。</w:t>
      </w:r>
    </w:p>
    <w:p>
      <w:pPr>
        <w:spacing w:line="240" w:lineRule="auto" w:before="8"/>
        <w:rPr>
          <w:rFonts w:ascii="宋体" w:hAnsi="宋体" w:cs="宋体" w:eastAsia="宋体" w:hint="default"/>
          <w:sz w:val="24"/>
          <w:szCs w:val="24"/>
        </w:rPr>
      </w:pPr>
    </w:p>
    <w:p>
      <w:pPr>
        <w:pStyle w:val="BodyText"/>
        <w:spacing w:line="264" w:lineRule="auto"/>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w:t>
      </w:r>
      <w:r>
        <w:rPr>
          <w:spacing w:val="-28"/>
        </w:rPr>
        <w:t> </w:t>
      </w:r>
      <w:r>
        <w:rPr>
          <w:spacing w:val="-2"/>
        </w:rPr>
        <w:t>的，则借款费用暂停资本化；该项中断如是所购建或生产的符合资本化条件的资产达到预定</w:t>
      </w:r>
      <w:r>
        <w:rPr>
          <w:spacing w:val="-59"/>
        </w:rPr>
        <w:t> </w:t>
      </w:r>
      <w:r>
        <w:rPr>
          <w:spacing w:val="-59"/>
        </w:rPr>
      </w:r>
      <w:r>
        <w:rPr>
          <w:spacing w:val="-2"/>
        </w:rPr>
        <w:t>可使用状态或者可销售状态必要的程序，则借款费用继续资本化。在中断期间发生的借款费</w:t>
      </w:r>
      <w:r>
        <w:rPr>
          <w:spacing w:val="-57"/>
        </w:rPr>
        <w:t> </w:t>
      </w:r>
      <w:r>
        <w:rPr>
          <w:spacing w:val="-57"/>
        </w:rPr>
      </w:r>
      <w:r>
        <w:rPr/>
        <w:t>用确认为当期损益，直至资产的购建或者生产活动重新开始后借款费用继续资本化。</w:t>
      </w:r>
    </w:p>
    <w:p>
      <w:pPr>
        <w:spacing w:after="0" w:line="264" w:lineRule="auto"/>
        <w:jc w:val="left"/>
        <w:sectPr>
          <w:pgSz w:w="11910" w:h="16840"/>
          <w:pgMar w:header="852" w:footer="979" w:top="1300" w:bottom="1160" w:left="980" w:right="920"/>
        </w:sectPr>
      </w:pPr>
    </w:p>
    <w:p>
      <w:pPr>
        <w:pStyle w:val="BodyText"/>
        <w:spacing w:line="271" w:lineRule="auto" w:before="108"/>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w w:val="100"/>
        </w:rPr>
        <w:t> </w:t>
      </w:r>
      <w:r>
        <w:rPr>
          <w:spacing w:val="-2"/>
        </w:rPr>
        <w:t>对于为购建或者生产符合资本化条件的资产而借入的专门借款，以专门借款当期实际发生的</w:t>
      </w:r>
      <w:r>
        <w:rPr>
          <w:spacing w:val="-58"/>
        </w:rPr>
        <w:t> </w:t>
      </w:r>
      <w:r>
        <w:rPr>
          <w:spacing w:val="-58"/>
        </w:rPr>
      </w:r>
      <w:r>
        <w:rPr>
          <w:spacing w:val="-2"/>
        </w:rPr>
        <w:t>借款费用，减去尚未动用的借款资金存入银行取得的利息收入或进行暂时性投资取得的投资</w:t>
      </w:r>
      <w:r>
        <w:rPr>
          <w:spacing w:val="-58"/>
        </w:rPr>
        <w:t> </w:t>
      </w:r>
      <w:r>
        <w:rPr>
          <w:spacing w:val="-58"/>
        </w:rPr>
      </w:r>
      <w:r>
        <w:rPr/>
        <w:t>收益后的金额，来确定借款费用的资本化金额。</w:t>
      </w:r>
      <w:r>
        <w:rPr>
          <w:w w:val="100"/>
        </w:rPr>
        <w:t> </w:t>
      </w:r>
      <w:r>
        <w:rPr>
          <w:spacing w:val="-2"/>
        </w:rPr>
        <w:t>对于为购建或者生产符合资本化条件的资产而占用的一般借款，根据累计资产支出超过专门</w:t>
      </w:r>
      <w:r>
        <w:rPr>
          <w:spacing w:val="-58"/>
        </w:rPr>
        <w:t> </w:t>
      </w:r>
      <w:r>
        <w:rPr>
          <w:spacing w:val="-58"/>
        </w:rPr>
      </w:r>
      <w:r>
        <w:rPr>
          <w:spacing w:val="-2"/>
        </w:rPr>
        <w:t>借款部分的资产支出加权平均数乘以所占用一般借款的资本化率，计算确定一般借款应予资</w:t>
      </w:r>
      <w:r>
        <w:rPr>
          <w:spacing w:val="-58"/>
        </w:rPr>
        <w:t> </w:t>
      </w:r>
      <w:r>
        <w:rPr>
          <w:spacing w:val="-58"/>
        </w:rPr>
      </w:r>
      <w:r>
        <w:rPr/>
        <w:t>本化的借款费用金额。资本化率根据一般借款加权平均利率计算确定。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5"/>
        <w:spacing w:line="240" w:lineRule="auto"/>
        <w:ind w:right="103"/>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408" w:right="103"/>
        <w:jc w:val="left"/>
        <w:rPr>
          <w:b w:val="0"/>
          <w:bCs w:val="0"/>
        </w:rPr>
      </w:pPr>
      <w:r>
        <w:rPr/>
        <w:t>（</w:t>
      </w:r>
      <w:r>
        <w:rPr>
          <w:rFonts w:ascii="宋体" w:hAnsi="宋体" w:cs="宋体" w:eastAsia="宋体" w:hint="default"/>
        </w:rPr>
        <w:t>1</w:t>
      </w:r>
      <w:r>
        <w:rPr/>
        <w:t>）无形资产的计价方法</w:t>
      </w:r>
      <w:r>
        <w:rPr>
          <w:b w:val="0"/>
          <w:bCs w:val="0"/>
        </w:rPr>
      </w:r>
    </w:p>
    <w:p>
      <w:pPr>
        <w:pStyle w:val="BodyText"/>
        <w:spacing w:line="271" w:lineRule="auto" w:before="37"/>
        <w:ind w:left="1413" w:right="103"/>
        <w:jc w:val="left"/>
      </w:pPr>
      <w:r>
        <w:rPr>
          <w:rFonts w:ascii="Times New Roman" w:hAnsi="Times New Roman" w:cs="Times New Roman" w:eastAsia="Times New Roman" w:hint="default"/>
        </w:rPr>
        <w:t>1</w:t>
      </w:r>
      <w:r>
        <w:rPr/>
        <w:t>）公司取得无形资产时按成本进行初始计量；</w:t>
      </w:r>
      <w:r>
        <w:rPr>
          <w:w w:val="100"/>
        </w:rPr>
        <w:t> </w:t>
      </w:r>
      <w:r>
        <w:rPr/>
        <w:t>外购无形资产的成本，包括购买价款、相关税费以及直接归属于使该项资产达到预定用途所</w:t>
      </w:r>
      <w:r>
        <w:rPr>
          <w:w w:val="100"/>
        </w:rPr>
        <w:t> </w:t>
      </w:r>
      <w:r>
        <w:rPr>
          <w:spacing w:val="-5"/>
        </w:rPr>
        <w:t>发生的其他支出。购买无形资产的价款超过正常信用条件延期支付，实质上具有融资性质的，</w:t>
      </w:r>
      <w:r>
        <w:rPr>
          <w:spacing w:val="-35"/>
        </w:rPr>
        <w:t> </w:t>
      </w:r>
      <w:r>
        <w:rPr>
          <w:spacing w:val="-35"/>
        </w:rPr>
      </w:r>
      <w:r>
        <w:rPr/>
        <w:t>无形资产的成本以购买价款的现值为基础确定。</w:t>
      </w:r>
      <w:r>
        <w:rPr>
          <w:w w:val="100"/>
        </w:rPr>
        <w:t> </w:t>
      </w:r>
      <w:r>
        <w:rPr>
          <w:spacing w:val="2"/>
        </w:rPr>
        <w:t>债务重组取得债务人用以抵债的无形资产，以该无形资产的公允价值为基础确定其入账价</w:t>
      </w:r>
      <w:r>
        <w:rPr>
          <w:spacing w:val="-19"/>
        </w:rPr>
        <w:t> </w:t>
      </w:r>
      <w:r>
        <w:rPr>
          <w:spacing w:val="-19"/>
        </w:rPr>
      </w:r>
      <w:r>
        <w:rPr>
          <w:spacing w:val="-5"/>
        </w:rPr>
        <w:t>值，并将重组债务的账面价值与该用以抵债的无形资产公允价值之间的差额，计入当期损益。</w:t>
      </w:r>
      <w:r>
        <w:rPr>
          <w:spacing w:val="-36"/>
        </w:rPr>
        <w:t> </w:t>
      </w:r>
      <w:r>
        <w:rPr>
          <w:spacing w:val="-36"/>
        </w:rPr>
      </w:r>
      <w:r>
        <w:rPr>
          <w:spacing w:val="2"/>
        </w:rPr>
        <w:t>在非货币性资产交换具备商业实质且换入资产或换出资产的公允价值能够可靠计量的前提</w:t>
      </w:r>
      <w:r>
        <w:rPr>
          <w:spacing w:val="-19"/>
        </w:rPr>
        <w:t> </w:t>
      </w:r>
      <w:r>
        <w:rPr>
          <w:spacing w:val="-19"/>
        </w:rPr>
      </w:r>
      <w:r>
        <w:rPr/>
        <w:t>下，非货币性资产交换换入的无形资产以换出资产的公允价值为基础确定其入账价值，除非</w:t>
      </w:r>
      <w:r>
        <w:rPr>
          <w:w w:val="100"/>
        </w:rPr>
        <w:t> </w:t>
      </w:r>
      <w:r>
        <w:rPr/>
        <w:t>有确凿证据表明换入资产的公允价值更加可靠；不满足上述前提的非货币性资产交换，以换</w:t>
      </w:r>
      <w:r>
        <w:rPr>
          <w:w w:val="100"/>
        </w:rPr>
        <w:t> </w:t>
      </w:r>
      <w:r>
        <w:rPr/>
        <w:t>出资产的账面价值和应支付的相关税费作为换入无形资产的成本，不确认损益。</w:t>
      </w:r>
      <w:r>
        <w:rPr>
          <w:w w:val="100"/>
        </w:rPr>
        <w:t> </w:t>
      </w:r>
      <w:r>
        <w:rPr>
          <w:rFonts w:ascii="Times New Roman" w:hAnsi="Times New Roman" w:cs="Times New Roman" w:eastAsia="Times New Roman" w:hint="default"/>
        </w:rPr>
        <w:t>2</w:t>
      </w:r>
      <w:r>
        <w:rPr/>
        <w:t>）后续计量</w:t>
      </w:r>
    </w:p>
    <w:p>
      <w:pPr>
        <w:pStyle w:val="BodyText"/>
        <w:spacing w:line="273" w:lineRule="auto"/>
        <w:ind w:left="1413" w:right="103"/>
        <w:jc w:val="left"/>
      </w:pPr>
      <w:r>
        <w:rPr/>
        <w:t>在取得无形资产时分析判断其使用寿命。</w:t>
      </w:r>
      <w:r>
        <w:rPr>
          <w:w w:val="100"/>
        </w:rPr>
        <w:t> </w:t>
      </w:r>
      <w:r>
        <w:rPr>
          <w:spacing w:val="-2"/>
        </w:rPr>
        <w:t>对于使用寿命有限的无形资产，在为企业带来经济利益的期限内按直线法摊销；无法预见无</w:t>
      </w:r>
      <w:r>
        <w:rPr>
          <w:spacing w:val="-53"/>
        </w:rPr>
        <w:t> </w:t>
      </w:r>
      <w:r>
        <w:rPr>
          <w:spacing w:val="-53"/>
        </w:rPr>
      </w:r>
      <w:r>
        <w:rPr/>
        <w:t>形资产为企业带来经济利益期限的，视为使用寿命不确定的无形资产，不予摊销。</w:t>
      </w:r>
    </w:p>
    <w:p>
      <w:pPr>
        <w:pStyle w:val="Heading5"/>
        <w:spacing w:line="240" w:lineRule="auto" w:before="7"/>
        <w:ind w:left="1408" w:right="103"/>
        <w:jc w:val="left"/>
        <w:rPr>
          <w:b w:val="0"/>
          <w:bCs w:val="0"/>
        </w:rPr>
      </w:pPr>
      <w:r>
        <w:rPr/>
        <w:t>（</w:t>
      </w:r>
      <w:r>
        <w:rPr>
          <w:rFonts w:ascii="宋体" w:hAnsi="宋体" w:cs="宋体" w:eastAsia="宋体" w:hint="default"/>
        </w:rPr>
        <w:t>2</w:t>
      </w:r>
      <w:r>
        <w:rPr/>
        <w:t>）使用寿命有限的无形资产的使用寿命估计情况：</w:t>
      </w:r>
      <w:r>
        <w:rPr>
          <w:b w:val="0"/>
          <w:bCs w:val="0"/>
        </w:rPr>
      </w:r>
    </w:p>
    <w:p>
      <w:pPr>
        <w:spacing w:line="240" w:lineRule="auto" w:before="10"/>
        <w:rPr>
          <w:rFonts w:ascii="宋体" w:hAnsi="宋体" w:cs="宋体" w:eastAsia="宋体" w:hint="default"/>
          <w:b/>
          <w:bCs/>
          <w:sz w:val="3"/>
          <w:szCs w:val="3"/>
        </w:rPr>
      </w:pPr>
    </w:p>
    <w:tbl>
      <w:tblPr>
        <w:tblW w:w="0" w:type="auto"/>
        <w:jc w:val="left"/>
        <w:tblInd w:w="1139" w:type="dxa"/>
        <w:tblLayout w:type="fixed"/>
        <w:tblCellMar>
          <w:top w:w="0" w:type="dxa"/>
          <w:left w:w="0" w:type="dxa"/>
          <w:bottom w:w="0" w:type="dxa"/>
          <w:right w:w="0" w:type="dxa"/>
        </w:tblCellMar>
        <w:tblLook w:val="01E0"/>
      </w:tblPr>
      <w:tblGrid>
        <w:gridCol w:w="2993"/>
        <w:gridCol w:w="1875"/>
        <w:gridCol w:w="2787"/>
      </w:tblGrid>
      <w:tr>
        <w:trPr>
          <w:trHeight w:val="331" w:hRule="exact"/>
        </w:trPr>
        <w:tc>
          <w:tcPr>
            <w:tcW w:w="2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8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9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土地使用权期限</w:t>
            </w:r>
          </w:p>
        </w:tc>
      </w:tr>
      <w:tr>
        <w:trPr>
          <w:trHeight w:val="34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公司网站域名</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交易席位费</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期货经营权</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期货公司名称</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年</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pStyle w:val="BodyText"/>
        <w:spacing w:line="273" w:lineRule="auto"/>
        <w:ind w:left="1413" w:right="103"/>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pStyle w:val="Heading5"/>
        <w:spacing w:line="240" w:lineRule="auto" w:before="7"/>
        <w:ind w:left="1408" w:right="103"/>
        <w:jc w:val="left"/>
        <w:rPr>
          <w:b w:val="0"/>
          <w:bCs w:val="0"/>
        </w:rPr>
      </w:pPr>
      <w:r>
        <w:rPr/>
        <w:t>（</w:t>
      </w:r>
      <w:r>
        <w:rPr>
          <w:rFonts w:ascii="宋体" w:hAnsi="宋体" w:cs="宋体" w:eastAsia="宋体" w:hint="default"/>
        </w:rPr>
        <w:t>3</w:t>
      </w:r>
      <w:r>
        <w:rPr/>
        <w:t>）使用寿命不确定的无形资产的判断依据</w:t>
      </w:r>
      <w:r>
        <w:rPr>
          <w:b w:val="0"/>
          <w:bCs w:val="0"/>
        </w:rPr>
      </w:r>
    </w:p>
    <w:p>
      <w:pPr>
        <w:spacing w:line="240" w:lineRule="auto" w:before="9"/>
        <w:rPr>
          <w:rFonts w:ascii="宋体" w:hAnsi="宋体" w:cs="宋体" w:eastAsia="宋体" w:hint="default"/>
          <w:b/>
          <w:bCs/>
          <w:sz w:val="28"/>
          <w:szCs w:val="28"/>
        </w:rPr>
      </w:pPr>
    </w:p>
    <w:p>
      <w:pPr>
        <w:spacing w:before="44"/>
        <w:ind w:left="0" w:right="1102" w:firstLine="0"/>
        <w:jc w:val="right"/>
        <w:rPr>
          <w:rFonts w:ascii="宋体" w:hAnsi="宋体" w:cs="宋体" w:eastAsia="宋体" w:hint="default"/>
          <w:sz w:val="18"/>
          <w:szCs w:val="18"/>
        </w:rPr>
      </w:pPr>
      <w:r>
        <w:rPr/>
        <w:pict>
          <v:shape style="position:absolute;margin-left:103.220001pt;margin-top:-16.328306pt;width:389.15pt;height:83.0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1"/>
                    <w:gridCol w:w="5547"/>
                  </w:tblGrid>
                  <w:tr>
                    <w:trPr>
                      <w:trHeight w:val="343" w:hRule="exact"/>
                    </w:trPr>
                    <w:tc>
                      <w:tcPr>
                        <w:tcW w:w="22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判断依据</w:t>
                        </w:r>
                      </w:p>
                    </w:tc>
                  </w:tr>
                  <w:tr>
                    <w:trPr>
                      <w:trHeight w:val="653" w:hRule="exact"/>
                    </w:trPr>
                    <w:tc>
                      <w:tcPr>
                        <w:tcW w:w="22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期货会员资格投资</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8"/>
                          <w:jc w:val="left"/>
                          <w:rPr>
                            <w:rFonts w:ascii="宋体" w:hAnsi="宋体" w:cs="宋体" w:eastAsia="宋体" w:hint="default"/>
                            <w:sz w:val="18"/>
                            <w:szCs w:val="18"/>
                          </w:rPr>
                        </w:pPr>
                        <w:r>
                          <w:rPr>
                            <w:rFonts w:ascii="宋体" w:hAnsi="宋体" w:cs="宋体" w:eastAsia="宋体" w:hint="default"/>
                            <w:sz w:val="18"/>
                            <w:szCs w:val="18"/>
                          </w:rPr>
                          <w:t>在公司经营期间内期货会员资格投资将带给公司预期的经济利益流入 不再经营时可退回。</w:t>
                        </w:r>
                      </w:p>
                    </w:tc>
                  </w:tr>
                  <w:tr>
                    <w:trPr>
                      <w:trHeight w:val="655" w:hRule="exact"/>
                    </w:trPr>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上海地区小型车辆车牌</w:t>
                        </w:r>
                      </w:p>
                    </w:tc>
                    <w:tc>
                      <w:tcPr>
                        <w:tcW w:w="5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8"/>
                          <w:jc w:val="left"/>
                          <w:rPr>
                            <w:rFonts w:ascii="宋体" w:hAnsi="宋体" w:cs="宋体" w:eastAsia="宋体" w:hint="default"/>
                            <w:sz w:val="18"/>
                            <w:szCs w:val="18"/>
                          </w:rPr>
                        </w:pPr>
                        <w:r>
                          <w:rPr>
                            <w:rFonts w:ascii="宋体" w:hAnsi="宋体" w:cs="宋体" w:eastAsia="宋体" w:hint="default"/>
                            <w:sz w:val="18"/>
                            <w:szCs w:val="18"/>
                          </w:rPr>
                          <w:t>本公司认为在可预见的将来该车牌均会使用并带给公司预期的经济利 益流入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52" w:footer="979" w:top="1300" w:bottom="1160" w:left="980" w:right="920"/>
        </w:sectPr>
      </w:pPr>
    </w:p>
    <w:p>
      <w:pPr>
        <w:pStyle w:val="BodyText"/>
        <w:spacing w:line="345" w:lineRule="auto" w:before="108"/>
        <w:ind w:left="1233" w:right="0" w:hanging="149"/>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spacing w:val="-3"/>
        </w:rPr>
        <w:t>研究阶段：为获取并理解新的科学或技术知识等而进行的独创性的有计划调查、研究活动的阶</w:t>
      </w:r>
      <w:r>
        <w:rPr>
          <w:w w:val="100"/>
        </w:rPr>
        <w:t> </w:t>
      </w:r>
      <w:r>
        <w:rPr/>
        <w:t>段。</w:t>
      </w:r>
      <w:r>
        <w:rPr>
          <w:w w:val="100"/>
        </w:rPr>
        <w:t> </w:t>
      </w:r>
      <w:r>
        <w:rPr>
          <w:spacing w:val="-3"/>
        </w:rPr>
        <w:t>开发阶段：在进行商业性生产或使用前，将研究成果或其他知识应用于某项计划或设计，以生</w:t>
      </w:r>
      <w:r>
        <w:rPr>
          <w:w w:val="100"/>
        </w:rPr>
        <w:t> </w:t>
      </w:r>
      <w:r>
        <w:rPr/>
        <w:t>产出新的或具有实质性改进的材料、装置、产品等活动的阶段。</w:t>
      </w:r>
    </w:p>
    <w:p>
      <w:pPr>
        <w:pStyle w:val="Heading5"/>
        <w:spacing w:line="235" w:lineRule="exact"/>
        <w:ind w:left="1077" w:right="0"/>
        <w:jc w:val="left"/>
        <w:rPr>
          <w:b w:val="0"/>
          <w:bCs w:val="0"/>
        </w:rPr>
      </w:pPr>
      <w:r>
        <w:rPr/>
        <w:t>（</w:t>
      </w:r>
      <w:r>
        <w:rPr>
          <w:rFonts w:ascii="Times New Roman" w:hAnsi="Times New Roman" w:cs="Times New Roman" w:eastAsia="Times New Roman" w:hint="default"/>
        </w:rPr>
        <w:t>5</w:t>
      </w:r>
      <w:r>
        <w:rPr/>
        <w:t>）开发阶段支出资本化的具体条件</w:t>
      </w:r>
      <w:r>
        <w:rPr>
          <w:b w:val="0"/>
          <w:bCs w:val="0"/>
        </w:rPr>
      </w:r>
    </w:p>
    <w:p>
      <w:pPr>
        <w:pStyle w:val="BodyText"/>
        <w:spacing w:line="240" w:lineRule="auto" w:before="107"/>
        <w:ind w:left="1233" w:right="0"/>
        <w:jc w:val="left"/>
      </w:pPr>
      <w:r>
        <w:rPr/>
        <w:t>内部研究开发项目开发阶段的支出，同时满足下列条件时确认为无形资产：</w:t>
      </w:r>
    </w:p>
    <w:p>
      <w:pPr>
        <w:pStyle w:val="BodyText"/>
        <w:spacing w:line="240" w:lineRule="auto" w:before="126"/>
        <w:ind w:left="1233"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0"/>
        <w:ind w:left="1233" w:right="0"/>
        <w:jc w:val="left"/>
      </w:pPr>
      <w:r>
        <w:rPr>
          <w:rFonts w:ascii="Times New Roman" w:hAnsi="Times New Roman" w:cs="Times New Roman" w:eastAsia="Times New Roman" w:hint="default"/>
        </w:rPr>
        <w:t>2</w:t>
      </w:r>
      <w:r>
        <w:rPr/>
        <w:t>）具有完成该无形资产并使用或出售的意图；</w:t>
      </w:r>
    </w:p>
    <w:p>
      <w:pPr>
        <w:pStyle w:val="BodyText"/>
        <w:spacing w:line="336" w:lineRule="auto" w:before="107"/>
        <w:ind w:left="1233" w:right="0"/>
        <w:jc w:val="left"/>
      </w:pPr>
      <w:r>
        <w:rPr>
          <w:rFonts w:ascii="Times New Roman" w:hAnsi="Times New Roman" w:cs="Times New Roman" w:eastAsia="Times New Roman" w:hint="default"/>
        </w:rPr>
        <w:t>3</w:t>
      </w:r>
      <w:r>
        <w:rPr/>
        <w:t>）无形资产产生经济利益的方式，包括能够证明运用该无形资产生产的产品存在市场或无形</w:t>
      </w:r>
      <w:r>
        <w:rPr>
          <w:spacing w:val="-49"/>
        </w:rPr>
        <w:t> </w:t>
      </w:r>
      <w:r>
        <w:rPr>
          <w:spacing w:val="-49"/>
        </w:rPr>
      </w:r>
      <w:r>
        <w:rPr/>
        <w:t>资产自身存在市场，无形资产将在内部使用的，能够证明其有用性；</w:t>
      </w:r>
      <w:r>
        <w:rPr>
          <w:w w:val="100"/>
        </w:rPr>
        <w:t> </w:t>
      </w:r>
      <w:r>
        <w:rPr>
          <w:rFonts w:ascii="Times New Roman" w:hAnsi="Times New Roman" w:cs="Times New Roman" w:eastAsia="Times New Roman" w:hint="default"/>
        </w:rPr>
        <w:t>4</w:t>
      </w:r>
      <w:r>
        <w:rPr/>
        <w:t>）有足够的技术、财务资源和其他资源支持，以完成该无形资产的开发，并有能力使用或出</w:t>
      </w:r>
      <w:r>
        <w:rPr>
          <w:spacing w:val="-49"/>
        </w:rPr>
        <w:t> </w:t>
      </w:r>
      <w:r>
        <w:rPr>
          <w:spacing w:val="-49"/>
        </w:rPr>
      </w:r>
      <w:r>
        <w:rPr/>
        <w:t>售该无形资产；</w:t>
      </w:r>
    </w:p>
    <w:p>
      <w:pPr>
        <w:pStyle w:val="BodyText"/>
        <w:spacing w:line="338" w:lineRule="auto" w:before="42"/>
        <w:ind w:left="1233" w:right="0"/>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3"/>
        </w:rPr>
        <w:t>开发阶段的支出，若不满足上列条件的，于发生时计入当期损益。研究阶段的支出，在发生时</w:t>
      </w:r>
      <w:r>
        <w:rPr>
          <w:spacing w:val="-46"/>
        </w:rPr>
        <w:t> </w:t>
      </w:r>
      <w:r>
        <w:rPr>
          <w:spacing w:val="-46"/>
        </w:rPr>
      </w:r>
      <w:r>
        <w:rPr/>
        <w:t>计入当期损益。</w:t>
      </w:r>
    </w:p>
    <w:p>
      <w:pPr>
        <w:pStyle w:val="Heading5"/>
        <w:spacing w:line="240" w:lineRule="auto" w:before="73"/>
        <w:ind w:right="0"/>
        <w:jc w:val="left"/>
        <w:rPr>
          <w:b w:val="0"/>
          <w:bCs w:val="0"/>
        </w:rPr>
      </w:pPr>
      <w:r>
        <w:rPr>
          <w:rFonts w:ascii="Times New Roman" w:hAnsi="Times New Roman" w:cs="Times New Roman" w:eastAsia="Times New Roman" w:hint="default"/>
        </w:rPr>
        <w:t>16</w:t>
      </w:r>
      <w:r>
        <w:rPr/>
        <w:t>、长期资产减值</w:t>
      </w:r>
      <w:r>
        <w:rPr>
          <w:b w:val="0"/>
          <w:bCs w:val="0"/>
        </w:rPr>
      </w:r>
    </w:p>
    <w:p>
      <w:pPr>
        <w:pStyle w:val="BodyText"/>
        <w:spacing w:line="273" w:lineRule="auto" w:before="141"/>
        <w:ind w:left="1413" w:right="146"/>
        <w:jc w:val="both"/>
      </w:pPr>
      <w:r>
        <w:rPr>
          <w:spacing w:val="-2"/>
        </w:rPr>
        <w:t>长期股权投资、采用成本模式计量的投资性房地产、固定资产、在建工程、使用寿命有限的</w:t>
      </w:r>
      <w:r>
        <w:rPr>
          <w:spacing w:val="-54"/>
        </w:rPr>
        <w:t> </w:t>
      </w:r>
      <w:r>
        <w:rPr>
          <w:spacing w:val="-54"/>
        </w:rPr>
      </w:r>
      <w:r>
        <w:rPr>
          <w:spacing w:val="-2"/>
        </w:rPr>
        <w:t>无形资产等长期资产，于资产负债表日存在减值迹象的，进行减值测试。减值测试结果表明</w:t>
      </w:r>
      <w:r>
        <w:rPr>
          <w:spacing w:val="-53"/>
        </w:rPr>
        <w:t> </w:t>
      </w:r>
      <w:r>
        <w:rPr>
          <w:spacing w:val="-53"/>
        </w:rPr>
      </w:r>
      <w:r>
        <w:rPr>
          <w:spacing w:val="-2"/>
        </w:rPr>
        <w:t>资产的可收回金额低于其账面价值的，按其差额计提减值准备并计入减值损失。可收回金额</w:t>
      </w:r>
      <w:r>
        <w:rPr>
          <w:spacing w:val="-54"/>
        </w:rPr>
        <w:t> </w:t>
      </w:r>
      <w:r>
        <w:rPr>
          <w:spacing w:val="-54"/>
        </w:rPr>
      </w:r>
      <w:r>
        <w:rPr>
          <w:spacing w:val="2"/>
        </w:rPr>
        <w:t>为资产的公允价值减去处置费用后的净额与资产预计未来现金流量的现值两者之间的较高</w:t>
      </w:r>
      <w:r>
        <w:rPr>
          <w:spacing w:val="-19"/>
        </w:rPr>
        <w:t> </w:t>
      </w:r>
      <w:r>
        <w:rPr>
          <w:spacing w:val="-19"/>
        </w:rPr>
      </w:r>
      <w:r>
        <w:rPr>
          <w:spacing w:val="-2"/>
        </w:rPr>
        <w:t>者。资产减值准备按单项资产为基础计算并确认，如果难以对单项资产的可收回金额进行估</w:t>
      </w:r>
      <w:r>
        <w:rPr>
          <w:spacing w:val="-53"/>
        </w:rPr>
        <w:t> </w:t>
      </w:r>
      <w:r>
        <w:rPr>
          <w:spacing w:val="-53"/>
        </w:rPr>
      </w:r>
      <w:r>
        <w:rPr>
          <w:spacing w:val="-2"/>
        </w:rPr>
        <w:t>计的，以该资产所属的资产组确定资产组的可收回金额。资产组是能够独立产生现金流入的</w:t>
      </w:r>
      <w:r>
        <w:rPr>
          <w:spacing w:val="-52"/>
        </w:rPr>
        <w:t> </w:t>
      </w:r>
      <w:r>
        <w:rPr>
          <w:spacing w:val="-52"/>
        </w:rPr>
      </w:r>
      <w:r>
        <w:rPr/>
        <w:t>最小资产组合。</w:t>
      </w:r>
    </w:p>
    <w:p>
      <w:pPr>
        <w:pStyle w:val="BodyText"/>
        <w:spacing w:line="273" w:lineRule="auto" w:before="7"/>
        <w:ind w:left="1413" w:right="146"/>
        <w:jc w:val="left"/>
      </w:pPr>
      <w:r>
        <w:rPr/>
        <w:t>商誉和使用寿命不确定的无形资产至少在每年年度终了进行减值测试。</w:t>
      </w:r>
      <w:r>
        <w:rPr>
          <w:w w:val="100"/>
        </w:rPr>
        <w:t> </w:t>
      </w:r>
      <w:r>
        <w:rPr>
          <w:spacing w:val="-2"/>
        </w:rPr>
        <w:t>本公司进行商誉减值测试，对于因企业合并形成的商誉的账面价值，自购买日起按照合理的</w:t>
      </w:r>
      <w:r>
        <w:rPr>
          <w:spacing w:val="-54"/>
        </w:rPr>
        <w:t> </w:t>
      </w:r>
      <w:r>
        <w:rPr>
          <w:spacing w:val="-54"/>
        </w:rPr>
      </w:r>
      <w:r>
        <w:rPr>
          <w:spacing w:val="-2"/>
        </w:rPr>
        <w:t>方法分摊至相关的资产组；难以分摊至相关的资产组的，将其分摊至相关的资产组组合。在</w:t>
      </w:r>
      <w:r>
        <w:rPr>
          <w:spacing w:val="-54"/>
        </w:rPr>
        <w:t> </w:t>
      </w:r>
      <w:r>
        <w:rPr>
          <w:spacing w:val="-54"/>
        </w:rPr>
      </w:r>
      <w:r>
        <w:rPr>
          <w:spacing w:val="-2"/>
        </w:rPr>
        <w:t>将商誉的账面价值分摊至相关的资产组或者资产组组合时，按照各资产组或者资产组组合的</w:t>
      </w:r>
      <w:r>
        <w:rPr>
          <w:spacing w:val="-53"/>
        </w:rPr>
        <w:t> </w:t>
      </w:r>
      <w:r>
        <w:rPr>
          <w:spacing w:val="-53"/>
        </w:rPr>
      </w:r>
      <w:r>
        <w:rPr>
          <w:spacing w:val="-2"/>
        </w:rPr>
        <w:t>公允价值占相关资产组或者资产组组合公允价值总额的比例进行分摊。公允价值难以可靠计</w:t>
      </w:r>
      <w:r>
        <w:rPr>
          <w:spacing w:val="-53"/>
        </w:rPr>
        <w:t> </w:t>
      </w:r>
      <w:r>
        <w:rPr>
          <w:spacing w:val="-53"/>
        </w:rPr>
      </w:r>
      <w:r>
        <w:rPr>
          <w:spacing w:val="-2"/>
        </w:rPr>
        <w:t>量的，按照各资产组或者资产组组合的账面价值占相关资产组或者资产组组合账面价值总额</w:t>
      </w:r>
      <w:r>
        <w:rPr>
          <w:spacing w:val="-53"/>
        </w:rPr>
        <w:t> </w:t>
      </w:r>
      <w:r>
        <w:rPr>
          <w:spacing w:val="-53"/>
        </w:rPr>
      </w:r>
      <w:r>
        <w:rPr/>
        <w:t>的比例进行分摊。</w:t>
      </w:r>
      <w:r>
        <w:rPr>
          <w:w w:val="100"/>
        </w:rPr>
        <w:t> </w:t>
      </w:r>
      <w:r>
        <w:rPr>
          <w:spacing w:val="-2"/>
        </w:rPr>
        <w:t>在对包含商誉的相关资产组或者资产组组合进行减值测试时，如与商誉相关的资产组或者资</w:t>
      </w:r>
      <w:r>
        <w:rPr>
          <w:spacing w:val="-53"/>
        </w:rPr>
        <w:t> </w:t>
      </w:r>
      <w:r>
        <w:rPr>
          <w:spacing w:val="-53"/>
        </w:rPr>
      </w:r>
      <w:r>
        <w:rPr>
          <w:spacing w:val="-2"/>
        </w:rPr>
        <w:t>产组组合存在减值迹象的，先对不包含商誉的资产组或者资产组组合进行减值测试，计算可</w:t>
      </w:r>
      <w:r>
        <w:rPr>
          <w:spacing w:val="-54"/>
        </w:rPr>
        <w:t> </w:t>
      </w:r>
      <w:r>
        <w:rPr>
          <w:spacing w:val="-54"/>
        </w:rPr>
      </w:r>
      <w:r>
        <w:rPr>
          <w:spacing w:val="-2"/>
        </w:rPr>
        <w:t>收回金额，并与相关账面价值相比较，确认相应的减值损失。再对包含商誉的资产组或者资</w:t>
      </w:r>
      <w:r>
        <w:rPr>
          <w:spacing w:val="-54"/>
        </w:rPr>
        <w:t> </w:t>
      </w:r>
      <w:r>
        <w:rPr>
          <w:spacing w:val="-54"/>
        </w:rPr>
      </w:r>
      <w:r>
        <w:rPr>
          <w:spacing w:val="-2"/>
        </w:rPr>
        <w:t>产组组合进行减值测试，比较这些相关资产组或者资产组组合的账面价值（包括所分摊的商</w:t>
      </w:r>
      <w:r>
        <w:rPr>
          <w:spacing w:val="-53"/>
        </w:rPr>
        <w:t> </w:t>
      </w:r>
      <w:r>
        <w:rPr>
          <w:spacing w:val="-53"/>
        </w:rPr>
      </w:r>
      <w:r>
        <w:rPr>
          <w:spacing w:val="-2"/>
        </w:rPr>
        <w:t>誉的账面价值部分）与其可收回金额，如相关资产组或者资产组组合的可收回金额低于其账</w:t>
      </w:r>
      <w:r>
        <w:rPr>
          <w:spacing w:val="-53"/>
        </w:rPr>
        <w:t> </w:t>
      </w:r>
      <w:r>
        <w:rPr>
          <w:spacing w:val="-53"/>
        </w:rPr>
      </w:r>
      <w:r>
        <w:rPr/>
        <w:t>面价值的，确认商誉的减值损失。</w:t>
      </w:r>
      <w:r>
        <w:rPr>
          <w:w w:val="100"/>
        </w:rPr>
        <w:t> </w:t>
      </w:r>
      <w:r>
        <w:rPr/>
        <w:t>上述资产减值损失一经确认，在以后会计期间不予转回。</w:t>
      </w:r>
    </w:p>
    <w:p>
      <w:pPr>
        <w:spacing w:after="0" w:line="273" w:lineRule="auto"/>
        <w:jc w:val="left"/>
        <w:sectPr>
          <w:pgSz w:w="11910" w:h="16840"/>
          <w:pgMar w:header="852" w:footer="979" w:top="13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7"/>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413" w:right="0"/>
        <w:jc w:val="left"/>
      </w:pPr>
      <w:r>
        <w:rPr>
          <w:spacing w:val="-2"/>
        </w:rPr>
        <w:t>长期待摊费用为已经发生但应由本期和以后各期负担的分摊期限在一年以上的各项费用。本</w:t>
      </w:r>
      <w:r>
        <w:rPr>
          <w:spacing w:val="-53"/>
        </w:rPr>
        <w:t> </w:t>
      </w:r>
      <w:r>
        <w:rPr>
          <w:spacing w:val="-53"/>
        </w:rPr>
      </w:r>
      <w:r>
        <w:rPr/>
        <w:t>公司长期待摊费用包括租赁房屋的装修费。</w:t>
      </w:r>
    </w:p>
    <w:p>
      <w:pPr>
        <w:spacing w:line="273" w:lineRule="auto" w:before="7"/>
        <w:ind w:left="1408" w:right="5274" w:firstLine="4"/>
        <w:jc w:val="left"/>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摊销年限</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25" w:type="dxa"/>
        <w:tblLayout w:type="fixed"/>
        <w:tblCellMar>
          <w:top w:w="0" w:type="dxa"/>
          <w:left w:w="0" w:type="dxa"/>
          <w:bottom w:w="0" w:type="dxa"/>
          <w:right w:w="0" w:type="dxa"/>
        </w:tblCellMar>
        <w:tblLook w:val="01E0"/>
      </w:tblPr>
      <w:tblGrid>
        <w:gridCol w:w="3860"/>
        <w:gridCol w:w="3200"/>
      </w:tblGrid>
      <w:tr>
        <w:trPr>
          <w:trHeight w:val="326" w:hRule="exact"/>
        </w:trPr>
        <w:tc>
          <w:tcPr>
            <w:tcW w:w="38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22" w:val="left" w:leader="none"/>
              </w:tabs>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4" w:right="0"/>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4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15" w:right="0"/>
              <w:jc w:val="left"/>
              <w:rPr>
                <w:rFonts w:ascii="宋体" w:hAnsi="宋体" w:cs="宋体" w:eastAsia="宋体" w:hint="default"/>
                <w:sz w:val="21"/>
                <w:szCs w:val="21"/>
              </w:rPr>
            </w:pPr>
            <w:r>
              <w:rPr>
                <w:rFonts w:ascii="宋体" w:hAnsi="宋体" w:cs="宋体" w:eastAsia="宋体" w:hint="default"/>
                <w:sz w:val="21"/>
                <w:szCs w:val="21"/>
              </w:rPr>
              <w:t>按房屋租赁期限</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18</w:t>
      </w:r>
      <w:r>
        <w:rPr/>
        <w:t>、职工薪酬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413" w:right="0"/>
        <w:jc w:val="left"/>
      </w:pPr>
      <w:r>
        <w:rPr>
          <w:spacing w:val="-2"/>
        </w:rPr>
        <w:t>本公司在职工为本公司提供服务的会计期间，将实际发生的短期薪酬确认为负债，并计入当</w:t>
      </w:r>
      <w:r>
        <w:rPr>
          <w:spacing w:val="-52"/>
        </w:rPr>
        <w:t> </w:t>
      </w:r>
      <w:r>
        <w:rPr>
          <w:spacing w:val="-52"/>
        </w:rPr>
      </w:r>
      <w:r>
        <w:rPr/>
        <w:t>期损益或相关资产成本。</w:t>
      </w:r>
      <w:r>
        <w:rPr>
          <w:w w:val="100"/>
        </w:rPr>
        <w:t> </w:t>
      </w:r>
      <w:r>
        <w:rPr>
          <w:spacing w:val="2"/>
        </w:rPr>
        <w:t>本公司为职工缴纳的社会保险费和住房公积金，以及按规定提取的工会经费和职工教育经</w:t>
      </w:r>
      <w:r>
        <w:rPr>
          <w:spacing w:val="-19"/>
        </w:rPr>
        <w:t> </w:t>
      </w:r>
      <w:r>
        <w:rPr>
          <w:spacing w:val="-19"/>
        </w:rPr>
      </w:r>
      <w:r>
        <w:rPr>
          <w:spacing w:val="-2"/>
        </w:rPr>
        <w:t>费，在职工为本公司提供服务的会计期间，根据规定的计提基础和计提比例计算确定相应的</w:t>
      </w:r>
      <w:r>
        <w:rPr>
          <w:spacing w:val="-54"/>
        </w:rPr>
        <w:t> </w:t>
      </w:r>
      <w:r>
        <w:rPr>
          <w:spacing w:val="-54"/>
        </w:rPr>
      </w:r>
      <w:r>
        <w:rPr/>
        <w:t>职工薪酬金额。</w:t>
      </w:r>
    </w:p>
    <w:p>
      <w:pPr>
        <w:pStyle w:val="BodyText"/>
        <w:spacing w:line="240" w:lineRule="auto" w:before="7"/>
        <w:ind w:left="1413" w:right="0"/>
        <w:jc w:val="left"/>
      </w:pP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0"/>
        <w:jc w:val="left"/>
      </w:pPr>
      <w:r>
        <w:rPr>
          <w:rFonts w:ascii="宋体" w:hAnsi="宋体" w:cs="宋体" w:eastAsia="宋体" w:hint="default"/>
        </w:rPr>
        <w:t>1</w:t>
      </w:r>
      <w:r>
        <w:rPr/>
        <w:t>）设定提存计划</w:t>
      </w:r>
      <w:r>
        <w:rPr>
          <w:w w:val="100"/>
        </w:rPr>
        <w:t> </w:t>
      </w:r>
      <w:r>
        <w:rPr>
          <w:spacing w:val="-2"/>
        </w:rPr>
        <w:t>本公司按当地政府的相关规定为职工缴纳基本养老保险和失业保险，在职工为本公司提供服</w:t>
      </w:r>
      <w:r>
        <w:rPr>
          <w:spacing w:val="-53"/>
        </w:rPr>
        <w:t> </w:t>
      </w:r>
      <w:r>
        <w:rPr>
          <w:spacing w:val="-53"/>
        </w:rPr>
      </w:r>
      <w:r>
        <w:rPr>
          <w:spacing w:val="-2"/>
        </w:rPr>
        <w:t>务的会计期间，按以当地规定的缴纳基数和比例计算应缴纳金额，确认为负债，并计入当期</w:t>
      </w:r>
      <w:r>
        <w:rPr>
          <w:spacing w:val="-54"/>
        </w:rPr>
        <w:t> </w:t>
      </w:r>
      <w:r>
        <w:rPr>
          <w:spacing w:val="-54"/>
        </w:rPr>
      </w:r>
      <w:r>
        <w:rPr/>
        <w:t>损益或相关资产成本。</w:t>
      </w:r>
    </w:p>
    <w:p>
      <w:pPr>
        <w:pStyle w:val="BodyText"/>
        <w:spacing w:line="273" w:lineRule="auto" w:before="7"/>
        <w:ind w:left="1413" w:right="5814"/>
        <w:jc w:val="left"/>
      </w:pPr>
      <w:r>
        <w:rPr>
          <w:rFonts w:ascii="宋体" w:hAnsi="宋体" w:cs="宋体" w:eastAsia="宋体" w:hint="default"/>
        </w:rPr>
        <w:t>2</w:t>
      </w:r>
      <w:r>
        <w:rPr/>
        <w:t>）设定受益计划</w:t>
      </w:r>
      <w:r>
        <w:rPr>
          <w:w w:val="100"/>
        </w:rPr>
        <w:t> </w:t>
      </w:r>
      <w:r>
        <w:rPr>
          <w:spacing w:val="-2"/>
        </w:rPr>
        <w:t>本公司无设定收益计划。</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413" w:right="146"/>
        <w:jc w:val="both"/>
      </w:pPr>
      <w:r>
        <w:rPr>
          <w:spacing w:val="-2"/>
        </w:rPr>
        <w:t>本公司在不能单方面撤回因解除劳动关系计划或裁减建议所提供的辞退福利时，或确认与涉</w:t>
      </w:r>
      <w:r>
        <w:rPr>
          <w:spacing w:val="-53"/>
        </w:rPr>
        <w:t> </w:t>
      </w:r>
      <w:r>
        <w:rPr>
          <w:spacing w:val="-53"/>
        </w:rPr>
      </w:r>
      <w:r>
        <w:rPr>
          <w:spacing w:val="-2"/>
        </w:rPr>
        <w:t>及支付辞退福利的重组相关的成本或费用时（两者孰早），确认辞退福利产生的职工薪酬负</w:t>
      </w:r>
      <w:r>
        <w:rPr>
          <w:spacing w:val="-54"/>
        </w:rPr>
        <w:t> </w:t>
      </w:r>
      <w:r>
        <w:rPr>
          <w:spacing w:val="-54"/>
        </w:rPr>
      </w:r>
      <w:r>
        <w:rPr/>
        <w:t>债，并计入当期损益。</w:t>
      </w:r>
    </w:p>
    <w:p>
      <w:pPr>
        <w:spacing w:after="0" w:line="273" w:lineRule="auto"/>
        <w:jc w:val="both"/>
        <w:sectPr>
          <w:pgSz w:w="11910" w:h="16840"/>
          <w:pgMar w:header="852" w:footer="979" w:top="1300" w:bottom="1160" w:left="980" w:right="980"/>
        </w:sectPr>
      </w:pPr>
    </w:p>
    <w:p>
      <w:pPr>
        <w:pStyle w:val="Heading5"/>
        <w:spacing w:line="240" w:lineRule="auto" w:before="108"/>
        <w:ind w:right="103"/>
        <w:jc w:val="left"/>
        <w:rPr>
          <w:b w:val="0"/>
          <w:bCs w:val="0"/>
        </w:rPr>
      </w:pPr>
      <w:r>
        <w:rPr>
          <w:rFonts w:ascii="Times New Roman" w:hAnsi="Times New Roman" w:cs="Times New Roman" w:eastAsia="Times New Roman" w:hint="default"/>
        </w:rPr>
        <w:t>19</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413" w:right="103"/>
        <w:jc w:val="left"/>
      </w:pPr>
      <w:r>
        <w:rPr>
          <w:spacing w:val="2"/>
        </w:rPr>
        <w:t>本公司的股份支付是为了获取职工提供服务而授予权益工具或者承担以权益工具为基础确</w:t>
      </w:r>
      <w:r>
        <w:rPr>
          <w:spacing w:val="-10"/>
        </w:rPr>
        <w:t> </w:t>
      </w:r>
      <w:r>
        <w:rPr>
          <w:spacing w:val="-10"/>
        </w:rPr>
      </w:r>
      <w:r>
        <w:rPr/>
        <w:t>定的负债的交易。本公司的股份支付为以权益结算的股份支付。</w:t>
      </w:r>
      <w:r>
        <w:rPr>
          <w:w w:val="100"/>
        </w:rPr>
        <w:t> </w:t>
      </w:r>
      <w:r>
        <w:rPr>
          <w:rFonts w:ascii="宋体" w:hAnsi="宋体" w:cs="宋体" w:eastAsia="宋体" w:hint="default"/>
          <w:b/>
          <w:bCs/>
        </w:rPr>
        <w:t>以权益结算的股份支付及权益工具</w:t>
      </w:r>
      <w:r>
        <w:rPr>
          <w:rFonts w:ascii="宋体" w:hAnsi="宋体" w:cs="宋体" w:eastAsia="宋体" w:hint="default"/>
          <w:b/>
          <w:bCs/>
          <w:w w:val="100"/>
        </w:rPr>
        <w:t> </w:t>
      </w:r>
      <w:r>
        <w:rPr/>
        <w:t>以权益结算的股份支付换取职工提供服务的，以授予职工权益工具的公允价值计量。本公司</w:t>
      </w:r>
      <w:r>
        <w:rPr>
          <w:w w:val="100"/>
        </w:rPr>
        <w:t> </w:t>
      </w:r>
      <w:r>
        <w:rPr/>
        <w:t>以限制性股票进行股份支付的，职工出资认购股票，股票在达到解锁条件并解锁前不得上市</w:t>
      </w:r>
      <w:r>
        <w:rPr>
          <w:w w:val="100"/>
        </w:rPr>
        <w:t> </w:t>
      </w:r>
      <w:r>
        <w:rPr/>
        <w:t>流通或转让；如果最终股权激励计划规定的解锁条件未能达到，则本公司按照事先约定的价</w:t>
      </w:r>
      <w:r>
        <w:rPr>
          <w:w w:val="100"/>
        </w:rPr>
        <w:t> </w:t>
      </w:r>
      <w:r>
        <w:rPr/>
        <w:t>格回购股票。本公司取得职工认购限制性股票支付的款项时，按照取得的认股款确认股本和</w:t>
      </w:r>
      <w:r>
        <w:rPr>
          <w:w w:val="100"/>
        </w:rPr>
        <w:t> </w:t>
      </w:r>
      <w:r>
        <w:rPr/>
        <w:t>资本公积（股本溢价），同时就回购义务全额确认一项负债并确认库存股。在等待期内每个</w:t>
      </w:r>
      <w:r>
        <w:rPr>
          <w:w w:val="100"/>
        </w:rPr>
        <w:t> </w:t>
      </w:r>
      <w:r>
        <w:rPr/>
        <w:t>资产负债表日，本公司根据最新取得的可行权职工人数变动、是否达到规定业绩条件等后续</w:t>
      </w:r>
      <w:r>
        <w:rPr>
          <w:w w:val="100"/>
        </w:rPr>
        <w:t> </w:t>
      </w:r>
      <w:r>
        <w:rPr/>
        <w:t>信息对可行权权益工具数量作出最佳估计，以此为基础，按照授予日的公允价值，将当期取</w:t>
      </w:r>
      <w:r>
        <w:rPr>
          <w:w w:val="100"/>
        </w:rPr>
        <w:t> </w:t>
      </w:r>
      <w:r>
        <w:rPr/>
        <w:t>得的服务计入相关成本或费用，相应增加资本公积。在可行权日之后不再对已确认的相关成</w:t>
      </w:r>
      <w:r>
        <w:rPr>
          <w:w w:val="100"/>
        </w:rPr>
        <w:t> </w:t>
      </w:r>
      <w:r>
        <w:rPr/>
        <w:t>本或费用和所有者权益总额进行调整。但授予后立即可行权的，在授予日按照公允价值计入</w:t>
      </w:r>
      <w:r>
        <w:rPr>
          <w:w w:val="100"/>
        </w:rPr>
        <w:t> </w:t>
      </w:r>
      <w:r>
        <w:rPr/>
        <w:t>相关成本或费用，相应增加资本公积。</w:t>
      </w:r>
      <w:r>
        <w:rPr>
          <w:w w:val="100"/>
        </w:rPr>
        <w:t> </w:t>
      </w:r>
      <w:r>
        <w:rPr/>
        <w:t>对于最终未能行权的股份支付，不确认成本或费用，除非行权条件是市场条件或非可行权条</w:t>
      </w:r>
      <w:r>
        <w:rPr>
          <w:w w:val="100"/>
        </w:rPr>
        <w:t> </w:t>
      </w:r>
      <w:r>
        <w:rPr>
          <w:spacing w:val="-5"/>
        </w:rPr>
        <w:t>件，此时无论是否满足市场条件或非可行权条件，只要满足所有可行权条件中的非市场条件，</w:t>
      </w:r>
      <w:r>
        <w:rPr>
          <w:spacing w:val="-35"/>
        </w:rPr>
        <w:t> </w:t>
      </w:r>
      <w:r>
        <w:rPr>
          <w:spacing w:val="-35"/>
        </w:rPr>
      </w:r>
      <w:r>
        <w:rPr/>
        <w:t>即视为可行权。</w:t>
      </w:r>
      <w:r>
        <w:rPr>
          <w:spacing w:val="-103"/>
        </w:rPr>
        <w:t> </w:t>
      </w:r>
      <w:r>
        <w:rPr>
          <w:spacing w:val="-103"/>
        </w:rPr>
      </w:r>
      <w:r>
        <w:rPr/>
        <w:t>如果修改了以权益结算的股份支付的条款，至少按照未修改条款的情况确认取得的服务。此</w:t>
      </w:r>
      <w:r>
        <w:rPr>
          <w:w w:val="100"/>
        </w:rPr>
        <w:t> </w:t>
      </w:r>
      <w:r>
        <w:rPr/>
        <w:t>外，任何增加所授予权益工具公允价值的修改，或在修改日对职工有利的变更，均确认取得</w:t>
      </w:r>
      <w:r>
        <w:rPr>
          <w:w w:val="100"/>
        </w:rPr>
        <w:t> </w:t>
      </w:r>
      <w:r>
        <w:rPr/>
        <w:t>服务的增加。</w:t>
      </w:r>
      <w:r>
        <w:rPr>
          <w:w w:val="100"/>
        </w:rPr>
        <w:t> </w:t>
      </w:r>
      <w:r>
        <w:rPr/>
        <w:t>如果取消了以权益结算的股份支付，则于取消日作为加速行权处理，立即确认尚未确认的金</w:t>
      </w:r>
      <w:r>
        <w:rPr>
          <w:w w:val="100"/>
        </w:rPr>
        <w:t> </w:t>
      </w:r>
      <w:r>
        <w:rPr/>
        <w:t>额。职工或其他方能够选择满足非可行权条件但在等待期内未满足的，作为取消以权益结算</w:t>
      </w:r>
      <w:r>
        <w:rPr>
          <w:w w:val="100"/>
        </w:rPr>
        <w:t> </w:t>
      </w:r>
      <w:r>
        <w:rPr/>
        <w:t>的股份支付处理。但是，如果授予新的权益工具，并在新权益工具授予日认定所授予的新权</w:t>
      </w:r>
      <w:r>
        <w:rPr>
          <w:w w:val="100"/>
        </w:rPr>
        <w:t> </w:t>
      </w:r>
      <w:r>
        <w:rPr>
          <w:spacing w:val="2"/>
        </w:rPr>
        <w:t>益工具是用于替代被取消的权益工具的，则以与处理原权益工具条款和条件修改相同的方</w:t>
      </w:r>
      <w:r>
        <w:rPr>
          <w:spacing w:val="-19"/>
        </w:rPr>
        <w:t> </w:t>
      </w:r>
      <w:r>
        <w:rPr>
          <w:spacing w:val="-19"/>
        </w:rPr>
      </w:r>
      <w:r>
        <w:rPr/>
        <w:t>式，对所授予的替代权益工具进行处理。</w:t>
      </w:r>
    </w:p>
    <w:p>
      <w:pPr>
        <w:spacing w:line="240" w:lineRule="auto" w:before="6"/>
        <w:rPr>
          <w:rFonts w:ascii="宋体" w:hAnsi="宋体" w:cs="宋体" w:eastAsia="宋体" w:hint="default"/>
          <w:sz w:val="24"/>
          <w:szCs w:val="24"/>
        </w:rPr>
      </w:pPr>
    </w:p>
    <w:p>
      <w:pPr>
        <w:spacing w:line="273" w:lineRule="auto" w:before="0"/>
        <w:ind w:left="1413" w:right="4255" w:firstLine="0"/>
        <w:jc w:val="left"/>
        <w:rPr>
          <w:rFonts w:ascii="宋体" w:hAnsi="宋体" w:cs="宋体" w:eastAsia="宋体" w:hint="default"/>
          <w:sz w:val="21"/>
          <w:szCs w:val="21"/>
        </w:rPr>
      </w:pPr>
      <w:r>
        <w:rPr>
          <w:rFonts w:ascii="宋体" w:hAnsi="宋体" w:cs="宋体" w:eastAsia="宋体" w:hint="default"/>
          <w:b/>
          <w:bCs/>
          <w:sz w:val="21"/>
          <w:szCs w:val="21"/>
        </w:rPr>
        <w:t>以现金结算的股份支付及权益工具</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本公司无以现金结算的股份支付及权益工具。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3"/>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08" w:right="103"/>
        <w:jc w:val="left"/>
        <w:rPr>
          <w:b w:val="0"/>
          <w:bCs w:val="0"/>
        </w:rPr>
      </w:pPr>
      <w:r>
        <w:rPr/>
        <w:t>（</w:t>
      </w:r>
      <w:r>
        <w:rPr>
          <w:rFonts w:ascii="Times New Roman" w:hAnsi="Times New Roman" w:cs="Times New Roman" w:eastAsia="Times New Roman" w:hint="default"/>
        </w:rPr>
        <w:t>1</w:t>
      </w:r>
      <w:r>
        <w:rPr/>
        <w:t>）销售商品收入的确认一般原则：</w:t>
      </w:r>
      <w:r>
        <w:rPr>
          <w:b w:val="0"/>
          <w:bCs w:val="0"/>
        </w:rPr>
      </w:r>
    </w:p>
    <w:p>
      <w:pPr>
        <w:pStyle w:val="BodyText"/>
        <w:spacing w:line="240" w:lineRule="auto" w:before="22"/>
        <w:ind w:left="1413" w:right="103"/>
        <w:jc w:val="left"/>
      </w:pPr>
      <w:r>
        <w:rPr>
          <w:rFonts w:ascii="Times New Roman" w:hAnsi="Times New Roman" w:cs="Times New Roman" w:eastAsia="Times New Roman" w:hint="default"/>
        </w:rPr>
        <w:t>1</w:t>
      </w:r>
      <w:r>
        <w:rPr/>
        <w:t>）本公司已将商品所有权上的主要风险和报酬转移给购货方；</w:t>
      </w:r>
    </w:p>
    <w:p>
      <w:pPr>
        <w:pStyle w:val="BodyText"/>
        <w:spacing w:line="256" w:lineRule="auto" w:before="21"/>
        <w:ind w:left="1413" w:right="103"/>
        <w:jc w:val="left"/>
      </w:pPr>
      <w:r>
        <w:rPr>
          <w:rFonts w:ascii="Times New Roman" w:hAnsi="Times New Roman" w:cs="Times New Roman" w:eastAsia="Times New Roman" w:hint="default"/>
        </w:rPr>
        <w:t>2</w:t>
      </w:r>
      <w:r>
        <w:rPr/>
        <w:t>）本公司既没有保留通常与所有权相联系的继续管理权，也没有对已售出的商品实施有效</w:t>
      </w:r>
      <w:r>
        <w:rPr>
          <w:spacing w:val="-28"/>
        </w:rPr>
        <w:t> </w:t>
      </w:r>
      <w:r>
        <w:rPr>
          <w:spacing w:val="-28"/>
        </w:rPr>
      </w:r>
      <w:r>
        <w:rPr/>
        <w:t>控制；</w:t>
      </w:r>
    </w:p>
    <w:p>
      <w:pPr>
        <w:pStyle w:val="BodyText"/>
        <w:spacing w:line="240" w:lineRule="auto" w:before="22"/>
        <w:ind w:left="1413" w:right="103"/>
        <w:jc w:val="left"/>
      </w:pPr>
      <w:r>
        <w:rPr>
          <w:rFonts w:ascii="Times New Roman" w:hAnsi="Times New Roman" w:cs="Times New Roman" w:eastAsia="Times New Roman" w:hint="default"/>
        </w:rPr>
        <w:t>3</w:t>
      </w:r>
      <w:r>
        <w:rPr/>
        <w:t>）收入的金额能够可靠地计量；</w:t>
      </w:r>
    </w:p>
    <w:p>
      <w:pPr>
        <w:pStyle w:val="BodyText"/>
        <w:spacing w:line="240" w:lineRule="auto" w:before="21"/>
        <w:ind w:left="1413" w:right="103"/>
        <w:jc w:val="left"/>
      </w:pPr>
      <w:r>
        <w:rPr>
          <w:rFonts w:ascii="Times New Roman" w:hAnsi="Times New Roman" w:cs="Times New Roman" w:eastAsia="Times New Roman" w:hint="default"/>
        </w:rPr>
        <w:t>4</w:t>
      </w:r>
      <w:r>
        <w:rPr/>
        <w:t>）相关的经济利益很可能流入本公司；</w:t>
      </w:r>
    </w:p>
    <w:p>
      <w:pPr>
        <w:pStyle w:val="BodyText"/>
        <w:spacing w:line="240" w:lineRule="auto" w:before="21"/>
        <w:ind w:left="1413" w:right="103"/>
        <w:jc w:val="left"/>
      </w:pPr>
      <w:r>
        <w:rPr>
          <w:rFonts w:ascii="Times New Roman" w:hAnsi="Times New Roman" w:cs="Times New Roman" w:eastAsia="Times New Roman" w:hint="default"/>
        </w:rPr>
        <w:t>5</w:t>
      </w:r>
      <w:r>
        <w:rPr/>
        <w:t>）相关的、已发生或将发生的成本能够可靠地计量。</w:t>
      </w:r>
    </w:p>
    <w:p>
      <w:pPr>
        <w:pStyle w:val="BodyText"/>
        <w:spacing w:line="266" w:lineRule="auto" w:before="21"/>
        <w:ind w:left="1413" w:right="103" w:hanging="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）让渡资产使用权收入的确认和计量原则</w:t>
      </w:r>
      <w:r>
        <w:rPr>
          <w:rFonts w:ascii="宋体" w:hAnsi="宋体" w:cs="宋体" w:eastAsia="宋体" w:hint="default"/>
          <w:b/>
          <w:bCs/>
          <w:w w:val="100"/>
        </w:rPr>
        <w:t> </w:t>
      </w:r>
      <w:r>
        <w:rPr>
          <w:spacing w:val="-2"/>
        </w:rPr>
        <w:t>与交易相关的经济利益很可能流入企业，收入的金额能够可靠地计量时。分别下列情况确定</w:t>
      </w:r>
      <w:r>
        <w:rPr>
          <w:spacing w:val="-58"/>
        </w:rPr>
        <w:t> </w:t>
      </w:r>
      <w:r>
        <w:rPr>
          <w:spacing w:val="-58"/>
        </w:rPr>
      </w:r>
      <w:r>
        <w:rPr/>
        <w:t>让渡资产使用权收入金额：</w:t>
      </w:r>
      <w:r>
        <w:rPr>
          <w:w w:val="100"/>
        </w:rPr>
        <w:t> </w:t>
      </w:r>
      <w:r>
        <w:rPr>
          <w:rFonts w:ascii="Times New Roman" w:hAnsi="Times New Roman" w:cs="Times New Roman" w:eastAsia="Times New Roman" w:hint="default"/>
        </w:rPr>
        <w:t>1</w:t>
      </w:r>
      <w:r>
        <w:rPr/>
        <w:t>）利息收入金额，按照他人使用本企业货币资金的时间和实际利率计算确定。</w:t>
      </w:r>
    </w:p>
    <w:p>
      <w:pPr>
        <w:spacing w:after="0" w:line="266" w:lineRule="auto"/>
        <w:jc w:val="left"/>
        <w:sectPr>
          <w:pgSz w:w="11910" w:h="16840"/>
          <w:pgMar w:header="852" w:footer="979" w:top="1300" w:bottom="1160" w:left="980" w:right="920"/>
        </w:sectPr>
      </w:pPr>
    </w:p>
    <w:p>
      <w:pPr>
        <w:pStyle w:val="BodyText"/>
        <w:spacing w:line="240" w:lineRule="auto" w:before="108"/>
        <w:ind w:left="1413" w:right="0"/>
        <w:jc w:val="left"/>
      </w:pPr>
      <w:r>
        <w:rPr>
          <w:rFonts w:ascii="Times New Roman" w:hAnsi="Times New Roman" w:cs="Times New Roman" w:eastAsia="Times New Roman" w:hint="default"/>
        </w:rPr>
        <w:t>2</w:t>
      </w:r>
      <w:r>
        <w:rPr/>
        <w:t>）使用费收入金额，按照有关合同或协议约定的收费时间和方法计算确定。</w:t>
      </w:r>
    </w:p>
    <w:p>
      <w:pPr>
        <w:pStyle w:val="Heading5"/>
        <w:spacing w:line="240" w:lineRule="auto" w:before="21"/>
        <w:ind w:left="1413" w:right="0"/>
        <w:jc w:val="left"/>
        <w:rPr>
          <w:b w:val="0"/>
          <w:bCs w:val="0"/>
        </w:rPr>
      </w:pPr>
      <w:r>
        <w:rPr/>
        <w:t>（</w:t>
      </w:r>
      <w:r>
        <w:rPr>
          <w:rFonts w:ascii="Times New Roman" w:hAnsi="Times New Roman" w:cs="Times New Roman" w:eastAsia="Times New Roman" w:hint="default"/>
        </w:rPr>
        <w:t>3</w:t>
      </w:r>
      <w:r>
        <w:rPr/>
        <w:t>）金融数据信息服务业务收入确认具体原则</w:t>
      </w:r>
      <w:r>
        <w:rPr>
          <w:b w:val="0"/>
          <w:bCs w:val="0"/>
        </w:rPr>
      </w:r>
    </w:p>
    <w:p>
      <w:pPr>
        <w:pStyle w:val="BodyText"/>
        <w:spacing w:line="273" w:lineRule="auto" w:before="21"/>
        <w:ind w:left="1413" w:right="0"/>
        <w:jc w:val="left"/>
      </w:pPr>
      <w:r>
        <w:rPr/>
        <w:t>①金融数据服务收入</w:t>
      </w:r>
      <w:r>
        <w:rPr>
          <w:w w:val="100"/>
        </w:rPr>
        <w:t> </w:t>
      </w:r>
      <w:r>
        <w:rPr>
          <w:spacing w:val="-2"/>
        </w:rPr>
        <w:t>服务订单或合同已经签订，已经收到服务款或取得收款凭证，自服务开始提供月份起在约定</w:t>
      </w:r>
      <w:r>
        <w:rPr>
          <w:spacing w:val="-53"/>
        </w:rPr>
        <w:t> </w:t>
      </w:r>
      <w:r>
        <w:rPr>
          <w:spacing w:val="-53"/>
        </w:rPr>
      </w:r>
      <w:r>
        <w:rPr/>
        <w:t>服务期限内按直线法分期确认收入。</w:t>
      </w:r>
    </w:p>
    <w:p>
      <w:pPr>
        <w:pStyle w:val="BodyText"/>
        <w:spacing w:line="273" w:lineRule="auto" w:before="7"/>
        <w:ind w:left="1413" w:right="0"/>
        <w:jc w:val="left"/>
      </w:pPr>
      <w:r>
        <w:rPr/>
        <w:t>②广告收入：</w:t>
      </w:r>
      <w:r>
        <w:rPr>
          <w:w w:val="100"/>
        </w:rPr>
        <w:t> </w:t>
      </w:r>
      <w:r>
        <w:rPr>
          <w:spacing w:val="-2"/>
        </w:rPr>
        <w:t>广告合同已经签订或广告执行单（广告排期）已经客户确认，广告已经发布，在提供服务时</w:t>
      </w:r>
      <w:r>
        <w:rPr>
          <w:spacing w:val="-57"/>
        </w:rPr>
        <w:t> </w:t>
      </w:r>
      <w:r>
        <w:rPr>
          <w:spacing w:val="-57"/>
        </w:rPr>
      </w:r>
      <w:r>
        <w:rPr/>
        <w:t>按照合同金额与广告发布执行单计算确认收入。</w:t>
      </w:r>
    </w:p>
    <w:p>
      <w:pPr>
        <w:pStyle w:val="BodyText"/>
        <w:spacing w:line="273" w:lineRule="auto" w:before="7"/>
        <w:ind w:left="1413" w:right="0"/>
        <w:jc w:val="left"/>
      </w:pPr>
      <w:r>
        <w:rPr/>
        <w:t>③金融电子商务服务收入：</w:t>
      </w:r>
      <w:r>
        <w:rPr>
          <w:w w:val="100"/>
        </w:rPr>
        <w:t> </w:t>
      </w:r>
      <w:r>
        <w:rPr>
          <w:spacing w:val="-2"/>
        </w:rPr>
        <w:t>服务合同或协议已经签订，已经通过代理买卖平台提供服务和相关信息，根据合同约定的比</w:t>
      </w:r>
      <w:r>
        <w:rPr>
          <w:spacing w:val="-54"/>
        </w:rPr>
        <w:t> </w:t>
      </w:r>
      <w:r>
        <w:rPr>
          <w:spacing w:val="-54"/>
        </w:rPr>
      </w:r>
      <w:r>
        <w:rPr/>
        <w:t>例，在完成代理交易事项的时点确认收入。</w:t>
      </w:r>
    </w:p>
    <w:p>
      <w:pPr>
        <w:pStyle w:val="Heading5"/>
        <w:spacing w:line="240" w:lineRule="auto" w:before="7"/>
        <w:ind w:left="1408" w:right="0"/>
        <w:jc w:val="left"/>
        <w:rPr>
          <w:b w:val="0"/>
          <w:bCs w:val="0"/>
        </w:rPr>
      </w:pPr>
      <w:r>
        <w:rPr/>
        <w:t>（</w:t>
      </w:r>
      <w:r>
        <w:rPr>
          <w:rFonts w:ascii="Times New Roman" w:hAnsi="Times New Roman" w:cs="Times New Roman" w:eastAsia="Times New Roman" w:hint="default"/>
        </w:rPr>
        <w:t>4</w:t>
      </w:r>
      <w:r>
        <w:rPr/>
        <w:t>）手续费及佣金收入</w:t>
      </w:r>
      <w:r>
        <w:rPr>
          <w:b w:val="0"/>
          <w:bCs w:val="0"/>
        </w:rPr>
      </w:r>
    </w:p>
    <w:p>
      <w:pPr>
        <w:pStyle w:val="BodyText"/>
        <w:spacing w:line="256" w:lineRule="auto" w:before="22"/>
        <w:ind w:left="1413" w:right="1674"/>
        <w:jc w:val="left"/>
      </w:pPr>
      <w:r>
        <w:rPr>
          <w:rFonts w:ascii="Times New Roman" w:hAnsi="Times New Roman" w:cs="Times New Roman" w:eastAsia="Times New Roman" w:hint="default"/>
        </w:rPr>
        <w:t>1</w:t>
      </w:r>
      <w:r>
        <w:rPr/>
        <w:t>）经纪业务手续费收入</w:t>
      </w:r>
      <w:r>
        <w:rPr>
          <w:w w:val="100"/>
        </w:rPr>
        <w:t> </w:t>
      </w:r>
      <w:r>
        <w:rPr>
          <w:spacing w:val="-2"/>
        </w:rPr>
        <w:t>代理买卖证券手续费收入：于代理买卖证券交易日予以确认。</w:t>
      </w:r>
    </w:p>
    <w:p>
      <w:pPr>
        <w:pStyle w:val="BodyText"/>
        <w:spacing w:line="273" w:lineRule="auto" w:before="22"/>
        <w:ind w:left="1413" w:right="0"/>
        <w:jc w:val="left"/>
      </w:pPr>
      <w:r>
        <w:rPr>
          <w:spacing w:val="-2"/>
        </w:rPr>
        <w:t>代理兑付债券手续费收入：于代理兑付证券业务完成且实际收讫价款或取得收款证据时予以</w:t>
      </w:r>
      <w:r>
        <w:rPr>
          <w:spacing w:val="-53"/>
        </w:rPr>
        <w:t> </w:t>
      </w:r>
      <w:r>
        <w:rPr>
          <w:spacing w:val="-53"/>
        </w:rPr>
      </w:r>
      <w:r>
        <w:rPr/>
        <w:t>确认。</w:t>
      </w:r>
    </w:p>
    <w:p>
      <w:pPr>
        <w:pStyle w:val="BodyText"/>
        <w:spacing w:line="271" w:lineRule="auto" w:before="7"/>
        <w:ind w:left="1413" w:right="0"/>
        <w:jc w:val="left"/>
      </w:pPr>
      <w:r>
        <w:rPr>
          <w:rFonts w:ascii="Times New Roman" w:hAnsi="Times New Roman" w:cs="Times New Roman" w:eastAsia="Times New Roman" w:hint="default"/>
        </w:rPr>
        <w:t>2</w:t>
      </w:r>
      <w:r>
        <w:rPr/>
        <w:t>）投资银行业务手续费收入</w:t>
      </w:r>
      <w:r>
        <w:rPr>
          <w:w w:val="100"/>
        </w:rPr>
        <w:t> </w:t>
      </w:r>
      <w:r>
        <w:rPr>
          <w:spacing w:val="-2"/>
        </w:rPr>
        <w:t>证券承销收入：以全额承购包销方式出售代发行的证券在将证券转售给投资者时，按发行价</w:t>
      </w:r>
      <w:r>
        <w:rPr>
          <w:spacing w:val="-52"/>
        </w:rPr>
        <w:t> </w:t>
      </w:r>
      <w:r>
        <w:rPr>
          <w:spacing w:val="-52"/>
        </w:rPr>
      </w:r>
      <w:r>
        <w:rPr>
          <w:spacing w:val="-2"/>
        </w:rPr>
        <w:t>格抵减承购价及相关发行费用后确认为证券承销收入；以余额承购包销或代销方式进行承销</w:t>
      </w:r>
      <w:r>
        <w:rPr>
          <w:spacing w:val="-53"/>
        </w:rPr>
        <w:t> </w:t>
      </w:r>
      <w:r>
        <w:rPr>
          <w:spacing w:val="-53"/>
        </w:rPr>
      </w:r>
      <w:r>
        <w:rPr>
          <w:spacing w:val="-2"/>
        </w:rPr>
        <w:t>业务的证券于发行结束后，与发行人结算发行价款时，按约定收取的手续费抵减相关发行费</w:t>
      </w:r>
      <w:r>
        <w:rPr>
          <w:spacing w:val="-54"/>
        </w:rPr>
        <w:t> </w:t>
      </w:r>
      <w:r>
        <w:rPr>
          <w:spacing w:val="-54"/>
        </w:rPr>
      </w:r>
      <w:r>
        <w:rPr/>
        <w:t>用后确认。</w:t>
      </w:r>
      <w:r>
        <w:rPr>
          <w:spacing w:val="-102"/>
        </w:rPr>
        <w:t> </w:t>
      </w:r>
      <w:r>
        <w:rPr>
          <w:spacing w:val="-102"/>
        </w:rPr>
      </w:r>
      <w:r>
        <w:rPr/>
        <w:t>证券保荐业务收入和财务顾问收入：于各项业务提供的相关服务完成时确认收入。</w:t>
      </w:r>
      <w:r>
        <w:rPr>
          <w:w w:val="100"/>
        </w:rPr>
        <w:t> </w:t>
      </w:r>
      <w:r>
        <w:rPr>
          <w:rFonts w:ascii="Times New Roman" w:hAnsi="Times New Roman" w:cs="Times New Roman" w:eastAsia="Times New Roman" w:hint="default"/>
        </w:rPr>
        <w:t>3</w:t>
      </w:r>
      <w:r>
        <w:rPr/>
        <w:t>）资产管理业务手续费收入</w:t>
      </w:r>
      <w:r>
        <w:rPr>
          <w:w w:val="100"/>
        </w:rPr>
        <w:t> </w:t>
      </w:r>
      <w:r>
        <w:rPr>
          <w:spacing w:val="-2"/>
        </w:rPr>
        <w:t>定向资产管理业务于受托投资管理合同到期，与委托人结算时，按合同对规定的比例计算应</w:t>
      </w:r>
      <w:r>
        <w:rPr>
          <w:spacing w:val="-53"/>
        </w:rPr>
        <w:t> </w:t>
      </w:r>
      <w:r>
        <w:rPr>
          <w:spacing w:val="-53"/>
        </w:rPr>
      </w:r>
      <w:r>
        <w:rPr>
          <w:spacing w:val="-2"/>
        </w:rPr>
        <w:t>由公司享有的管理费收益，确认为当期收益；或合同中规定公司按约定比例收取管理费和业</w:t>
      </w:r>
      <w:r>
        <w:rPr>
          <w:spacing w:val="-54"/>
        </w:rPr>
        <w:t> </w:t>
      </w:r>
      <w:r>
        <w:rPr>
          <w:spacing w:val="-54"/>
        </w:rPr>
      </w:r>
      <w:r>
        <w:rPr/>
        <w:t>绩报酬，则在合同期内分期确认管理费和业绩报酬收益。</w:t>
      </w:r>
      <w:r>
        <w:rPr>
          <w:w w:val="100"/>
        </w:rPr>
        <w:t> </w:t>
      </w:r>
      <w:r>
        <w:rPr>
          <w:spacing w:val="-2"/>
        </w:rPr>
        <w:t>集合资产管理按合同约定收取管理费的按合同规定的比例计算应由公司享有的管理费收益，</w:t>
      </w:r>
      <w:r>
        <w:rPr>
          <w:spacing w:val="-31"/>
        </w:rPr>
        <w:t> </w:t>
      </w:r>
      <w:r>
        <w:rPr>
          <w:spacing w:val="-31"/>
        </w:rPr>
      </w:r>
      <w:r>
        <w:rPr>
          <w:spacing w:val="-2"/>
        </w:rPr>
        <w:t>确认为当期收益；按合同约定收取业绩报酬的于集合资产计划到期时或投资者退出计划时，</w:t>
      </w:r>
      <w:r>
        <w:rPr>
          <w:spacing w:val="-32"/>
        </w:rPr>
        <w:t> </w:t>
      </w:r>
      <w:r>
        <w:rPr>
          <w:spacing w:val="-32"/>
        </w:rPr>
      </w:r>
      <w:r>
        <w:rPr/>
        <w:t>按约定比例收取业绩报酬，确认当期收益。</w:t>
      </w:r>
      <w:r>
        <w:rPr>
          <w:w w:val="100"/>
        </w:rPr>
        <w:t> </w:t>
      </w:r>
      <w:r>
        <w:rPr>
          <w:spacing w:val="-2"/>
        </w:rPr>
        <w:t>专项资产管理业务于受托投资管理合同到期，与委托人结算时，按合同对规定的比例计算应</w:t>
      </w:r>
      <w:r>
        <w:rPr>
          <w:spacing w:val="-53"/>
        </w:rPr>
        <w:t> </w:t>
      </w:r>
      <w:r>
        <w:rPr>
          <w:spacing w:val="-53"/>
        </w:rPr>
      </w:r>
      <w:r>
        <w:rPr>
          <w:spacing w:val="-2"/>
        </w:rPr>
        <w:t>由公司享有的管理费收益，确认为当期收益；或合同中规定公司按约定比例收取管理费和业</w:t>
      </w:r>
      <w:r>
        <w:rPr>
          <w:spacing w:val="-54"/>
        </w:rPr>
        <w:t> </w:t>
      </w:r>
      <w:r>
        <w:rPr>
          <w:spacing w:val="-54"/>
        </w:rPr>
      </w:r>
      <w:r>
        <w:rPr/>
        <w:t>绩报酬，则在合同期内分期确认管理费和业绩报酬收益。</w:t>
      </w:r>
    </w:p>
    <w:p>
      <w:pPr>
        <w:pStyle w:val="BodyText"/>
        <w:spacing w:line="266" w:lineRule="auto" w:before="10"/>
        <w:ind w:left="1413" w:right="0"/>
        <w:jc w:val="left"/>
      </w:pPr>
      <w:r>
        <w:rPr>
          <w:rFonts w:ascii="Times New Roman" w:hAnsi="Times New Roman" w:cs="Times New Roman" w:eastAsia="Times New Roman" w:hint="default"/>
        </w:rPr>
        <w:t>4</w:t>
      </w:r>
      <w:r>
        <w:rPr/>
        <w:t>）期货代理业务手续费收入</w:t>
      </w:r>
      <w:r>
        <w:rPr>
          <w:w w:val="100"/>
        </w:rPr>
        <w:t> </w:t>
      </w:r>
      <w:r>
        <w:rPr>
          <w:spacing w:val="-2"/>
        </w:rPr>
        <w:t>根据期货代理合同书确定的收费标准，在代理交易发生时，确定每笔交易的手续费，交易业</w:t>
      </w:r>
      <w:r>
        <w:rPr>
          <w:spacing w:val="-52"/>
        </w:rPr>
        <w:t> </w:t>
      </w:r>
      <w:r>
        <w:rPr>
          <w:spacing w:val="-52"/>
        </w:rPr>
      </w:r>
      <w:r>
        <w:rPr/>
        <w:t>务发生后直接在客户保证金账户中结算扣除。</w:t>
      </w:r>
    </w:p>
    <w:p>
      <w:pPr>
        <w:pStyle w:val="BodyText"/>
        <w:spacing w:line="264" w:lineRule="auto" w:before="14"/>
        <w:ind w:left="1413" w:right="0"/>
        <w:jc w:val="left"/>
      </w:pPr>
      <w:r>
        <w:rPr>
          <w:rFonts w:ascii="Times New Roman" w:hAnsi="Times New Roman" w:cs="Times New Roman" w:eastAsia="Times New Roman" w:hint="default"/>
        </w:rPr>
        <w:t>5</w:t>
      </w:r>
      <w:r>
        <w:rPr/>
        <w:t>）投资咨询业务收入</w:t>
      </w:r>
      <w:r>
        <w:rPr>
          <w:w w:val="100"/>
        </w:rPr>
        <w:t> </w:t>
      </w:r>
      <w:r>
        <w:rPr>
          <w:spacing w:val="-2"/>
        </w:rPr>
        <w:t>相关的投资咨询已经提供，合同约定的经济利益能够流入企业，收入能够可靠计量时，按合</w:t>
      </w:r>
      <w:r>
        <w:rPr>
          <w:spacing w:val="-54"/>
        </w:rPr>
        <w:t> </w:t>
      </w:r>
      <w:r>
        <w:rPr>
          <w:spacing w:val="-54"/>
        </w:rPr>
      </w:r>
      <w:r>
        <w:rPr/>
        <w:t>同或协议规定确认收入。</w:t>
      </w:r>
    </w:p>
    <w:p>
      <w:pPr>
        <w:pStyle w:val="BodyText"/>
        <w:spacing w:line="268" w:lineRule="auto" w:before="16"/>
        <w:ind w:left="1406" w:right="0" w:firstLine="2"/>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）利息收入</w:t>
      </w:r>
      <w:r>
        <w:rPr>
          <w:rFonts w:ascii="宋体" w:hAnsi="宋体" w:cs="宋体" w:eastAsia="宋体" w:hint="default"/>
          <w:b/>
          <w:bCs/>
          <w:w w:val="100"/>
        </w:rPr>
        <w:t> </w:t>
      </w:r>
      <w:r>
        <w:rPr>
          <w:spacing w:val="-2"/>
        </w:rPr>
        <w:t>本公司的利息收入主要是子公司同信证券作为主营业务产生的利息收入，其他公司的利息收</w:t>
      </w:r>
      <w:r>
        <w:rPr>
          <w:spacing w:val="-45"/>
        </w:rPr>
        <w:t> </w:t>
      </w:r>
      <w:r>
        <w:rPr>
          <w:spacing w:val="-45"/>
        </w:rPr>
      </w:r>
      <w:r>
        <w:rPr/>
        <w:t>入计入财务费用，以下会计政策适用于利息收入作为主营业务的公司。</w:t>
      </w:r>
      <w:r>
        <w:rPr>
          <w:w w:val="100"/>
        </w:rPr>
        <w:t> </w:t>
      </w:r>
      <w:r>
        <w:rPr>
          <w:spacing w:val="-2"/>
        </w:rPr>
        <w:t>在与交易相关的经济利益能够流入企业，收入的金额能够可靠地计量时，按资金使用时间和</w:t>
      </w:r>
      <w:r>
        <w:rPr>
          <w:spacing w:val="-53"/>
        </w:rPr>
        <w:t> </w:t>
      </w:r>
      <w:r>
        <w:rPr>
          <w:spacing w:val="-53"/>
        </w:rPr>
      </w:r>
      <w:r>
        <w:rPr>
          <w:spacing w:val="-2"/>
        </w:rPr>
        <w:t>实际利率确认利息收入；融资融券业务根据与客户合约的约定，按出借资金或证券的时间和</w:t>
      </w:r>
      <w:r>
        <w:rPr>
          <w:spacing w:val="-53"/>
        </w:rPr>
        <w:t> </w:t>
      </w:r>
      <w:r>
        <w:rPr>
          <w:spacing w:val="-53"/>
        </w:rPr>
      </w:r>
      <w:r>
        <w:rPr>
          <w:spacing w:val="-2"/>
        </w:rPr>
        <w:t>约定利率确认收入；买入返售证券收入在当期到期返售的，按返售价格与买入成本之间的实</w:t>
      </w:r>
    </w:p>
    <w:p>
      <w:pPr>
        <w:spacing w:after="0" w:line="268" w:lineRule="auto"/>
        <w:jc w:val="left"/>
        <w:sectPr>
          <w:pgSz w:w="11910" w:h="16840"/>
          <w:pgMar w:header="852" w:footer="979" w:top="1300" w:bottom="1160" w:left="980" w:right="980"/>
        </w:sectPr>
      </w:pPr>
    </w:p>
    <w:p>
      <w:pPr>
        <w:pStyle w:val="BodyText"/>
        <w:spacing w:line="273" w:lineRule="auto" w:before="108"/>
        <w:ind w:left="1413" w:right="0"/>
        <w:jc w:val="left"/>
      </w:pPr>
      <w:r>
        <w:rPr>
          <w:spacing w:val="-2"/>
        </w:rPr>
        <w:t>际差额确认为当期收入，在当期没有到期的，期末按权责发生制原则计提利息，确认为当期</w:t>
      </w:r>
      <w:r>
        <w:rPr>
          <w:spacing w:val="-52"/>
        </w:rPr>
        <w:t> </w:t>
      </w:r>
      <w:r>
        <w:rPr>
          <w:spacing w:val="-52"/>
        </w:rPr>
      </w:r>
      <w:r>
        <w:rPr/>
        <w:t>收入。</w:t>
      </w:r>
    </w:p>
    <w:p>
      <w:pPr>
        <w:pStyle w:val="BodyText"/>
        <w:spacing w:line="256" w:lineRule="auto" w:before="7"/>
        <w:ind w:left="1413" w:right="532" w:hanging="5"/>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）投资收益</w:t>
      </w:r>
      <w:r>
        <w:rPr>
          <w:rFonts w:ascii="宋体" w:hAnsi="宋体" w:cs="宋体" w:eastAsia="宋体" w:hint="default"/>
          <w:b/>
          <w:bCs/>
          <w:w w:val="100"/>
        </w:rPr>
        <w:t> </w:t>
      </w:r>
      <w:r>
        <w:rPr>
          <w:spacing w:val="-2"/>
        </w:rPr>
        <w:t>公司持有金融资产期间取得的红利、股息或现金股利等，计入当期损益；</w:t>
      </w:r>
    </w:p>
    <w:p>
      <w:pPr>
        <w:pStyle w:val="BodyText"/>
        <w:spacing w:line="273" w:lineRule="auto" w:before="22"/>
        <w:ind w:left="1413" w:right="0"/>
        <w:jc w:val="left"/>
      </w:pPr>
      <w:r>
        <w:rPr>
          <w:spacing w:val="-2"/>
        </w:rPr>
        <w:t>处置金融资产时，按取得的价款与账面价值之间的差额，计入当期损益，同时，调整公允价</w:t>
      </w:r>
      <w:r>
        <w:rPr>
          <w:spacing w:val="-57"/>
        </w:rPr>
        <w:t> </w:t>
      </w:r>
      <w:r>
        <w:rPr>
          <w:spacing w:val="-57"/>
        </w:rPr>
      </w:r>
      <w:r>
        <w:rPr>
          <w:spacing w:val="-2"/>
        </w:rPr>
        <w:t>值变动损益或将原直接计入其他综合收益的公允价值变动累计额对应处置部分的金额转出，</w:t>
      </w:r>
      <w:r>
        <w:rPr>
          <w:spacing w:val="-31"/>
        </w:rPr>
        <w:t> </w:t>
      </w:r>
      <w:r>
        <w:rPr>
          <w:spacing w:val="-31"/>
        </w:rPr>
      </w:r>
      <w:r>
        <w:rPr/>
        <w:t>计入投资损益。</w:t>
      </w:r>
      <w:r>
        <w:rPr>
          <w:spacing w:val="-103"/>
        </w:rPr>
        <w:t> </w:t>
      </w:r>
      <w:r>
        <w:rPr>
          <w:spacing w:val="-103"/>
        </w:rPr>
      </w:r>
      <w:r>
        <w:rPr>
          <w:spacing w:val="-2"/>
        </w:rPr>
        <w:t>采用成本法核算长期股权投资的，按被投资单位宣告发放的现金股利或利润中属于本公司的</w:t>
      </w:r>
      <w:r>
        <w:rPr>
          <w:spacing w:val="-53"/>
        </w:rPr>
        <w:t> </w:t>
      </w:r>
      <w:r>
        <w:rPr>
          <w:spacing w:val="-53"/>
        </w:rPr>
      </w:r>
      <w:r>
        <w:rPr/>
        <w:t>部分确认当期损益；</w:t>
      </w:r>
      <w:r>
        <w:rPr>
          <w:w w:val="100"/>
        </w:rPr>
        <w:t> </w:t>
      </w:r>
      <w:r>
        <w:rPr>
          <w:spacing w:val="-2"/>
        </w:rPr>
        <w:t>采用权益法核算长期股权投资的，按被投资单位实现的净利润或经调整的净利润计算应享有</w:t>
      </w:r>
      <w:r>
        <w:rPr>
          <w:spacing w:val="-53"/>
        </w:rPr>
        <w:t> </w:t>
      </w:r>
      <w:r>
        <w:rPr>
          <w:spacing w:val="-53"/>
        </w:rPr>
      </w:r>
      <w:r>
        <w:rPr/>
        <w:t>的份额确认当期损益。</w:t>
      </w:r>
    </w:p>
    <w:p>
      <w:pPr>
        <w:pStyle w:val="BodyText"/>
        <w:spacing w:line="259" w:lineRule="auto" w:before="7"/>
        <w:ind w:left="1413" w:right="0" w:hanging="5"/>
        <w:jc w:val="left"/>
      </w:pPr>
      <w:r>
        <w:rPr>
          <w:rFonts w:ascii="宋体" w:hAnsi="宋体" w:cs="宋体" w:eastAsia="宋体" w:hint="default"/>
          <w:b/>
          <w:bCs/>
        </w:rPr>
        <w:t>（</w:t>
      </w:r>
      <w:r>
        <w:rPr>
          <w:rFonts w:ascii="Times New Roman" w:hAnsi="Times New Roman" w:cs="Times New Roman" w:eastAsia="Times New Roman" w:hint="default"/>
          <w:b/>
          <w:bCs/>
        </w:rPr>
        <w:t>7</w:t>
      </w:r>
      <w:r>
        <w:rPr>
          <w:rFonts w:ascii="宋体" w:hAnsi="宋体" w:cs="宋体" w:eastAsia="宋体" w:hint="default"/>
          <w:b/>
          <w:bCs/>
        </w:rPr>
        <w:t>）其他收入</w:t>
      </w:r>
      <w:r>
        <w:rPr>
          <w:rFonts w:ascii="宋体" w:hAnsi="宋体" w:cs="宋体" w:eastAsia="宋体" w:hint="default"/>
          <w:b/>
          <w:bCs/>
          <w:w w:val="100"/>
        </w:rPr>
        <w:t> </w:t>
      </w:r>
      <w:r>
        <w:rPr>
          <w:spacing w:val="-2"/>
        </w:rPr>
        <w:t>相关的经济利益能够流入企业，收入能够可靠计量时，按合同或协议规定确认收入。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146"/>
        <w:jc w:val="both"/>
      </w:pPr>
      <w:r>
        <w:rPr>
          <w:spacing w:val="-2"/>
        </w:rPr>
        <w:t>与资产相关的政府补助，是指本公司取得的、用于购建或以其他方式形成长期资产的政府补</w:t>
      </w:r>
      <w:r>
        <w:rPr>
          <w:spacing w:val="-52"/>
        </w:rPr>
        <w:t> </w:t>
      </w:r>
      <w:r>
        <w:rPr>
          <w:spacing w:val="-52"/>
        </w:rPr>
      </w:r>
      <w:r>
        <w:rPr>
          <w:spacing w:val="-2"/>
        </w:rPr>
        <w:t>助，包括购买固定资产或无形资产的财政拨款、固定资产专门借款的财政贴息等。本公司将</w:t>
      </w:r>
      <w:r>
        <w:rPr>
          <w:spacing w:val="-54"/>
        </w:rPr>
        <w:t> </w:t>
      </w:r>
      <w:r>
        <w:rPr>
          <w:spacing w:val="-54"/>
        </w:rPr>
      </w:r>
      <w:r>
        <w:rPr>
          <w:spacing w:val="-2"/>
        </w:rPr>
        <w:t>政府补助划分为与资产相关的具体标准为：本公司取得的、用于购建或以其他方式形成长期</w:t>
      </w:r>
      <w:r>
        <w:rPr>
          <w:spacing w:val="-54"/>
        </w:rPr>
        <w:t> </w:t>
      </w:r>
      <w:r>
        <w:rPr>
          <w:spacing w:val="-54"/>
        </w:rPr>
      </w:r>
      <w:r>
        <w:rPr>
          <w:spacing w:val="-2"/>
        </w:rPr>
        <w:t>资产的政府补助；与资产相关的政府补助，确认为递延收益，按照所建造或购买的资产使用</w:t>
      </w:r>
      <w:r>
        <w:rPr>
          <w:spacing w:val="-55"/>
        </w:rPr>
        <w:t> </w:t>
      </w:r>
      <w:r>
        <w:rPr>
          <w:spacing w:val="-55"/>
        </w:rPr>
      </w:r>
      <w:r>
        <w:rPr/>
        <w:t>年限分期计入营业外收入。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413" w:right="0"/>
        <w:jc w:val="left"/>
      </w:pPr>
      <w:r>
        <w:rPr>
          <w:spacing w:val="-2"/>
        </w:rPr>
        <w:t>本公司将政府补助划分为与收益相关的具体标准为：本公司取得的除与资产相关的政府补助</w:t>
      </w:r>
      <w:r>
        <w:rPr>
          <w:spacing w:val="-53"/>
        </w:rPr>
        <w:t> </w:t>
      </w:r>
      <w:r>
        <w:rPr>
          <w:spacing w:val="-53"/>
        </w:rPr>
      </w:r>
      <w:r>
        <w:rPr>
          <w:spacing w:val="-2"/>
        </w:rPr>
        <w:t>之外的政府补助，对于政府文件未明确规定补助对象的，本公司将该政府补助划分为与资产</w:t>
      </w:r>
      <w:r>
        <w:rPr>
          <w:spacing w:val="-53"/>
        </w:rPr>
        <w:t> </w:t>
      </w:r>
      <w:r>
        <w:rPr>
          <w:spacing w:val="-53"/>
        </w:rPr>
      </w:r>
      <w:r>
        <w:rPr/>
        <w:t>相关或与收益相关的判断依据为：将政府补助整体归类为与收益相关的政府补助。</w:t>
      </w:r>
      <w:r>
        <w:rPr>
          <w:w w:val="100"/>
        </w:rPr>
        <w:t> </w:t>
      </w:r>
      <w:r>
        <w:rPr>
          <w:spacing w:val="-2"/>
        </w:rPr>
        <w:t>与收益相关的政府补助，用于补偿本公司以后期间的相关费用或损失的，取得时确认为递延</w:t>
      </w:r>
      <w:r>
        <w:rPr>
          <w:spacing w:val="-53"/>
        </w:rPr>
        <w:t> </w:t>
      </w:r>
      <w:r>
        <w:rPr>
          <w:spacing w:val="-53"/>
        </w:rPr>
      </w:r>
      <w:r>
        <w:rPr>
          <w:spacing w:val="-2"/>
        </w:rPr>
        <w:t>收益，在确认相关费用的期间计入当期营业外收入。用于补偿本公司已发生的相关费用或损</w:t>
      </w:r>
      <w:r>
        <w:rPr>
          <w:spacing w:val="-53"/>
        </w:rPr>
        <w:t> </w:t>
      </w:r>
      <w:r>
        <w:rPr>
          <w:spacing w:val="-53"/>
        </w:rPr>
      </w:r>
      <w:r>
        <w:rPr/>
        <w:t>失的，取得时直接计入当期营业外收入。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6"/>
        <w:ind w:right="0"/>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413" w:right="127"/>
        <w:jc w:val="both"/>
      </w:pPr>
      <w:r>
        <w:rPr>
          <w:spacing w:val="-2"/>
        </w:rPr>
        <w:t>对于可抵扣暂时性差异确认递延所得税资产，以未来期间很可能取得的用来抵扣可抵扣暂时</w:t>
      </w:r>
      <w:r>
        <w:rPr>
          <w:spacing w:val="-53"/>
        </w:rPr>
        <w:t> </w:t>
      </w:r>
      <w:r>
        <w:rPr>
          <w:spacing w:val="-53"/>
        </w:rPr>
      </w:r>
      <w:r>
        <w:rPr>
          <w:spacing w:val="-2"/>
        </w:rPr>
        <w:t>性差异的应纳税所得额为限。对于能够结转以后年度的可抵扣亏损和税款抵减，以很可能获</w:t>
      </w:r>
      <w:r>
        <w:rPr>
          <w:spacing w:val="-54"/>
        </w:rPr>
        <w:t> </w:t>
      </w:r>
      <w:r>
        <w:rPr>
          <w:spacing w:val="-54"/>
        </w:rPr>
      </w:r>
      <w:r>
        <w:rPr>
          <w:spacing w:val="-2"/>
        </w:rPr>
        <w:t>得用来抵扣可抵扣亏损和税款抵减的未来应纳税所得额为限，确认相应的递延所得税资产。</w:t>
      </w:r>
      <w:r>
        <w:rPr>
          <w:spacing w:val="-34"/>
        </w:rPr>
        <w:t> </w:t>
      </w:r>
      <w:r>
        <w:rPr>
          <w:spacing w:val="-34"/>
        </w:rPr>
      </w:r>
      <w:r>
        <w:rPr/>
        <w:t>对于应纳税暂时性差异，除特殊情况外，确认递延所得税负债。</w:t>
      </w:r>
    </w:p>
    <w:p>
      <w:pPr>
        <w:spacing w:after="0" w:line="273" w:lineRule="auto"/>
        <w:jc w:val="both"/>
        <w:sectPr>
          <w:pgSz w:w="11910" w:h="16840"/>
          <w:pgMar w:header="852" w:footer="979" w:top="1300" w:bottom="1160" w:left="980" w:right="980"/>
        </w:sectPr>
      </w:pPr>
    </w:p>
    <w:p>
      <w:pPr>
        <w:pStyle w:val="BodyText"/>
        <w:spacing w:line="273" w:lineRule="auto" w:before="108"/>
        <w:ind w:left="1413" w:right="0"/>
        <w:jc w:val="left"/>
      </w:pPr>
      <w:r>
        <w:rPr>
          <w:spacing w:val="-2"/>
        </w:rPr>
        <w:t>不确认递延所得税资产或递延所得税负债的特殊情况包括：商誉的初始确认；除企业合并以</w:t>
      </w:r>
      <w:r>
        <w:rPr>
          <w:spacing w:val="-54"/>
        </w:rPr>
        <w:t> </w:t>
      </w:r>
      <w:r>
        <w:rPr>
          <w:spacing w:val="-54"/>
        </w:rPr>
      </w:r>
      <w:r>
        <w:rPr>
          <w:spacing w:val="-2"/>
        </w:rPr>
        <w:t>外的发生时既不影响会计利润也不影响应纳税所得额（或可抵扣亏损）的其他交易或事项。</w:t>
      </w:r>
      <w:r>
        <w:rPr>
          <w:spacing w:val="-34"/>
        </w:rPr>
        <w:t> </w:t>
      </w:r>
      <w:r>
        <w:rPr>
          <w:spacing w:val="-34"/>
        </w:rPr>
      </w:r>
      <w:r>
        <w:rPr>
          <w:spacing w:val="-2"/>
        </w:rPr>
        <w:t>当拥有以净额结算的法定权利，且意图以净额结算或取得资产、清偿负债同时进行时，当期</w:t>
      </w:r>
      <w:r>
        <w:rPr>
          <w:spacing w:val="-54"/>
        </w:rPr>
        <w:t> </w:t>
      </w:r>
      <w:r>
        <w:rPr>
          <w:spacing w:val="-54"/>
        </w:rPr>
      </w:r>
      <w:r>
        <w:rPr/>
        <w:t>所得税资产及当期所得税负债以抵销后的净额列报。</w:t>
      </w:r>
      <w:r>
        <w:rPr>
          <w:w w:val="100"/>
        </w:rPr>
        <w:t> </w:t>
      </w:r>
      <w:r>
        <w:rPr>
          <w:spacing w:val="-2"/>
        </w:rPr>
        <w:t>当拥有以净额结算当期所得税资产及当期所得税负债的法定权利，且递延所得税资产及递延</w:t>
      </w:r>
      <w:r>
        <w:rPr>
          <w:spacing w:val="-53"/>
        </w:rPr>
        <w:t> </w:t>
      </w:r>
      <w:r>
        <w:rPr>
          <w:spacing w:val="-53"/>
        </w:rPr>
      </w:r>
      <w:r>
        <w:rPr>
          <w:spacing w:val="2"/>
        </w:rPr>
        <w:t>所得税负债是与同一税收征管部门对同一纳税主体征收的所得税相关或者是对不同的纳税</w:t>
      </w:r>
      <w:r>
        <w:rPr>
          <w:spacing w:val="-19"/>
        </w:rPr>
        <w:t> </w:t>
      </w:r>
      <w:r>
        <w:rPr>
          <w:spacing w:val="-19"/>
        </w:rPr>
      </w:r>
      <w:r>
        <w:rPr>
          <w:spacing w:val="-2"/>
        </w:rPr>
        <w:t>主体相关，但在未来每一具有重要性的递延所得税资产及负债转回的期间内，涉及的纳税主</w:t>
      </w:r>
      <w:r>
        <w:rPr>
          <w:spacing w:val="-53"/>
        </w:rPr>
        <w:t> </w:t>
      </w:r>
      <w:r>
        <w:rPr>
          <w:spacing w:val="-53"/>
        </w:rPr>
      </w:r>
      <w:r>
        <w:rPr>
          <w:spacing w:val="-2"/>
        </w:rPr>
        <w:t>体意图以净额结算当期所得税资产和负债或是同时取得资产、清偿负债时，递延所得税资产</w:t>
      </w:r>
      <w:r>
        <w:rPr>
          <w:spacing w:val="-52"/>
        </w:rPr>
        <w:t> </w:t>
      </w:r>
      <w:r>
        <w:rPr>
          <w:spacing w:val="-52"/>
        </w:rPr>
      </w:r>
      <w:r>
        <w:rPr/>
        <w:t>及递延所得税负债以抵销后的净额列报。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23</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left="1413" w:right="0"/>
        <w:jc w:val="left"/>
      </w:pPr>
      <w:r>
        <w:rPr>
          <w:rFonts w:ascii="Times New Roman" w:hAnsi="Times New Roman" w:cs="Times New Roman" w:eastAsia="Times New Roman" w:hint="default"/>
        </w:rPr>
        <w:t>1</w:t>
      </w:r>
      <w:r>
        <w:rPr/>
        <w:t>）公司租入资产所支付的租赁费，在不扣除免租期的整个租赁期内，按直线法进行分摊，</w:t>
      </w:r>
      <w:r>
        <w:rPr>
          <w:spacing w:val="-28"/>
        </w:rPr>
        <w:t> </w:t>
      </w:r>
      <w:r>
        <w:rPr>
          <w:spacing w:val="-28"/>
        </w:rPr>
      </w:r>
      <w:r>
        <w:rPr/>
        <w:t>计入当期费用。公司支付的与租赁交易相关的初始直接费用，计入当期费用。</w:t>
      </w:r>
      <w:r>
        <w:rPr>
          <w:w w:val="100"/>
        </w:rPr>
        <w:t> </w:t>
      </w:r>
      <w:r>
        <w:rPr>
          <w:spacing w:val="-2"/>
        </w:rPr>
        <w:t>资产出租方承担了应由公司承担的与租赁相关的费用时，公司将该部分费用从租金总额中扣</w:t>
      </w:r>
      <w:r>
        <w:rPr>
          <w:spacing w:val="-53"/>
        </w:rPr>
        <w:t> </w:t>
      </w:r>
      <w:r>
        <w:rPr>
          <w:spacing w:val="-53"/>
        </w:rPr>
      </w:r>
      <w:r>
        <w:rPr/>
        <w:t>除，按扣除后的租金费用在租赁期内分摊，计入当期费用。</w:t>
      </w:r>
      <w:r>
        <w:rPr>
          <w:w w:val="100"/>
        </w:rPr>
        <w:t> </w:t>
      </w:r>
      <w:r>
        <w:rPr>
          <w:rFonts w:ascii="Times New Roman" w:hAnsi="Times New Roman" w:cs="Times New Roman" w:eastAsia="Times New Roman" w:hint="default"/>
        </w:rPr>
        <w:t>2</w:t>
      </w:r>
      <w:r>
        <w:rPr/>
        <w:t>）公司出租资产所收取的租赁费，在不扣除免租期的整个租赁期内，按直线法进行分摊，</w:t>
      </w:r>
      <w:r>
        <w:rPr>
          <w:spacing w:val="-28"/>
        </w:rPr>
        <w:t> </w:t>
      </w:r>
      <w:r>
        <w:rPr>
          <w:spacing w:val="-28"/>
        </w:rPr>
      </w:r>
      <w:r>
        <w:rPr>
          <w:spacing w:val="-2"/>
        </w:rPr>
        <w:t>确认为租赁相关收入。公司支付的与租赁交易相关的初始直接费用，计入当期费用；如金额</w:t>
      </w:r>
      <w:r>
        <w:rPr>
          <w:spacing w:val="-54"/>
        </w:rPr>
        <w:t> </w:t>
      </w:r>
      <w:r>
        <w:rPr>
          <w:spacing w:val="-54"/>
        </w:rPr>
      </w:r>
      <w:r>
        <w:rPr>
          <w:spacing w:val="-2"/>
        </w:rPr>
        <w:t>较大的，则予以资本化，在整个租赁期间内按照与租赁相关收入确认相同的基础分期计入当</w:t>
      </w:r>
      <w:r>
        <w:rPr>
          <w:spacing w:val="-53"/>
        </w:rPr>
        <w:t> </w:t>
      </w:r>
      <w:r>
        <w:rPr>
          <w:spacing w:val="-53"/>
        </w:rPr>
      </w:r>
      <w:r>
        <w:rPr/>
        <w:t>期收益。</w:t>
      </w:r>
      <w:r>
        <w:rPr>
          <w:w w:val="100"/>
        </w:rPr>
        <w:t> </w:t>
      </w:r>
      <w:r>
        <w:rPr>
          <w:spacing w:val="-2"/>
        </w:rPr>
        <w:t>公司承担了应由承租方承担的与租赁相关的费用时，公司将该部分费用从租金收入总额中扣</w:t>
      </w:r>
      <w:r>
        <w:rPr>
          <w:spacing w:val="-53"/>
        </w:rPr>
        <w:t> </w:t>
      </w:r>
      <w:r>
        <w:rPr>
          <w:spacing w:val="-53"/>
        </w:rPr>
      </w:r>
      <w:r>
        <w:rPr/>
        <w:t>除，按扣除后的租金费用在租赁期内分配。</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1413" w:right="0"/>
        <w:jc w:val="left"/>
      </w:pPr>
      <w:r>
        <w:rPr/>
        <w:t>本公司无融资租赁业务。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24</w:t>
      </w:r>
      <w:r>
        <w:rPr/>
        <w:t>、</w:t>
      </w:r>
      <w:r>
        <w:rPr>
          <w:spacing w:val="-1"/>
        </w:rPr>
        <w:t> </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left="1413" w:right="0"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）买入返售金融资产</w:t>
      </w:r>
      <w:r>
        <w:rPr>
          <w:rFonts w:ascii="宋体" w:hAnsi="宋体" w:cs="宋体" w:eastAsia="宋体" w:hint="default"/>
          <w:b/>
          <w:bCs/>
          <w:w w:val="100"/>
        </w:rPr>
        <w:t> </w:t>
      </w:r>
      <w:r>
        <w:rPr>
          <w:spacing w:val="-2"/>
        </w:rPr>
        <w:t>根据协议承诺将于未来某确定日期返售的金融资产不在资产负债表内予以确认。买入该等资</w:t>
      </w:r>
      <w:r>
        <w:rPr>
          <w:spacing w:val="-58"/>
        </w:rPr>
        <w:t> </w:t>
      </w:r>
      <w:r>
        <w:rPr>
          <w:spacing w:val="-58"/>
        </w:rPr>
      </w:r>
      <w:r>
        <w:rPr>
          <w:spacing w:val="-2"/>
        </w:rPr>
        <w:t>产所支付的成本，在资产负债表中作为买入返售金融资产列示。买入价与返售价之间的差额</w:t>
      </w:r>
      <w:r>
        <w:rPr>
          <w:spacing w:val="-59"/>
        </w:rPr>
        <w:t> </w:t>
      </w:r>
      <w:r>
        <w:rPr>
          <w:spacing w:val="-59"/>
        </w:rPr>
      </w:r>
      <w:r>
        <w:rPr/>
        <w:t>在协议期内按实际利率法确认，计入利息收入。</w:t>
      </w:r>
    </w:p>
    <w:p>
      <w:pPr>
        <w:spacing w:line="240" w:lineRule="auto" w:before="12"/>
        <w:rPr>
          <w:rFonts w:ascii="宋体" w:hAnsi="宋体" w:cs="宋体" w:eastAsia="宋体" w:hint="default"/>
          <w:sz w:val="24"/>
          <w:szCs w:val="24"/>
        </w:rPr>
      </w:pPr>
    </w:p>
    <w:p>
      <w:pPr>
        <w:pStyle w:val="BodyText"/>
        <w:spacing w:line="266" w:lineRule="auto"/>
        <w:ind w:left="1413" w:right="0" w:hanging="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）卖出回购金融资产款</w:t>
      </w:r>
      <w:r>
        <w:rPr>
          <w:rFonts w:ascii="宋体" w:hAnsi="宋体" w:cs="宋体" w:eastAsia="宋体" w:hint="default"/>
          <w:b/>
          <w:bCs/>
          <w:w w:val="100"/>
        </w:rPr>
        <w:t> </w:t>
      </w:r>
      <w:r>
        <w:rPr>
          <w:spacing w:val="2"/>
        </w:rPr>
        <w:t>根据协议承诺将于未来某确定日期回购的已售出的金融资产不在资产负债表内予以终止确</w:t>
      </w:r>
      <w:r>
        <w:rPr>
          <w:spacing w:val="-19"/>
        </w:rPr>
        <w:t> </w:t>
      </w:r>
      <w:r>
        <w:rPr>
          <w:spacing w:val="-19"/>
        </w:rPr>
      </w:r>
      <w:r>
        <w:rPr>
          <w:spacing w:val="-2"/>
        </w:rPr>
        <w:t>认。出售该等资产所得的款项，在资产负债表中作为卖出回购金融资产款列示。售价与回购</w:t>
      </w:r>
      <w:r>
        <w:rPr>
          <w:spacing w:val="-58"/>
        </w:rPr>
        <w:t> </w:t>
      </w:r>
      <w:r>
        <w:rPr>
          <w:spacing w:val="-58"/>
        </w:rPr>
      </w:r>
      <w:r>
        <w:rPr/>
        <w:t>价之间的差额在协议期内按实际利率法确认，计入利息支出。</w:t>
      </w:r>
    </w:p>
    <w:p>
      <w:pPr>
        <w:spacing w:after="0" w:line="266" w:lineRule="auto"/>
        <w:jc w:val="left"/>
        <w:sectPr>
          <w:pgSz w:w="11910" w:h="16840"/>
          <w:pgMar w:header="852" w:footer="979" w:top="1300" w:bottom="1160" w:left="980" w:right="980"/>
        </w:sectPr>
      </w:pPr>
    </w:p>
    <w:p>
      <w:pPr>
        <w:pStyle w:val="Heading5"/>
        <w:spacing w:line="240" w:lineRule="auto" w:before="108"/>
        <w:ind w:right="103"/>
        <w:jc w:val="left"/>
        <w:rPr>
          <w:b w:val="0"/>
          <w:bCs w:val="0"/>
        </w:rPr>
      </w:pPr>
      <w:r>
        <w:rPr>
          <w:rFonts w:ascii="Times New Roman" w:hAnsi="Times New Roman" w:cs="Times New Roman" w:eastAsia="Times New Roman" w:hint="default"/>
        </w:rPr>
        <w:t>25</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3"/>
        <w:jc w:val="left"/>
        <w:rPr>
          <w:b w:val="0"/>
          <w:bCs w:val="0"/>
        </w:rPr>
      </w:pPr>
      <w:r>
        <w:rPr>
          <w:rFonts w:ascii="Times New Roman" w:hAnsi="Times New Roman" w:cs="Times New Roman" w:eastAsia="Times New Roman" w:hint="default"/>
        </w:rPr>
        <w:t>(1))</w:t>
      </w:r>
      <w:r>
        <w:rPr/>
        <w:t>融资融券业务</w:t>
      </w:r>
      <w:r>
        <w:rPr>
          <w:b w:val="0"/>
          <w:bCs w:val="0"/>
        </w:rPr>
      </w:r>
    </w:p>
    <w:p>
      <w:pPr>
        <w:pStyle w:val="BodyText"/>
        <w:spacing w:line="273" w:lineRule="auto" w:before="21"/>
        <w:ind w:left="1413" w:right="103"/>
        <w:jc w:val="left"/>
      </w:pPr>
      <w:r>
        <w:rPr>
          <w:spacing w:val="-2"/>
        </w:rPr>
        <w:t>融资融券业务，是指本公司向客户出借资金供其买入证券或者出借证券供其卖出，并由客户</w:t>
      </w:r>
      <w:r>
        <w:rPr>
          <w:spacing w:val="-52"/>
        </w:rPr>
        <w:t> </w:t>
      </w:r>
      <w:r>
        <w:rPr>
          <w:spacing w:val="-52"/>
        </w:rPr>
      </w:r>
      <w:r>
        <w:rPr/>
        <w:t>交存相应担保物的经营活动。融资融券业务，分为融资业务和融券业务两类。</w:t>
      </w:r>
      <w:r>
        <w:rPr>
          <w:w w:val="100"/>
        </w:rPr>
        <w:t> </w:t>
      </w:r>
      <w:r>
        <w:rPr>
          <w:spacing w:val="-3"/>
        </w:rPr>
        <w:t>本公司对融出的资金，确认应收债权，并确认相应利息收入；对融出的证券，不终止确认该</w:t>
      </w:r>
      <w:r>
        <w:rPr>
          <w:spacing w:val="-20"/>
        </w:rPr>
        <w:t> </w:t>
      </w:r>
      <w:r>
        <w:rPr>
          <w:spacing w:val="-20"/>
        </w:rPr>
      </w:r>
      <w:r>
        <w:rPr/>
        <w:t>证券，仍按原金融资产类别进行会计处理，并确认相应利息收入。</w:t>
      </w:r>
      <w:r>
        <w:rPr>
          <w:w w:val="100"/>
        </w:rPr>
        <w:t> </w:t>
      </w:r>
      <w:r>
        <w:rPr/>
        <w:t>对客户融资融券并代客户买卖证券时，作为证券经纪业务进行会计处理。</w:t>
      </w:r>
    </w:p>
    <w:p>
      <w:pPr>
        <w:spacing w:line="240" w:lineRule="auto" w:before="6"/>
        <w:rPr>
          <w:rFonts w:ascii="宋体" w:hAnsi="宋体" w:cs="宋体" w:eastAsia="宋体" w:hint="default"/>
          <w:sz w:val="24"/>
          <w:szCs w:val="24"/>
        </w:rPr>
      </w:pPr>
    </w:p>
    <w:p>
      <w:pPr>
        <w:pStyle w:val="Heading5"/>
        <w:spacing w:line="240" w:lineRule="auto"/>
        <w:ind w:right="103"/>
        <w:jc w:val="left"/>
        <w:rPr>
          <w:b w:val="0"/>
          <w:bCs w:val="0"/>
        </w:rPr>
      </w:pPr>
      <w:r>
        <w:rPr>
          <w:rFonts w:ascii="Times New Roman" w:hAnsi="Times New Roman" w:cs="Times New Roman" w:eastAsia="Times New Roman" w:hint="default"/>
        </w:rPr>
        <w:t>(2)</w:t>
      </w:r>
      <w:r>
        <w:rPr/>
        <w:t>融资类业务减值准备</w:t>
      </w:r>
      <w:r>
        <w:rPr>
          <w:b w:val="0"/>
          <w:bCs w:val="0"/>
        </w:rPr>
      </w:r>
    </w:p>
    <w:p>
      <w:pPr>
        <w:pStyle w:val="BodyText"/>
        <w:spacing w:line="273" w:lineRule="auto" w:before="21"/>
        <w:ind w:left="1413" w:right="103"/>
        <w:jc w:val="left"/>
      </w:pPr>
      <w:r>
        <w:rPr>
          <w:spacing w:val="-5"/>
        </w:rPr>
        <w:t>公司对融资类业务计提减值准备，包括专项坏账准备和一般减值准备，对于有充分客观证据、</w:t>
      </w:r>
      <w:r>
        <w:rPr>
          <w:spacing w:val="-36"/>
        </w:rPr>
        <w:t> </w:t>
      </w:r>
      <w:r>
        <w:rPr>
          <w:spacing w:val="-36"/>
        </w:rPr>
      </w:r>
      <w:r>
        <w:rPr/>
        <w:t>可识别具体损失的融资类项目，公司根据客户状况和可能损失金额，分析交易对手的信用状</w:t>
      </w:r>
      <w:r>
        <w:rPr>
          <w:w w:val="100"/>
        </w:rPr>
        <w:t> </w:t>
      </w:r>
      <w:r>
        <w:rPr/>
        <w:t>况、抵押证券、担保比例及偿债能力等，进行单项减值测试，以此计提专项减值准备。对单</w:t>
      </w:r>
      <w:r>
        <w:rPr>
          <w:w w:val="100"/>
        </w:rPr>
        <w:t> </w:t>
      </w:r>
      <w:r>
        <w:rPr/>
        <w:t>项减值测试未发生减值的，将包括在具有类似信用风险特征的组合进行减值测试。</w:t>
      </w:r>
      <w:r>
        <w:rPr>
          <w:w w:val="100"/>
        </w:rPr>
        <w:t> </w:t>
      </w:r>
      <w:r>
        <w:rPr/>
        <w:t>按信用风险特征组合计提减值准备</w:t>
      </w:r>
    </w:p>
    <w:p>
      <w:pPr>
        <w:spacing w:line="240" w:lineRule="auto" w:before="0"/>
        <w:rPr>
          <w:rFonts w:ascii="宋体" w:hAnsi="宋体" w:cs="宋体" w:eastAsia="宋体" w:hint="default"/>
          <w:sz w:val="2"/>
          <w:szCs w:val="2"/>
        </w:rPr>
      </w:pPr>
    </w:p>
    <w:tbl>
      <w:tblPr>
        <w:tblW w:w="0" w:type="auto"/>
        <w:jc w:val="left"/>
        <w:tblInd w:w="758" w:type="dxa"/>
        <w:tblLayout w:type="fixed"/>
        <w:tblCellMar>
          <w:top w:w="0" w:type="dxa"/>
          <w:left w:w="0" w:type="dxa"/>
          <w:bottom w:w="0" w:type="dxa"/>
          <w:right w:w="0" w:type="dxa"/>
        </w:tblCellMar>
        <w:tblLook w:val="01E0"/>
      </w:tblPr>
      <w:tblGrid>
        <w:gridCol w:w="3685"/>
        <w:gridCol w:w="4079"/>
      </w:tblGrid>
      <w:tr>
        <w:trPr>
          <w:trHeight w:val="331" w:hRule="exact"/>
        </w:trPr>
        <w:tc>
          <w:tcPr>
            <w:tcW w:w="776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按信用风险特殊组合计提减值准备的计提方法（账龄分析法、余额百分比法、其他方法）</w:t>
            </w:r>
          </w:p>
        </w:tc>
      </w:tr>
      <w:tr>
        <w:trPr>
          <w:trHeight w:val="348" w:hRule="exact"/>
        </w:trPr>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p>
        </w:tc>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spacing w:line="240" w:lineRule="auto" w:before="0"/>
        <w:rPr>
          <w:rFonts w:ascii="宋体" w:hAnsi="宋体" w:cs="宋体" w:eastAsia="宋体" w:hint="default"/>
          <w:sz w:val="20"/>
          <w:szCs w:val="20"/>
        </w:rPr>
      </w:pPr>
    </w:p>
    <w:p>
      <w:pPr>
        <w:pStyle w:val="BodyText"/>
        <w:spacing w:line="240" w:lineRule="auto" w:before="36"/>
        <w:ind w:left="1430" w:right="103"/>
        <w:jc w:val="left"/>
      </w:pPr>
      <w:r>
        <w:rPr/>
        <w:t>组合中，采用余额百分比法计提坏账准备的</w:t>
      </w:r>
    </w:p>
    <w:p>
      <w:pPr>
        <w:spacing w:line="240" w:lineRule="auto" w:before="10"/>
        <w:rPr>
          <w:rFonts w:ascii="宋体" w:hAnsi="宋体" w:cs="宋体" w:eastAsia="宋体" w:hint="default"/>
          <w:sz w:val="3"/>
          <w:szCs w:val="3"/>
        </w:rPr>
      </w:pPr>
    </w:p>
    <w:tbl>
      <w:tblPr>
        <w:tblW w:w="0" w:type="auto"/>
        <w:jc w:val="left"/>
        <w:tblInd w:w="748" w:type="dxa"/>
        <w:tblLayout w:type="fixed"/>
        <w:tblCellMar>
          <w:top w:w="0" w:type="dxa"/>
          <w:left w:w="0" w:type="dxa"/>
          <w:bottom w:w="0" w:type="dxa"/>
          <w:right w:w="0" w:type="dxa"/>
        </w:tblCellMar>
        <w:tblLook w:val="01E0"/>
      </w:tblPr>
      <w:tblGrid>
        <w:gridCol w:w="3901"/>
        <w:gridCol w:w="3923"/>
      </w:tblGrid>
      <w:tr>
        <w:trPr>
          <w:trHeight w:val="341" w:hRule="exact"/>
        </w:trPr>
        <w:tc>
          <w:tcPr>
            <w:tcW w:w="3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3"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0.2%</w:t>
            </w:r>
          </w:p>
        </w:tc>
      </w:tr>
      <w:tr>
        <w:trPr>
          <w:trHeight w:val="341"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约定购回</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0.3%</w:t>
            </w:r>
          </w:p>
        </w:tc>
      </w:tr>
      <w:tr>
        <w:trPr>
          <w:trHeight w:val="344" w:hRule="exact"/>
        </w:trPr>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股票质押式回购</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0.5%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5"/>
        <w:spacing w:line="240" w:lineRule="auto" w:before="36"/>
        <w:ind w:right="103"/>
        <w:jc w:val="left"/>
        <w:rPr>
          <w:b w:val="0"/>
          <w:bCs w:val="0"/>
        </w:rPr>
      </w:pPr>
      <w:r>
        <w:rPr>
          <w:rFonts w:ascii="Times New Roman" w:hAnsi="Times New Roman" w:cs="Times New Roman" w:eastAsia="Times New Roman" w:hint="default"/>
        </w:rPr>
        <w:t>(3)</w:t>
      </w:r>
      <w:r>
        <w:rPr/>
        <w:t>代理兑付债券核算办法</w:t>
      </w:r>
      <w:r>
        <w:rPr>
          <w:b w:val="0"/>
          <w:bCs w:val="0"/>
        </w:rPr>
      </w:r>
    </w:p>
    <w:p>
      <w:pPr>
        <w:pStyle w:val="BodyText"/>
        <w:spacing w:line="273" w:lineRule="auto" w:before="21"/>
        <w:ind w:left="1413" w:right="103"/>
        <w:jc w:val="left"/>
      </w:pPr>
      <w:r>
        <w:rPr>
          <w:spacing w:val="-2"/>
        </w:rPr>
        <w:t>代理兑付债券业务是公司接受证券发行人的委托对其发行的债券到期进行债券兑付的业务。</w:t>
      </w:r>
      <w:r>
        <w:rPr>
          <w:spacing w:val="-31"/>
        </w:rPr>
        <w:t> </w:t>
      </w:r>
      <w:r>
        <w:rPr>
          <w:spacing w:val="-31"/>
        </w:rPr>
      </w:r>
      <w:r>
        <w:rPr/>
        <w:t>代理兑付债券的手续费收入于代理兑付债券业务提供的相关服务完成时确认。</w:t>
      </w:r>
    </w:p>
    <w:p>
      <w:pPr>
        <w:spacing w:line="240" w:lineRule="auto" w:before="6"/>
        <w:rPr>
          <w:rFonts w:ascii="宋体" w:hAnsi="宋体" w:cs="宋体" w:eastAsia="宋体" w:hint="default"/>
          <w:sz w:val="24"/>
          <w:szCs w:val="24"/>
        </w:rPr>
      </w:pPr>
    </w:p>
    <w:p>
      <w:pPr>
        <w:pStyle w:val="Heading5"/>
        <w:spacing w:line="240" w:lineRule="auto"/>
        <w:ind w:right="103"/>
        <w:jc w:val="left"/>
        <w:rPr>
          <w:b w:val="0"/>
          <w:bCs w:val="0"/>
        </w:rPr>
      </w:pPr>
      <w:r>
        <w:rPr>
          <w:rFonts w:ascii="Times New Roman" w:hAnsi="Times New Roman" w:cs="Times New Roman" w:eastAsia="Times New Roman" w:hint="default"/>
        </w:rPr>
        <w:t>(4)</w:t>
      </w:r>
      <w:r>
        <w:rPr/>
        <w:t>期货业务核算办法</w:t>
      </w:r>
      <w:r>
        <w:rPr>
          <w:b w:val="0"/>
          <w:bCs w:val="0"/>
        </w:rPr>
      </w:r>
    </w:p>
    <w:p>
      <w:pPr>
        <w:pStyle w:val="BodyText"/>
        <w:spacing w:line="273" w:lineRule="auto" w:before="21"/>
        <w:ind w:left="1413" w:right="103" w:hanging="540"/>
        <w:jc w:val="left"/>
      </w:pPr>
      <w:r>
        <w:rPr>
          <w:rFonts w:ascii="宋体" w:hAnsi="宋体" w:cs="宋体" w:eastAsia="宋体" w:hint="default"/>
          <w:b/>
          <w:bCs/>
        </w:rPr>
        <w:t>质押品的管理与核算方法</w:t>
      </w:r>
      <w:r>
        <w:rPr>
          <w:rFonts w:ascii="宋体" w:hAnsi="宋体" w:cs="宋体" w:eastAsia="宋体" w:hint="default"/>
          <w:b/>
          <w:bCs/>
          <w:w w:val="100"/>
        </w:rPr>
        <w:t> </w:t>
      </w:r>
      <w:r>
        <w:rPr>
          <w:spacing w:val="-5"/>
        </w:rPr>
        <w:t>公司接受的质押品包括：交易所注册的标准仓单、在中国境内流通的已上市国债、外币现钞。</w:t>
      </w:r>
      <w:r>
        <w:rPr>
          <w:w w:val="100"/>
        </w:rPr>
        <w:t> </w:t>
      </w:r>
      <w:r>
        <w:rPr/>
        <w:t>上述凭征必须在凭证的有效期限内。</w:t>
      </w:r>
      <w:r>
        <w:rPr>
          <w:w w:val="100"/>
        </w:rPr>
        <w:t> </w:t>
      </w:r>
      <w:r>
        <w:rPr/>
        <w:t>质押品是交易所注册的标准仓单，按各交易所质押金额计算方法规定办理。</w:t>
      </w:r>
      <w:r>
        <w:rPr>
          <w:w w:val="100"/>
        </w:rPr>
        <w:t> </w:t>
      </w:r>
      <w:r>
        <w:rPr>
          <w:spacing w:val="-3"/>
        </w:rPr>
        <w:t>质押品是上市国债、外币现钞的，按人民银行公布的市价、牌价确定其基价市值，但质押额</w:t>
      </w:r>
      <w:r>
        <w:rPr>
          <w:w w:val="100"/>
        </w:rPr>
        <w:t> </w:t>
      </w:r>
      <w:r>
        <w:rPr/>
        <w:t>不高于其市值的</w:t>
      </w:r>
      <w:r>
        <w:rPr>
          <w:rFonts w:ascii="宋体" w:hAnsi="宋体" w:cs="宋体" w:eastAsia="宋体" w:hint="default"/>
        </w:rPr>
        <w:t>70</w:t>
      </w:r>
      <w:r>
        <w:rPr/>
        <w:t>％。</w:t>
      </w:r>
    </w:p>
    <w:p>
      <w:pPr>
        <w:spacing w:line="240" w:lineRule="auto" w:before="6"/>
        <w:rPr>
          <w:rFonts w:ascii="宋体" w:hAnsi="宋体" w:cs="宋体" w:eastAsia="宋体" w:hint="default"/>
          <w:sz w:val="24"/>
          <w:szCs w:val="24"/>
        </w:rPr>
      </w:pPr>
    </w:p>
    <w:p>
      <w:pPr>
        <w:pStyle w:val="BodyText"/>
        <w:spacing w:line="273" w:lineRule="auto"/>
        <w:ind w:left="1398" w:right="103" w:hanging="526"/>
        <w:jc w:val="left"/>
      </w:pPr>
      <w:r>
        <w:rPr>
          <w:rFonts w:ascii="宋体" w:hAnsi="宋体" w:cs="宋体" w:eastAsia="宋体" w:hint="default"/>
          <w:b/>
          <w:bCs/>
        </w:rPr>
        <w:t>实物交割的核算方法</w:t>
      </w:r>
      <w:r>
        <w:rPr>
          <w:rFonts w:ascii="宋体" w:hAnsi="宋体" w:cs="宋体" w:eastAsia="宋体" w:hint="default"/>
          <w:b/>
          <w:bCs/>
          <w:spacing w:val="-103"/>
        </w:rPr>
        <w:t> </w:t>
      </w:r>
      <w:r>
        <w:rPr>
          <w:spacing w:val="-3"/>
        </w:rPr>
        <w:t>按交易所公布的交割结算价，与交易所同步处理交割头寸，为客户结算交割货款，月底无余</w:t>
      </w:r>
      <w:r>
        <w:rPr>
          <w:w w:val="100"/>
        </w:rPr>
        <w:t> </w:t>
      </w:r>
      <w:r>
        <w:rPr/>
        <w:t>额。</w:t>
      </w: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52" w:footer="979" w:top="1300" w:bottom="1160" w:left="980" w:right="920"/>
        </w:sectPr>
      </w:pPr>
    </w:p>
    <w:p>
      <w:pPr>
        <w:pStyle w:val="Heading5"/>
        <w:spacing w:line="240" w:lineRule="auto" w:before="36"/>
        <w:ind w:right="-11"/>
        <w:jc w:val="left"/>
        <w:rPr>
          <w:b w:val="0"/>
          <w:bCs w:val="0"/>
        </w:rPr>
      </w:pPr>
      <w:r>
        <w:rPr>
          <w:rFonts w:ascii="Times New Roman" w:hAnsi="Times New Roman" w:cs="Times New Roman" w:eastAsia="Times New Roman" w:hint="default"/>
          <w:spacing w:val="-1"/>
        </w:rPr>
        <w:t>(5)</w:t>
      </w:r>
      <w:r>
        <w:rPr>
          <w:spacing w:val="-1"/>
        </w:rPr>
        <w:t>套期会计</w:t>
      </w:r>
      <w:r>
        <w:rPr>
          <w:b w:val="0"/>
          <w:bCs w:val="0"/>
          <w:spacing w:val="-1"/>
        </w:rPr>
      </w:r>
    </w:p>
    <w:p>
      <w:pPr>
        <w:spacing w:line="240" w:lineRule="auto" w:before="8"/>
        <w:rPr>
          <w:rFonts w:ascii="宋体" w:hAnsi="宋体" w:cs="宋体" w:eastAsia="宋体" w:hint="default"/>
          <w:b/>
          <w:bCs/>
          <w:sz w:val="26"/>
          <w:szCs w:val="26"/>
        </w:rPr>
      </w:pPr>
      <w:r>
        <w:rPr/>
        <w:br w:type="column"/>
      </w:r>
      <w:r>
        <w:rPr>
          <w:rFonts w:ascii="宋体"/>
          <w:b/>
          <w:sz w:val="26"/>
        </w:rPr>
      </w:r>
    </w:p>
    <w:p>
      <w:pPr>
        <w:pStyle w:val="Heading5"/>
        <w:spacing w:line="240" w:lineRule="auto"/>
        <w:ind w:left="125" w:right="0"/>
        <w:jc w:val="left"/>
        <w:rPr>
          <w:b w:val="0"/>
          <w:bCs w:val="0"/>
        </w:rPr>
      </w:pPr>
      <w:r>
        <w:rPr/>
        <w:t>套期保值的分类：</w:t>
      </w:r>
      <w:r>
        <w:rPr>
          <w:b w:val="0"/>
          <w:bCs w:val="0"/>
        </w:rPr>
      </w:r>
    </w:p>
    <w:p>
      <w:pPr>
        <w:pStyle w:val="BodyText"/>
        <w:spacing w:line="240" w:lineRule="auto" w:before="37"/>
        <w:ind w:left="130" w:right="0"/>
        <w:jc w:val="left"/>
      </w:pPr>
      <w:r>
        <w:rPr>
          <w:rFonts w:ascii="Times New Roman" w:hAnsi="Times New Roman" w:cs="Times New Roman" w:eastAsia="Times New Roman" w:hint="default"/>
          <w:spacing w:val="-3"/>
        </w:rPr>
        <w:t>1</w:t>
      </w:r>
      <w:r>
        <w:rPr>
          <w:spacing w:val="-3"/>
        </w:rPr>
        <w:t>）公允价值套期，是指对已确认资产或负债，尚未确认的确定承诺</w:t>
      </w:r>
      <w:r>
        <w:rPr>
          <w:rFonts w:ascii="Times New Roman" w:hAnsi="Times New Roman" w:cs="Times New Roman" w:eastAsia="Times New Roman" w:hint="default"/>
          <w:spacing w:val="-3"/>
        </w:rPr>
        <w:t>(</w:t>
      </w:r>
      <w:r>
        <w:rPr>
          <w:spacing w:val="-3"/>
        </w:rPr>
        <w:t>除外汇风险外</w:t>
      </w:r>
      <w:r>
        <w:rPr>
          <w:rFonts w:ascii="Times New Roman" w:hAnsi="Times New Roman" w:cs="Times New Roman" w:eastAsia="Times New Roman" w:hint="default"/>
          <w:spacing w:val="-3"/>
        </w:rPr>
        <w:t>)</w:t>
      </w:r>
      <w:r>
        <w:rPr>
          <w:spacing w:val="-3"/>
        </w:rPr>
        <w:t>的公允价</w:t>
      </w:r>
    </w:p>
    <w:p>
      <w:pPr>
        <w:spacing w:after="0" w:line="240" w:lineRule="auto"/>
        <w:jc w:val="left"/>
        <w:sectPr>
          <w:type w:val="continuous"/>
          <w:pgSz w:w="11910" w:h="16840"/>
          <w:pgMar w:top="1300" w:bottom="1160" w:left="980" w:right="920"/>
          <w:cols w:num="2" w:equalWidth="0">
            <w:col w:w="1243" w:space="40"/>
            <w:col w:w="8727"/>
          </w:cols>
        </w:sectPr>
      </w:pPr>
    </w:p>
    <w:p>
      <w:pPr>
        <w:pStyle w:val="BodyText"/>
        <w:spacing w:line="266" w:lineRule="auto" w:before="108"/>
        <w:ind w:left="1413" w:right="0"/>
        <w:jc w:val="left"/>
      </w:pPr>
      <w:r>
        <w:rPr/>
        <w:t>值变动风险进行的套期。</w:t>
      </w:r>
      <w:r>
        <w:rPr>
          <w:w w:val="100"/>
        </w:rPr>
        <w:t> </w:t>
      </w:r>
      <w:r>
        <w:rPr>
          <w:rFonts w:ascii="Times New Roman" w:hAnsi="Times New Roman" w:cs="Times New Roman" w:eastAsia="Times New Roman" w:hint="default"/>
        </w:rPr>
        <w:t>2</w:t>
      </w:r>
      <w:r>
        <w:rPr/>
        <w:t>）现金流量套期，是指对现金流量变动风险进行的套期，此现金流量变动源于与已确认资</w:t>
      </w:r>
      <w:r>
        <w:rPr>
          <w:spacing w:val="-26"/>
        </w:rPr>
        <w:t> </w:t>
      </w:r>
      <w:r>
        <w:rPr>
          <w:spacing w:val="-26"/>
        </w:rPr>
      </w:r>
      <w:r>
        <w:rPr>
          <w:spacing w:val="-2"/>
        </w:rPr>
        <w:t>产或负债、很可能发生的预期交易有关的某类特定风险，或一项未确认的确定承诺包含的外</w:t>
      </w:r>
      <w:r>
        <w:rPr>
          <w:spacing w:val="-52"/>
        </w:rPr>
        <w:t> </w:t>
      </w:r>
      <w:r>
        <w:rPr>
          <w:spacing w:val="-52"/>
        </w:rPr>
      </w:r>
      <w:r>
        <w:rPr/>
        <w:t>汇风险。</w:t>
      </w:r>
      <w:r>
        <w:rPr>
          <w:w w:val="100"/>
        </w:rPr>
        <w:t> </w:t>
      </w:r>
      <w:r>
        <w:rPr>
          <w:rFonts w:ascii="Times New Roman" w:hAnsi="Times New Roman" w:cs="Times New Roman" w:eastAsia="Times New Roman" w:hint="default"/>
        </w:rPr>
        <w:t>3</w:t>
      </w:r>
      <w:r>
        <w:rPr/>
        <w:t>）境外经营净投资套期，是指对境外经营净投资外汇风险进行的套期。境外经营净投资，</w:t>
      </w:r>
      <w:r>
        <w:rPr>
          <w:spacing w:val="-28"/>
        </w:rPr>
        <w:t> </w:t>
      </w:r>
      <w:r>
        <w:rPr>
          <w:spacing w:val="-28"/>
        </w:rPr>
      </w:r>
      <w:r>
        <w:rPr/>
        <w:t>是指企业在境外经营净资产中的权益份额。</w:t>
      </w:r>
    </w:p>
    <w:p>
      <w:pPr>
        <w:spacing w:line="240" w:lineRule="auto" w:before="12"/>
        <w:rPr>
          <w:rFonts w:ascii="宋体" w:hAnsi="宋体" w:cs="宋体" w:eastAsia="宋体" w:hint="default"/>
          <w:sz w:val="24"/>
          <w:szCs w:val="24"/>
        </w:rPr>
      </w:pPr>
    </w:p>
    <w:p>
      <w:pPr>
        <w:pStyle w:val="BodyText"/>
        <w:spacing w:line="271" w:lineRule="auto"/>
        <w:ind w:left="1413" w:right="0" w:hanging="5"/>
        <w:jc w:val="left"/>
      </w:pPr>
      <w:r>
        <w:rPr>
          <w:rFonts w:ascii="宋体" w:hAnsi="宋体" w:cs="宋体" w:eastAsia="宋体" w:hint="default"/>
          <w:b/>
          <w:bCs/>
        </w:rPr>
        <w:t>套期关系的指定及套期有效性的认定：</w:t>
      </w:r>
      <w:r>
        <w:rPr>
          <w:rFonts w:ascii="宋体" w:hAnsi="宋体" w:cs="宋体" w:eastAsia="宋体" w:hint="default"/>
          <w:b/>
          <w:bCs/>
          <w:w w:val="100"/>
        </w:rPr>
        <w:t> </w:t>
      </w:r>
      <w:r>
        <w:rPr>
          <w:spacing w:val="-2"/>
        </w:rPr>
        <w:t>在套期关系开始时，本公司对套期关系有正式指定，并准备了关于套期关系、风险管理目标</w:t>
      </w:r>
      <w:r>
        <w:rPr>
          <w:spacing w:val="-59"/>
        </w:rPr>
        <w:t> </w:t>
      </w:r>
      <w:r>
        <w:rPr>
          <w:spacing w:val="-59"/>
        </w:rPr>
      </w:r>
      <w:r>
        <w:rPr>
          <w:spacing w:val="-2"/>
        </w:rPr>
        <w:t>和套期策略的正式书面文件。该文件载明了套期工具、被套期项目或交易，被套期风险的性</w:t>
      </w:r>
      <w:r>
        <w:rPr>
          <w:spacing w:val="-57"/>
        </w:rPr>
        <w:t> </w:t>
      </w:r>
      <w:r>
        <w:rPr>
          <w:spacing w:val="-57"/>
        </w:rPr>
      </w:r>
      <w:r>
        <w:rPr/>
        <w:t>质，以及本公司对套期工具有效性评价方法。</w:t>
      </w:r>
      <w:r>
        <w:rPr>
          <w:w w:val="100"/>
        </w:rPr>
        <w:t> </w:t>
      </w:r>
      <w:r>
        <w:rPr>
          <w:spacing w:val="-2"/>
        </w:rPr>
        <w:t>套期有效性，是指套期工具的公允价值或现金流量变动能够抵销被套期风险引起的被套期项</w:t>
      </w:r>
      <w:r>
        <w:rPr>
          <w:spacing w:val="-57"/>
        </w:rPr>
        <w:t> </w:t>
      </w:r>
      <w:r>
        <w:rPr>
          <w:spacing w:val="-57"/>
        </w:rPr>
      </w:r>
      <w:r>
        <w:rPr>
          <w:spacing w:val="-2"/>
        </w:rPr>
        <w:t>目公允价值或现金流量变动的程度。本公司持续地对套期有效性进行评价，判断该套期在套</w:t>
      </w:r>
      <w:r>
        <w:rPr>
          <w:spacing w:val="-57"/>
        </w:rPr>
        <w:t> </w:t>
      </w:r>
      <w:r>
        <w:rPr>
          <w:spacing w:val="-57"/>
        </w:rPr>
      </w:r>
      <w:r>
        <w:rPr>
          <w:spacing w:val="-2"/>
        </w:rPr>
        <w:t>期关系被指定的会计期间内是否高度有效。套期同时满足下列条件时，本公司认定其为高度</w:t>
      </w:r>
      <w:r>
        <w:rPr>
          <w:spacing w:val="-58"/>
        </w:rPr>
        <w:t> </w:t>
      </w:r>
      <w:r>
        <w:rPr>
          <w:spacing w:val="-58"/>
        </w:rPr>
      </w:r>
      <w:r>
        <w:rPr/>
        <w:t>有效：</w:t>
      </w:r>
      <w:r>
        <w:rPr>
          <w:w w:val="100"/>
        </w:rPr>
        <w:t> </w:t>
      </w:r>
      <w:r>
        <w:rPr>
          <w:rFonts w:ascii="Times New Roman" w:hAnsi="Times New Roman" w:cs="Times New Roman" w:eastAsia="Times New Roman" w:hint="default"/>
        </w:rPr>
        <w:t>1</w:t>
      </w:r>
      <w:r>
        <w:rPr/>
        <w:t>）在套期开始及以后期间，该套期预期会高度有效地抵销套期指定期间被套期风险引起的</w:t>
      </w:r>
      <w:r>
        <w:rPr>
          <w:spacing w:val="-33"/>
        </w:rPr>
        <w:t> </w:t>
      </w:r>
      <w:r>
        <w:rPr>
          <w:spacing w:val="-33"/>
        </w:rPr>
      </w:r>
      <w:r>
        <w:rPr/>
        <w:t>公允价值或现金流量变动；</w:t>
      </w:r>
    </w:p>
    <w:p>
      <w:pPr>
        <w:pStyle w:val="BodyText"/>
        <w:spacing w:line="240" w:lineRule="auto" w:before="10"/>
        <w:ind w:left="1413" w:right="0"/>
        <w:jc w:val="left"/>
      </w:pP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spacing w:line="240" w:lineRule="auto" w:before="6"/>
        <w:rPr>
          <w:rFonts w:ascii="宋体" w:hAnsi="宋体" w:cs="宋体" w:eastAsia="宋体" w:hint="default"/>
          <w:sz w:val="25"/>
          <w:szCs w:val="25"/>
        </w:rPr>
      </w:pPr>
    </w:p>
    <w:p>
      <w:pPr>
        <w:pStyle w:val="Heading5"/>
        <w:spacing w:line="240" w:lineRule="auto"/>
        <w:ind w:left="1408" w:right="0"/>
        <w:jc w:val="left"/>
        <w:rPr>
          <w:b w:val="0"/>
          <w:bCs w:val="0"/>
        </w:rPr>
      </w:pPr>
      <w:r>
        <w:rPr/>
        <w:t>套期会计处理方法：</w:t>
      </w:r>
      <w:r>
        <w:rPr>
          <w:b w:val="0"/>
          <w:bCs w:val="0"/>
        </w:rPr>
      </w:r>
    </w:p>
    <w:p>
      <w:pPr>
        <w:pStyle w:val="BodyText"/>
        <w:spacing w:line="271" w:lineRule="auto" w:before="37"/>
        <w:ind w:left="1413" w:right="0"/>
        <w:jc w:val="left"/>
      </w:pPr>
      <w:r>
        <w:rPr>
          <w:rFonts w:ascii="Times New Roman" w:hAnsi="Times New Roman" w:cs="Times New Roman" w:eastAsia="Times New Roman" w:hint="default"/>
        </w:rPr>
        <w:t>1</w:t>
      </w:r>
      <w:r>
        <w:rPr/>
        <w:t>）公允价值套期</w:t>
      </w:r>
      <w:r>
        <w:rPr>
          <w:w w:val="100"/>
        </w:rPr>
        <w:t> </w:t>
      </w:r>
      <w:r>
        <w:rPr>
          <w:spacing w:val="-2"/>
        </w:rPr>
        <w:t>套期衍生工具的公允价值变动计入当期损益。被套期项目的公允价值因套期风险而形成的变</w:t>
      </w:r>
      <w:r>
        <w:rPr>
          <w:spacing w:val="-53"/>
        </w:rPr>
        <w:t> </w:t>
      </w:r>
      <w:r>
        <w:rPr>
          <w:spacing w:val="-53"/>
        </w:rPr>
      </w:r>
      <w:r>
        <w:rPr/>
        <w:t>动，计入当期损益，同时调整被套期项目的账面价值。</w:t>
      </w:r>
      <w:r>
        <w:rPr>
          <w:w w:val="100"/>
        </w:rPr>
        <w:t> </w:t>
      </w:r>
      <w:r>
        <w:rPr>
          <w:spacing w:val="-2"/>
        </w:rPr>
        <w:t>就与按摊余成本计量的金融工具有关的公允价值套期而言，对被套期项目账面价值所作的调</w:t>
      </w:r>
      <w:r>
        <w:rPr>
          <w:spacing w:val="-53"/>
        </w:rPr>
        <w:t> </w:t>
      </w:r>
      <w:r>
        <w:rPr>
          <w:spacing w:val="-53"/>
        </w:rPr>
      </w:r>
      <w:r>
        <w:rPr>
          <w:spacing w:val="-2"/>
        </w:rPr>
        <w:t>整，在调整日至到期日之间的剩余期间内进行摊销，计入当期损益。按照实际利率法的摊销</w:t>
      </w:r>
      <w:r>
        <w:rPr>
          <w:spacing w:val="-53"/>
        </w:rPr>
        <w:t> </w:t>
      </w:r>
      <w:r>
        <w:rPr>
          <w:spacing w:val="-53"/>
        </w:rPr>
      </w:r>
      <w:r>
        <w:rPr>
          <w:spacing w:val="-2"/>
        </w:rPr>
        <w:t>可于账面价值调整后随即开始，并不得晚于被套期项目终止针对套期风险产生的公允价值变</w:t>
      </w:r>
      <w:r>
        <w:rPr>
          <w:spacing w:val="-53"/>
        </w:rPr>
        <w:t> </w:t>
      </w:r>
      <w:r>
        <w:rPr>
          <w:spacing w:val="-53"/>
        </w:rPr>
      </w:r>
      <w:r>
        <w:rPr/>
        <w:t>动而进行的调整。</w:t>
      </w:r>
    </w:p>
    <w:p>
      <w:pPr>
        <w:pStyle w:val="BodyText"/>
        <w:spacing w:line="273" w:lineRule="auto" w:before="10"/>
        <w:ind w:left="1413" w:right="0"/>
        <w:jc w:val="left"/>
      </w:pPr>
      <w:r>
        <w:rPr/>
        <w:t>如果被套期项目终止确认，则将未摊销的公允价值确认为当期损益。</w:t>
      </w:r>
      <w:r>
        <w:rPr>
          <w:w w:val="100"/>
        </w:rPr>
        <w:t> </w:t>
      </w:r>
      <w:r>
        <w:rPr>
          <w:spacing w:val="-2"/>
        </w:rPr>
        <w:t>被套期项目为尚未确认的确定承诺的，该确定承诺的公允价值因被套期风险引起的累计公允</w:t>
      </w:r>
      <w:r>
        <w:rPr>
          <w:spacing w:val="-53"/>
        </w:rPr>
        <w:t> </w:t>
      </w:r>
      <w:r>
        <w:rPr>
          <w:spacing w:val="-53"/>
        </w:rPr>
      </w:r>
      <w:r>
        <w:rPr>
          <w:spacing w:val="-2"/>
        </w:rPr>
        <w:t>价值变动确认为一项资产或负债，相关的利得或损失计入当期损益。套期工具的公允价值变</w:t>
      </w:r>
      <w:r>
        <w:rPr>
          <w:spacing w:val="-53"/>
        </w:rPr>
        <w:t> </w:t>
      </w:r>
      <w:r>
        <w:rPr>
          <w:spacing w:val="-53"/>
        </w:rPr>
      </w:r>
      <w:r>
        <w:rPr/>
        <w:t>动亦计入当期损益。</w:t>
      </w:r>
    </w:p>
    <w:p>
      <w:pPr>
        <w:pStyle w:val="BodyText"/>
        <w:spacing w:line="268" w:lineRule="auto" w:before="7"/>
        <w:ind w:left="1413" w:right="0"/>
        <w:jc w:val="left"/>
      </w:pPr>
      <w:r>
        <w:rPr>
          <w:rFonts w:ascii="Times New Roman" w:hAnsi="Times New Roman" w:cs="Times New Roman" w:eastAsia="Times New Roman" w:hint="default"/>
        </w:rPr>
        <w:t>2</w:t>
      </w:r>
      <w:r>
        <w:rPr/>
        <w:t>）现金流量套期</w:t>
      </w:r>
      <w:r>
        <w:rPr>
          <w:w w:val="100"/>
        </w:rPr>
        <w:t> </w:t>
      </w:r>
      <w:r>
        <w:rPr>
          <w:spacing w:val="-2"/>
        </w:rPr>
        <w:t>套期工具利得或损失中属于有效套期的部分，直接确认为其他综合收益，属于无效套期的部</w:t>
      </w:r>
      <w:r>
        <w:rPr>
          <w:spacing w:val="-53"/>
        </w:rPr>
        <w:t> </w:t>
      </w:r>
      <w:r>
        <w:rPr>
          <w:spacing w:val="-53"/>
        </w:rPr>
      </w:r>
      <w:r>
        <w:rPr/>
        <w:t>分，计入当期损益。</w:t>
      </w:r>
      <w:r>
        <w:rPr>
          <w:w w:val="100"/>
        </w:rPr>
        <w:t> </w:t>
      </w:r>
      <w:r>
        <w:rPr>
          <w:spacing w:val="2"/>
        </w:rPr>
        <w:t>如果被套期交易影响当期损益的，如当被套期财务收入或财务费用被确认或预期销售发生</w:t>
      </w:r>
      <w:r>
        <w:rPr>
          <w:spacing w:val="-19"/>
        </w:rPr>
        <w:t> </w:t>
      </w:r>
      <w:r>
        <w:rPr>
          <w:spacing w:val="-19"/>
        </w:rPr>
      </w:r>
      <w:r>
        <w:rPr>
          <w:spacing w:val="-2"/>
        </w:rPr>
        <w:t>时，则将其他综合收益中确认的金额转入当期损益。如果被套期项目是一项非金融资产或非</w:t>
      </w:r>
      <w:r>
        <w:rPr>
          <w:spacing w:val="-54"/>
        </w:rPr>
        <w:t> </w:t>
      </w:r>
      <w:r>
        <w:rPr>
          <w:spacing w:val="-54"/>
        </w:rPr>
      </w:r>
      <w:r>
        <w:rPr>
          <w:spacing w:val="-2"/>
        </w:rPr>
        <w:t>金融负债的成本，则原在其他综合收益中确认的金额转出，计入该非金融资产或非金融负债</w:t>
      </w:r>
      <w:r>
        <w:rPr>
          <w:spacing w:val="-54"/>
        </w:rPr>
        <w:t> </w:t>
      </w:r>
      <w:r>
        <w:rPr>
          <w:spacing w:val="-54"/>
        </w:rPr>
      </w:r>
      <w:r>
        <w:rPr>
          <w:spacing w:val="-2"/>
        </w:rPr>
        <w:t>的初始确认金额（或则原在其他综合收益中确认的，在该非金融资产或非金融负债影响损益</w:t>
      </w:r>
      <w:r>
        <w:rPr>
          <w:spacing w:val="-53"/>
        </w:rPr>
        <w:t> </w:t>
      </w:r>
      <w:r>
        <w:rPr>
          <w:spacing w:val="-53"/>
        </w:rPr>
      </w:r>
      <w:r>
        <w:rPr/>
        <w:t>的相同期间转出，计入当期损益）。</w:t>
      </w:r>
      <w:r>
        <w:rPr>
          <w:w w:val="100"/>
        </w:rPr>
        <w:t> </w:t>
      </w:r>
      <w:r>
        <w:rPr>
          <w:spacing w:val="-2"/>
        </w:rPr>
        <w:t>如果预期交易或确定承诺预计不会发生，则以前计入股东权益中的套期工具累计利得或损失</w:t>
      </w:r>
      <w:r>
        <w:rPr>
          <w:spacing w:val="-53"/>
        </w:rPr>
        <w:t> </w:t>
      </w:r>
      <w:r>
        <w:rPr>
          <w:spacing w:val="-53"/>
        </w:rPr>
      </w:r>
      <w:r>
        <w:rPr>
          <w:spacing w:val="-4"/>
        </w:rPr>
        <w:t>转出，计入当期损益。如果套期工具已到期、被出售、合同终止或已行使</w:t>
      </w:r>
      <w:r>
        <w:rPr>
          <w:rFonts w:ascii="Times New Roman" w:hAnsi="Times New Roman" w:cs="Times New Roman" w:eastAsia="Times New Roman" w:hint="default"/>
          <w:spacing w:val="-4"/>
        </w:rPr>
        <w:t>(</w:t>
      </w:r>
      <w:r>
        <w:rPr>
          <w:spacing w:val="-4"/>
        </w:rPr>
        <w:t>但并未被替换或展</w:t>
      </w:r>
      <w:r>
        <w:rPr>
          <w:spacing w:val="-42"/>
        </w:rPr>
        <w:t> </w:t>
      </w:r>
      <w:r>
        <w:rPr>
          <w:spacing w:val="-42"/>
        </w:rPr>
      </w:r>
      <w:r>
        <w:rPr>
          <w:spacing w:val="-4"/>
        </w:rPr>
        <w:t>期</w:t>
      </w:r>
      <w:r>
        <w:rPr>
          <w:rFonts w:ascii="Times New Roman" w:hAnsi="Times New Roman" w:cs="Times New Roman" w:eastAsia="Times New Roman" w:hint="default"/>
          <w:spacing w:val="-4"/>
        </w:rPr>
        <w:t>)</w:t>
      </w:r>
      <w:r>
        <w:rPr>
          <w:spacing w:val="-4"/>
        </w:rPr>
        <w:t>，或者撤销了对套期关系的指定，则以前计入其他综合收益的金额不转出，直至预期交易</w:t>
      </w:r>
      <w:r>
        <w:rPr>
          <w:spacing w:val="-40"/>
        </w:rPr>
        <w:t> </w:t>
      </w:r>
      <w:r>
        <w:rPr>
          <w:spacing w:val="-40"/>
        </w:rPr>
      </w:r>
      <w:r>
        <w:rPr/>
        <w:t>或确定承诺影响当期损益。</w:t>
      </w:r>
    </w:p>
    <w:p>
      <w:pPr>
        <w:pStyle w:val="BodyText"/>
        <w:spacing w:line="240" w:lineRule="auto" w:before="12"/>
        <w:ind w:left="1413" w:right="0"/>
        <w:jc w:val="left"/>
      </w:pPr>
      <w:r>
        <w:rPr>
          <w:rFonts w:ascii="Times New Roman" w:hAnsi="Times New Roman" w:cs="Times New Roman" w:eastAsia="Times New Roman" w:hint="default"/>
        </w:rPr>
        <w:t>3</w:t>
      </w:r>
      <w:r>
        <w:rPr/>
        <w:t>）境外经营净投资套期</w:t>
      </w:r>
    </w:p>
    <w:p>
      <w:pPr>
        <w:spacing w:after="0" w:line="240" w:lineRule="auto"/>
        <w:jc w:val="left"/>
        <w:sectPr>
          <w:footerReference w:type="default" r:id="rId24"/>
          <w:pgSz w:w="11910" w:h="16840"/>
          <w:pgMar w:footer="979" w:header="852" w:top="1300" w:bottom="1160" w:left="980" w:right="980"/>
        </w:sectPr>
      </w:pPr>
    </w:p>
    <w:p>
      <w:pPr>
        <w:pStyle w:val="BodyText"/>
        <w:spacing w:line="273" w:lineRule="auto" w:before="108"/>
        <w:ind w:left="1413" w:right="124"/>
        <w:jc w:val="both"/>
      </w:pPr>
      <w:r>
        <w:rPr>
          <w:spacing w:val="-2"/>
        </w:rPr>
        <w:t>对境外经营净投资的套期，包括作为净投资的一部分的货币性项目的套期，其处理与现金流</w:t>
      </w:r>
      <w:r>
        <w:rPr>
          <w:spacing w:val="-53"/>
        </w:rPr>
        <w:t> </w:t>
      </w:r>
      <w:r>
        <w:rPr>
          <w:spacing w:val="-53"/>
        </w:rPr>
      </w:r>
      <w:r>
        <w:rPr>
          <w:spacing w:val="-2"/>
        </w:rPr>
        <w:t>量套期类似。套期工具的利得或损失中被确定为有效套期的部分计入其他综合收益，而无效</w:t>
      </w:r>
      <w:r>
        <w:rPr>
          <w:spacing w:val="-54"/>
        </w:rPr>
        <w:t> </w:t>
      </w:r>
      <w:r>
        <w:rPr>
          <w:spacing w:val="-54"/>
        </w:rPr>
      </w:r>
      <w:r>
        <w:rPr>
          <w:spacing w:val="-2"/>
        </w:rPr>
        <w:t>套期的部分确认为当期损益。处置境外经营时，任何计入股东权益的累计利得或损失转出，</w:t>
      </w:r>
      <w:r>
        <w:rPr>
          <w:spacing w:val="-30"/>
        </w:rPr>
        <w:t> </w:t>
      </w:r>
      <w:r>
        <w:rPr>
          <w:spacing w:val="-30"/>
        </w:rPr>
      </w:r>
      <w:r>
        <w:rPr/>
        <w:t>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5247"/>
        <w:gridCol w:w="1771"/>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2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5247"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7"/>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 在扣除当期允许抵扣的进项税额后，差额部分为应交增值税</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4" w:hRule="exact"/>
        </w:trPr>
        <w:tc>
          <w:tcPr>
            <w:tcW w:w="25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247" w:type="dxa"/>
            <w:vMerge/>
            <w:tcBorders>
              <w:left w:val="single" w:sz="10" w:space="0" w:color="D2D2D2"/>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2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5247" w:type="dxa"/>
            <w:vMerge/>
            <w:tcBorders>
              <w:left w:val="single" w:sz="10" w:space="0" w:color="D2D2D2"/>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按实际缴纳的营业税、增值税及消费税计征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24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上海东方财富证券研究所有限公司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西藏同信证券股份有限公司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东方财富（香港）有限公司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执行香港地区税收政策适用的税率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合并范围其他子公司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1413" w:right="0"/>
        <w:jc w:val="left"/>
      </w:pPr>
      <w:r>
        <w:rPr/>
        <w:t>企业所得税优惠</w:t>
      </w:r>
    </w:p>
    <w:p>
      <w:pPr>
        <w:pStyle w:val="BodyText"/>
        <w:spacing w:line="256" w:lineRule="auto" w:before="37"/>
        <w:ind w:left="1413" w:right="0" w:hanging="252"/>
        <w:jc w:val="left"/>
      </w:pPr>
      <w:r>
        <w:rPr/>
        <w:t>（</w:t>
      </w:r>
      <w:r>
        <w:rPr>
          <w:rFonts w:ascii="Times New Roman" w:hAnsi="Times New Roman" w:cs="Times New Roman" w:eastAsia="Times New Roman" w:hint="default"/>
        </w:rPr>
        <w:t>1</w:t>
      </w:r>
      <w:r>
        <w:rPr/>
        <w:t>）东方财富信息股份有限公司</w:t>
      </w:r>
      <w:r>
        <w:rPr>
          <w:spacing w:val="-103"/>
        </w:rPr>
        <w:t> </w:t>
      </w:r>
      <w:r>
        <w:rPr>
          <w:spacing w:val="-103"/>
        </w:rPr>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日取得由上海市科学技术委员会、上海市财政局、上海市国家税务局以</w:t>
      </w:r>
      <w:r>
        <w:rPr>
          <w:w w:val="100"/>
        </w:rPr>
        <w:t> </w:t>
      </w:r>
      <w:r>
        <w:rPr>
          <w:spacing w:val="-2"/>
        </w:rPr>
        <w:t>及上海市地方税务局联合颁发的高新技术企业证书（证书编号：</w:t>
      </w:r>
      <w:r>
        <w:rPr>
          <w:rFonts w:ascii="Times New Roman" w:hAnsi="Times New Roman" w:cs="Times New Roman" w:eastAsia="Times New Roman" w:hint="default"/>
          <w:spacing w:val="-2"/>
          <w:sz w:val="23"/>
          <w:szCs w:val="23"/>
        </w:rPr>
        <w:t>GF201331000121</w:t>
      </w:r>
      <w:r>
        <w:rPr>
          <w:spacing w:val="-2"/>
        </w:rPr>
        <w:t>），有效</w:t>
      </w:r>
    </w:p>
    <w:p>
      <w:pPr>
        <w:spacing w:after="0" w:line="256" w:lineRule="auto"/>
        <w:jc w:val="left"/>
        <w:sectPr>
          <w:footerReference w:type="default" r:id="rId25"/>
          <w:pgSz w:w="11910" w:h="16840"/>
          <w:pgMar w:footer="979" w:header="852" w:top="1300" w:bottom="1160" w:left="980" w:right="980"/>
          <w:pgNumType w:start="101"/>
        </w:sectPr>
      </w:pPr>
    </w:p>
    <w:p>
      <w:pPr>
        <w:pStyle w:val="BodyText"/>
        <w:spacing w:line="256" w:lineRule="auto" w:before="108"/>
        <w:ind w:left="1413" w:right="103"/>
        <w:jc w:val="left"/>
      </w:pPr>
      <w:r>
        <w:rPr>
          <w:spacing w:val="-1"/>
        </w:rPr>
        <w:t>期三年。公司可享受自</w:t>
      </w:r>
      <w:r>
        <w:rPr>
          <w:rFonts w:ascii="Times New Roman" w:hAnsi="Times New Roman" w:cs="Times New Roman" w:eastAsia="Times New Roman" w:hint="default"/>
          <w:spacing w:val="-1"/>
        </w:rPr>
        <w:t>2013</w:t>
      </w:r>
      <w:r>
        <w:rPr>
          <w:spacing w:val="-1"/>
        </w:rPr>
        <w:t>年度至</w:t>
      </w:r>
      <w:r>
        <w:rPr>
          <w:rFonts w:ascii="Times New Roman" w:hAnsi="Times New Roman" w:cs="Times New Roman" w:eastAsia="Times New Roman" w:hint="default"/>
          <w:spacing w:val="-1"/>
        </w:rPr>
        <w:t>2015</w:t>
      </w:r>
      <w:r>
        <w:rPr>
          <w:spacing w:val="-1"/>
        </w:rPr>
        <w:t>年度三年</w:t>
      </w:r>
      <w:r>
        <w:rPr>
          <w:rFonts w:ascii="Times New Roman" w:hAnsi="Times New Roman" w:cs="Times New Roman" w:eastAsia="Times New Roman" w:hint="default"/>
          <w:spacing w:val="-1"/>
        </w:rPr>
        <w:t>15%</w:t>
      </w:r>
      <w:r>
        <w:rPr>
          <w:spacing w:val="-1"/>
        </w:rPr>
        <w:t>的企业所得税税收优惠。本年适用所得</w:t>
      </w:r>
      <w:r>
        <w:rPr>
          <w:spacing w:val="-54"/>
        </w:rPr>
        <w:t> </w:t>
      </w:r>
      <w:r>
        <w:rPr>
          <w:spacing w:val="-54"/>
        </w:rPr>
      </w:r>
      <w:r>
        <w:rPr/>
        <w:t>税税率为</w:t>
      </w:r>
      <w:r>
        <w:rPr>
          <w:rFonts w:ascii="Times New Roman" w:hAnsi="Times New Roman" w:cs="Times New Roman" w:eastAsia="Times New Roman" w:hint="default"/>
        </w:rPr>
        <w:t>15%</w:t>
      </w:r>
      <w:r>
        <w:rPr/>
        <w:t>。</w:t>
      </w:r>
    </w:p>
    <w:p>
      <w:pPr>
        <w:pStyle w:val="BodyText"/>
        <w:spacing w:line="240" w:lineRule="auto" w:before="5"/>
        <w:ind w:left="1413" w:right="103"/>
        <w:jc w:val="left"/>
      </w:pPr>
      <w:r>
        <w:rPr/>
        <w:t>（</w:t>
      </w:r>
      <w:r>
        <w:rPr>
          <w:rFonts w:ascii="Times New Roman" w:hAnsi="Times New Roman" w:cs="Times New Roman" w:eastAsia="Times New Roman" w:hint="default"/>
        </w:rPr>
        <w:t>2</w:t>
      </w:r>
      <w:r>
        <w:rPr/>
        <w:t>）上海东方财富证券研究所有限公司</w:t>
      </w:r>
    </w:p>
    <w:p>
      <w:pPr>
        <w:pStyle w:val="BodyText"/>
        <w:spacing w:line="266" w:lineRule="auto" w:before="21"/>
        <w:ind w:left="1413" w:right="206"/>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 </w:t>
      </w:r>
      <w:r>
        <w:rPr/>
        <w:t>日取得上海市科学技术委员会、上海市财政局、上海市国家税务局、</w:t>
      </w:r>
      <w:r>
        <w:rPr>
          <w:spacing w:val="-84"/>
        </w:rPr>
        <w:t> </w:t>
      </w:r>
      <w:r>
        <w:rPr>
          <w:spacing w:val="-84"/>
        </w:rPr>
      </w:r>
      <w:r>
        <w:rPr>
          <w:spacing w:val="-2"/>
        </w:rPr>
        <w:t>上海市地方税务局联合颁发的《高新技术企业证书》（证书编号：</w:t>
      </w:r>
      <w:r>
        <w:rPr>
          <w:rFonts w:ascii="宋体" w:hAnsi="宋体" w:cs="宋体" w:eastAsia="宋体" w:hint="default"/>
          <w:spacing w:val="-2"/>
        </w:rPr>
        <w:t>GR201531001133</w:t>
      </w:r>
      <w:r>
        <w:rPr>
          <w:spacing w:val="-2"/>
        </w:rPr>
        <w:t>），上海</w:t>
      </w:r>
      <w:r>
        <w:rPr>
          <w:spacing w:val="-39"/>
        </w:rPr>
        <w:t> </w:t>
      </w:r>
      <w:r>
        <w:rPr>
          <w:spacing w:val="-39"/>
        </w:rPr>
      </w:r>
      <w:r>
        <w:rPr>
          <w:spacing w:val="-2"/>
        </w:rPr>
        <w:t>东方财富证券研究所有限公司被认定为高新技术企业，有效期三年，公司可享受自</w:t>
      </w:r>
      <w:r>
        <w:rPr>
          <w:rFonts w:ascii="宋体" w:hAnsi="宋体" w:cs="宋体" w:eastAsia="宋体" w:hint="default"/>
          <w:spacing w:val="-2"/>
        </w:rPr>
        <w:t>2015</w:t>
      </w:r>
      <w:r>
        <w:rPr>
          <w:spacing w:val="-2"/>
        </w:rPr>
        <w:t>年度</w:t>
      </w:r>
      <w:r>
        <w:rPr>
          <w:spacing w:val="-48"/>
        </w:rPr>
        <w:t> </w:t>
      </w:r>
      <w:r>
        <w:rPr/>
        <w:t>至</w:t>
      </w:r>
      <w:r>
        <w:rPr>
          <w:rFonts w:ascii="宋体" w:hAnsi="宋体" w:cs="宋体" w:eastAsia="宋体" w:hint="default"/>
        </w:rPr>
        <w:t>2017</w:t>
      </w:r>
      <w:r>
        <w:rPr/>
        <w:t>年度三年</w:t>
      </w:r>
      <w:r>
        <w:rPr>
          <w:rFonts w:ascii="宋体" w:hAnsi="宋体" w:cs="宋体" w:eastAsia="宋体" w:hint="default"/>
        </w:rPr>
        <w:t>15%</w:t>
      </w:r>
      <w:r>
        <w:rPr/>
        <w:t>的企业所得税税收优惠。本年适用所得税税率为</w:t>
      </w:r>
      <w:r>
        <w:rPr>
          <w:rFonts w:ascii="宋体" w:hAnsi="宋体" w:cs="宋体" w:eastAsia="宋体" w:hint="default"/>
        </w:rPr>
        <w:t>15%</w:t>
      </w:r>
      <w:r>
        <w:rPr/>
        <w:t>。</w:t>
      </w:r>
    </w:p>
    <w:p>
      <w:pPr>
        <w:pStyle w:val="BodyText"/>
        <w:spacing w:line="261" w:lineRule="auto" w:before="14"/>
        <w:ind w:left="1413" w:right="103"/>
        <w:jc w:val="left"/>
      </w:pPr>
      <w:r>
        <w:rPr/>
        <w:t>（</w:t>
      </w:r>
      <w:r>
        <w:rPr>
          <w:rFonts w:ascii="Times New Roman" w:hAnsi="Times New Roman" w:cs="Times New Roman" w:eastAsia="Times New Roman" w:hint="default"/>
        </w:rPr>
        <w:t>3</w:t>
      </w:r>
      <w:r>
        <w:rPr/>
        <w:t>）西藏同信证券股份有限公司</w:t>
      </w:r>
      <w:r>
        <w:rPr>
          <w:w w:val="100"/>
        </w:rPr>
        <w:t> </w:t>
      </w:r>
      <w:r>
        <w:rPr/>
        <w:t>根据藏政发</w:t>
      </w:r>
      <w:r>
        <w:rPr>
          <w:rFonts w:ascii="Times New Roman" w:hAnsi="Times New Roman" w:cs="Times New Roman" w:eastAsia="Times New Roman" w:hint="default"/>
        </w:rPr>
        <w:t>[2014]51</w:t>
      </w:r>
      <w:r>
        <w:rPr/>
        <w:t>号《西藏自治区企业所得税政策实施办法》，西藏自治区的企业统一执</w:t>
      </w:r>
      <w:r>
        <w:rPr>
          <w:spacing w:val="-55"/>
        </w:rPr>
        <w:t> </w:t>
      </w:r>
      <w:r>
        <w:rPr>
          <w:spacing w:val="-55"/>
        </w:rPr>
      </w:r>
      <w:r>
        <w:rPr>
          <w:spacing w:val="-3"/>
        </w:rPr>
        <w:t>行西部大开发战略中企业所得税</w:t>
      </w:r>
      <w:r>
        <w:rPr>
          <w:rFonts w:ascii="Times New Roman" w:hAnsi="Times New Roman" w:cs="Times New Roman" w:eastAsia="Times New Roman" w:hint="default"/>
          <w:spacing w:val="-3"/>
        </w:rPr>
        <w:t>15%</w:t>
      </w:r>
      <w:r>
        <w:rPr>
          <w:spacing w:val="-3"/>
        </w:rPr>
        <w:t>的税率；同时，自</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spacing w:val="-53"/>
        </w:rPr>
        <w:t> </w:t>
      </w:r>
      <w:r>
        <w:rPr>
          <w:spacing w:val="-53"/>
        </w:rPr>
      </w:r>
      <w:r>
        <w:rPr/>
        <w:t>暂免征收西藏自治区企业应缴纳的企业所得税中属于西藏自治区地方分享的部分。</w:t>
      </w:r>
      <w:r>
        <w:rPr>
          <w:w w:val="100"/>
        </w:rPr>
        <w:t> </w:t>
      </w:r>
      <w:r>
        <w:rPr>
          <w:rFonts w:ascii="Times New Roman" w:hAnsi="Times New Roman" w:cs="Times New Roman" w:eastAsia="Times New Roman" w:hint="default"/>
        </w:rPr>
        <w:t>2015</w:t>
      </w:r>
      <w:r>
        <w:rPr/>
        <w:t>年度公司实际执行西部大开发战略中企业所得税</w:t>
      </w:r>
      <w:r>
        <w:rPr>
          <w:rFonts w:ascii="Times New Roman" w:hAnsi="Times New Roman" w:cs="Times New Roman" w:eastAsia="Times New Roman" w:hint="default"/>
        </w:rPr>
        <w:t>15%</w:t>
      </w:r>
      <w:r>
        <w:rPr/>
        <w:t>的税率，同时减免了属于西藏自治</w:t>
      </w:r>
      <w:r>
        <w:rPr>
          <w:spacing w:val="-101"/>
        </w:rPr>
        <w:t> </w:t>
      </w:r>
      <w:r>
        <w:rPr>
          <w:spacing w:val="-101"/>
        </w:rPr>
      </w:r>
      <w:r>
        <w:rPr/>
        <w:t>区地方分享的部分。</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right="10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94,185.48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119,043.11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12,222,835,076.39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4,028,373,722.65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25,806,745.43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12,248,736,007.30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4,028,492,765.76</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left="868" w:right="103"/>
        <w:jc w:val="left"/>
      </w:pPr>
      <w:r>
        <w:rPr/>
        <w:t>其中，融资融券业务：</w:t>
      </w:r>
    </w:p>
    <w:p>
      <w:pPr>
        <w:spacing w:line="240" w:lineRule="auto" w:before="10"/>
        <w:rPr>
          <w:rFonts w:ascii="宋体" w:hAnsi="宋体" w:cs="宋体" w:eastAsia="宋体" w:hint="default"/>
          <w:sz w:val="3"/>
          <w:szCs w:val="3"/>
        </w:rPr>
      </w:pPr>
    </w:p>
    <w:tbl>
      <w:tblPr>
        <w:tblW w:w="0" w:type="auto"/>
        <w:jc w:val="left"/>
        <w:tblInd w:w="758" w:type="dxa"/>
        <w:tblLayout w:type="fixed"/>
        <w:tblCellMar>
          <w:top w:w="0" w:type="dxa"/>
          <w:left w:w="0" w:type="dxa"/>
          <w:bottom w:w="0" w:type="dxa"/>
          <w:right w:w="0" w:type="dxa"/>
        </w:tblCellMar>
        <w:tblLook w:val="01E0"/>
      </w:tblPr>
      <w:tblGrid>
        <w:gridCol w:w="1375"/>
        <w:gridCol w:w="992"/>
        <w:gridCol w:w="828"/>
        <w:gridCol w:w="1584"/>
        <w:gridCol w:w="905"/>
        <w:gridCol w:w="785"/>
        <w:gridCol w:w="1342"/>
      </w:tblGrid>
      <w:tr>
        <w:trPr>
          <w:trHeight w:val="341" w:hRule="exact"/>
        </w:trPr>
        <w:tc>
          <w:tcPr>
            <w:tcW w:w="137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1375" w:type="dxa"/>
            <w:vMerge/>
            <w:tcBorders>
              <w:left w:val="single" w:sz="4" w:space="0" w:color="000000"/>
              <w:bottom w:val="single" w:sz="4" w:space="0" w:color="000000"/>
              <w:right w:val="single" w:sz="4" w:space="0" w:color="000000"/>
            </w:tcBorders>
            <w:shd w:val="clear" w:color="auto" w:fill="D9D9D9"/>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4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7"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4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自有信用资金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3,241,358.24</w:t>
            </w:r>
          </w:p>
        </w:tc>
        <w:tc>
          <w:tcPr>
            <w:tcW w:w="90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客户信用资金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992"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210,757,108.42</w:t>
            </w:r>
          </w:p>
        </w:tc>
        <w:tc>
          <w:tcPr>
            <w:tcW w:w="90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before="8"/>
        <w:ind w:left="693" w:right="103"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日，东方财富国际证券有限公司存放在香港的货币资金共计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32,671,949.39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00" w:lineRule="auto" w:before="63"/>
        <w:ind w:left="152" w:right="103" w:firstLine="54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日，货币资金期末余额较上年期末余额增加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8,220,243,241.54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元，增加比例为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204.05%</w:t>
      </w:r>
      <w:r>
        <w:rPr>
          <w:rFonts w:ascii="宋体" w:hAnsi="宋体" w:cs="宋体" w:eastAsia="宋体" w:hint="default"/>
          <w:sz w:val="18"/>
          <w:szCs w:val="18"/>
        </w:rPr>
        <w:t>，主要为 期末合并范围增加同信证券，期末货币资金增加，同时，报告期内公司营业收入大幅增长，货币资金相应增加。</w:t>
      </w:r>
    </w:p>
    <w:p>
      <w:pPr>
        <w:spacing w:line="240" w:lineRule="auto" w:before="10"/>
        <w:rPr>
          <w:rFonts w:ascii="宋体" w:hAnsi="宋体" w:cs="宋体" w:eastAsia="宋体" w:hint="default"/>
          <w:sz w:val="23"/>
          <w:szCs w:val="23"/>
        </w:rPr>
      </w:pPr>
    </w:p>
    <w:p>
      <w:pPr>
        <w:pStyle w:val="Heading5"/>
        <w:spacing w:line="240" w:lineRule="auto"/>
        <w:ind w:right="103"/>
        <w:jc w:val="left"/>
        <w:rPr>
          <w:b w:val="0"/>
          <w:bCs w:val="0"/>
        </w:rPr>
      </w:pPr>
      <w:r>
        <w:rPr>
          <w:rFonts w:ascii="Times New Roman" w:hAnsi="Times New Roman" w:cs="Times New Roman" w:eastAsia="Times New Roman" w:hint="default"/>
        </w:rPr>
        <w:t>2</w:t>
      </w:r>
      <w:r>
        <w:rPr/>
        <w:t>、</w:t>
      </w:r>
      <w:r>
        <w:rPr>
          <w:spacing w:val="1"/>
        </w:rPr>
        <w:t> </w:t>
      </w:r>
      <w:r>
        <w:rPr/>
        <w:t>结算备付金</w:t>
      </w:r>
      <w:r>
        <w:rPr>
          <w:b w:val="0"/>
          <w:bCs w:val="0"/>
        </w:rPr>
      </w:r>
    </w:p>
    <w:p>
      <w:pPr>
        <w:spacing w:line="240" w:lineRule="auto" w:before="11"/>
        <w:rPr>
          <w:rFonts w:ascii="宋体" w:hAnsi="宋体" w:cs="宋体" w:eastAsia="宋体" w:hint="default"/>
          <w:b/>
          <w:bCs/>
          <w:sz w:val="25"/>
          <w:szCs w:val="25"/>
        </w:rPr>
      </w:pPr>
    </w:p>
    <w:tbl>
      <w:tblPr>
        <w:tblW w:w="0" w:type="auto"/>
        <w:jc w:val="left"/>
        <w:tblInd w:w="857" w:type="dxa"/>
        <w:tblLayout w:type="fixed"/>
        <w:tblCellMar>
          <w:top w:w="0" w:type="dxa"/>
          <w:left w:w="0" w:type="dxa"/>
          <w:bottom w:w="0" w:type="dxa"/>
          <w:right w:w="0" w:type="dxa"/>
        </w:tblCellMar>
        <w:tblLook w:val="01E0"/>
      </w:tblPr>
      <w:tblGrid>
        <w:gridCol w:w="1127"/>
        <w:gridCol w:w="1028"/>
        <w:gridCol w:w="842"/>
        <w:gridCol w:w="1476"/>
        <w:gridCol w:w="1162"/>
        <w:gridCol w:w="802"/>
        <w:gridCol w:w="1340"/>
      </w:tblGrid>
      <w:tr>
        <w:trPr>
          <w:trHeight w:val="338" w:hRule="exact"/>
        </w:trPr>
        <w:tc>
          <w:tcPr>
            <w:tcW w:w="112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1127" w:type="dxa"/>
            <w:vMerge/>
            <w:tcBorders>
              <w:left w:val="single" w:sz="4" w:space="0" w:color="000000"/>
              <w:bottom w:val="single" w:sz="4" w:space="0" w:color="000000"/>
              <w:right w:val="single" w:sz="4" w:space="0" w:color="000000"/>
            </w:tcBorders>
            <w:shd w:val="clear" w:color="auto" w:fill="D9D9D9"/>
          </w:tcPr>
          <w:p>
            <w:pPr/>
          </w:p>
        </w:tc>
        <w:tc>
          <w:tcPr>
            <w:tcW w:w="10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1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43" w:hRule="exact"/>
        </w:trPr>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客户备付金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20"/>
        </w:sectPr>
      </w:pPr>
    </w:p>
    <w:p>
      <w:pPr>
        <w:spacing w:line="240" w:lineRule="auto" w:before="3"/>
        <w:rPr>
          <w:rFonts w:ascii="宋体" w:hAnsi="宋体" w:cs="宋体" w:eastAsia="宋体" w:hint="default"/>
          <w:b/>
          <w:bCs/>
          <w:sz w:val="9"/>
          <w:szCs w:val="9"/>
        </w:rPr>
      </w:pPr>
    </w:p>
    <w:tbl>
      <w:tblPr>
        <w:tblW w:w="0" w:type="auto"/>
        <w:jc w:val="left"/>
        <w:tblInd w:w="856" w:type="dxa"/>
        <w:tblLayout w:type="fixed"/>
        <w:tblCellMar>
          <w:top w:w="0" w:type="dxa"/>
          <w:left w:w="0" w:type="dxa"/>
          <w:bottom w:w="0" w:type="dxa"/>
          <w:right w:w="0" w:type="dxa"/>
        </w:tblCellMar>
        <w:tblLook w:val="01E0"/>
      </w:tblPr>
      <w:tblGrid>
        <w:gridCol w:w="1128"/>
        <w:gridCol w:w="1028"/>
        <w:gridCol w:w="842"/>
        <w:gridCol w:w="1476"/>
        <w:gridCol w:w="1162"/>
        <w:gridCol w:w="802"/>
        <w:gridCol w:w="1340"/>
      </w:tblGrid>
      <w:tr>
        <w:trPr>
          <w:trHeight w:val="34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1,302,117,288.87</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5,705,945.07</w:t>
            </w:r>
          </w:p>
        </w:tc>
      </w:tr>
      <w:tr>
        <w:trPr>
          <w:trHeight w:val="34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4,953.93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6.4936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32,168.84</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843,118.46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0.83778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706,347.79</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1,302,855,805.50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5,705,945.07</w:t>
            </w:r>
          </w:p>
        </w:tc>
      </w:tr>
      <w:tr>
        <w:trPr>
          <w:trHeight w:val="34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自有备付金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51,502,443.99</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200,033.98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6.4936</w:t>
            </w:r>
            <w:r>
              <w:rPr>
                <w:rFonts w:ascii="Times New Roman"/>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1,298,940.65</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823,920.84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0.83778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690,264.40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53,491,649.04</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信用备付金</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98,473,655.65</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98,473,655.65</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1,454,821,110.19</w:t>
            </w:r>
          </w:p>
        </w:tc>
        <w:tc>
          <w:tcPr>
            <w:tcW w:w="11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5,705,945.07</w:t>
            </w:r>
          </w:p>
        </w:tc>
      </w:tr>
    </w:tbl>
    <w:p>
      <w:pPr>
        <w:spacing w:line="300" w:lineRule="auto" w:before="8"/>
        <w:ind w:left="152" w:right="0" w:firstLine="54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日，结算备付金余额较上年增加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1,449,115,165.12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元，主要是本期合并范围增加同信证券，期末</w:t>
      </w:r>
      <w:r>
        <w:rPr>
          <w:rFonts w:ascii="宋体" w:hAnsi="宋体" w:cs="宋体" w:eastAsia="宋体" w:hint="default"/>
          <w:sz w:val="18"/>
          <w:szCs w:val="18"/>
        </w:rPr>
        <w:t> 结算备付金大幅增加。同时子公司天天基金业务量增加，期末结算备付金相应增加。</w:t>
      </w:r>
    </w:p>
    <w:p>
      <w:pPr>
        <w:spacing w:line="240" w:lineRule="auto" w:before="10"/>
        <w:rPr>
          <w:rFonts w:ascii="宋体" w:hAnsi="宋体" w:cs="宋体" w:eastAsia="宋体" w:hint="default"/>
          <w:sz w:val="23"/>
          <w:szCs w:val="23"/>
        </w:rPr>
      </w:pPr>
    </w:p>
    <w:p>
      <w:pPr>
        <w:pStyle w:val="Heading5"/>
        <w:spacing w:line="240" w:lineRule="auto"/>
        <w:ind w:left="784" w:right="0"/>
        <w:jc w:val="left"/>
        <w:rPr>
          <w:b w:val="0"/>
          <w:bCs w:val="0"/>
        </w:rPr>
      </w:pPr>
      <w:r>
        <w:rPr>
          <w:rFonts w:ascii="Times New Roman" w:hAnsi="Times New Roman" w:cs="Times New Roman" w:eastAsia="Times New Roman" w:hint="default"/>
        </w:rPr>
        <w:t>3</w:t>
      </w:r>
      <w:r>
        <w:rPr/>
        <w:t>、以公允价值计量且其变动计入当期损益的金融资产</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1,958,860,808.57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48" w:right="48" w:hanging="901"/>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8,688,536.80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8,688,536.80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1,967,549,345.37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8"/>
        <w:ind w:left="69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交易性金融资产期末余额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1,958,860,808.57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元。其中：债务工具投资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987,853,790.90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权益工具投资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442,437,850.13</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元，其他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528,569,167.54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w:t>
      </w:r>
      <w:r>
        <w:rPr>
          <w:spacing w:val="1"/>
        </w:rPr>
        <w:t> </w:t>
      </w:r>
      <w:r>
        <w:rPr/>
        <w:t>融出资金</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890" w:right="0"/>
        <w:jc w:val="left"/>
        <w:rPr>
          <w:b w:val="0"/>
          <w:bCs w:val="0"/>
        </w:rPr>
      </w:pPr>
      <w:r>
        <w:rPr/>
        <w:t>（</w:t>
      </w:r>
      <w:r>
        <w:rPr>
          <w:rFonts w:ascii="Times New Roman" w:hAnsi="Times New Roman" w:cs="Times New Roman" w:eastAsia="Times New Roman" w:hint="default"/>
        </w:rPr>
        <w:t>1</w:t>
      </w:r>
      <w:r>
        <w:rPr/>
        <w:t>）按类别列示</w:t>
      </w:r>
      <w:r>
        <w:rPr>
          <w:b w:val="0"/>
          <w:bCs w:val="0"/>
        </w:rPr>
      </w:r>
    </w:p>
    <w:p>
      <w:pPr>
        <w:spacing w:line="240" w:lineRule="auto" w:before="4"/>
        <w:rPr>
          <w:rFonts w:ascii="宋体" w:hAnsi="宋体" w:cs="宋体" w:eastAsia="宋体" w:hint="default"/>
          <w:b/>
          <w:bCs/>
          <w:sz w:val="3"/>
          <w:szCs w:val="3"/>
        </w:rPr>
      </w:pPr>
    </w:p>
    <w:tbl>
      <w:tblPr>
        <w:tblW w:w="0" w:type="auto"/>
        <w:jc w:val="left"/>
        <w:tblInd w:w="1029" w:type="dxa"/>
        <w:tblLayout w:type="fixed"/>
        <w:tblCellMar>
          <w:top w:w="0" w:type="dxa"/>
          <w:left w:w="0" w:type="dxa"/>
          <w:bottom w:w="0" w:type="dxa"/>
          <w:right w:w="0" w:type="dxa"/>
        </w:tblCellMar>
        <w:tblLook w:val="01E0"/>
      </w:tblPr>
      <w:tblGrid>
        <w:gridCol w:w="2271"/>
        <w:gridCol w:w="2544"/>
        <w:gridCol w:w="2617"/>
      </w:tblGrid>
      <w:tr>
        <w:trPr>
          <w:trHeight w:val="323"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 w:right="0"/>
              <w:jc w:val="left"/>
              <w:rPr>
                <w:rFonts w:ascii="宋体" w:hAnsi="宋体" w:cs="宋体" w:eastAsia="宋体" w:hint="default"/>
                <w:sz w:val="18"/>
                <w:szCs w:val="18"/>
              </w:rPr>
            </w:pPr>
            <w:r>
              <w:rPr>
                <w:rFonts w:ascii="宋体" w:hAnsi="宋体" w:cs="宋体" w:eastAsia="宋体" w:hint="default"/>
                <w:sz w:val="18"/>
                <w:szCs w:val="18"/>
              </w:rPr>
              <w:t>融资融券融出资金</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Times New Roman" w:hAnsi="Times New Roman" w:cs="Times New Roman" w:eastAsia="Times New Roman" w:hint="default"/>
                <w:sz w:val="18"/>
                <w:szCs w:val="18"/>
              </w:rPr>
            </w:pPr>
            <w:r>
              <w:rPr>
                <w:rFonts w:ascii="Times New Roman"/>
                <w:spacing w:val="-1"/>
                <w:sz w:val="18"/>
              </w:rPr>
              <w:t>1,362,694,461.91</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2,725,388.92</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1,359,969,072.99</w:t>
            </w:r>
          </w:p>
        </w:tc>
        <w:tc>
          <w:tcPr>
            <w:tcW w:w="26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5"/>
        <w:spacing w:line="240" w:lineRule="auto" w:before="36"/>
        <w:ind w:left="995" w:right="0"/>
        <w:jc w:val="left"/>
        <w:rPr>
          <w:b w:val="0"/>
          <w:bCs w:val="0"/>
        </w:rPr>
      </w:pPr>
      <w:r>
        <w:rPr/>
        <w:t>（</w:t>
      </w:r>
      <w:r>
        <w:rPr>
          <w:rFonts w:ascii="Times New Roman" w:hAnsi="Times New Roman" w:cs="Times New Roman" w:eastAsia="Times New Roman" w:hint="default"/>
        </w:rPr>
        <w:t>2</w:t>
      </w:r>
      <w:r>
        <w:rPr/>
        <w:t>）按交易对手列示</w:t>
      </w:r>
      <w:r>
        <w:rPr>
          <w:b w:val="0"/>
          <w:bCs w:val="0"/>
        </w:rPr>
      </w:r>
    </w:p>
    <w:p>
      <w:pPr>
        <w:spacing w:line="240" w:lineRule="auto" w:before="8"/>
        <w:rPr>
          <w:rFonts w:ascii="宋体" w:hAnsi="宋体" w:cs="宋体" w:eastAsia="宋体" w:hint="default"/>
          <w:b/>
          <w:bCs/>
          <w:sz w:val="2"/>
          <w:szCs w:val="2"/>
        </w:rPr>
      </w:pPr>
    </w:p>
    <w:tbl>
      <w:tblPr>
        <w:tblW w:w="0" w:type="auto"/>
        <w:jc w:val="left"/>
        <w:tblInd w:w="1029" w:type="dxa"/>
        <w:tblLayout w:type="fixed"/>
        <w:tblCellMar>
          <w:top w:w="0" w:type="dxa"/>
          <w:left w:w="0" w:type="dxa"/>
          <w:bottom w:w="0" w:type="dxa"/>
          <w:right w:w="0" w:type="dxa"/>
        </w:tblCellMar>
        <w:tblLook w:val="01E0"/>
      </w:tblPr>
      <w:tblGrid>
        <w:gridCol w:w="2271"/>
        <w:gridCol w:w="2544"/>
        <w:gridCol w:w="2617"/>
      </w:tblGrid>
      <w:tr>
        <w:trPr>
          <w:trHeight w:val="334"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950"/>
              <w:jc w:val="right"/>
              <w:rPr>
                <w:rFonts w:ascii="宋体" w:hAnsi="宋体" w:cs="宋体" w:eastAsia="宋体" w:hint="default"/>
                <w:sz w:val="18"/>
                <w:szCs w:val="18"/>
              </w:rPr>
            </w:pPr>
            <w:r>
              <w:rPr>
                <w:rFonts w:ascii="宋体" w:hAnsi="宋体" w:cs="宋体" w:eastAsia="宋体" w:hint="default"/>
                <w:sz w:val="18"/>
                <w:szCs w:val="18"/>
              </w:rPr>
              <w:t>项目</w:t>
            </w:r>
          </w:p>
        </w:tc>
        <w:tc>
          <w:tcPr>
            <w:tcW w:w="2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2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6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0" w:hRule="exact"/>
        </w:trPr>
        <w:tc>
          <w:tcPr>
            <w:tcW w:w="22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25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Times New Roman" w:hAnsi="Times New Roman" w:cs="Times New Roman" w:eastAsia="Times New Roman" w:hint="default"/>
                <w:sz w:val="18"/>
                <w:szCs w:val="18"/>
              </w:rPr>
            </w:pPr>
            <w:r>
              <w:rPr>
                <w:rFonts w:ascii="Times New Roman"/>
                <w:spacing w:val="-1"/>
                <w:sz w:val="18"/>
              </w:rPr>
              <w:t>1,355,883,108.39</w:t>
            </w:r>
          </w:p>
        </w:tc>
        <w:tc>
          <w:tcPr>
            <w:tcW w:w="2617" w:type="dxa"/>
            <w:tcBorders>
              <w:top w:val="single" w:sz="8" w:space="0" w:color="000000"/>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6,811,353.52</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0"/>
              <w:jc w:val="right"/>
              <w:rPr>
                <w:rFonts w:ascii="宋体" w:hAnsi="宋体" w:cs="宋体" w:eastAsia="宋体" w:hint="default"/>
                <w:sz w:val="18"/>
                <w:szCs w:val="18"/>
              </w:rPr>
            </w:pPr>
            <w:r>
              <w:rPr>
                <w:rFonts w:ascii="宋体" w:hAnsi="宋体" w:cs="宋体" w:eastAsia="宋体" w:hint="default"/>
                <w:sz w:val="18"/>
                <w:szCs w:val="18"/>
              </w:rPr>
              <w:t>合计</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1,362,694,461.91</w:t>
            </w:r>
          </w:p>
        </w:tc>
        <w:tc>
          <w:tcPr>
            <w:tcW w:w="26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5"/>
        <w:rPr>
          <w:rFonts w:ascii="宋体" w:hAnsi="宋体" w:cs="宋体" w:eastAsia="宋体" w:hint="default"/>
          <w:b/>
          <w:bCs/>
          <w:sz w:val="29"/>
          <w:szCs w:val="29"/>
        </w:rPr>
      </w:pPr>
    </w:p>
    <w:p>
      <w:pPr>
        <w:pStyle w:val="Heading5"/>
        <w:spacing w:line="240" w:lineRule="auto" w:before="36"/>
        <w:ind w:left="1748" w:right="39"/>
        <w:jc w:val="left"/>
        <w:rPr>
          <w:b w:val="0"/>
          <w:bCs w:val="0"/>
        </w:rPr>
      </w:pPr>
      <w:r>
        <w:rPr/>
        <w:t>（</w:t>
      </w:r>
      <w:r>
        <w:rPr>
          <w:rFonts w:ascii="Times New Roman" w:hAnsi="Times New Roman" w:cs="Times New Roman" w:eastAsia="Times New Roman" w:hint="default"/>
        </w:rPr>
        <w:t>3</w:t>
      </w:r>
      <w:r>
        <w:rPr/>
        <w:t>）按账龄分析</w:t>
      </w:r>
      <w:r>
        <w:rPr>
          <w:b w:val="0"/>
          <w:bCs w:val="0"/>
        </w:rPr>
      </w:r>
    </w:p>
    <w:p>
      <w:pPr>
        <w:spacing w:line="240" w:lineRule="auto" w:before="8"/>
        <w:rPr>
          <w:rFonts w:ascii="宋体" w:hAnsi="宋体" w:cs="宋体" w:eastAsia="宋体" w:hint="default"/>
          <w:b/>
          <w:bCs/>
          <w:sz w:val="2"/>
          <w:szCs w:val="2"/>
        </w:rPr>
      </w:pPr>
    </w:p>
    <w:tbl>
      <w:tblPr>
        <w:tblW w:w="0" w:type="auto"/>
        <w:jc w:val="left"/>
        <w:tblInd w:w="1669" w:type="dxa"/>
        <w:tblLayout w:type="fixed"/>
        <w:tblCellMar>
          <w:top w:w="0" w:type="dxa"/>
          <w:left w:w="0" w:type="dxa"/>
          <w:bottom w:w="0" w:type="dxa"/>
          <w:right w:w="0" w:type="dxa"/>
        </w:tblCellMar>
        <w:tblLook w:val="01E0"/>
      </w:tblPr>
      <w:tblGrid>
        <w:gridCol w:w="2271"/>
        <w:gridCol w:w="2544"/>
        <w:gridCol w:w="2617"/>
      </w:tblGrid>
      <w:tr>
        <w:trPr>
          <w:trHeight w:val="331" w:hRule="exact"/>
        </w:trPr>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950"/>
              <w:jc w:val="right"/>
              <w:rPr>
                <w:rFonts w:ascii="宋体" w:hAnsi="宋体" w:cs="宋体" w:eastAsia="宋体" w:hint="default"/>
                <w:sz w:val="18"/>
                <w:szCs w:val="18"/>
              </w:rPr>
            </w:pPr>
            <w:r>
              <w:rPr>
                <w:rFonts w:ascii="宋体" w:hAnsi="宋体" w:cs="宋体" w:eastAsia="宋体" w:hint="default"/>
                <w:sz w:val="18"/>
                <w:szCs w:val="18"/>
              </w:rPr>
              <w:t>项目</w:t>
            </w:r>
          </w:p>
        </w:tc>
        <w:tc>
          <w:tcPr>
            <w:tcW w:w="2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2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6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3" w:hRule="exact"/>
        </w:trPr>
        <w:tc>
          <w:tcPr>
            <w:tcW w:w="22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25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921,900,587.75</w:t>
            </w:r>
          </w:p>
        </w:tc>
        <w:tc>
          <w:tcPr>
            <w:tcW w:w="2617" w:type="dxa"/>
            <w:tcBorders>
              <w:top w:val="single" w:sz="8" w:space="0" w:color="000000"/>
              <w:left w:val="single" w:sz="4" w:space="0" w:color="000000"/>
              <w:bottom w:val="single" w:sz="4" w:space="0" w:color="000000"/>
              <w:right w:val="single" w:sz="4" w:space="0" w:color="000000"/>
            </w:tcBorders>
          </w:tcPr>
          <w:p>
            <w:pP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179,484,545.51</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个月以上</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261,309,328.65</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0"/>
              <w:jc w:val="right"/>
              <w:rPr>
                <w:rFonts w:ascii="宋体" w:hAnsi="宋体" w:cs="宋体" w:eastAsia="宋体" w:hint="default"/>
                <w:sz w:val="18"/>
                <w:szCs w:val="18"/>
              </w:rPr>
            </w:pPr>
            <w:r>
              <w:rPr>
                <w:rFonts w:ascii="宋体" w:hAnsi="宋体" w:cs="宋体" w:eastAsia="宋体" w:hint="default"/>
                <w:sz w:val="18"/>
                <w:szCs w:val="18"/>
              </w:rPr>
              <w:t>合计</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1,362,694,461.91</w:t>
            </w:r>
          </w:p>
        </w:tc>
        <w:tc>
          <w:tcPr>
            <w:tcW w:w="26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5"/>
        <w:spacing w:line="240" w:lineRule="auto" w:before="36"/>
        <w:ind w:left="1748" w:right="39"/>
        <w:jc w:val="left"/>
        <w:rPr>
          <w:b w:val="0"/>
          <w:bCs w:val="0"/>
        </w:rPr>
      </w:pPr>
      <w:r>
        <w:rPr/>
        <w:t>（</w:t>
      </w:r>
      <w:r>
        <w:rPr>
          <w:rFonts w:ascii="Times New Roman" w:hAnsi="Times New Roman" w:cs="Times New Roman" w:eastAsia="Times New Roman" w:hint="default"/>
        </w:rPr>
        <w:t>4</w:t>
      </w:r>
      <w:r>
        <w:rPr/>
        <w:t>）客户因融资融券业务向公司提供的担保物公允价值情况</w:t>
      </w:r>
      <w:r>
        <w:rPr>
          <w:b w:val="0"/>
          <w:bCs w:val="0"/>
        </w:rPr>
      </w:r>
    </w:p>
    <w:p>
      <w:pPr>
        <w:spacing w:line="240" w:lineRule="auto" w:before="8"/>
        <w:rPr>
          <w:rFonts w:ascii="宋体" w:hAnsi="宋体" w:cs="宋体" w:eastAsia="宋体" w:hint="default"/>
          <w:b/>
          <w:bCs/>
          <w:sz w:val="2"/>
          <w:szCs w:val="2"/>
        </w:rPr>
      </w:pPr>
    </w:p>
    <w:tbl>
      <w:tblPr>
        <w:tblW w:w="0" w:type="auto"/>
        <w:jc w:val="left"/>
        <w:tblInd w:w="1640" w:type="dxa"/>
        <w:tblLayout w:type="fixed"/>
        <w:tblCellMar>
          <w:top w:w="0" w:type="dxa"/>
          <w:left w:w="0" w:type="dxa"/>
          <w:bottom w:w="0" w:type="dxa"/>
          <w:right w:w="0" w:type="dxa"/>
        </w:tblCellMar>
        <w:tblLook w:val="01E0"/>
      </w:tblPr>
      <w:tblGrid>
        <w:gridCol w:w="2365"/>
        <w:gridCol w:w="2357"/>
        <w:gridCol w:w="2617"/>
      </w:tblGrid>
      <w:tr>
        <w:trPr>
          <w:trHeight w:val="331" w:hRule="exact"/>
        </w:trPr>
        <w:tc>
          <w:tcPr>
            <w:tcW w:w="23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担保物类别</w:t>
            </w:r>
          </w:p>
        </w:tc>
        <w:tc>
          <w:tcPr>
            <w:tcW w:w="2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3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63" w:right="0"/>
              <w:jc w:val="left"/>
              <w:rPr>
                <w:rFonts w:ascii="宋体" w:hAnsi="宋体" w:cs="宋体" w:eastAsia="宋体" w:hint="default"/>
                <w:sz w:val="18"/>
                <w:szCs w:val="18"/>
              </w:rPr>
            </w:pPr>
            <w:r>
              <w:rPr>
                <w:rFonts w:ascii="宋体" w:hAnsi="宋体" w:cs="宋体" w:eastAsia="宋体" w:hint="default"/>
                <w:sz w:val="18"/>
                <w:szCs w:val="18"/>
              </w:rPr>
              <w:t>年初公允价值</w:t>
            </w:r>
          </w:p>
        </w:tc>
      </w:tr>
      <w:tr>
        <w:trPr>
          <w:trHeight w:val="353"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
              <w:jc w:val="right"/>
              <w:rPr>
                <w:rFonts w:ascii="Times New Roman" w:hAnsi="Times New Roman" w:cs="Times New Roman" w:eastAsia="Times New Roman" w:hint="default"/>
                <w:sz w:val="18"/>
                <w:szCs w:val="18"/>
              </w:rPr>
            </w:pPr>
            <w:r>
              <w:rPr>
                <w:rFonts w:ascii="Times New Roman"/>
                <w:spacing w:val="-1"/>
                <w:sz w:val="18"/>
              </w:rPr>
              <w:t>228,875,699.27</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3,956,206,086.76</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基金</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61,758,978.44</w:t>
            </w:r>
          </w:p>
        </w:tc>
        <w:tc>
          <w:tcPr>
            <w:tcW w:w="261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4,246,840,764.47</w:t>
            </w:r>
          </w:p>
        </w:tc>
        <w:tc>
          <w:tcPr>
            <w:tcW w:w="26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5"/>
        <w:spacing w:line="256" w:lineRule="auto" w:before="36"/>
        <w:ind w:left="1633" w:right="39"/>
        <w:jc w:val="left"/>
        <w:rPr>
          <w:b w:val="0"/>
          <w:bCs w:val="0"/>
        </w:rPr>
      </w:pPr>
      <w:r>
        <w:rPr/>
        <w:t>（</w:t>
      </w:r>
      <w:r>
        <w:rPr>
          <w:rFonts w:ascii="Times New Roman" w:hAnsi="Times New Roman" w:cs="Times New Roman" w:eastAsia="Times New Roman" w:hint="default"/>
        </w:rPr>
        <w:t>5</w:t>
      </w:r>
      <w:r>
        <w:rPr/>
        <w:t>）融出资金期末余额为子公司同信证券融出资金，同信证券</w:t>
      </w:r>
      <w:r>
        <w:rPr>
          <w:rFonts w:ascii="宋体" w:hAnsi="宋体" w:cs="宋体" w:eastAsia="宋体" w:hint="default"/>
        </w:rPr>
        <w:t>2015</w:t>
      </w:r>
      <w:r>
        <w:rPr/>
        <w:t>年</w:t>
      </w:r>
      <w:r>
        <w:rPr>
          <w:rFonts w:ascii="宋体" w:hAnsi="宋体" w:cs="宋体" w:eastAsia="宋体" w:hint="default"/>
        </w:rPr>
        <w:t>12</w:t>
      </w:r>
      <w:r>
        <w:rPr/>
        <w:t>月加入合并范围，期初</w:t>
      </w:r>
      <w:r>
        <w:rPr>
          <w:spacing w:val="-62"/>
        </w:rPr>
        <w:t> </w:t>
      </w:r>
      <w:r>
        <w:rPr>
          <w:spacing w:val="-62"/>
        </w:rPr>
      </w:r>
      <w:r>
        <w:rPr/>
        <w:t>无余额。</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792" w:right="39"/>
        <w:jc w:val="left"/>
        <w:rPr>
          <w:b w:val="0"/>
          <w:bCs w:val="0"/>
        </w:rPr>
      </w:pPr>
      <w:r>
        <w:rPr>
          <w:rFonts w:ascii="Times New Roman" w:hAnsi="Times New Roman" w:cs="Times New Roman" w:eastAsia="Times New Roman" w:hint="default"/>
        </w:rPr>
        <w:t>5</w:t>
      </w:r>
      <w:r>
        <w:rPr/>
        <w:t>、衍生金融资产</w:t>
      </w:r>
      <w:r>
        <w:rPr>
          <w:b w:val="0"/>
          <w:bCs w:val="0"/>
        </w:rPr>
      </w:r>
    </w:p>
    <w:p>
      <w:pPr>
        <w:spacing w:line="240" w:lineRule="auto" w:before="12"/>
        <w:rPr>
          <w:rFonts w:ascii="宋体" w:hAnsi="宋体" w:cs="宋体" w:eastAsia="宋体" w:hint="default"/>
          <w:b/>
          <w:bCs/>
          <w:sz w:val="22"/>
          <w:szCs w:val="22"/>
        </w:rPr>
      </w:pPr>
    </w:p>
    <w:p>
      <w:pPr>
        <w:spacing w:before="44"/>
        <w:ind w:left="792" w:right="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8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40" w:type="dxa"/>
        <w:tblLayout w:type="fixed"/>
        <w:tblCellMar>
          <w:top w:w="0" w:type="dxa"/>
          <w:left w:w="0" w:type="dxa"/>
          <w:bottom w:w="0" w:type="dxa"/>
          <w:right w:w="0" w:type="dxa"/>
        </w:tblCellMar>
        <w:tblLook w:val="01E0"/>
      </w:tblPr>
      <w:tblGrid>
        <w:gridCol w:w="2338"/>
        <w:gridCol w:w="3190"/>
        <w:gridCol w:w="3190"/>
      </w:tblGrid>
      <w:tr>
        <w:trPr>
          <w:trHeight w:val="403" w:hRule="exact"/>
        </w:trPr>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利率衍生工具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3,864,216.81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3,864,216.81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left="792" w:right="39"/>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792" w:right="39"/>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8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54"/>
        <w:gridCol w:w="1208"/>
        <w:gridCol w:w="761"/>
        <w:gridCol w:w="1142"/>
        <w:gridCol w:w="586"/>
        <w:gridCol w:w="1270"/>
        <w:gridCol w:w="1210"/>
        <w:gridCol w:w="721"/>
        <w:gridCol w:w="1135"/>
        <w:gridCol w:w="552"/>
        <w:gridCol w:w="1186"/>
      </w:tblGrid>
      <w:tr>
        <w:trPr>
          <w:trHeight w:val="396" w:hRule="exact"/>
        </w:trPr>
        <w:tc>
          <w:tcPr>
            <w:tcW w:w="1254" w:type="dxa"/>
            <w:vMerge w:val="restart"/>
            <w:tcBorders>
              <w:top w:val="single" w:sz="4" w:space="0" w:color="000000"/>
              <w:left w:val="single" w:sz="4" w:space="0" w:color="000000"/>
              <w:right w:val="single" w:sz="4" w:space="0" w:color="000000"/>
            </w:tcBorders>
            <w:shd w:val="clear" w:color="auto" w:fill="D2D2D2"/>
          </w:tcPr>
          <w:p>
            <w:pPr/>
          </w:p>
        </w:tc>
        <w:tc>
          <w:tcPr>
            <w:tcW w:w="49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254" w:type="dxa"/>
            <w:vMerge/>
            <w:tcBorders>
              <w:left w:val="single" w:sz="4" w:space="0" w:color="000000"/>
              <w:bottom w:val="nil" w:sz="6" w:space="0" w:color="auto"/>
              <w:right w:val="single" w:sz="4" w:space="0" w:color="000000"/>
            </w:tcBorders>
            <w:shd w:val="clear" w:color="auto" w:fill="D2D2D2"/>
          </w:tcPr>
          <w:p>
            <w:pPr/>
          </w:p>
        </w:tc>
        <w:tc>
          <w:tcPr>
            <w:tcW w:w="19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0" w:type="dxa"/>
            <w:vMerge w:val="restart"/>
            <w:tcBorders>
              <w:top w:val="single" w:sz="4" w:space="0" w:color="000000"/>
              <w:left w:val="single" w:sz="4" w:space="0" w:color="000000"/>
              <w:right w:val="single" w:sz="4" w:space="0" w:color="000000"/>
            </w:tcBorders>
            <w:shd w:val="clear" w:color="auto" w:fill="D2D2D2"/>
          </w:tcPr>
          <w:p>
            <w:pPr/>
          </w:p>
        </w:tc>
        <w:tc>
          <w:tcPr>
            <w:tcW w:w="19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6"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70" w:type="dxa"/>
            <w:gridSpan w:val="2"/>
            <w:vMerge/>
            <w:tcBorders>
              <w:left w:val="single" w:sz="4" w:space="0" w:color="000000"/>
              <w:bottom w:val="single" w:sz="4" w:space="0" w:color="000000"/>
              <w:right w:val="single" w:sz="4" w:space="0" w:color="000000"/>
            </w:tcBorders>
            <w:shd w:val="clear" w:color="auto" w:fill="D2D2D2"/>
          </w:tcPr>
          <w:p>
            <w:pPr/>
          </w:p>
        </w:tc>
        <w:tc>
          <w:tcPr>
            <w:tcW w:w="1728" w:type="dxa"/>
            <w:gridSpan w:val="2"/>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930" w:type="dxa"/>
            <w:gridSpan w:val="2"/>
            <w:vMerge/>
            <w:tcBorders>
              <w:left w:val="single" w:sz="4" w:space="0" w:color="000000"/>
              <w:bottom w:val="single" w:sz="4" w:space="0" w:color="000000"/>
              <w:right w:val="single" w:sz="4" w:space="0" w:color="000000"/>
            </w:tcBorders>
            <w:shd w:val="clear" w:color="auto" w:fill="D2D2D2"/>
          </w:tcPr>
          <w:p>
            <w:pPr/>
          </w:p>
        </w:tc>
        <w:tc>
          <w:tcPr>
            <w:tcW w:w="1687" w:type="dxa"/>
            <w:gridSpan w:val="2"/>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254" w:type="dxa"/>
            <w:vMerge/>
            <w:tcBorders>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08" w:right="10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shd w:val="clear" w:color="auto" w:fill="D2D2D2"/>
          </w:tcPr>
          <w:p>
            <w:pPr/>
          </w:p>
        </w:tc>
        <w:tc>
          <w:tcPr>
            <w:tcW w:w="5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25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6"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52"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721" w:type="dxa"/>
            <w:vMerge/>
            <w:tcBorders>
              <w:left w:val="single" w:sz="4" w:space="0" w:color="000000"/>
              <w:bottom w:val="nil" w:sz="6" w:space="0" w:color="auto"/>
              <w:right w:val="single" w:sz="4" w:space="0" w:color="000000"/>
            </w:tcBorders>
            <w:shd w:val="clear" w:color="auto" w:fill="D2D2D2"/>
          </w:tcPr>
          <w:p>
            <w:pPr/>
          </w:p>
        </w:tc>
        <w:tc>
          <w:tcPr>
            <w:tcW w:w="1135" w:type="dxa"/>
            <w:vMerge/>
            <w:tcBorders>
              <w:left w:val="single" w:sz="4" w:space="0" w:color="000000"/>
              <w:bottom w:val="nil" w:sz="6" w:space="0" w:color="auto"/>
              <w:right w:val="single" w:sz="4" w:space="0" w:color="000000"/>
            </w:tcBorders>
            <w:shd w:val="clear" w:color="auto" w:fill="D2D2D2"/>
          </w:tcPr>
          <w:p>
            <w:pPr/>
          </w:p>
        </w:tc>
        <w:tc>
          <w:tcPr>
            <w:tcW w:w="552"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54"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shd w:val="clear" w:color="auto" w:fill="D2D2D2"/>
          </w:tcPr>
          <w:p>
            <w:pPr/>
          </w:p>
        </w:tc>
        <w:tc>
          <w:tcPr>
            <w:tcW w:w="552"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0"/>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2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352,678,529.55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24,259,403.70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328,419,125.85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113,042,736.71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9,069,442.22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8.02%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103,973,294.49</w:t>
            </w:r>
          </w:p>
        </w:tc>
      </w:tr>
      <w:tr>
        <w:trPr>
          <w:trHeight w:val="401" w:hRule="exact"/>
        </w:trPr>
        <w:tc>
          <w:tcPr>
            <w:tcW w:w="1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352,678,529.55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24,259,403.70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328,419,125.85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113,042,736.71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9,069,442.22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8.02%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103,973,294.49</w:t>
            </w:r>
          </w:p>
        </w:tc>
      </w:tr>
    </w:tbl>
    <w:p>
      <w:pPr>
        <w:spacing w:after="0" w:line="240" w:lineRule="auto"/>
        <w:jc w:val="center"/>
        <w:rPr>
          <w:rFonts w:ascii="Times New Roman" w:hAnsi="Times New Roman" w:cs="Times New Roman" w:eastAsia="Times New Roman" w:hint="default"/>
          <w:sz w:val="18"/>
          <w:szCs w:val="18"/>
        </w:rPr>
        <w:sectPr>
          <w:pgSz w:w="11910" w:h="16840"/>
          <w:pgMar w:header="852" w:footer="979" w:top="1300" w:bottom="1160" w:left="340" w:right="320"/>
        </w:sectPr>
      </w:pPr>
    </w:p>
    <w:p>
      <w:pPr>
        <w:spacing w:before="12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5"/>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52" w:footer="979" w:top="130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206"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9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69" w:type="dxa"/>
            <w:vMerge/>
            <w:tcBorders>
              <w:left w:val="single" w:sz="4" w:space="0" w:color="000000"/>
              <w:bottom w:val="nil" w:sz="6" w:space="0" w:color="auto"/>
              <w:right w:val="single" w:sz="4" w:space="0" w:color="000000"/>
            </w:tcBorders>
            <w:shd w:val="clear" w:color="auto" w:fill="D2D2D2"/>
          </w:tcPr>
          <w:p>
            <w:pPr/>
          </w:p>
        </w:tc>
        <w:tc>
          <w:tcPr>
            <w:tcW w:w="2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4"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340,351,704.37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17,017,585.22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5,812,431.00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1,743,729.30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2,032,610.00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1,016,305.00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4,481,784.18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4,481,784.18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352,678,529.55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24,259,403.70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15,189,961.48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46" w:firstLine="420"/>
        <w:jc w:val="left"/>
      </w:pPr>
      <w:r>
        <w:rPr/>
        <w:t>按欠款方归集的期末余额前五名应收账款汇总金额 </w:t>
      </w:r>
      <w:r>
        <w:rPr>
          <w:rFonts w:ascii="Times New Roman" w:hAnsi="Times New Roman" w:cs="Times New Roman" w:eastAsia="Times New Roman" w:hint="default"/>
        </w:rPr>
        <w:t>115,890,094.16</w:t>
      </w:r>
      <w:r>
        <w:rPr>
          <w:rFonts w:ascii="Times New Roman" w:hAnsi="Times New Roman" w:cs="Times New Roman" w:eastAsia="Times New Roman" w:hint="default"/>
          <w:spacing w:val="-32"/>
        </w:rPr>
        <w:t> </w:t>
      </w:r>
      <w:r>
        <w:rPr/>
        <w:t>元，占应收账款期末余额合计数的</w:t>
      </w:r>
      <w:r>
        <w:rPr>
          <w:w w:val="100"/>
        </w:rPr>
        <w:t> </w:t>
      </w:r>
      <w:r>
        <w:rPr/>
        <w:t>比例</w:t>
      </w:r>
      <w:r>
        <w:rPr>
          <w:spacing w:val="-54"/>
        </w:rPr>
        <w:t> </w:t>
      </w:r>
      <w:r>
        <w:rPr>
          <w:rFonts w:ascii="Times New Roman" w:hAnsi="Times New Roman" w:cs="Times New Roman" w:eastAsia="Times New Roman" w:hint="default"/>
        </w:rPr>
        <w:t>32.86%</w:t>
      </w:r>
      <w:r>
        <w:rPr/>
        <w:t>，相应计提的坏账准备期末余额汇总金额</w:t>
      </w:r>
      <w:r>
        <w:rPr>
          <w:spacing w:val="-54"/>
        </w:rPr>
        <w:t> </w:t>
      </w:r>
      <w:r>
        <w:rPr>
          <w:rFonts w:ascii="Times New Roman" w:hAnsi="Times New Roman" w:cs="Times New Roman" w:eastAsia="Times New Roman" w:hint="default"/>
        </w:rPr>
        <w:t>5,794,504.71</w:t>
      </w:r>
      <w:r>
        <w:rPr>
          <w:rFonts w:ascii="Times New Roman" w:hAnsi="Times New Roman" w:cs="Times New Roman" w:eastAsia="Times New Roman" w:hint="default"/>
          <w:spacing w:val="-11"/>
        </w:rPr>
        <w:t> </w:t>
      </w:r>
      <w:r>
        <w:rPr>
          <w:spacing w:val="-3"/>
        </w:rPr>
        <w:t>元。</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58,649,059.98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98.70%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19,872,514.06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96.55%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774,235.62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701,953.89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8,097.29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59,423,295.60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20,582,565.24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300" w:bottom="1160" w:left="980" w:right="980"/>
        </w:sectPr>
      </w:pPr>
    </w:p>
    <w:p>
      <w:pPr>
        <w:pStyle w:val="Heading5"/>
        <w:spacing w:line="240" w:lineRule="auto" w:before="108"/>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20"/>
        <w:jc w:val="left"/>
      </w:pPr>
      <w:r>
        <w:rPr/>
        <w:t>按预付对象集中度归集的期末余额前五名预付款项汇总金额</w:t>
      </w:r>
      <w:r>
        <w:rPr>
          <w:spacing w:val="-46"/>
        </w:rPr>
        <w:t> </w:t>
      </w:r>
      <w:r>
        <w:rPr>
          <w:rFonts w:ascii="宋体" w:hAnsi="宋体" w:cs="宋体" w:eastAsia="宋体" w:hint="default"/>
        </w:rPr>
        <w:t>32,255,452.94</w:t>
      </w:r>
      <w:r>
        <w:rPr>
          <w:rFonts w:ascii="宋体" w:hAnsi="宋体" w:cs="宋体" w:eastAsia="宋体" w:hint="default"/>
          <w:spacing w:val="-48"/>
        </w:rPr>
        <w:t> </w:t>
      </w:r>
      <w:r>
        <w:rPr>
          <w:spacing w:val="-4"/>
        </w:rPr>
        <w:t>元，占预付款项期末余额</w:t>
      </w:r>
      <w:r>
        <w:rPr>
          <w:w w:val="100"/>
        </w:rPr>
        <w:t> </w:t>
      </w:r>
      <w:r>
        <w:rPr/>
        <w:t>合计数的比例</w:t>
      </w:r>
      <w:r>
        <w:rPr>
          <w:spacing w:val="-53"/>
        </w:rPr>
        <w:t> </w:t>
      </w:r>
      <w:r>
        <w:rPr>
          <w:rFonts w:ascii="宋体" w:hAnsi="宋体" w:cs="宋体" w:eastAsia="宋体" w:hint="default"/>
        </w:rPr>
        <w:t>54.28%</w:t>
      </w:r>
      <w:r>
        <w:rPr/>
        <w:t>。</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8</w:t>
      </w:r>
      <w:r>
        <w:rPr/>
        <w:t>、应收利息</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4,187,300.32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14,370,767.27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27,041,509.91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证券公司存放金融同业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1,325,456.26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融资融券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11,532,158.01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买入返售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3,733,244.21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3,159,900.82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50,979,569.53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14,370,767.27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130,625,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420.00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130,625,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420.00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856,000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16,029,7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65.42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7,351,41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8,678,347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6,944,3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77.16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3,948,772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2,995,605.0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1,444,60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4,564.72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90.78%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1,833,01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1,442,771</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,552.72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93,416.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1,553,993,4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16.10</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1,591,25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8" w:right="0"/>
              <w:jc w:val="left"/>
              <w:rPr>
                <w:rFonts w:ascii="Times New Roman" w:hAnsi="Times New Roman" w:cs="Times New Roman" w:eastAsia="Times New Roman" w:hint="default"/>
                <w:sz w:val="18"/>
                <w:szCs w:val="18"/>
              </w:rPr>
            </w:pPr>
            <w:r>
              <w:rPr>
                <w:rFonts w:ascii="Times New Roman"/>
                <w:sz w:val="18"/>
              </w:rPr>
              <w:t>139,809,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1,451,449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3" w:right="0"/>
              <w:jc w:val="left"/>
              <w:rPr>
                <w:rFonts w:ascii="Times New Roman" w:hAnsi="Times New Roman" w:cs="Times New Roman" w:eastAsia="Times New Roman" w:hint="default"/>
                <w:sz w:val="18"/>
                <w:szCs w:val="18"/>
              </w:rPr>
            </w:pPr>
            <w:r>
              <w:rPr>
                <w:rFonts w:ascii="Times New Roman"/>
                <w:sz w:val="18"/>
              </w:rPr>
              <w:t>1,561,7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4,804,772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1,556,989,0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67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9,750.14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849.84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6" w:right="0"/>
              <w:jc w:val="left"/>
              <w:rPr>
                <w:rFonts w:ascii="Times New Roman" w:hAnsi="Times New Roman" w:cs="Times New Roman" w:eastAsia="Times New Roman" w:hint="default"/>
                <w:sz w:val="18"/>
                <w:szCs w:val="18"/>
              </w:rPr>
            </w:pPr>
            <w:r>
              <w:rPr>
                <w:rFonts w:ascii="Times New Roman"/>
                <w:sz w:val="18"/>
              </w:rPr>
              <w:t>,900.30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93,793.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.07</w:t>
            </w: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4" w:right="0"/>
              <w:jc w:val="left"/>
              <w:rPr>
                <w:rFonts w:ascii="Times New Roman" w:hAnsi="Times New Roman" w:cs="Times New Roman" w:eastAsia="Times New Roman" w:hint="default"/>
                <w:sz w:val="18"/>
                <w:szCs w:val="18"/>
              </w:rPr>
            </w:pPr>
            <w:r>
              <w:rPr>
                <w:rFonts w:ascii="Times New Roman"/>
                <w:sz w:val="18"/>
              </w:rPr>
              <w:t>21.19</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0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416"/>
        <w:gridCol w:w="1277"/>
        <w:gridCol w:w="1133"/>
        <w:gridCol w:w="3051"/>
      </w:tblGrid>
      <w:tr>
        <w:trPr>
          <w:trHeight w:val="401" w:hRule="exact"/>
        </w:trPr>
        <w:tc>
          <w:tcPr>
            <w:tcW w:w="2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8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安徽蓝博旺机械集团合诚机械有 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70,923,420.00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70,923,420.00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1"/>
              <w:jc w:val="center"/>
              <w:rPr>
                <w:rFonts w:ascii="宋体" w:hAnsi="宋体" w:cs="宋体" w:eastAsia="宋体" w:hint="default"/>
                <w:sz w:val="18"/>
                <w:szCs w:val="18"/>
              </w:rPr>
            </w:pPr>
            <w:r>
              <w:rPr>
                <w:rFonts w:ascii="宋体" w:hAnsi="宋体" w:cs="宋体" w:eastAsia="宋体" w:hint="default"/>
                <w:sz w:val="18"/>
                <w:szCs w:val="18"/>
              </w:rPr>
              <w:t>债务人发生财务困难，预计无法收回</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保定天威集团有限公司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59,702,000.00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1"/>
              <w:jc w:val="center"/>
              <w:rPr>
                <w:rFonts w:ascii="宋体" w:hAnsi="宋体" w:cs="宋体" w:eastAsia="宋体" w:hint="default"/>
                <w:sz w:val="18"/>
                <w:szCs w:val="18"/>
              </w:rPr>
            </w:pPr>
            <w:r>
              <w:rPr>
                <w:rFonts w:ascii="宋体" w:hAnsi="宋体" w:cs="宋体" w:eastAsia="宋体" w:hint="default"/>
                <w:sz w:val="18"/>
                <w:szCs w:val="18"/>
              </w:rPr>
              <w:t>债务人发生财务困难，预计无法收回</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130,625,420.00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130,625,420.00</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300" w:bottom="1160" w:left="980" w:right="98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0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7,107,562.35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355,378.12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2,039,386.38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611,815.92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995,766.58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497,173.69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5,887,050.11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5,887,050.11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16,029,765.42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7,351,417.84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527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spacing w:line="300" w:lineRule="auto" w:before="0"/>
        <w:ind w:left="152" w:right="14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3,081,266.93 </w:t>
      </w:r>
      <w:r>
        <w:rPr>
          <w:rFonts w:ascii="宋体" w:hAnsi="宋体" w:cs="宋体" w:eastAsia="宋体" w:hint="default"/>
          <w:sz w:val="18"/>
          <w:szCs w:val="18"/>
        </w:rPr>
        <w:t>元，非同一控制下合并，增加其他应收账款坏账准备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131,923,810.84 </w:t>
      </w:r>
      <w:r>
        <w:rPr>
          <w:rFonts w:ascii="宋体" w:hAnsi="宋体" w:cs="宋体" w:eastAsia="宋体" w:hint="default"/>
          <w:sz w:val="18"/>
          <w:szCs w:val="18"/>
        </w:rPr>
        <w:t>元；本期无收回或 转回坏账准备情况。</w:t>
      </w:r>
    </w:p>
    <w:p>
      <w:pPr>
        <w:spacing w:line="240" w:lineRule="auto" w:before="7"/>
        <w:rPr>
          <w:rFonts w:ascii="宋体" w:hAnsi="宋体" w:cs="宋体" w:eastAsia="宋体" w:hint="default"/>
          <w:sz w:val="23"/>
          <w:szCs w:val="23"/>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300" w:bottom="1160" w:left="980" w:right="98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6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应收基金销售业务赎回款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672,494,008.49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1,350,240,642.69</w:t>
            </w:r>
          </w:p>
        </w:tc>
      </w:tr>
      <w:tr>
        <w:trPr>
          <w:trHeight w:val="4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代垫基金销售业务赎回款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736,063,065.47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202,757,545.47</w:t>
            </w:r>
          </w:p>
        </w:tc>
      </w:tr>
      <w:tr>
        <w:trPr>
          <w:trHeight w:val="46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应收基金销售业务分红款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1,222,190.79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995,227.94</w:t>
            </w:r>
          </w:p>
        </w:tc>
      </w:tr>
      <w:tr>
        <w:trPr>
          <w:trHeight w:val="46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应收经纪业务清算款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32,992,287.97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应收逾期投资款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130,625,420.00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11,382,055.36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4,869,618.34</w:t>
            </w:r>
          </w:p>
        </w:tc>
      </w:tr>
      <w:tr>
        <w:trPr>
          <w:trHeight w:val="46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应收第三方支付平台款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1,340,544.39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1,867,158.30</w:t>
            </w:r>
          </w:p>
        </w:tc>
      </w:tr>
      <w:tr>
        <w:trPr>
          <w:trHeight w:val="4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5,140,177.67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1,063,600.52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1,591,259,750.14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1,561,793,793.26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419"/>
        <w:gridCol w:w="1380"/>
        <w:gridCol w:w="1594"/>
        <w:gridCol w:w="1594"/>
        <w:gridCol w:w="1596"/>
      </w:tblGrid>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安徽蓝博旺机械集团合 诚机械有限公司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逾期投资款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70,923,420.00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70,923,420.00</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保定天威集团有限公司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逾期投资款</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59,702,000.00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东湖宾馆</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1,681,000.00</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上海巨航投资管理有限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1,607,360.00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1,508,674.00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中国银联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134,913,780.00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133,865,094.00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10</w:t>
      </w:r>
      <w:r>
        <w:rPr/>
        <w:t>、 存出保证金</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784" w:right="0"/>
        <w:jc w:val="left"/>
        <w:rPr>
          <w:b w:val="0"/>
          <w:bCs w:val="0"/>
        </w:rPr>
      </w:pPr>
      <w:r>
        <w:rPr/>
        <w:t>（</w:t>
      </w:r>
      <w:r>
        <w:rPr>
          <w:rFonts w:ascii="Times New Roman" w:hAnsi="Times New Roman" w:cs="Times New Roman" w:eastAsia="Times New Roman" w:hint="default"/>
        </w:rPr>
        <w:t>1</w:t>
      </w:r>
      <w:r>
        <w:rPr/>
        <w:t>）项目列示</w:t>
      </w:r>
      <w:r>
        <w:rPr>
          <w:b w:val="0"/>
          <w:bCs w:val="0"/>
        </w:rPr>
      </w:r>
    </w:p>
    <w:p>
      <w:pPr>
        <w:spacing w:line="240" w:lineRule="auto" w:before="5"/>
        <w:rPr>
          <w:rFonts w:ascii="宋体" w:hAnsi="宋体" w:cs="宋体" w:eastAsia="宋体" w:hint="default"/>
          <w:b/>
          <w:bCs/>
          <w:sz w:val="3"/>
          <w:szCs w:val="3"/>
        </w:rPr>
      </w:pPr>
    </w:p>
    <w:tbl>
      <w:tblPr>
        <w:tblW w:w="0" w:type="auto"/>
        <w:jc w:val="left"/>
        <w:tblInd w:w="758" w:type="dxa"/>
        <w:tblLayout w:type="fixed"/>
        <w:tblCellMar>
          <w:top w:w="0" w:type="dxa"/>
          <w:left w:w="0" w:type="dxa"/>
          <w:bottom w:w="0" w:type="dxa"/>
          <w:right w:w="0" w:type="dxa"/>
        </w:tblCellMar>
        <w:tblLook w:val="01E0"/>
      </w:tblPr>
      <w:tblGrid>
        <w:gridCol w:w="2655"/>
        <w:gridCol w:w="2266"/>
        <w:gridCol w:w="2691"/>
      </w:tblGrid>
      <w:tr>
        <w:trPr>
          <w:trHeight w:val="323" w:hRule="exact"/>
        </w:trPr>
        <w:tc>
          <w:tcPr>
            <w:tcW w:w="26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265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交易保证金</w:t>
            </w:r>
          </w:p>
        </w:tc>
        <w:tc>
          <w:tcPr>
            <w:tcW w:w="22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52,538,299.49</w:t>
            </w:r>
          </w:p>
        </w:tc>
        <w:tc>
          <w:tcPr>
            <w:tcW w:w="2691" w:type="dxa"/>
            <w:tcBorders>
              <w:top w:val="single" w:sz="8" w:space="0" w:color="000000"/>
              <w:left w:val="single" w:sz="4" w:space="0" w:color="000000"/>
              <w:bottom w:val="single" w:sz="4" w:space="0" w:color="000000"/>
              <w:right w:val="single" w:sz="4" w:space="0" w:color="000000"/>
            </w:tcBorders>
          </w:tcPr>
          <w:p>
            <w:pPr/>
          </w:p>
        </w:tc>
      </w:tr>
      <w:tr>
        <w:trPr>
          <w:trHeight w:val="34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信用保证金</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10,526,344.35</w:t>
            </w: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期货保证金</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440,779,525.70</w:t>
            </w: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503,844,169.54</w:t>
            </w:r>
          </w:p>
        </w:tc>
        <w:tc>
          <w:tcPr>
            <w:tcW w:w="2691"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78" w:lineRule="exact"/>
        <w:ind w:left="681" w:right="0"/>
        <w:jc w:val="left"/>
        <w:rPr>
          <w:b w:val="0"/>
          <w:bCs w:val="0"/>
        </w:rPr>
      </w:pPr>
      <w:r>
        <w:rPr/>
        <w:t>（</w:t>
      </w:r>
      <w:r>
        <w:rPr>
          <w:rFonts w:ascii="Times New Roman" w:hAnsi="Times New Roman" w:cs="Times New Roman" w:eastAsia="Times New Roman" w:hint="default"/>
        </w:rPr>
        <w:t>2</w:t>
      </w:r>
      <w:r>
        <w:rPr/>
        <w:t>）按币种列示</w:t>
      </w:r>
      <w:r>
        <w:rPr>
          <w:b w:val="0"/>
          <w:bCs w:val="0"/>
        </w:rPr>
      </w:r>
    </w:p>
    <w:p>
      <w:pPr>
        <w:spacing w:line="240" w:lineRule="auto" w:before="8"/>
        <w:rPr>
          <w:rFonts w:ascii="宋体" w:hAnsi="宋体" w:cs="宋体" w:eastAsia="宋体" w:hint="default"/>
          <w:b/>
          <w:bCs/>
          <w:sz w:val="2"/>
          <w:szCs w:val="2"/>
        </w:rPr>
      </w:pPr>
    </w:p>
    <w:tbl>
      <w:tblPr>
        <w:tblW w:w="0" w:type="auto"/>
        <w:jc w:val="left"/>
        <w:tblInd w:w="714" w:type="dxa"/>
        <w:tblLayout w:type="fixed"/>
        <w:tblCellMar>
          <w:top w:w="0" w:type="dxa"/>
          <w:left w:w="0" w:type="dxa"/>
          <w:bottom w:w="0" w:type="dxa"/>
          <w:right w:w="0" w:type="dxa"/>
        </w:tblCellMar>
        <w:tblLook w:val="01E0"/>
      </w:tblPr>
      <w:tblGrid>
        <w:gridCol w:w="1243"/>
        <w:gridCol w:w="1025"/>
        <w:gridCol w:w="852"/>
        <w:gridCol w:w="1563"/>
        <w:gridCol w:w="991"/>
        <w:gridCol w:w="852"/>
        <w:gridCol w:w="1381"/>
      </w:tblGrid>
      <w:tr>
        <w:trPr>
          <w:trHeight w:val="343" w:hRule="exact"/>
        </w:trPr>
        <w:tc>
          <w:tcPr>
            <w:tcW w:w="124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1243" w:type="dxa"/>
            <w:vMerge/>
            <w:tcBorders>
              <w:left w:val="single" w:sz="4" w:space="0" w:color="000000"/>
              <w:bottom w:val="single" w:sz="4" w:space="0" w:color="000000"/>
              <w:right w:val="single" w:sz="4" w:space="0" w:color="000000"/>
            </w:tcBorders>
            <w:shd w:val="clear" w:color="auto" w:fill="D9D9D9"/>
          </w:tcPr>
          <w:p>
            <w:pP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5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37"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5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3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4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4"/>
              <w:jc w:val="right"/>
              <w:rPr>
                <w:rFonts w:ascii="宋体" w:hAnsi="宋体" w:cs="宋体" w:eastAsia="宋体" w:hint="default"/>
                <w:sz w:val="18"/>
                <w:szCs w:val="18"/>
              </w:rPr>
            </w:pPr>
            <w:r>
              <w:rPr>
                <w:rFonts w:ascii="宋体" w:hAnsi="宋体" w:cs="宋体" w:eastAsia="宋体" w:hint="default"/>
                <w:spacing w:val="-1"/>
                <w:sz w:val="18"/>
                <w:szCs w:val="18"/>
              </w:rPr>
              <w:t>交易保证金</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50,820,689.49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b/>
          <w:bCs/>
          <w:sz w:val="9"/>
          <w:szCs w:val="9"/>
        </w:rPr>
      </w:pPr>
    </w:p>
    <w:tbl>
      <w:tblPr>
        <w:tblW w:w="0" w:type="auto"/>
        <w:jc w:val="left"/>
        <w:tblInd w:w="714" w:type="dxa"/>
        <w:tblLayout w:type="fixed"/>
        <w:tblCellMar>
          <w:top w:w="0" w:type="dxa"/>
          <w:left w:w="0" w:type="dxa"/>
          <w:bottom w:w="0" w:type="dxa"/>
          <w:right w:w="0" w:type="dxa"/>
        </w:tblCellMar>
        <w:tblLook w:val="01E0"/>
      </w:tblPr>
      <w:tblGrid>
        <w:gridCol w:w="1243"/>
        <w:gridCol w:w="1025"/>
        <w:gridCol w:w="852"/>
        <w:gridCol w:w="1563"/>
        <w:gridCol w:w="991"/>
        <w:gridCol w:w="852"/>
        <w:gridCol w:w="1381"/>
      </w:tblGrid>
      <w:tr>
        <w:trPr>
          <w:trHeight w:val="34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6.4936</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1,298,720.00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0.83778</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418,890.00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52,538,299.49</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4"/>
              <w:jc w:val="right"/>
              <w:rPr>
                <w:rFonts w:ascii="宋体" w:hAnsi="宋体" w:cs="宋体" w:eastAsia="宋体" w:hint="default"/>
                <w:sz w:val="18"/>
                <w:szCs w:val="18"/>
              </w:rPr>
            </w:pPr>
            <w:r>
              <w:rPr>
                <w:rFonts w:ascii="宋体" w:hAnsi="宋体" w:cs="宋体" w:eastAsia="宋体" w:hint="default"/>
                <w:sz w:val="18"/>
                <w:szCs w:val="18"/>
              </w:rPr>
              <w:t>信用保证金</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10,526,344.35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10,526,344.35</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4"/>
              <w:jc w:val="right"/>
              <w:rPr>
                <w:rFonts w:ascii="宋体" w:hAnsi="宋体" w:cs="宋体" w:eastAsia="宋体" w:hint="default"/>
                <w:sz w:val="18"/>
                <w:szCs w:val="18"/>
              </w:rPr>
            </w:pPr>
            <w:r>
              <w:rPr>
                <w:rFonts w:ascii="宋体" w:hAnsi="宋体" w:cs="宋体" w:eastAsia="宋体" w:hint="default"/>
                <w:sz w:val="18"/>
                <w:szCs w:val="18"/>
              </w:rPr>
              <w:t>期货保证金</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人民币</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440,779,525.70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440,779,525.70</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503,844,169.54</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103"/>
        <w:jc w:val="left"/>
        <w:rPr>
          <w:b w:val="0"/>
          <w:bCs w:val="0"/>
        </w:rPr>
      </w:pPr>
      <w:r>
        <w:rPr>
          <w:rFonts w:ascii="Times New Roman" w:hAnsi="Times New Roman" w:cs="Times New Roman" w:eastAsia="Times New Roman" w:hint="default"/>
        </w:rPr>
        <w:t>11</w:t>
      </w:r>
      <w:r>
        <w:rPr/>
        <w:t>、</w:t>
      </w:r>
      <w:r>
        <w:rPr>
          <w:spacing w:val="1"/>
        </w:rPr>
        <w:t> </w:t>
      </w:r>
      <w:r>
        <w:rPr/>
        <w:t>买入返售金融资产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408" w:right="103"/>
        <w:jc w:val="left"/>
        <w:rPr>
          <w:b w:val="0"/>
          <w:bCs w:val="0"/>
        </w:rPr>
      </w:pPr>
      <w:r>
        <w:rPr/>
        <w:t>（</w:t>
      </w:r>
      <w:r>
        <w:rPr>
          <w:rFonts w:ascii="Times New Roman" w:hAnsi="Times New Roman" w:cs="Times New Roman" w:eastAsia="Times New Roman" w:hint="default"/>
        </w:rPr>
        <w:t>1</w:t>
      </w:r>
      <w:r>
        <w:rPr/>
        <w:t>）按金融资产种类</w:t>
      </w:r>
      <w:r>
        <w:rPr>
          <w:b w:val="0"/>
          <w:bCs w:val="0"/>
        </w:rPr>
      </w:r>
    </w:p>
    <w:p>
      <w:pPr>
        <w:spacing w:line="240" w:lineRule="auto" w:before="8"/>
        <w:rPr>
          <w:rFonts w:ascii="宋体" w:hAnsi="宋体" w:cs="宋体" w:eastAsia="宋体" w:hint="default"/>
          <w:b/>
          <w:bCs/>
          <w:sz w:val="2"/>
          <w:szCs w:val="2"/>
        </w:rPr>
      </w:pPr>
    </w:p>
    <w:tbl>
      <w:tblPr>
        <w:tblW w:w="0" w:type="auto"/>
        <w:jc w:val="left"/>
        <w:tblInd w:w="758" w:type="dxa"/>
        <w:tblLayout w:type="fixed"/>
        <w:tblCellMar>
          <w:top w:w="0" w:type="dxa"/>
          <w:left w:w="0" w:type="dxa"/>
          <w:bottom w:w="0" w:type="dxa"/>
          <w:right w:w="0" w:type="dxa"/>
        </w:tblCellMar>
        <w:tblLook w:val="01E0"/>
      </w:tblPr>
      <w:tblGrid>
        <w:gridCol w:w="3313"/>
        <w:gridCol w:w="2271"/>
        <w:gridCol w:w="2228"/>
      </w:tblGrid>
      <w:tr>
        <w:trPr>
          <w:trHeight w:val="341" w:hRule="exact"/>
        </w:trPr>
        <w:tc>
          <w:tcPr>
            <w:tcW w:w="3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标的物类别</w:t>
            </w:r>
          </w:p>
        </w:tc>
        <w:tc>
          <w:tcPr>
            <w:tcW w:w="22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31,332,850.00</w:t>
            </w: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130,098.55</w:t>
            </w:r>
          </w:p>
        </w:tc>
        <w:tc>
          <w:tcPr>
            <w:tcW w:w="222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31,202,751.45</w:t>
            </w:r>
          </w:p>
        </w:tc>
        <w:tc>
          <w:tcPr>
            <w:tcW w:w="22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5"/>
        <w:spacing w:line="240" w:lineRule="auto" w:before="36"/>
        <w:ind w:left="1408" w:right="103"/>
        <w:jc w:val="left"/>
        <w:rPr>
          <w:b w:val="0"/>
          <w:bCs w:val="0"/>
        </w:rPr>
      </w:pPr>
      <w:r>
        <w:rPr/>
        <w:t>（</w:t>
      </w:r>
      <w:r>
        <w:rPr>
          <w:rFonts w:ascii="Times New Roman" w:hAnsi="Times New Roman" w:cs="Times New Roman" w:eastAsia="Times New Roman" w:hint="default"/>
        </w:rPr>
        <w:t>2</w:t>
      </w:r>
      <w:r>
        <w:rPr/>
        <w:t>）按业务类别列示</w:t>
      </w:r>
      <w:r>
        <w:rPr>
          <w:b w:val="0"/>
          <w:bCs w:val="0"/>
        </w:rPr>
      </w:r>
    </w:p>
    <w:p>
      <w:pPr>
        <w:spacing w:line="240" w:lineRule="auto" w:before="8"/>
        <w:rPr>
          <w:rFonts w:ascii="宋体" w:hAnsi="宋体" w:cs="宋体" w:eastAsia="宋体" w:hint="default"/>
          <w:b/>
          <w:bCs/>
          <w:sz w:val="2"/>
          <w:szCs w:val="2"/>
        </w:rPr>
      </w:pPr>
    </w:p>
    <w:tbl>
      <w:tblPr>
        <w:tblW w:w="0" w:type="auto"/>
        <w:jc w:val="left"/>
        <w:tblInd w:w="690" w:type="dxa"/>
        <w:tblLayout w:type="fixed"/>
        <w:tblCellMar>
          <w:top w:w="0" w:type="dxa"/>
          <w:left w:w="0" w:type="dxa"/>
          <w:bottom w:w="0" w:type="dxa"/>
          <w:right w:w="0" w:type="dxa"/>
        </w:tblCellMar>
        <w:tblLook w:val="01E0"/>
      </w:tblPr>
      <w:tblGrid>
        <w:gridCol w:w="3293"/>
        <w:gridCol w:w="2357"/>
        <w:gridCol w:w="2223"/>
      </w:tblGrid>
      <w:tr>
        <w:trPr>
          <w:trHeight w:val="341" w:hRule="exact"/>
        </w:trPr>
        <w:tc>
          <w:tcPr>
            <w:tcW w:w="32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6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2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8"/>
              <w:ind w:left="56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约定购回式证券</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13,282,850.00</w:t>
            </w: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股票质押式回购</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18,050,000.00</w:t>
            </w:r>
          </w:p>
        </w:tc>
        <w:tc>
          <w:tcPr>
            <w:tcW w:w="222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55"/>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31,332,850.00</w:t>
            </w:r>
          </w:p>
        </w:tc>
        <w:tc>
          <w:tcPr>
            <w:tcW w:w="22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5"/>
        <w:spacing w:line="240" w:lineRule="auto" w:before="36"/>
        <w:ind w:left="1408" w:right="103"/>
        <w:jc w:val="left"/>
        <w:rPr>
          <w:b w:val="0"/>
          <w:bCs w:val="0"/>
        </w:rPr>
      </w:pPr>
      <w:r>
        <w:rPr/>
        <w:t>（</w:t>
      </w:r>
      <w:r>
        <w:rPr>
          <w:rFonts w:ascii="Times New Roman" w:hAnsi="Times New Roman" w:cs="Times New Roman" w:eastAsia="Times New Roman" w:hint="default"/>
        </w:rPr>
        <w:t>3</w:t>
      </w:r>
      <w:r>
        <w:rPr/>
        <w:t>）约定购回式证券、质押回购等按剩余期限列示</w:t>
      </w:r>
      <w:r>
        <w:rPr>
          <w:b w:val="0"/>
          <w:bCs w:val="0"/>
        </w:rPr>
      </w:r>
    </w:p>
    <w:p>
      <w:pPr>
        <w:pStyle w:val="BodyText"/>
        <w:spacing w:line="240" w:lineRule="auto" w:before="21"/>
        <w:ind w:left="1427" w:right="103"/>
        <w:jc w:val="left"/>
      </w:pPr>
      <w:r>
        <w:rPr>
          <w:rFonts w:ascii="Times New Roman" w:hAnsi="Times New Roman" w:cs="Times New Roman" w:eastAsia="Times New Roman" w:hint="default"/>
        </w:rPr>
        <w:t>1</w:t>
      </w:r>
      <w:r>
        <w:rPr/>
        <w:t>）约定购回式证券的剩余期限</w:t>
      </w:r>
    </w:p>
    <w:p>
      <w:pPr>
        <w:spacing w:line="240" w:lineRule="auto" w:before="8"/>
        <w:rPr>
          <w:rFonts w:ascii="宋体" w:hAnsi="宋体" w:cs="宋体" w:eastAsia="宋体" w:hint="default"/>
          <w:sz w:val="2"/>
          <w:szCs w:val="2"/>
        </w:rPr>
      </w:pPr>
    </w:p>
    <w:tbl>
      <w:tblPr>
        <w:tblW w:w="0" w:type="auto"/>
        <w:jc w:val="left"/>
        <w:tblInd w:w="659" w:type="dxa"/>
        <w:tblLayout w:type="fixed"/>
        <w:tblCellMar>
          <w:top w:w="0" w:type="dxa"/>
          <w:left w:w="0" w:type="dxa"/>
          <w:bottom w:w="0" w:type="dxa"/>
          <w:right w:w="0" w:type="dxa"/>
        </w:tblCellMar>
        <w:tblLook w:val="01E0"/>
      </w:tblPr>
      <w:tblGrid>
        <w:gridCol w:w="3322"/>
        <w:gridCol w:w="2223"/>
        <w:gridCol w:w="2353"/>
      </w:tblGrid>
      <w:tr>
        <w:trPr>
          <w:trHeight w:val="343" w:hRule="exact"/>
        </w:trPr>
        <w:tc>
          <w:tcPr>
            <w:tcW w:w="3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剩余期限</w:t>
            </w:r>
          </w:p>
        </w:tc>
        <w:tc>
          <w:tcPr>
            <w:tcW w:w="22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6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3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332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168,260.00</w:t>
            </w: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13,109,960.00</w:t>
            </w: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三个月至一年内</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4,630.00</w:t>
            </w:r>
          </w:p>
        </w:tc>
        <w:tc>
          <w:tcPr>
            <w:tcW w:w="235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13,282,850.00</w:t>
            </w:r>
          </w:p>
        </w:tc>
        <w:tc>
          <w:tcPr>
            <w:tcW w:w="23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1427" w:right="103"/>
        <w:jc w:val="left"/>
      </w:pPr>
      <w:r>
        <w:rPr>
          <w:rFonts w:ascii="Times New Roman" w:hAnsi="Times New Roman" w:cs="Times New Roman" w:eastAsia="Times New Roman" w:hint="default"/>
        </w:rPr>
        <w:t>2</w:t>
      </w:r>
      <w:r>
        <w:rPr/>
        <w:t>）质押回购融出资金剩余期限</w:t>
      </w:r>
    </w:p>
    <w:p>
      <w:pPr>
        <w:spacing w:line="240" w:lineRule="auto" w:before="8"/>
        <w:rPr>
          <w:rFonts w:ascii="宋体" w:hAnsi="宋体" w:cs="宋体" w:eastAsia="宋体" w:hint="default"/>
          <w:sz w:val="2"/>
          <w:szCs w:val="2"/>
        </w:rPr>
      </w:pPr>
    </w:p>
    <w:tbl>
      <w:tblPr>
        <w:tblW w:w="0" w:type="auto"/>
        <w:jc w:val="left"/>
        <w:tblInd w:w="714" w:type="dxa"/>
        <w:tblLayout w:type="fixed"/>
        <w:tblCellMar>
          <w:top w:w="0" w:type="dxa"/>
          <w:left w:w="0" w:type="dxa"/>
          <w:bottom w:w="0" w:type="dxa"/>
          <w:right w:w="0" w:type="dxa"/>
        </w:tblCellMar>
        <w:tblLook w:val="01E0"/>
      </w:tblPr>
      <w:tblGrid>
        <w:gridCol w:w="3272"/>
        <w:gridCol w:w="2091"/>
        <w:gridCol w:w="2485"/>
      </w:tblGrid>
      <w:tr>
        <w:trPr>
          <w:trHeight w:val="331" w:hRule="exact"/>
        </w:trPr>
        <w:tc>
          <w:tcPr>
            <w:tcW w:w="3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剩余期限</w:t>
            </w:r>
          </w:p>
        </w:tc>
        <w:tc>
          <w:tcPr>
            <w:tcW w:w="2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9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9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53" w:hRule="exact"/>
        </w:trPr>
        <w:tc>
          <w:tcPr>
            <w:tcW w:w="32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7" w:right="0"/>
              <w:jc w:val="left"/>
              <w:rPr>
                <w:rFonts w:ascii="宋体" w:hAnsi="宋体" w:cs="宋体" w:eastAsia="宋体" w:hint="default"/>
                <w:sz w:val="18"/>
                <w:szCs w:val="18"/>
              </w:rPr>
            </w:pPr>
            <w:r>
              <w:rPr>
                <w:rFonts w:ascii="宋体" w:hAnsi="宋体" w:cs="宋体" w:eastAsia="宋体" w:hint="default"/>
                <w:sz w:val="18"/>
                <w:szCs w:val="18"/>
              </w:rPr>
              <w:t>一个月以内</w:t>
            </w:r>
          </w:p>
        </w:tc>
        <w:tc>
          <w:tcPr>
            <w:tcW w:w="2091" w:type="dxa"/>
            <w:tcBorders>
              <w:top w:val="single" w:sz="8" w:space="0" w:color="000000"/>
              <w:left w:val="single" w:sz="4" w:space="0" w:color="000000"/>
              <w:bottom w:val="single" w:sz="4" w:space="0" w:color="000000"/>
              <w:right w:val="single" w:sz="4" w:space="0" w:color="000000"/>
            </w:tcBorders>
          </w:tcPr>
          <w:p>
            <w:pPr/>
          </w:p>
        </w:tc>
        <w:tc>
          <w:tcPr>
            <w:tcW w:w="2485" w:type="dxa"/>
            <w:tcBorders>
              <w:top w:val="single" w:sz="8" w:space="0" w:color="000000"/>
              <w:left w:val="single" w:sz="4" w:space="0" w:color="000000"/>
              <w:bottom w:val="single" w:sz="4" w:space="0" w:color="000000"/>
              <w:right w:val="single" w:sz="4" w:space="0" w:color="000000"/>
            </w:tcBorders>
          </w:tcPr>
          <w:p>
            <w:pP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一个月至三个月内</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13,050,000.00</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三个月至一年内</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5,000,000.00</w:t>
            </w:r>
          </w:p>
        </w:tc>
        <w:tc>
          <w:tcPr>
            <w:tcW w:w="248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18,050,000.00</w:t>
            </w:r>
          </w:p>
        </w:tc>
        <w:tc>
          <w:tcPr>
            <w:tcW w:w="2485" w:type="dxa"/>
            <w:tcBorders>
              <w:top w:val="single" w:sz="4" w:space="0" w:color="000000"/>
              <w:left w:val="single" w:sz="4" w:space="0" w:color="000000"/>
              <w:bottom w:val="single" w:sz="4" w:space="0" w:color="000000"/>
              <w:right w:val="single" w:sz="4" w:space="0" w:color="000000"/>
            </w:tcBorders>
          </w:tcPr>
          <w:p>
            <w:pPr/>
          </w:p>
        </w:tc>
      </w:tr>
    </w:tbl>
    <w:p>
      <w:pPr>
        <w:spacing w:line="256" w:lineRule="auto" w:before="0"/>
        <w:ind w:left="1427" w:right="103" w:hanging="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）买入返售金融资产的担保物情况</w:t>
      </w:r>
      <w:r>
        <w:rPr>
          <w:rFonts w:ascii="宋体" w:hAnsi="宋体" w:cs="宋体" w:eastAsia="宋体" w:hint="default"/>
          <w:b/>
          <w:bCs/>
          <w:w w:val="100"/>
          <w:sz w:val="21"/>
          <w:szCs w:val="21"/>
        </w:rPr>
        <w:t> </w:t>
      </w:r>
      <w:r>
        <w:rPr>
          <w:rFonts w:ascii="宋体" w:hAnsi="宋体" w:cs="宋体" w:eastAsia="宋体" w:hint="default"/>
          <w:spacing w:val="-3"/>
          <w:w w:val="100"/>
          <w:sz w:val="21"/>
          <w:szCs w:val="21"/>
        </w:rPr>
        <w:t>截至</w:t>
      </w:r>
      <w:r>
        <w:rPr>
          <w:rFonts w:ascii="Times New Roman" w:hAnsi="Times New Roman" w:cs="Times New Roman" w:eastAsia="Times New Roman" w:hint="default"/>
          <w:spacing w:val="-3"/>
          <w:w w:val="100"/>
          <w:sz w:val="21"/>
          <w:szCs w:val="21"/>
        </w:rPr>
        <w:t>2015</w:t>
      </w:r>
      <w:r>
        <w:rPr>
          <w:rFonts w:ascii="宋体" w:hAnsi="宋体" w:cs="宋体" w:eastAsia="宋体" w:hint="default"/>
          <w:spacing w:val="-3"/>
          <w:w w:val="100"/>
          <w:sz w:val="21"/>
          <w:szCs w:val="21"/>
        </w:rPr>
        <w:t>年</w:t>
      </w:r>
      <w:r>
        <w:rPr>
          <w:rFonts w:ascii="Times New Roman" w:hAnsi="Times New Roman" w:cs="Times New Roman" w:eastAsia="Times New Roman" w:hint="default"/>
          <w:spacing w:val="-3"/>
          <w:w w:val="100"/>
          <w:sz w:val="21"/>
          <w:szCs w:val="21"/>
        </w:rPr>
        <w:t>12</w:t>
      </w:r>
      <w:r>
        <w:rPr>
          <w:rFonts w:ascii="宋体" w:hAnsi="宋体" w:cs="宋体" w:eastAsia="宋体" w:hint="default"/>
          <w:spacing w:val="-3"/>
          <w:w w:val="100"/>
          <w:sz w:val="21"/>
          <w:szCs w:val="21"/>
        </w:rPr>
        <w:t>月</w:t>
      </w:r>
      <w:r>
        <w:rPr>
          <w:rFonts w:ascii="Times New Roman" w:hAnsi="Times New Roman" w:cs="Times New Roman" w:eastAsia="Times New Roman" w:hint="default"/>
          <w:spacing w:val="-3"/>
          <w:w w:val="100"/>
          <w:sz w:val="21"/>
          <w:szCs w:val="21"/>
        </w:rPr>
        <w:t>31</w:t>
      </w:r>
      <w:r>
        <w:rPr>
          <w:rFonts w:ascii="宋体" w:hAnsi="宋体" w:cs="宋体" w:eastAsia="宋体" w:hint="default"/>
          <w:spacing w:val="-3"/>
          <w:w w:val="100"/>
          <w:sz w:val="21"/>
          <w:szCs w:val="21"/>
        </w:rPr>
        <w:t>日，公司开展约定购回业务融出资金收取的担保物价值为</w:t>
      </w:r>
      <w:r>
        <w:rPr>
          <w:rFonts w:ascii="Times New Roman" w:hAnsi="Times New Roman" w:cs="Times New Roman" w:eastAsia="Times New Roman" w:hint="default"/>
          <w:spacing w:val="-3"/>
          <w:w w:val="100"/>
          <w:sz w:val="21"/>
          <w:szCs w:val="21"/>
        </w:rPr>
        <w:t>30,822,870.00</w:t>
      </w:r>
      <w:r>
        <w:rPr>
          <w:rFonts w:ascii="宋体" w:hAnsi="宋体" w:cs="宋体" w:eastAsia="宋体" w:hint="default"/>
          <w:spacing w:val="-3"/>
          <w:w w:val="100"/>
          <w:sz w:val="21"/>
          <w:szCs w:val="21"/>
        </w:rPr>
        <w:t>元，</w:t>
      </w:r>
    </w:p>
    <w:p>
      <w:pPr>
        <w:spacing w:after="0" w:line="256" w:lineRule="auto"/>
        <w:jc w:val="left"/>
        <w:rPr>
          <w:rFonts w:ascii="宋体" w:hAnsi="宋体" w:cs="宋体" w:eastAsia="宋体" w:hint="default"/>
          <w:sz w:val="21"/>
          <w:szCs w:val="21"/>
        </w:rPr>
        <w:sectPr>
          <w:pgSz w:w="11910" w:h="16840"/>
          <w:pgMar w:header="852" w:footer="979" w:top="1300" w:bottom="1160" w:left="980" w:right="920"/>
        </w:sectPr>
      </w:pPr>
    </w:p>
    <w:p>
      <w:pPr>
        <w:pStyle w:val="BodyText"/>
        <w:spacing w:line="240" w:lineRule="auto" w:before="108"/>
        <w:ind w:left="1427" w:right="0"/>
        <w:jc w:val="left"/>
      </w:pPr>
      <w:r>
        <w:rPr/>
        <w:t>开展股票式质押回购业务融出资金收取的担保物价值</w:t>
      </w:r>
      <w:r>
        <w:rPr>
          <w:rFonts w:ascii="Times New Roman" w:hAnsi="Times New Roman" w:cs="Times New Roman" w:eastAsia="Times New Roman" w:hint="default"/>
        </w:rPr>
        <w:t>108,990,000.00</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12</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购买银行结构性存款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购买银行理财计划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购买货币基金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29,983,975.14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期末应交税费负数重分类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39,801,218.96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295,702.13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一年以内的可供出售金融资产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283,785,194.10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220,295,702.13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13</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资产管理计划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16,416,135.18</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16,416,135.18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98,416,135.18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97,916,135.18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券商资产管理计划</w:t>
            </w:r>
          </w:p>
        </w:tc>
        <w:tc>
          <w:tcPr>
            <w:tcW w:w="19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16,416,135.18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16,416,135.18</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-583,864.82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-583,864.82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after="0" w:line="240" w:lineRule="auto"/>
        <w:jc w:val="left"/>
        <w:sectPr>
          <w:footerReference w:type="default" r:id="rId26"/>
          <w:pgSz w:w="11910" w:h="16840"/>
          <w:pgMar w:footer="979" w:header="852" w:top="1300" w:bottom="1160" w:left="980" w:right="980"/>
          <w:pgNumType w:start="110"/>
        </w:sectPr>
      </w:pPr>
    </w:p>
    <w:p>
      <w:pPr>
        <w:spacing w:before="12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1136"/>
        <w:gridCol w:w="566"/>
        <w:gridCol w:w="1133"/>
        <w:gridCol w:w="955"/>
        <w:gridCol w:w="566"/>
        <w:gridCol w:w="432"/>
        <w:gridCol w:w="872"/>
        <w:gridCol w:w="869"/>
        <w:gridCol w:w="703"/>
      </w:tblGrid>
      <w:tr>
        <w:trPr>
          <w:trHeight w:val="401"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60"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71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中证信用增进 股份有限公司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证通股份有限 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浙江金信理财 服务中心有限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南京同辉股权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上海盛桐信息 技术有限公司</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9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500,000.00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826"/>
        <w:gridCol w:w="753"/>
        <w:gridCol w:w="81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6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9" w:right="3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上海漫道</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16,256,76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266,256,7</w:t>
            </w:r>
          </w:p>
          <w:p>
            <w:pPr>
              <w:pStyle w:val="TableParagraph"/>
              <w:spacing w:line="240" w:lineRule="auto" w:before="102"/>
              <w:ind w:left="378" w:right="0"/>
              <w:jc w:val="left"/>
              <w:rPr>
                <w:rFonts w:ascii="Times New Roman" w:hAnsi="Times New Roman" w:cs="Times New Roman" w:eastAsia="Times New Roman" w:hint="default"/>
                <w:sz w:val="18"/>
                <w:szCs w:val="18"/>
              </w:rPr>
            </w:pPr>
            <w:r>
              <w:rPr>
                <w:rFonts w:ascii="Times New Roman"/>
                <w:sz w:val="18"/>
              </w:rPr>
              <w:t>61.83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16,256,76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266,256,7</w:t>
            </w:r>
          </w:p>
          <w:p>
            <w:pPr>
              <w:pStyle w:val="TableParagraph"/>
              <w:spacing w:line="240" w:lineRule="auto" w:before="105"/>
              <w:ind w:left="378" w:right="0"/>
              <w:jc w:val="left"/>
              <w:rPr>
                <w:rFonts w:ascii="Times New Roman" w:hAnsi="Times New Roman" w:cs="Times New Roman" w:eastAsia="Times New Roman" w:hint="default"/>
                <w:sz w:val="18"/>
                <w:szCs w:val="18"/>
              </w:rPr>
            </w:pPr>
            <w:r>
              <w:rPr>
                <w:rFonts w:ascii="Times New Roman"/>
                <w:sz w:val="18"/>
              </w:rPr>
              <w:t>61.83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16,256,76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53"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266,256,7</w:t>
            </w:r>
          </w:p>
          <w:p>
            <w:pPr>
              <w:pStyle w:val="TableParagraph"/>
              <w:spacing w:line="240" w:lineRule="auto" w:before="102"/>
              <w:ind w:left="378" w:right="0"/>
              <w:jc w:val="left"/>
              <w:rPr>
                <w:rFonts w:ascii="Times New Roman" w:hAnsi="Times New Roman" w:cs="Times New Roman" w:eastAsia="Times New Roman" w:hint="default"/>
                <w:sz w:val="18"/>
                <w:szCs w:val="18"/>
              </w:rPr>
            </w:pPr>
            <w:r>
              <w:rPr>
                <w:rFonts w:ascii="Times New Roman"/>
                <w:sz w:val="18"/>
              </w:rPr>
              <w:t>61.83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3"/>
        <w:gridCol w:w="1596"/>
        <w:gridCol w:w="1594"/>
        <w:gridCol w:w="1583"/>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77"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12" w:space="0" w:color="D9D9D9"/>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19,780,329.20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67,603,590.42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6,553,329.66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8,628,118.57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102,565,367.85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200,910,444.77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195,283,295.73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15,698,861.60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34,015,179.95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445,907,782.05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61,932.00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132,239,720.62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2,793,136.96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26,343,989.08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161,438,778.66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200,848,512.77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63,043,575.11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12,905,724.64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7,671,190.87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284,469,003.39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1,366,949.60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368,674.38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1,735,623.98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1,366,949.60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368,674.38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1,735,623.98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220,690,773.97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261,519,936.55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22,252,191.26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42,274,624.14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546,737,525.92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2,848,367.52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40,987,649.41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5,004,823.51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5,243,408.19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54,084,248.63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23,525,385.89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57,237,795.34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8,388,366.86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9,393,963.30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98,545,511.39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1,831,341.12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19,668,949.13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544,699.92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3,576,878.41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25,621,868.58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企业合并</w:t>
            </w:r>
            <w:r>
              <w:rPr>
                <w:rFonts w:ascii="宋体" w:hAnsi="宋体" w:cs="宋体" w:eastAsia="宋体" w:hint="default"/>
                <w:spacing w:val="-1"/>
                <w:sz w:val="18"/>
                <w:szCs w:val="18"/>
              </w:rPr>
              <w:t>增</w:t>
            </w:r>
            <w:r>
              <w:rPr>
                <w:rFonts w:ascii="宋体" w:hAnsi="宋体" w:cs="宋体" w:eastAsia="宋体" w:hint="default"/>
                <w:sz w:val="18"/>
                <w:szCs w:val="18"/>
              </w:rPr>
              <w:t>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21,694,044.77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37,568,846.21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7,843,666.94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5,817,084.89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72,923,642.81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1,181,945.16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292,309.58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1,474,254.74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1,181,945.16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292,309.58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1,474,254.74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26,373,753.41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97,043,499.59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13,393,190.37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14,345,061.91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151,155,505.28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194,317,020.56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164,476,436.96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8,859,000.89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27,929,562.23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395,582,020.64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16,931,961.68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26,615,941.01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1,548,506.15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3,384,710.38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48,481,119.22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松江区民强路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幢</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15,982,505.84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3"/>
        <w:gridCol w:w="2976"/>
        <w:gridCol w:w="3179"/>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404"/>
        <w:gridCol w:w="2976"/>
        <w:gridCol w:w="3190"/>
      </w:tblGrid>
      <w:tr>
        <w:trPr>
          <w:trHeight w:val="40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西藏拉萨国际总部城第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3" w:right="0"/>
              <w:jc w:val="left"/>
              <w:rPr>
                <w:rFonts w:ascii="Times New Roman" w:hAnsi="Times New Roman" w:cs="Times New Roman" w:eastAsia="Times New Roman" w:hint="default"/>
                <w:sz w:val="18"/>
                <w:szCs w:val="18"/>
              </w:rPr>
            </w:pPr>
            <w:r>
              <w:rPr>
                <w:rFonts w:ascii="Times New Roman"/>
                <w:sz w:val="18"/>
              </w:rPr>
              <w:t>14,864,860.15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736"/>
        <w:gridCol w:w="1340"/>
        <w:gridCol w:w="1339"/>
        <w:gridCol w:w="1340"/>
        <w:gridCol w:w="1342"/>
        <w:gridCol w:w="1340"/>
        <w:gridCol w:w="1337"/>
      </w:tblGrid>
      <w:tr>
        <w:trPr>
          <w:trHeight w:val="402" w:hRule="exact"/>
        </w:trPr>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0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736"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在安装测试软件系统</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13,406,788.00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13,406,788.00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5,669,284.84</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5,669,284.84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19,076,072.84</w:t>
            </w:r>
          </w:p>
        </w:tc>
        <w:tc>
          <w:tcPr>
            <w:tcW w:w="133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19,076,072.84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434"/>
        <w:gridCol w:w="557"/>
        <w:gridCol w:w="917"/>
        <w:gridCol w:w="734"/>
        <w:gridCol w:w="737"/>
        <w:gridCol w:w="737"/>
        <w:gridCol w:w="734"/>
        <w:gridCol w:w="737"/>
        <w:gridCol w:w="737"/>
        <w:gridCol w:w="734"/>
        <w:gridCol w:w="737"/>
        <w:gridCol w:w="737"/>
      </w:tblGrid>
      <w:tr>
        <w:trPr>
          <w:trHeight w:val="133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2" w:right="29" w:hanging="89"/>
              <w:jc w:val="left"/>
              <w:rPr>
                <w:rFonts w:ascii="宋体" w:hAnsi="宋体" w:cs="宋体" w:eastAsia="宋体" w:hint="default"/>
                <w:sz w:val="18"/>
                <w:szCs w:val="18"/>
              </w:rPr>
            </w:pPr>
            <w:r>
              <w:rPr>
                <w:rFonts w:ascii="宋体" w:hAnsi="宋体" w:cs="宋体" w:eastAsia="宋体" w:hint="default"/>
                <w:sz w:val="18"/>
                <w:szCs w:val="18"/>
              </w:rPr>
              <w:t>预算 数</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2" w:hanging="180"/>
              <w:jc w:val="left"/>
              <w:rPr>
                <w:rFonts w:ascii="宋体" w:hAnsi="宋体" w:cs="宋体" w:eastAsia="宋体" w:hint="default"/>
                <w:sz w:val="18"/>
                <w:szCs w:val="18"/>
              </w:rPr>
            </w:pPr>
            <w:r>
              <w:rPr>
                <w:rFonts w:ascii="宋体" w:hAnsi="宋体" w:cs="宋体" w:eastAsia="宋体" w:hint="default"/>
                <w:sz w:val="18"/>
                <w:szCs w:val="18"/>
              </w:rPr>
              <w:t>本期增加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在安装测试 软件系统</w:t>
            </w:r>
          </w:p>
        </w:tc>
        <w:tc>
          <w:tcPr>
            <w:tcW w:w="43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13,406,788.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13,406,7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43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5,669,284.8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5,669,28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3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19,076,072.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19,076,0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72.84</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2"/>
        <w:rPr>
          <w:rFonts w:ascii="宋体" w:hAnsi="宋体" w:cs="宋体" w:eastAsia="宋体" w:hint="default"/>
          <w:b/>
          <w:bCs/>
          <w:sz w:val="22"/>
          <w:szCs w:val="22"/>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15"/>
        <w:gridCol w:w="799"/>
        <w:gridCol w:w="797"/>
        <w:gridCol w:w="799"/>
        <w:gridCol w:w="797"/>
        <w:gridCol w:w="800"/>
        <w:gridCol w:w="797"/>
        <w:gridCol w:w="799"/>
        <w:gridCol w:w="797"/>
        <w:gridCol w:w="799"/>
        <w:gridCol w:w="797"/>
        <w:gridCol w:w="800"/>
      </w:tblGrid>
      <w:tr>
        <w:trPr>
          <w:trHeight w:val="713" w:hRule="exact"/>
        </w:trPr>
        <w:tc>
          <w:tcPr>
            <w:tcW w:w="1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交易席位 费</w:t>
            </w:r>
          </w:p>
        </w:tc>
        <w:tc>
          <w:tcPr>
            <w:tcW w:w="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04" w:right="31" w:hanging="272"/>
              <w:jc w:val="left"/>
              <w:rPr>
                <w:rFonts w:ascii="宋体" w:hAnsi="宋体" w:cs="宋体" w:eastAsia="宋体" w:hint="default"/>
                <w:sz w:val="18"/>
                <w:szCs w:val="18"/>
              </w:rPr>
            </w:pPr>
            <w:r>
              <w:rPr>
                <w:rFonts w:ascii="宋体" w:hAnsi="宋体" w:cs="宋体" w:eastAsia="宋体" w:hint="default"/>
                <w:sz w:val="18"/>
                <w:szCs w:val="18"/>
              </w:rPr>
              <w:t>期货经营 权</w:t>
            </w:r>
          </w:p>
        </w:tc>
        <w:tc>
          <w:tcPr>
            <w:tcW w:w="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期货公司 名称</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期货会员 资格投资</w:t>
            </w:r>
          </w:p>
        </w:tc>
        <w:tc>
          <w:tcPr>
            <w:tcW w:w="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公司网站 域名</w:t>
            </w:r>
          </w:p>
        </w:tc>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pacing w:val="-4"/>
                <w:sz w:val="18"/>
                <w:szCs w:val="18"/>
              </w:rPr>
              <w:t>一、账面原值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141,057,9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5,620,887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146,678,7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87.71</w:t>
            </w:r>
          </w:p>
        </w:tc>
      </w:tr>
      <w:tr>
        <w:trPr>
          <w:trHeight w:val="715"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55,044,67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32,490,41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119,500.0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104,410,2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39.05</w:t>
            </w:r>
          </w:p>
        </w:tc>
      </w:tr>
      <w:tr>
        <w:trPr>
          <w:trHeight w:val="713"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19,399,75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24,999,75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2.82</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76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116"/>
        <w:gridCol w:w="799"/>
        <w:gridCol w:w="797"/>
        <w:gridCol w:w="799"/>
        <w:gridCol w:w="797"/>
        <w:gridCol w:w="800"/>
        <w:gridCol w:w="797"/>
        <w:gridCol w:w="799"/>
        <w:gridCol w:w="797"/>
        <w:gridCol w:w="799"/>
        <w:gridCol w:w="797"/>
        <w:gridCol w:w="800"/>
      </w:tblGrid>
      <w:tr>
        <w:trPr>
          <w:trHeight w:val="1025" w:hRule="exact"/>
        </w:trPr>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89"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企业合并增 加</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8,355,652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35,644,91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32,490,41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119,500.0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79,410,48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6.23</w:t>
            </w:r>
          </w:p>
        </w:tc>
      </w:tr>
      <w:tr>
        <w:trPr>
          <w:trHeight w:val="361" w:hRule="exact"/>
        </w:trPr>
        <w:tc>
          <w:tcPr>
            <w:tcW w:w="111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期末余</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141,057,9</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8,355,652</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60,665,55</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32,490,41</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5,600,000</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119,500.0</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251,089,0</w:t>
            </w:r>
          </w:p>
        </w:tc>
      </w:tr>
      <w:tr>
        <w:trPr>
          <w:trHeight w:val="354" w:hRule="exact"/>
        </w:trPr>
        <w:tc>
          <w:tcPr>
            <w:tcW w:w="11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00.00</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8.73</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5.53</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26.76</w:t>
            </w:r>
          </w:p>
        </w:tc>
      </w:tr>
      <w:tr>
        <w:trPr>
          <w:trHeight w:val="401" w:hRule="exact"/>
        </w:trPr>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二、累计摊销</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11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13,518,04</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2,662,825</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16,180,87</w:t>
            </w:r>
          </w:p>
        </w:tc>
      </w:tr>
      <w:tr>
        <w:trPr>
          <w:trHeight w:val="354" w:hRule="exact"/>
        </w:trPr>
        <w:tc>
          <w:tcPr>
            <w:tcW w:w="111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8.93</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.74</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4.67</w:t>
            </w:r>
          </w:p>
        </w:tc>
      </w:tr>
      <w:tr>
        <w:trPr>
          <w:trHeight w:val="360" w:hRule="exact"/>
        </w:trPr>
        <w:tc>
          <w:tcPr>
            <w:tcW w:w="111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9"/>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3,526,447</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8,355,652</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21,693,89</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13,011,54</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186,666.6</w:t>
            </w: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48,174,20</w:t>
            </w:r>
          </w:p>
        </w:tc>
      </w:tr>
      <w:tr>
        <w:trPr>
          <w:trHeight w:val="353" w:hRule="exact"/>
        </w:trPr>
        <w:tc>
          <w:tcPr>
            <w:tcW w:w="111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.56</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5.04</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6.01</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.00</w:t>
            </w: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8</w:t>
            </w: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7.79</w:t>
            </w:r>
          </w:p>
        </w:tc>
      </w:tr>
      <w:tr>
        <w:trPr>
          <w:trHeight w:val="362" w:hRule="exact"/>
        </w:trPr>
        <w:tc>
          <w:tcPr>
            <w:tcW w:w="111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3,526,447</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2,846,111</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265,555.5</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186,666.6</w:t>
            </w: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6,824,781</w:t>
            </w:r>
          </w:p>
        </w:tc>
      </w:tr>
      <w:tr>
        <w:trPr>
          <w:trHeight w:val="354" w:hRule="exact"/>
        </w:trPr>
        <w:tc>
          <w:tcPr>
            <w:tcW w:w="111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.56</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8</w:t>
            </w: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.19</w:t>
            </w:r>
          </w:p>
        </w:tc>
      </w:tr>
      <w:tr>
        <w:trPr>
          <w:trHeight w:val="360" w:hRule="exact"/>
        </w:trPr>
        <w:tc>
          <w:tcPr>
            <w:tcW w:w="111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w:t>
            </w: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8,355,652</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18,847,78</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12,745,99</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41,349,42</w:t>
            </w:r>
          </w:p>
        </w:tc>
      </w:tr>
      <w:tr>
        <w:trPr>
          <w:trHeight w:val="353" w:hRule="exact"/>
        </w:trPr>
        <w:tc>
          <w:tcPr>
            <w:tcW w:w="111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3.64</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0.46</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.00</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6.60</w:t>
            </w:r>
          </w:p>
        </w:tc>
      </w:tr>
      <w:tr>
        <w:trPr>
          <w:trHeight w:val="361" w:hRule="exact"/>
        </w:trPr>
        <w:tc>
          <w:tcPr>
            <w:tcW w:w="111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期末余</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17,044,49</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8,355,652</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24,356,72</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13,011,54</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1,400,000</w:t>
            </w:r>
          </w:p>
        </w:tc>
        <w:tc>
          <w:tcPr>
            <w:tcW w:w="797" w:type="dxa"/>
            <w:vMerge w:val="restart"/>
            <w:tcBorders>
              <w:top w:val="single" w:sz="4" w:space="0" w:color="000000"/>
              <w:left w:val="single" w:sz="4" w:space="0" w:color="000000"/>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186,666.6</w:t>
            </w: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64,355,08</w:t>
            </w:r>
          </w:p>
        </w:tc>
      </w:tr>
      <w:tr>
        <w:trPr>
          <w:trHeight w:val="354" w:hRule="exact"/>
        </w:trPr>
        <w:tc>
          <w:tcPr>
            <w:tcW w:w="111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6.49</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z w:val="18"/>
              </w:rPr>
              <w:t>.50</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0.78</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6.01</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.00</w:t>
            </w:r>
          </w:p>
        </w:tc>
        <w:tc>
          <w:tcPr>
            <w:tcW w:w="797" w:type="dxa"/>
            <w:vMerge/>
            <w:tcBorders>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8</w:t>
            </w: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2.46</w:t>
            </w:r>
          </w:p>
        </w:tc>
      </w:tr>
      <w:tr>
        <w:trPr>
          <w:trHeight w:val="401" w:hRule="exact"/>
        </w:trPr>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三、账面价值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11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124,013,4</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36,308,83</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19,478,86</w:t>
            </w: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5,413,333</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119,500.0</w:t>
            </w: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186,733,9</w:t>
            </w:r>
          </w:p>
        </w:tc>
      </w:tr>
      <w:tr>
        <w:trPr>
          <w:trHeight w:val="354" w:hRule="exact"/>
        </w:trPr>
        <w:tc>
          <w:tcPr>
            <w:tcW w:w="11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03.51</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7.95</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8"/>
              <w:jc w:val="right"/>
              <w:rPr>
                <w:rFonts w:ascii="Times New Roman" w:hAnsi="Times New Roman" w:cs="Times New Roman" w:eastAsia="Times New Roman" w:hint="default"/>
                <w:sz w:val="18"/>
                <w:szCs w:val="18"/>
              </w:rPr>
            </w:pPr>
            <w:r>
              <w:rPr>
                <w:rFonts w:ascii="Times New Roman"/>
                <w:spacing w:val="-1"/>
                <w:sz w:val="18"/>
              </w:rPr>
              <w:t>9.52</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44.30</w:t>
            </w:r>
          </w:p>
        </w:tc>
      </w:tr>
      <w:tr>
        <w:trPr>
          <w:trHeight w:val="360" w:hRule="exact"/>
        </w:trPr>
        <w:tc>
          <w:tcPr>
            <w:tcW w:w="111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127,539,8</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2,958,061</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130,497,9</w:t>
            </w:r>
          </w:p>
        </w:tc>
      </w:tr>
      <w:tr>
        <w:trPr>
          <w:trHeight w:val="355" w:hRule="exact"/>
        </w:trPr>
        <w:tc>
          <w:tcPr>
            <w:tcW w:w="11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51.07</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.97</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13.04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40"/>
        <w:gridCol w:w="1364"/>
        <w:gridCol w:w="1363"/>
        <w:gridCol w:w="1366"/>
        <w:gridCol w:w="595"/>
        <w:gridCol w:w="545"/>
        <w:gridCol w:w="2624"/>
      </w:tblGrid>
      <w:tr>
        <w:trPr>
          <w:trHeight w:val="206" w:hRule="exact"/>
        </w:trPr>
        <w:tc>
          <w:tcPr>
            <w:tcW w:w="18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73" w:right="103"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1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840" w:type="dxa"/>
            <w:vMerge/>
            <w:tcBorders>
              <w:left w:val="single" w:sz="4" w:space="0" w:color="000000"/>
              <w:right w:val="single" w:sz="4" w:space="0" w:color="000000"/>
            </w:tcBorders>
            <w:shd w:val="clear" w:color="auto" w:fill="D2D2D2"/>
          </w:tcPr>
          <w:p>
            <w:pPr/>
          </w:p>
        </w:tc>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9" w:type="dxa"/>
            <w:gridSpan w:val="2"/>
            <w:vMerge/>
            <w:tcBorders>
              <w:left w:val="single" w:sz="4" w:space="0" w:color="000000"/>
              <w:bottom w:val="single" w:sz="4" w:space="0" w:color="000000"/>
              <w:right w:val="single" w:sz="4" w:space="0" w:color="000000"/>
            </w:tcBorders>
            <w:shd w:val="clear" w:color="auto" w:fill="D2D2D2"/>
          </w:tcPr>
          <w:p>
            <w:pPr/>
          </w:p>
        </w:tc>
        <w:tc>
          <w:tcPr>
            <w:tcW w:w="1140" w:type="dxa"/>
            <w:gridSpan w:val="2"/>
            <w:vMerge/>
            <w:tcBorders>
              <w:left w:val="single" w:sz="4" w:space="0" w:color="000000"/>
              <w:bottom w:val="single" w:sz="4" w:space="0" w:color="000000"/>
              <w:right w:val="single" w:sz="4" w:space="0" w:color="000000"/>
            </w:tcBorders>
            <w:shd w:val="clear" w:color="auto" w:fill="D2D2D2"/>
          </w:tcPr>
          <w:p>
            <w:pPr/>
          </w:p>
        </w:tc>
        <w:tc>
          <w:tcPr>
            <w:tcW w:w="2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840" w:type="dxa"/>
            <w:vMerge/>
            <w:tcBorders>
              <w:left w:val="single" w:sz="4" w:space="0" w:color="000000"/>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12" w:space="0" w:color="D2D2D2"/>
              <w:right w:val="single" w:sz="4" w:space="0" w:color="000000"/>
            </w:tcBorders>
            <w:shd w:val="clear" w:color="auto" w:fill="D9D9D9"/>
          </w:tcPr>
          <w:p>
            <w:pPr/>
          </w:p>
        </w:tc>
        <w:tc>
          <w:tcPr>
            <w:tcW w:w="5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45" w:type="dxa"/>
            <w:vMerge w:val="restart"/>
            <w:tcBorders>
              <w:top w:val="single" w:sz="4" w:space="0" w:color="000000"/>
              <w:left w:val="single" w:sz="4" w:space="0" w:color="000000"/>
              <w:right w:val="single" w:sz="10" w:space="0" w:color="D2D2D2"/>
            </w:tcBorders>
            <w:shd w:val="clear" w:color="auto" w:fill="D9D9D9"/>
          </w:tcPr>
          <w:p>
            <w:pPr/>
          </w:p>
        </w:tc>
        <w:tc>
          <w:tcPr>
            <w:tcW w:w="2624"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840"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4" w:space="0" w:color="000000"/>
            </w:tcBorders>
            <w:shd w:val="clear" w:color="auto" w:fill="D9D9D9"/>
          </w:tcPr>
          <w:p>
            <w:pPr/>
          </w:p>
        </w:tc>
        <w:tc>
          <w:tcPr>
            <w:tcW w:w="595" w:type="dxa"/>
            <w:vMerge/>
            <w:tcBorders>
              <w:left w:val="single" w:sz="4" w:space="0" w:color="000000"/>
              <w:bottom w:val="single" w:sz="4" w:space="0" w:color="000000"/>
              <w:right w:val="single" w:sz="4" w:space="0" w:color="000000"/>
            </w:tcBorders>
            <w:shd w:val="clear" w:color="auto" w:fill="D9D9D9"/>
          </w:tcPr>
          <w:p>
            <w:pPr/>
          </w:p>
        </w:tc>
        <w:tc>
          <w:tcPr>
            <w:tcW w:w="545" w:type="dxa"/>
            <w:vMerge/>
            <w:tcBorders>
              <w:left w:val="single" w:sz="4" w:space="0" w:color="000000"/>
              <w:bottom w:val="single" w:sz="4" w:space="0" w:color="000000"/>
              <w:right w:val="single" w:sz="10" w:space="0" w:color="D2D2D2"/>
            </w:tcBorders>
            <w:shd w:val="clear" w:color="auto" w:fill="D9D9D9"/>
          </w:tcPr>
          <w:p>
            <w:pPr/>
          </w:p>
        </w:tc>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840" w:type="dxa"/>
            <w:tcBorders>
              <w:top w:val="single" w:sz="21" w:space="0" w:color="D2D2D2"/>
              <w:left w:val="single" w:sz="4" w:space="0" w:color="000000"/>
              <w:bottom w:val="single" w:sz="4" w:space="0" w:color="000000"/>
              <w:right w:val="single" w:sz="4" w:space="0" w:color="000000"/>
            </w:tcBorders>
            <w:shd w:val="clear" w:color="auto" w:fill="D9D9D9"/>
          </w:tcPr>
          <w:p>
            <w:pPr>
              <w:pStyle w:val="TableParagraph"/>
              <w:spacing w:line="316" w:lineRule="auto" w:before="29"/>
              <w:ind w:left="22" w:right="185"/>
              <w:jc w:val="left"/>
              <w:rPr>
                <w:rFonts w:ascii="宋体" w:hAnsi="宋体" w:cs="宋体" w:eastAsia="宋体" w:hint="default"/>
                <w:sz w:val="18"/>
                <w:szCs w:val="18"/>
              </w:rPr>
            </w:pPr>
            <w:r>
              <w:rPr>
                <w:rFonts w:ascii="宋体" w:hAnsi="宋体" w:cs="宋体" w:eastAsia="宋体" w:hint="default"/>
                <w:sz w:val="18"/>
                <w:szCs w:val="18"/>
              </w:rPr>
              <w:t>上海东方财富证券研 究所有限公司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4,731,868.08</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4,731,868.08</w:t>
            </w:r>
          </w:p>
        </w:tc>
      </w:tr>
      <w:tr>
        <w:trPr>
          <w:trHeight w:val="713"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西藏同信证券股份有 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2,924,666,919.69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2,924,666,919.69</w:t>
            </w:r>
          </w:p>
        </w:tc>
      </w:tr>
      <w:tr>
        <w:trPr>
          <w:trHeight w:val="715" w:hRule="exact"/>
        </w:trPr>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东方财富国际证劵有 限公司</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2,772,040.44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2,772,040.44</w:t>
            </w:r>
          </w:p>
        </w:tc>
      </w:tr>
      <w:tr>
        <w:trPr>
          <w:trHeight w:val="403"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4,731,868.08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2,927,438,960.13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2,932,170,828.21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760"/>
        </w:sectPr>
      </w:pPr>
    </w:p>
    <w:p>
      <w:pPr>
        <w:pStyle w:val="Heading5"/>
        <w:spacing w:line="240" w:lineRule="auto" w:before="108"/>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截至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日，未发现减值迹象，故未计提商誉减值准备。</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11,361,946.48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24,314,966.04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3,961,015.64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31,715,896.88</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DDN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工程费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30,503.14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1,224.14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29,279.00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7,967,215.76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160,542.95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7,806,672.81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11,361,946.48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32,312,684.94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4,122,782.73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39,551,848.69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5"/>
        <w:gridCol w:w="1841"/>
        <w:gridCol w:w="1702"/>
        <w:gridCol w:w="1702"/>
        <w:gridCol w:w="1632"/>
      </w:tblGrid>
      <w:tr>
        <w:trPr>
          <w:trHeight w:val="206" w:hRule="exact"/>
        </w:trPr>
        <w:tc>
          <w:tcPr>
            <w:tcW w:w="26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26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43" w:type="dxa"/>
            <w:gridSpan w:val="2"/>
            <w:vMerge/>
            <w:tcBorders>
              <w:left w:val="single" w:sz="4" w:space="0" w:color="000000"/>
              <w:bottom w:val="single" w:sz="4" w:space="0" w:color="000000"/>
              <w:right w:val="single" w:sz="4" w:space="0" w:color="000000"/>
            </w:tcBorders>
            <w:shd w:val="clear" w:color="auto" w:fill="D2D2D2"/>
          </w:tcPr>
          <w:p>
            <w:pPr/>
          </w:p>
        </w:tc>
        <w:tc>
          <w:tcPr>
            <w:tcW w:w="3334"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95" w:type="dxa"/>
            <w:vMerge/>
            <w:tcBorders>
              <w:left w:val="single" w:sz="4" w:space="0" w:color="000000"/>
              <w:bottom w:val="nil" w:sz="6" w:space="0" w:color="auto"/>
              <w:right w:val="single" w:sz="4" w:space="0" w:color="000000"/>
            </w:tcBorders>
            <w:shd w:val="clear" w:color="auto" w:fill="D2D2D2"/>
          </w:tcPr>
          <w:p>
            <w:pPr/>
          </w:p>
        </w:tc>
        <w:tc>
          <w:tcPr>
            <w:tcW w:w="1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26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1"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应收款减值准备</w:t>
            </w:r>
          </w:p>
        </w:tc>
        <w:tc>
          <w:tcPr>
            <w:tcW w:w="18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164,054,039.88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20,301,371.05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9,603,858.73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1,495,707.03</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融出资金减值准备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2,725,388.92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286,165.84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买入返售金融资产减值准备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130,098.55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13,660.35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23,329,814.15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2,449,630.49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40"/>
              <w:jc w:val="left"/>
              <w:rPr>
                <w:rFonts w:ascii="宋体" w:hAnsi="宋体" w:cs="宋体" w:eastAsia="宋体" w:hint="default"/>
                <w:sz w:val="18"/>
                <w:szCs w:val="18"/>
              </w:rPr>
            </w:pPr>
            <w:r>
              <w:rPr>
                <w:rFonts w:ascii="宋体" w:hAnsi="宋体" w:cs="宋体" w:eastAsia="宋体" w:hint="default"/>
                <w:sz w:val="18"/>
                <w:szCs w:val="18"/>
              </w:rPr>
              <w:t>计入其他综合收益的可供出售金 融资产公允价值变动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583,864.82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145,966.21</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163,153,516.58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17,131,119.24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9,210,000.00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1,848,500.00</w:t>
            </w:r>
          </w:p>
        </w:tc>
      </w:tr>
      <w:tr>
        <w:trPr>
          <w:trHeight w:val="401" w:hRule="exact"/>
        </w:trPr>
        <w:tc>
          <w:tcPr>
            <w:tcW w:w="2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股票期权成本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78,775,826.06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11,816,373.91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38,312,558.92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5,746,883.84</w:t>
            </w:r>
          </w:p>
        </w:tc>
      </w:tr>
      <w:tr>
        <w:trPr>
          <w:trHeight w:val="404" w:hRule="exact"/>
        </w:trPr>
        <w:tc>
          <w:tcPr>
            <w:tcW w:w="2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432,752,548.96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52,144,287.09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57,126,417.65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9,091,090.87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702"/>
        <w:gridCol w:w="1844"/>
        <w:gridCol w:w="1561"/>
        <w:gridCol w:w="1632"/>
      </w:tblGrid>
      <w:tr>
        <w:trPr>
          <w:trHeight w:val="403" w:hRule="exact"/>
        </w:trPr>
        <w:tc>
          <w:tcPr>
            <w:tcW w:w="2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835"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46,722,602.84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11,680,650.71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计入其他综合收益的可供出售金融</w:t>
            </w:r>
          </w:p>
        </w:tc>
        <w:tc>
          <w:tcPr>
            <w:tcW w:w="170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8,609,080.47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2,152,270.12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823"/>
        <w:gridCol w:w="1712"/>
        <w:gridCol w:w="1844"/>
        <w:gridCol w:w="1561"/>
        <w:gridCol w:w="1632"/>
      </w:tblGrid>
      <w:tr>
        <w:trPr>
          <w:trHeight w:val="36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资产公允价值变动</w:t>
            </w:r>
          </w:p>
        </w:tc>
        <w:tc>
          <w:tcPr>
            <w:tcW w:w="1712" w:type="dxa"/>
            <w:tcBorders>
              <w:top w:val="single" w:sz="4" w:space="0" w:color="000000"/>
              <w:left w:val="single" w:sz="10" w:space="0" w:color="D9D9D9"/>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9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23,483,260.20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2,478,966.32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2"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3,864,216.81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405,742.77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82,679,160.32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16,717,629.92</w:t>
            </w:r>
          </w:p>
        </w:tc>
        <w:tc>
          <w:tcPr>
            <w:tcW w:w="156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21</w:t>
      </w:r>
      <w:r>
        <w:rPr/>
        <w:t>、</w:t>
      </w:r>
      <w:r>
        <w:rPr>
          <w:spacing w:val="1"/>
        </w:rPr>
        <w:t> </w:t>
      </w:r>
      <w:r>
        <w:rPr/>
        <w:t>应付短期融资券</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816"/>
        <w:gridCol w:w="994"/>
        <w:gridCol w:w="994"/>
        <w:gridCol w:w="919"/>
        <w:gridCol w:w="919"/>
        <w:gridCol w:w="1102"/>
        <w:gridCol w:w="1241"/>
        <w:gridCol w:w="711"/>
        <w:gridCol w:w="1615"/>
      </w:tblGrid>
      <w:tr>
        <w:trPr>
          <w:trHeight w:val="650" w:hRule="exact"/>
        </w:trPr>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4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29" w:right="0"/>
              <w:jc w:val="left"/>
              <w:rPr>
                <w:rFonts w:ascii="宋体" w:hAnsi="宋体" w:cs="宋体" w:eastAsia="宋体" w:hint="default"/>
                <w:sz w:val="18"/>
                <w:szCs w:val="18"/>
              </w:rPr>
            </w:pPr>
            <w:r>
              <w:rPr>
                <w:rFonts w:ascii="宋体" w:hAnsi="宋体" w:cs="宋体" w:eastAsia="宋体" w:hint="default"/>
                <w:sz w:val="18"/>
                <w:szCs w:val="18"/>
              </w:rPr>
              <w:t>到期日期</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9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96"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2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74"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3"/>
              <w:ind w:left="172" w:right="77" w:hanging="92"/>
              <w:jc w:val="left"/>
              <w:rPr>
                <w:rFonts w:ascii="宋体" w:hAnsi="宋体" w:cs="宋体" w:eastAsia="宋体" w:hint="default"/>
                <w:sz w:val="18"/>
                <w:szCs w:val="18"/>
              </w:rPr>
            </w:pPr>
            <w:r>
              <w:rPr>
                <w:rFonts w:ascii="宋体" w:hAnsi="宋体" w:cs="宋体" w:eastAsia="宋体" w:hint="default"/>
                <w:sz w:val="18"/>
                <w:szCs w:val="18"/>
              </w:rPr>
              <w:t>本年减 少额</w:t>
            </w:r>
          </w:p>
        </w:tc>
        <w:tc>
          <w:tcPr>
            <w:tcW w:w="1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1"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同富</w:t>
            </w:r>
            <w:r>
              <w:rPr>
                <w:rFonts w:ascii="Times New Roman" w:hAnsi="Times New Roman" w:cs="Times New Roman" w:eastAsia="Times New Roman" w:hint="default"/>
                <w:sz w:val="18"/>
                <w:szCs w:val="18"/>
              </w:rPr>
              <w:t>5</w:t>
            </w:r>
            <w:r>
              <w:rPr>
                <w:rFonts w:ascii="宋体" w:hAnsi="宋体" w:cs="宋体" w:eastAsia="宋体" w:hint="default"/>
                <w:sz w:val="18"/>
                <w:szCs w:val="18"/>
              </w:rPr>
              <w:t>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2015.11.17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9" w:right="0"/>
              <w:jc w:val="left"/>
              <w:rPr>
                <w:rFonts w:ascii="Times New Roman" w:hAnsi="Times New Roman" w:cs="Times New Roman" w:eastAsia="Times New Roman" w:hint="default"/>
                <w:sz w:val="18"/>
                <w:szCs w:val="18"/>
              </w:rPr>
            </w:pPr>
            <w:r>
              <w:rPr>
                <w:rFonts w:ascii="Times New Roman"/>
                <w:sz w:val="18"/>
              </w:rPr>
              <w:t>2016.5.17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4.30%</w:t>
            </w:r>
          </w:p>
        </w:tc>
        <w:tc>
          <w:tcPr>
            <w:tcW w:w="91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200,000,000.00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5" w:right="0"/>
              <w:jc w:val="left"/>
              <w:rPr>
                <w:rFonts w:ascii="Times New Roman" w:hAnsi="Times New Roman" w:cs="Times New Roman" w:eastAsia="Times New Roman" w:hint="default"/>
                <w:sz w:val="18"/>
                <w:szCs w:val="18"/>
              </w:rPr>
            </w:pPr>
            <w:r>
              <w:rPr>
                <w:rFonts w:ascii="Times New Roman"/>
                <w:sz w:val="18"/>
              </w:rPr>
              <w:t>200,000,000.00</w:t>
            </w:r>
          </w:p>
        </w:tc>
      </w:tr>
      <w:tr>
        <w:trPr>
          <w:trHeight w:val="343"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18"/>
                <w:szCs w:val="18"/>
              </w:rPr>
            </w:pPr>
            <w:r>
              <w:rPr>
                <w:rFonts w:ascii="Times New Roman"/>
                <w:sz w:val="18"/>
              </w:rPr>
              <w:t>200,000,000.00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5" w:right="0"/>
              <w:jc w:val="left"/>
              <w:rPr>
                <w:rFonts w:ascii="Times New Roman" w:hAnsi="Times New Roman" w:cs="Times New Roman" w:eastAsia="Times New Roman" w:hint="default"/>
                <w:sz w:val="18"/>
                <w:szCs w:val="18"/>
              </w:rPr>
            </w:pPr>
            <w:r>
              <w:rPr>
                <w:rFonts w:ascii="Times New Roman"/>
                <w:sz w:val="18"/>
              </w:rPr>
              <w:t>200,000,000.00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应付广告代理成本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14,713,982.24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12,557,812.48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应付基金销售业务成本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68,926,389.93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32,113,407.10</w:t>
            </w:r>
            <w:r>
              <w:rPr>
                <w:rFonts w:ascii="Times New Roman"/>
                <w:sz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19,378,874.30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6,333,576.99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103,019,246.47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51,004,796.57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金融数据服务预收款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158,395,065.58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123,724,808.67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12,562,820.89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9,658,595.79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金融电子商务服务业务预收款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364,075.89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资产管理业务预收款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9,692,602.64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其他业务预收款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4,226,862.21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3,505,482.69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184,877,351.32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137,252,963.04</w:t>
            </w:r>
          </w:p>
        </w:tc>
      </w:tr>
    </w:tbl>
    <w:p>
      <w:pPr>
        <w:spacing w:line="240" w:lineRule="auto" w:before="3"/>
        <w:rPr>
          <w:rFonts w:ascii="宋体" w:hAnsi="宋体" w:cs="宋体" w:eastAsia="宋体" w:hint="default"/>
          <w:sz w:val="19"/>
          <w:szCs w:val="19"/>
        </w:rPr>
      </w:pPr>
    </w:p>
    <w:p>
      <w:pPr>
        <w:pStyle w:val="Heading5"/>
        <w:spacing w:line="506" w:lineRule="auto" w:before="36"/>
        <w:ind w:left="207" w:right="7350" w:hanging="56"/>
        <w:jc w:val="left"/>
        <w:rPr>
          <w:b w:val="0"/>
          <w:bCs w:val="0"/>
        </w:rPr>
      </w:pPr>
      <w:r>
        <w:rPr/>
        <w:pict>
          <v:shape style="position:absolute;margin-left:56.400002pt;margin-top:48.743637pt;width:426.85pt;height:34.7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28"/>
                    <w:gridCol w:w="3020"/>
                    <w:gridCol w:w="3173"/>
                  </w:tblGrid>
                  <w:tr>
                    <w:trPr>
                      <w:trHeight w:val="341" w:hRule="exact"/>
                    </w:trPr>
                    <w:tc>
                      <w:tcPr>
                        <w:tcW w:w="2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882" w:right="0"/>
                          <w:jc w:val="left"/>
                          <w:rPr>
                            <w:rFonts w:ascii="Times New Roman" w:hAnsi="Times New Roman" w:cs="Times New Roman" w:eastAsia="Times New Roman" w:hint="default"/>
                            <w:sz w:val="18"/>
                            <w:szCs w:val="18"/>
                          </w:rPr>
                        </w:pPr>
                        <w:r>
                          <w:rPr>
                            <w:rFonts w:ascii="Times New Roman"/>
                            <w:sz w:val="18"/>
                          </w:rPr>
                          <w:t>889,256,452.19</w:t>
                        </w:r>
                      </w:p>
                    </w:tc>
                    <w:tc>
                      <w:tcPr>
                        <w:tcW w:w="317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rPr>
        <w:t>24</w:t>
      </w:r>
      <w:r>
        <w:rPr/>
        <w:t>、</w:t>
      </w:r>
      <w:r>
        <w:rPr>
          <w:spacing w:val="1"/>
        </w:rPr>
        <w:t> </w:t>
      </w:r>
      <w:r>
        <w:rPr/>
        <w:t>卖出回购金融资产款</w:t>
      </w:r>
      <w:r>
        <w:rPr>
          <w:w w:val="100"/>
        </w:rPr>
        <w:t> </w:t>
      </w:r>
      <w:r>
        <w:rPr/>
        <w:t>按金融资产种类列示</w:t>
      </w:r>
      <w:r>
        <w:rPr>
          <w:b w:val="0"/>
          <w:bCs w:val="0"/>
        </w:rPr>
      </w:r>
    </w:p>
    <w:p>
      <w:pPr>
        <w:spacing w:after="0" w:line="506" w:lineRule="auto"/>
        <w:jc w:val="left"/>
        <w:sectPr>
          <w:pgSz w:w="11910" w:h="16840"/>
          <w:pgMar w:header="852" w:footer="979" w:top="1300" w:bottom="1160" w:left="980" w:right="980"/>
        </w:sectPr>
      </w:pPr>
    </w:p>
    <w:p>
      <w:pPr>
        <w:spacing w:line="240" w:lineRule="auto" w:before="3"/>
        <w:rPr>
          <w:rFonts w:ascii="宋体" w:hAnsi="宋体" w:cs="宋体" w:eastAsia="宋体"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2328"/>
        <w:gridCol w:w="3020"/>
        <w:gridCol w:w="3173"/>
      </w:tblGrid>
      <w:tr>
        <w:trPr>
          <w:trHeight w:val="341"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9"/>
              <w:jc w:val="right"/>
              <w:rPr>
                <w:rFonts w:ascii="宋体" w:hAnsi="宋体" w:cs="宋体" w:eastAsia="宋体" w:hint="default"/>
                <w:sz w:val="18"/>
                <w:szCs w:val="18"/>
              </w:rPr>
            </w:pPr>
            <w:r>
              <w:rPr>
                <w:rFonts w:ascii="宋体" w:hAnsi="宋体" w:cs="宋体" w:eastAsia="宋体" w:hint="default"/>
                <w:sz w:val="18"/>
                <w:szCs w:val="18"/>
              </w:rPr>
              <w:t>融资融券收益权</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750,000,000.00</w:t>
            </w:r>
          </w:p>
        </w:tc>
        <w:tc>
          <w:tcPr>
            <w:tcW w:w="317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4"/>
              <w:jc w:val="right"/>
              <w:rPr>
                <w:rFonts w:ascii="宋体" w:hAnsi="宋体" w:cs="宋体" w:eastAsia="宋体" w:hint="default"/>
                <w:sz w:val="18"/>
                <w:szCs w:val="18"/>
              </w:rPr>
            </w:pPr>
            <w:r>
              <w:rPr>
                <w:rFonts w:ascii="宋体" w:hAnsi="宋体" w:cs="宋体" w:eastAsia="宋体" w:hint="default"/>
                <w:sz w:val="18"/>
                <w:szCs w:val="18"/>
              </w:rPr>
              <w:t>合计</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1,639,256,452.19</w:t>
            </w:r>
          </w:p>
        </w:tc>
        <w:tc>
          <w:tcPr>
            <w:tcW w:w="31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5"/>
        <w:spacing w:line="240" w:lineRule="auto" w:before="36"/>
        <w:ind w:right="0"/>
        <w:jc w:val="left"/>
        <w:rPr>
          <w:b w:val="0"/>
          <w:bCs w:val="0"/>
        </w:rPr>
      </w:pPr>
      <w:r>
        <w:rPr/>
        <w:t>按业务类别列示</w:t>
      </w:r>
      <w:r>
        <w:rPr>
          <w:b w:val="0"/>
          <w:bCs w:val="0"/>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2744"/>
        <w:gridCol w:w="2604"/>
        <w:gridCol w:w="3173"/>
      </w:tblGrid>
      <w:tr>
        <w:trPr>
          <w:trHeight w:val="343" w:hRule="exact"/>
        </w:trPr>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债券质押式回购</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634,600,000.00</w:t>
            </w:r>
          </w:p>
        </w:tc>
        <w:tc>
          <w:tcPr>
            <w:tcW w:w="317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买断式回购</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254,656,452.19</w:t>
            </w:r>
          </w:p>
        </w:tc>
        <w:tc>
          <w:tcPr>
            <w:tcW w:w="317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融资融券债权收益权回购</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750,000,000.00</w:t>
            </w:r>
          </w:p>
        </w:tc>
        <w:tc>
          <w:tcPr>
            <w:tcW w:w="317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1,639,256,452.19</w:t>
            </w:r>
          </w:p>
        </w:tc>
        <w:tc>
          <w:tcPr>
            <w:tcW w:w="31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5"/>
        <w:spacing w:line="240" w:lineRule="auto" w:before="36"/>
        <w:ind w:left="207" w:right="0"/>
        <w:jc w:val="left"/>
        <w:rPr>
          <w:b w:val="0"/>
          <w:bCs w:val="0"/>
        </w:rPr>
      </w:pPr>
      <w:r>
        <w:rPr/>
        <w:t>债券质押式报价回购的剩余期限和利率期间</w:t>
      </w:r>
      <w:r>
        <w:rPr>
          <w:b w:val="0"/>
          <w:bCs w:val="0"/>
        </w:rPr>
      </w:r>
    </w:p>
    <w:p>
      <w:pPr>
        <w:spacing w:line="240" w:lineRule="auto" w:before="12"/>
        <w:rPr>
          <w:rFonts w:ascii="宋体" w:hAnsi="宋体" w:cs="宋体" w:eastAsia="宋体" w:hint="default"/>
          <w:b/>
          <w:bCs/>
          <w:sz w:val="4"/>
          <w:szCs w:val="4"/>
        </w:rPr>
      </w:pPr>
    </w:p>
    <w:tbl>
      <w:tblPr>
        <w:tblW w:w="0" w:type="auto"/>
        <w:jc w:val="left"/>
        <w:tblInd w:w="148" w:type="dxa"/>
        <w:tblLayout w:type="fixed"/>
        <w:tblCellMar>
          <w:top w:w="0" w:type="dxa"/>
          <w:left w:w="0" w:type="dxa"/>
          <w:bottom w:w="0" w:type="dxa"/>
          <w:right w:w="0" w:type="dxa"/>
        </w:tblCellMar>
        <w:tblLook w:val="01E0"/>
      </w:tblPr>
      <w:tblGrid>
        <w:gridCol w:w="2028"/>
        <w:gridCol w:w="1825"/>
        <w:gridCol w:w="1522"/>
        <w:gridCol w:w="1822"/>
        <w:gridCol w:w="1289"/>
      </w:tblGrid>
      <w:tr>
        <w:trPr>
          <w:trHeight w:val="327" w:hRule="exact"/>
        </w:trPr>
        <w:tc>
          <w:tcPr>
            <w:tcW w:w="20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650" w:right="0"/>
              <w:jc w:val="left"/>
              <w:rPr>
                <w:rFonts w:ascii="宋体" w:hAnsi="宋体" w:cs="宋体" w:eastAsia="宋体" w:hint="default"/>
                <w:sz w:val="18"/>
                <w:szCs w:val="18"/>
              </w:rPr>
            </w:pPr>
            <w:r>
              <w:rPr>
                <w:rFonts w:ascii="宋体" w:hAnsi="宋体" w:cs="宋体" w:eastAsia="宋体" w:hint="default"/>
                <w:sz w:val="18"/>
                <w:szCs w:val="18"/>
              </w:rPr>
              <w:t>剩余期限</w:t>
            </w:r>
          </w:p>
        </w:tc>
        <w:tc>
          <w:tcPr>
            <w:tcW w:w="18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395" w:right="0"/>
              <w:jc w:val="left"/>
              <w:rPr>
                <w:rFonts w:ascii="宋体" w:hAnsi="宋体" w:cs="宋体" w:eastAsia="宋体" w:hint="default"/>
                <w:sz w:val="18"/>
                <w:szCs w:val="18"/>
              </w:rPr>
            </w:pPr>
            <w:r>
              <w:rPr>
                <w:rFonts w:ascii="宋体" w:hAnsi="宋体" w:cs="宋体" w:eastAsia="宋体" w:hint="default"/>
                <w:sz w:val="18"/>
                <w:szCs w:val="18"/>
              </w:rPr>
              <w:t>利率区间</w:t>
            </w:r>
          </w:p>
        </w:tc>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4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81" w:right="0"/>
              <w:jc w:val="left"/>
              <w:rPr>
                <w:rFonts w:ascii="宋体" w:hAnsi="宋体" w:cs="宋体" w:eastAsia="宋体" w:hint="default"/>
                <w:sz w:val="18"/>
                <w:szCs w:val="18"/>
              </w:rPr>
            </w:pPr>
            <w:r>
              <w:rPr>
                <w:rFonts w:ascii="宋体" w:hAnsi="宋体" w:cs="宋体" w:eastAsia="宋体" w:hint="default"/>
                <w:sz w:val="18"/>
                <w:szCs w:val="18"/>
              </w:rPr>
              <w:t>利率区间</w:t>
            </w:r>
          </w:p>
        </w:tc>
      </w:tr>
      <w:tr>
        <w:trPr>
          <w:trHeight w:val="343" w:hRule="exact"/>
        </w:trPr>
        <w:tc>
          <w:tcPr>
            <w:tcW w:w="20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
              <w:ind w:left="7" w:right="0"/>
              <w:jc w:val="left"/>
              <w:rPr>
                <w:rFonts w:ascii="宋体" w:hAnsi="宋体" w:cs="宋体" w:eastAsia="宋体" w:hint="default"/>
                <w:sz w:val="18"/>
                <w:szCs w:val="18"/>
              </w:rPr>
            </w:pPr>
            <w:r>
              <w:rPr>
                <w:rFonts w:ascii="宋体" w:hAnsi="宋体" w:cs="宋体" w:eastAsia="宋体" w:hint="default"/>
                <w:sz w:val="18"/>
                <w:szCs w:val="18"/>
              </w:rPr>
              <w:t>一个月内</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634,600,000.00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1.152%-4.30%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634,600,000.00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11,011,867.40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453,376,252.63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251,668,786.89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212,719,333.14</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26,918,195.14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26,822,748.98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95,446.16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11,011,867.40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480,294,447.77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278,491,535.87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212,814,779.30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10,684,554.14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419,845,720.95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221,326,711.73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209,203,563.36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4,955,757.43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4,776,257.43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179,500.00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13,269,609.02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13,221,734.72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47,874.30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6,357,884.86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6,367,556.86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-17,544.00</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335,185.26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8,947,280.37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5,976,526.15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3,305,939.48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11,011,867.40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453,376,252.63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251,668,786.89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212,719,333.14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pStyle w:val="Heading5"/>
        <w:spacing w:line="240" w:lineRule="auto" w:before="108"/>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25,695,573.25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25,605,309.85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90,263.40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1,222,621.89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1,217,439.13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5,182.76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26,918,195.14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26,822,748.98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95,446.16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226,186.15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7,682,996.04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10,389,045.50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5,969,006.78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33,336,663.61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29,297,717.19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5,665,206.14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1,253,916.82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989,365.42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580,176.98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代扣代缴限售股解禁个人所得税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167,995.54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823,138.65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830,706.42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155,729.09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1,285,517.97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1,008,847.38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1,248,459.18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15,868.46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54,263,168.79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46,779,816.70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27</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1,060,273.97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卖出回购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2,008,714.13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次级债券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5,568,988.10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pStyle w:val="Heading5"/>
        <w:spacing w:line="240" w:lineRule="auto" w:before="108"/>
        <w:ind w:right="0"/>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6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应付经纪业务清算款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394,367,794.26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证券投资者保护基金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7,574,790.62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期货投资者保障基金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619,328.64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期货风险准备金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7,496,168.19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开放式基金及集合理财计划待交收款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292,314,808.07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押金及其他应付款项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35,093,838.21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859,097.97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737,466,727.99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859,097.97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29</w:t>
      </w:r>
      <w:r>
        <w:rPr/>
        <w:t>、</w:t>
      </w:r>
      <w:r>
        <w:rPr>
          <w:spacing w:val="1"/>
        </w:rPr>
        <w:t> </w:t>
      </w:r>
      <w:r>
        <w:rPr/>
        <w:t>代理买卖证券款</w:t>
      </w:r>
      <w:r>
        <w:rPr>
          <w:b w:val="0"/>
          <w:bCs w:val="0"/>
        </w:rPr>
      </w:r>
    </w:p>
    <w:p>
      <w:pPr>
        <w:spacing w:line="240" w:lineRule="auto" w:before="11"/>
        <w:rPr>
          <w:rFonts w:ascii="宋体" w:hAnsi="宋体" w:cs="宋体" w:eastAsia="宋体" w:hint="default"/>
          <w:b/>
          <w:bCs/>
          <w:sz w:val="25"/>
          <w:szCs w:val="25"/>
        </w:rPr>
      </w:pPr>
    </w:p>
    <w:tbl>
      <w:tblPr>
        <w:tblW w:w="0" w:type="auto"/>
        <w:jc w:val="left"/>
        <w:tblInd w:w="714" w:type="dxa"/>
        <w:tblLayout w:type="fixed"/>
        <w:tblCellMar>
          <w:top w:w="0" w:type="dxa"/>
          <w:left w:w="0" w:type="dxa"/>
          <w:bottom w:w="0" w:type="dxa"/>
          <w:right w:w="0" w:type="dxa"/>
        </w:tblCellMar>
        <w:tblLook w:val="01E0"/>
      </w:tblPr>
      <w:tblGrid>
        <w:gridCol w:w="3121"/>
        <w:gridCol w:w="1985"/>
        <w:gridCol w:w="2605"/>
      </w:tblGrid>
      <w:tr>
        <w:trPr>
          <w:trHeight w:val="338"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48" w:right="0"/>
              <w:jc w:val="left"/>
              <w:rPr>
                <w:rFonts w:ascii="宋体" w:hAnsi="宋体" w:cs="宋体" w:eastAsia="宋体" w:hint="default"/>
                <w:sz w:val="18"/>
                <w:szCs w:val="18"/>
              </w:rPr>
            </w:pPr>
            <w:r>
              <w:rPr>
                <w:rFonts w:ascii="宋体" w:hAnsi="宋体" w:cs="宋体" w:eastAsia="宋体" w:hint="default"/>
                <w:sz w:val="18"/>
                <w:szCs w:val="18"/>
              </w:rPr>
              <w:t>期末账款余额</w:t>
            </w:r>
          </w:p>
        </w:tc>
        <w:tc>
          <w:tcPr>
            <w:tcW w:w="26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75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普通经纪业务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7,443,479,501.49</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个人户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6,606,556,639.21</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机构户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836,922,862.28</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left"/>
              <w:rPr>
                <w:rFonts w:ascii="宋体" w:hAnsi="宋体" w:cs="宋体" w:eastAsia="宋体" w:hint="default"/>
                <w:sz w:val="21"/>
                <w:szCs w:val="21"/>
              </w:rPr>
            </w:pPr>
            <w:r>
              <w:rPr>
                <w:rFonts w:ascii="宋体" w:hAnsi="宋体" w:cs="宋体" w:eastAsia="宋体" w:hint="default"/>
                <w:sz w:val="21"/>
                <w:szCs w:val="21"/>
              </w:rPr>
              <w:t>信用经纪业务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228,946,215.17</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个人户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228,945,729.79</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机构户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z w:val="21"/>
              </w:rPr>
              <w:t>485.38</w:t>
            </w:r>
          </w:p>
        </w:tc>
        <w:tc>
          <w:tcPr>
            <w:tcW w:w="26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8" w:right="0"/>
              <w:jc w:val="left"/>
              <w:rPr>
                <w:rFonts w:ascii="宋体" w:hAnsi="宋体" w:cs="宋体" w:eastAsia="宋体" w:hint="default"/>
                <w:sz w:val="21"/>
                <w:szCs w:val="21"/>
              </w:rPr>
            </w:pPr>
            <w:r>
              <w:rPr>
                <w:rFonts w:ascii="宋体" w:hAnsi="宋体" w:cs="宋体" w:eastAsia="宋体" w:hint="default"/>
                <w:sz w:val="21"/>
                <w:szCs w:val="21"/>
              </w:rPr>
              <w:t>基金第三方销售业务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4,224,808,555.17</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4,051,570,322.77</w:t>
            </w:r>
          </w:p>
        </w:tc>
      </w:tr>
      <w:tr>
        <w:trPr>
          <w:trHeight w:val="34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11,897,234,271.83</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4,051,570,322.77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30</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2"/>
          <w:szCs w:val="22"/>
        </w:rPr>
      </w:pPr>
    </w:p>
    <w:p>
      <w:pPr>
        <w:spacing w:before="44"/>
        <w:ind w:left="0" w:right="6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次级债务：西藏银行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spacing w:before="44"/>
        <w:ind w:left="0" w:right="6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1253"/>
        <w:gridCol w:w="800"/>
        <w:gridCol w:w="797"/>
        <w:gridCol w:w="1200"/>
        <w:gridCol w:w="797"/>
        <w:gridCol w:w="799"/>
        <w:gridCol w:w="798"/>
        <w:gridCol w:w="799"/>
        <w:gridCol w:w="797"/>
        <w:gridCol w:w="1361"/>
      </w:tblGrid>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2"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after="0" w:line="240" w:lineRule="auto"/>
        <w:jc w:val="left"/>
        <w:rPr>
          <w:rFonts w:ascii="宋体" w:hAnsi="宋体" w:cs="宋体" w:eastAsia="宋体" w:hint="default"/>
          <w:sz w:val="18"/>
          <w:szCs w:val="18"/>
        </w:rPr>
        <w:sectPr>
          <w:pgSz w:w="11910" w:h="16840"/>
          <w:pgMar w:header="852" w:footer="979" w:top="1300" w:bottom="1160" w:left="980" w:right="46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98"/>
        <w:gridCol w:w="1253"/>
        <w:gridCol w:w="800"/>
        <w:gridCol w:w="797"/>
        <w:gridCol w:w="1200"/>
        <w:gridCol w:w="797"/>
        <w:gridCol w:w="799"/>
        <w:gridCol w:w="797"/>
        <w:gridCol w:w="800"/>
        <w:gridCol w:w="797"/>
        <w:gridCol w:w="1361"/>
      </w:tblGrid>
      <w:tr>
        <w:trPr>
          <w:trHeight w:val="363"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224"/>
              <w:jc w:val="left"/>
              <w:rPr>
                <w:rFonts w:ascii="宋体" w:hAnsi="宋体" w:cs="宋体" w:eastAsia="宋体" w:hint="default"/>
                <w:sz w:val="18"/>
                <w:szCs w:val="18"/>
              </w:rPr>
            </w:pPr>
            <w:r>
              <w:rPr>
                <w:rFonts w:ascii="宋体" w:hAnsi="宋体" w:cs="宋体" w:eastAsia="宋体" w:hint="default"/>
                <w:sz w:val="18"/>
                <w:szCs w:val="18"/>
              </w:rPr>
              <w:t>次级债 务：</w:t>
            </w:r>
          </w:p>
        </w:tc>
        <w:tc>
          <w:tcPr>
            <w:tcW w:w="1253"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西藏银行</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500,000,000.00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2013.11.2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500,000,000.00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1"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500,000,000.00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6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5,463,666.65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164,000.02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5,463,666.65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6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360"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年软件和集</w:t>
            </w:r>
          </w:p>
        </w:tc>
        <w:tc>
          <w:tcPr>
            <w:tcW w:w="1369"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72"/>
              <w:jc w:val="left"/>
              <w:rPr>
                <w:rFonts w:ascii="宋体" w:hAnsi="宋体" w:cs="宋体" w:eastAsia="宋体" w:hint="default"/>
                <w:sz w:val="18"/>
                <w:szCs w:val="18"/>
              </w:rPr>
            </w:pPr>
            <w:r>
              <w:rPr>
                <w:rFonts w:ascii="宋体" w:hAnsi="宋体" w:cs="宋体" w:eastAsia="宋体" w:hint="default"/>
                <w:sz w:val="18"/>
                <w:szCs w:val="18"/>
              </w:rPr>
              <w:t>成电路产业发展 专项资金注（注</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587,666.67</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164,000.02</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423,666.65</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3"/>
              <w:jc w:val="right"/>
              <w:rPr>
                <w:rFonts w:ascii="宋体" w:hAnsi="宋体" w:cs="宋体" w:eastAsia="宋体" w:hint="default"/>
                <w:sz w:val="18"/>
                <w:szCs w:val="18"/>
              </w:rPr>
            </w:pPr>
            <w:r>
              <w:rPr>
                <w:rFonts w:ascii="宋体" w:hAnsi="宋体" w:cs="宋体" w:eastAsia="宋体" w:hint="default"/>
                <w:sz w:val="18"/>
                <w:szCs w:val="18"/>
              </w:rPr>
              <w:t>与资产与收益均</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相关</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9"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金融理财电子商 务平台（注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与资产与收益均</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金融服务互动平 台升级项目（注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与资产与收益均</w:t>
            </w:r>
          </w:p>
          <w:p>
            <w:pPr>
              <w:pStyle w:val="TableParagraph"/>
              <w:spacing w:line="240" w:lineRule="auto" w:before="76"/>
              <w:ind w:right="23"/>
              <w:jc w:val="right"/>
              <w:rPr>
                <w:rFonts w:ascii="宋体" w:hAnsi="宋体" w:cs="宋体" w:eastAsia="宋体" w:hint="default"/>
                <w:sz w:val="18"/>
                <w:szCs w:val="18"/>
              </w:rPr>
            </w:pPr>
            <w:r>
              <w:rPr>
                <w:rFonts w:ascii="宋体" w:hAnsi="宋体" w:cs="宋体" w:eastAsia="宋体" w:hint="default"/>
                <w:sz w:val="18"/>
                <w:szCs w:val="18"/>
              </w:rPr>
              <w:t>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互联网金融量化 投资平台项目</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与资产与收益均</w:t>
            </w:r>
          </w:p>
          <w:p>
            <w:pPr>
              <w:pStyle w:val="TableParagraph"/>
              <w:spacing w:line="240" w:lineRule="auto" w:before="74"/>
              <w:ind w:right="23"/>
              <w:jc w:val="right"/>
              <w:rPr>
                <w:rFonts w:ascii="宋体" w:hAnsi="宋体" w:cs="宋体" w:eastAsia="宋体" w:hint="default"/>
                <w:sz w:val="18"/>
                <w:szCs w:val="18"/>
              </w:rPr>
            </w:pPr>
            <w:r>
              <w:rPr>
                <w:rFonts w:ascii="宋体" w:hAnsi="宋体" w:cs="宋体" w:eastAsia="宋体" w:hint="default"/>
                <w:sz w:val="18"/>
                <w:szCs w:val="18"/>
              </w:rPr>
              <w:t>相关</w:t>
            </w:r>
          </w:p>
        </w:tc>
      </w:tr>
      <w:tr>
        <w:trPr>
          <w:trHeight w:val="361"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P2B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的东方</w:t>
            </w:r>
          </w:p>
        </w:tc>
        <w:tc>
          <w:tcPr>
            <w:tcW w:w="1369"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72"/>
              <w:jc w:val="left"/>
              <w:rPr>
                <w:rFonts w:ascii="宋体" w:hAnsi="宋体" w:cs="宋体" w:eastAsia="宋体" w:hint="default"/>
                <w:sz w:val="18"/>
                <w:szCs w:val="18"/>
              </w:rPr>
            </w:pPr>
            <w:r>
              <w:rPr>
                <w:rFonts w:ascii="宋体" w:hAnsi="宋体" w:cs="宋体" w:eastAsia="宋体" w:hint="default"/>
                <w:sz w:val="18"/>
                <w:szCs w:val="18"/>
              </w:rPr>
              <w:t>财富非标准化金 融资产服务平台</w:t>
            </w:r>
          </w:p>
        </w:tc>
        <w:tc>
          <w:tcPr>
            <w:tcW w:w="1369"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宣传部人才项目 计划</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4,587,666.67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5,463,666.65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left="870" w:right="0"/>
        <w:jc w:val="left"/>
      </w:pPr>
      <w:r>
        <w:rPr>
          <w:spacing w:val="-2"/>
        </w:rPr>
        <w:t>注</w:t>
      </w:r>
      <w:r>
        <w:rPr>
          <w:rFonts w:ascii="宋体" w:hAnsi="宋体" w:cs="宋体" w:eastAsia="宋体" w:hint="default"/>
          <w:spacing w:val="-2"/>
        </w:rPr>
        <w:t>1</w:t>
      </w: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月收到上海市国库收付中心零余额专户资金共计</w:t>
      </w:r>
      <w:r>
        <w:rPr>
          <w:rFonts w:ascii="宋体" w:hAnsi="宋体" w:cs="宋体" w:eastAsia="宋体" w:hint="default"/>
          <w:spacing w:val="-2"/>
        </w:rPr>
        <w:t>1</w:t>
      </w:r>
      <w:r>
        <w:rPr>
          <w:rFonts w:ascii="Times New Roman" w:hAnsi="Times New Roman" w:cs="Times New Roman" w:eastAsia="Times New Roman" w:hint="default"/>
          <w:spacing w:val="-2"/>
        </w:rPr>
        <w:t>,</w:t>
      </w:r>
      <w:r>
        <w:rPr>
          <w:rFonts w:ascii="宋体" w:hAnsi="宋体" w:cs="宋体" w:eastAsia="宋体" w:hint="default"/>
          <w:spacing w:val="-2"/>
        </w:rPr>
        <w:t>800</w:t>
      </w:r>
      <w:r>
        <w:rPr>
          <w:rFonts w:ascii="Times New Roman" w:hAnsi="Times New Roman" w:cs="Times New Roman" w:eastAsia="Times New Roman" w:hint="default"/>
          <w:spacing w:val="-2"/>
        </w:rPr>
        <w:t>,</w:t>
      </w:r>
      <w:r>
        <w:rPr>
          <w:rFonts w:ascii="宋体" w:hAnsi="宋体" w:cs="宋体" w:eastAsia="宋体" w:hint="default"/>
          <w:spacing w:val="-2"/>
        </w:rPr>
        <w:t>000.00</w:t>
      </w:r>
      <w:r>
        <w:rPr>
          <w:spacing w:val="-2"/>
        </w:rPr>
        <w:t>元，根据上海市</w:t>
      </w:r>
      <w:r>
        <w:rPr>
          <w:spacing w:val="-15"/>
        </w:rPr>
        <w:t> </w:t>
      </w:r>
      <w:r>
        <w:rPr>
          <w:spacing w:val="-15"/>
        </w:rPr>
      </w:r>
      <w:r>
        <w:rPr>
          <w:spacing w:val="-2"/>
        </w:rPr>
        <w:t>经济和信息化委员会文件沪经信（</w:t>
      </w:r>
      <w:r>
        <w:rPr>
          <w:rFonts w:ascii="宋体" w:hAnsi="宋体" w:cs="宋体" w:eastAsia="宋体" w:hint="default"/>
          <w:spacing w:val="-2"/>
        </w:rPr>
        <w:t>2012</w:t>
      </w:r>
      <w:r>
        <w:rPr>
          <w:spacing w:val="-2"/>
        </w:rPr>
        <w:t>）</w:t>
      </w:r>
      <w:r>
        <w:rPr>
          <w:rFonts w:ascii="宋体" w:hAnsi="宋体" w:cs="宋体" w:eastAsia="宋体" w:hint="default"/>
          <w:spacing w:val="-2"/>
        </w:rPr>
        <w:t>689</w:t>
      </w:r>
      <w:r>
        <w:rPr>
          <w:spacing w:val="-2"/>
        </w:rPr>
        <w:t>号上海市经济信息化委关于下达《</w:t>
      </w:r>
      <w:r>
        <w:rPr>
          <w:rFonts w:ascii="宋体" w:hAnsi="宋体" w:cs="宋体" w:eastAsia="宋体" w:hint="default"/>
          <w:spacing w:val="-2"/>
        </w:rPr>
        <w:t>2012</w:t>
      </w:r>
      <w:r>
        <w:rPr>
          <w:spacing w:val="-2"/>
        </w:rPr>
        <w:t>年度软件和集</w:t>
      </w:r>
    </w:p>
    <w:p>
      <w:pPr>
        <w:spacing w:after="0" w:line="256" w:lineRule="auto"/>
        <w:jc w:val="left"/>
        <w:sectPr>
          <w:footerReference w:type="default" r:id="rId27"/>
          <w:pgSz w:w="11910" w:h="16840"/>
          <w:pgMar w:footer="979" w:header="852" w:top="1300" w:bottom="1160" w:left="980" w:right="460"/>
          <w:pgNumType w:start="120"/>
        </w:sectPr>
      </w:pPr>
    </w:p>
    <w:p>
      <w:pPr>
        <w:pStyle w:val="BodyText"/>
        <w:spacing w:line="264" w:lineRule="auto" w:before="108"/>
        <w:ind w:left="870" w:right="0"/>
        <w:jc w:val="left"/>
      </w:pPr>
      <w:r>
        <w:rPr/>
        <w:t>成电路产业发展专项资金项目计划的通知》，该专项资金用于采购设备及人工费用等。公司根据</w:t>
      </w:r>
      <w:r>
        <w:rPr>
          <w:spacing w:val="-9"/>
        </w:rPr>
        <w:t> </w:t>
      </w:r>
      <w:r>
        <w:rPr>
          <w:spacing w:val="-9"/>
        </w:rPr>
      </w:r>
      <w:r>
        <w:rPr/>
        <w:t>项目实际投入情况，该项补助分解为与资产相关部分和与收益相关部分，本项目已验收完毕，本 </w:t>
      </w:r>
      <w:r>
        <w:rPr/>
        <w:t>期结转与资产相关营业外收入</w:t>
      </w:r>
      <w:r>
        <w:rPr>
          <w:rFonts w:ascii="宋体" w:hAnsi="宋体" w:cs="宋体" w:eastAsia="宋体" w:hint="default"/>
        </w:rPr>
        <w:t>164</w:t>
      </w:r>
      <w:r>
        <w:rPr>
          <w:rFonts w:ascii="Times New Roman" w:hAnsi="Times New Roman" w:cs="Times New Roman" w:eastAsia="Times New Roman" w:hint="default"/>
        </w:rPr>
        <w:t>,</w:t>
      </w:r>
      <w:r>
        <w:rPr>
          <w:rFonts w:ascii="宋体" w:hAnsi="宋体" w:cs="宋体" w:eastAsia="宋体" w:hint="default"/>
        </w:rPr>
        <w:t>000.02</w:t>
      </w:r>
      <w:r>
        <w:rPr/>
        <w:t>元，截至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日期末余额均为与资产相关。</w:t>
      </w:r>
      <w:r>
        <w:rPr>
          <w:w w:val="100"/>
        </w:rPr>
        <w:t> </w:t>
      </w:r>
      <w:r>
        <w:rPr>
          <w:spacing w:val="-2"/>
        </w:rPr>
        <w:t>注</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月收到上海市国库收付中心零余额专户资金共计</w:t>
      </w:r>
      <w:r>
        <w:rPr>
          <w:rFonts w:ascii="Times New Roman" w:hAnsi="Times New Roman" w:cs="Times New Roman" w:eastAsia="Times New Roman" w:hint="default"/>
          <w:spacing w:val="-2"/>
        </w:rPr>
        <w:t>960,000.00</w:t>
      </w:r>
      <w:r>
        <w:rPr>
          <w:spacing w:val="-2"/>
        </w:rPr>
        <w:t>元，根据上海市科</w:t>
      </w:r>
      <w:r>
        <w:rPr>
          <w:spacing w:val="-17"/>
        </w:rPr>
        <w:t> </w:t>
      </w:r>
      <w:r>
        <w:rPr>
          <w:spacing w:val="-17"/>
        </w:rPr>
      </w:r>
      <w:r>
        <w:rPr/>
        <w:t>学技术委员会《金融理财电子商务平台》科研计划项目课题合同规定，该专项资金用于采购设备</w:t>
      </w:r>
      <w:r>
        <w:rPr>
          <w:spacing w:val="-9"/>
        </w:rPr>
        <w:t> </w:t>
      </w:r>
      <w:r>
        <w:rPr>
          <w:spacing w:val="-9"/>
        </w:rPr>
      </w:r>
      <w:r>
        <w:rPr/>
        <w:t>及人工费用等。截至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日该项目尚未验收，本期不摊销。</w:t>
      </w:r>
      <w:r>
        <w:rPr>
          <w:w w:val="100"/>
        </w:rPr>
        <w:t> </w:t>
      </w:r>
      <w:r>
        <w:rPr>
          <w:spacing w:val="-2"/>
        </w:rPr>
        <w:t>注</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月收到上海市嘉定区财政资金收付中心资金</w:t>
      </w:r>
      <w:r>
        <w:rPr>
          <w:rFonts w:ascii="Times New Roman" w:hAnsi="Times New Roman" w:cs="Times New Roman" w:eastAsia="Times New Roman" w:hint="default"/>
          <w:spacing w:val="-2"/>
        </w:rPr>
        <w:t>800,000.00</w:t>
      </w:r>
      <w:r>
        <w:rPr>
          <w:spacing w:val="-2"/>
        </w:rPr>
        <w:t>元，于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月收到</w:t>
      </w:r>
      <w:r>
        <w:rPr>
          <w:spacing w:val="-13"/>
        </w:rPr>
        <w:t> </w:t>
      </w:r>
      <w:r>
        <w:rPr>
          <w:spacing w:val="-13"/>
        </w:rPr>
      </w:r>
      <w:r>
        <w:rPr>
          <w:spacing w:val="-2"/>
        </w:rPr>
        <w:t>上海市嘉定区财政资金收付中心资金共计</w:t>
      </w:r>
      <w:r>
        <w:rPr>
          <w:rFonts w:ascii="Times New Roman" w:hAnsi="Times New Roman" w:cs="Times New Roman" w:eastAsia="Times New Roman" w:hint="default"/>
          <w:spacing w:val="-2"/>
        </w:rPr>
        <w:t>240,000.00</w:t>
      </w:r>
      <w:r>
        <w:rPr>
          <w:spacing w:val="-2"/>
        </w:rPr>
        <w:t>元，根据上海市文化创意产业推进领导小组办</w:t>
      </w:r>
      <w:r>
        <w:rPr>
          <w:spacing w:val="-23"/>
        </w:rPr>
        <w:t> </w:t>
      </w:r>
      <w:r>
        <w:rPr>
          <w:spacing w:val="-23"/>
        </w:rPr>
      </w:r>
      <w:r>
        <w:rPr/>
        <w:t>公室《东方财富网金融服务互动平台升级项目》项目计划任务书规定，该专项资金用于采购设备</w:t>
      </w:r>
      <w:r>
        <w:rPr>
          <w:spacing w:val="-9"/>
        </w:rPr>
        <w:t> </w:t>
      </w:r>
      <w:r>
        <w:rPr>
          <w:spacing w:val="-9"/>
        </w:rPr>
      </w:r>
      <w:r>
        <w:rPr/>
        <w:t>及人工费用等。截至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日该项目尚未验收，本期不摊销。</w:t>
      </w:r>
      <w:r>
        <w:rPr>
          <w:w w:val="100"/>
        </w:rPr>
        <w:t> </w:t>
      </w:r>
      <w:r>
        <w:rPr/>
        <w:t>注</w:t>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月收到上海市国库收付中心零余额专户资金共计</w:t>
      </w:r>
      <w:r>
        <w:rPr>
          <w:rFonts w:ascii="Times New Roman" w:hAnsi="Times New Roman" w:cs="Times New Roman" w:eastAsia="Times New Roman" w:hint="default"/>
        </w:rPr>
        <w:t>2,000,000.00</w:t>
      </w:r>
      <w:r>
        <w:rPr/>
        <w:t>元</w:t>
      </w:r>
      <w:r>
        <w:rPr>
          <w:rFonts w:ascii="Times New Roman" w:hAnsi="Times New Roman" w:cs="Times New Roman" w:eastAsia="Times New Roman" w:hint="default"/>
        </w:rPr>
        <w:t>,</w:t>
      </w:r>
      <w:r>
        <w:rPr/>
        <w:t>根据上海市</w:t>
      </w:r>
      <w:r>
        <w:rPr>
          <w:spacing w:val="-11"/>
        </w:rPr>
        <w:t> </w:t>
      </w:r>
      <w:r>
        <w:rPr>
          <w:spacing w:val="-11"/>
        </w:rPr>
      </w:r>
      <w:r>
        <w:rPr>
          <w:spacing w:val="-2"/>
        </w:rPr>
        <w:t>经济和信息化委员会文件沪经信推（</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769</w:t>
      </w:r>
      <w:r>
        <w:rPr>
          <w:spacing w:val="-2"/>
        </w:rPr>
        <w:t>号上海市经济信息化委关于下达</w:t>
      </w:r>
      <w:r>
        <w:rPr>
          <w:rFonts w:ascii="Times New Roman" w:hAnsi="Times New Roman" w:cs="Times New Roman" w:eastAsia="Times New Roman" w:hint="default"/>
          <w:spacing w:val="-2"/>
        </w:rPr>
        <w:t>2013</w:t>
      </w:r>
      <w:r>
        <w:rPr>
          <w:spacing w:val="-2"/>
        </w:rPr>
        <w:t>年上海市信息</w:t>
      </w:r>
      <w:r>
        <w:rPr>
          <w:spacing w:val="-20"/>
        </w:rPr>
        <w:t> </w:t>
      </w:r>
      <w:r>
        <w:rPr>
          <w:spacing w:val="-20"/>
        </w:rPr>
      </w:r>
      <w:r>
        <w:rPr/>
        <w:t>化发展专项资金项目计划（第二批）的《东方财富互联网金融量化投资平台》通知，该专项资金</w:t>
      </w:r>
      <w:r>
        <w:rPr>
          <w:spacing w:val="-9"/>
        </w:rPr>
        <w:t> </w:t>
      </w:r>
      <w:r>
        <w:rPr>
          <w:spacing w:val="-9"/>
        </w:rPr>
      </w:r>
      <w:r>
        <w:rPr/>
        <w:t>用于采购设备及人工费用等。截至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日该项目尚未验收，本期不摊销。</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32</w:t>
      </w:r>
      <w:r>
        <w:rPr/>
        <w:t>、股本</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40"/>
        <w:gridCol w:w="1541"/>
        <w:gridCol w:w="1196"/>
        <w:gridCol w:w="1195"/>
        <w:gridCol w:w="1198"/>
        <w:gridCol w:w="823"/>
        <w:gridCol w:w="1265"/>
        <w:gridCol w:w="1500"/>
      </w:tblGrid>
      <w:tr>
        <w:trPr>
          <w:trHeight w:val="206" w:hRule="exact"/>
        </w:trPr>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88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840" w:type="dxa"/>
            <w:vMerge w:val="restart"/>
            <w:tcBorders>
              <w:top w:val="nil" w:sz="6" w:space="0" w:color="auto"/>
              <w:left w:val="single" w:sz="4" w:space="0" w:color="000000"/>
              <w:right w:val="single" w:sz="4" w:space="0" w:color="000000"/>
            </w:tcBorders>
            <w:shd w:val="clear" w:color="auto" w:fill="D2D2D2"/>
          </w:tcPr>
          <w:p>
            <w:pPr/>
          </w:p>
        </w:tc>
        <w:tc>
          <w:tcPr>
            <w:tcW w:w="1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8" w:type="dxa"/>
            <w:gridSpan w:val="5"/>
            <w:vMerge/>
            <w:tcBorders>
              <w:left w:val="single" w:sz="4" w:space="0" w:color="000000"/>
              <w:bottom w:val="single" w:sz="4" w:space="0" w:color="000000"/>
              <w:right w:val="single" w:sz="4" w:space="0" w:color="000000"/>
            </w:tcBorders>
            <w:shd w:val="clear" w:color="auto" w:fill="D2D2D2"/>
          </w:tcPr>
          <w:p>
            <w:pPr/>
          </w:p>
        </w:tc>
        <w:tc>
          <w:tcPr>
            <w:tcW w:w="15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840" w:type="dxa"/>
            <w:vMerge/>
            <w:tcBorders>
              <w:left w:val="single" w:sz="4" w:space="0" w:color="000000"/>
              <w:bottom w:val="nil" w:sz="6" w:space="0" w:color="auto"/>
              <w:right w:val="single" w:sz="4" w:space="0" w:color="000000"/>
            </w:tcBorders>
            <w:shd w:val="clear" w:color="auto" w:fill="D2D2D2"/>
          </w:tcPr>
          <w:p>
            <w:pPr/>
          </w:p>
        </w:tc>
        <w:tc>
          <w:tcPr>
            <w:tcW w:w="154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1,209,600,000.00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160,452,052.00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241,920,000.00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241,920,000.00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644,292,052.00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1,853,892,052.00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870" w:right="149"/>
        <w:jc w:val="both"/>
      </w:pPr>
      <w:r>
        <w:rPr/>
        <w:t>（</w:t>
      </w:r>
      <w:r>
        <w:rPr>
          <w:spacing w:val="-77"/>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16"/>
        </w:rPr>
        <w:t>）根据公司</w:t>
      </w:r>
      <w:r>
        <w:rPr>
          <w:spacing w:val="-7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spacing w:val="19"/>
        </w:rPr>
        <w:t>年度股东大会决议和修改后的章程规定，</w:t>
      </w:r>
      <w:r>
        <w:rPr>
          <w:spacing w:val="-79"/>
        </w:rPr>
        <w:t> </w:t>
      </w:r>
      <w:r>
        <w:rPr>
          <w:spacing w:val="14"/>
        </w:rPr>
        <w:t>公司以</w:t>
      </w:r>
      <w:r>
        <w:rPr>
          <w:spacing w:val="-7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w:t>
      </w:r>
      <w:r>
        <w:rPr>
          <w:spacing w:val="-79"/>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76"/>
        </w:rPr>
        <w:t>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spacing w:val="14"/>
        </w:rPr>
        <w:t>日股本</w:t>
      </w:r>
      <w:r>
        <w:rPr>
          <w:spacing w:val="-100"/>
        </w:rPr>
        <w:t> </w:t>
      </w:r>
      <w:r>
        <w:rPr>
          <w:spacing w:val="-100"/>
        </w:rPr>
      </w:r>
      <w:r>
        <w:rPr>
          <w:rFonts w:ascii="Times New Roman" w:hAnsi="Times New Roman" w:cs="Times New Roman" w:eastAsia="Times New Roman" w:hint="default"/>
        </w:rPr>
        <w:t>1,209,600,000</w:t>
      </w:r>
      <w:r>
        <w:rPr/>
        <w:t>股为基数，用资本公积金向全体股东每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股，共转增</w:t>
      </w:r>
      <w:r>
        <w:rPr>
          <w:rFonts w:ascii="Times New Roman" w:hAnsi="Times New Roman" w:cs="Times New Roman" w:eastAsia="Times New Roman" w:hint="default"/>
        </w:rPr>
        <w:t>241,920,000</w:t>
      </w:r>
      <w:r>
        <w:rPr/>
        <w:t>股；以</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日总股本</w:t>
      </w:r>
      <w:r>
        <w:rPr>
          <w:rFonts w:ascii="Times New Roman" w:hAnsi="Times New Roman" w:cs="Times New Roman" w:eastAsia="Times New Roman" w:hint="default"/>
          <w:spacing w:val="7"/>
        </w:rPr>
        <w:t>1,209,600,000</w:t>
      </w:r>
      <w:r>
        <w:rPr>
          <w:spacing w:val="7"/>
        </w:rPr>
        <w:t>股为基数，向全体股东每</w:t>
      </w:r>
      <w:r>
        <w:rPr>
          <w:rFonts w:ascii="Times New Roman" w:hAnsi="Times New Roman" w:cs="Times New Roman" w:eastAsia="Times New Roman" w:hint="default"/>
          <w:spacing w:val="7"/>
        </w:rPr>
        <w:t>10</w:t>
      </w:r>
      <w:r>
        <w:rPr>
          <w:spacing w:val="7"/>
        </w:rPr>
        <w:t>股送红股</w:t>
      </w:r>
      <w:r>
        <w:rPr>
          <w:rFonts w:ascii="Times New Roman" w:hAnsi="Times New Roman" w:cs="Times New Roman" w:eastAsia="Times New Roman" w:hint="default"/>
          <w:spacing w:val="7"/>
        </w:rPr>
        <w:t>2</w:t>
      </w:r>
      <w:r>
        <w:rPr>
          <w:spacing w:val="7"/>
        </w:rPr>
        <w:t>股（含税），共送红股</w:t>
      </w:r>
      <w:r>
        <w:rPr>
          <w:spacing w:val="-11"/>
        </w:rPr>
        <w:t> </w:t>
      </w:r>
      <w:r>
        <w:rPr>
          <w:spacing w:val="-11"/>
        </w:rPr>
      </w:r>
      <w:r>
        <w:rPr>
          <w:rFonts w:ascii="Times New Roman" w:hAnsi="Times New Roman" w:cs="Times New Roman" w:eastAsia="Times New Roman" w:hint="default"/>
        </w:rPr>
        <w:t>241,920,000</w:t>
      </w:r>
      <w:r>
        <w:rPr/>
        <w:t>股，上述转股和送股合计增加股本</w:t>
      </w:r>
      <w:r>
        <w:rPr>
          <w:rFonts w:ascii="Times New Roman" w:hAnsi="Times New Roman" w:cs="Times New Roman" w:eastAsia="Times New Roman" w:hint="default"/>
        </w:rPr>
        <w:t>483,840,000</w:t>
      </w:r>
      <w:r>
        <w:rPr/>
        <w:t>股。</w:t>
      </w:r>
    </w:p>
    <w:p>
      <w:pPr>
        <w:pStyle w:val="BodyText"/>
        <w:spacing w:line="261" w:lineRule="auto" w:before="5"/>
        <w:ind w:left="870" w:right="146"/>
        <w:jc w:val="both"/>
      </w:pPr>
      <w:r>
        <w:rPr>
          <w:spacing w:val="-2"/>
        </w:rPr>
        <w:t>（</w:t>
      </w:r>
      <w:r>
        <w:rPr>
          <w:rFonts w:ascii="Times New Roman" w:hAnsi="Times New Roman" w:cs="Times New Roman" w:eastAsia="Times New Roman" w:hint="default"/>
          <w:spacing w:val="-2"/>
        </w:rPr>
        <w:t>2</w:t>
      </w:r>
      <w:r>
        <w:rPr>
          <w:spacing w:val="-2"/>
        </w:rPr>
        <w:t>）根据公司第三届董事会第二十二次会议审议通过的《关于公司首期股票期权激励计划首次授</w:t>
      </w:r>
      <w:r>
        <w:rPr>
          <w:spacing w:val="-30"/>
        </w:rPr>
        <w:t> </w:t>
      </w:r>
      <w:r>
        <w:rPr>
          <w:spacing w:val="-30"/>
        </w:rPr>
      </w:r>
      <w:r>
        <w:rPr/>
        <w:t>予股票期权第四个行权期可行权的议案》，公司首期股票期权激励计划首次授予股票期权第四个</w:t>
      </w:r>
      <w:r>
        <w:rPr>
          <w:spacing w:val="-9"/>
        </w:rPr>
        <w:t> </w:t>
      </w:r>
      <w:r>
        <w:rPr>
          <w:spacing w:val="-9"/>
        </w:rPr>
      </w:r>
      <w:r>
        <w:rPr>
          <w:spacing w:val="4"/>
        </w:rPr>
        <w:t>行权期的行权条件已满足，公司首次授予股票期权的</w:t>
      </w:r>
      <w:r>
        <w:rPr>
          <w:rFonts w:ascii="Times New Roman" w:hAnsi="Times New Roman" w:cs="Times New Roman" w:eastAsia="Times New Roman" w:hint="default"/>
          <w:spacing w:val="4"/>
        </w:rPr>
        <w:t>77</w:t>
      </w:r>
      <w:r>
        <w:rPr>
          <w:spacing w:val="4"/>
        </w:rPr>
        <w:t>名激励对象在第四个行权期可行权共计</w:t>
      </w:r>
      <w:r>
        <w:rPr>
          <w:spacing w:val="2"/>
        </w:rPr>
        <w:t> </w:t>
      </w:r>
      <w:r>
        <w:rPr>
          <w:spacing w:val="2"/>
        </w:rPr>
      </w:r>
      <w:r>
        <w:rPr>
          <w:rFonts w:ascii="Times New Roman" w:hAnsi="Times New Roman" w:cs="Times New Roman" w:eastAsia="Times New Roman" w:hint="default"/>
        </w:rPr>
        <w:t>606.6144</w:t>
      </w:r>
      <w:r>
        <w:rPr>
          <w:rFonts w:ascii="Times New Roman" w:hAnsi="Times New Roman" w:cs="Times New Roman" w:eastAsia="Times New Roman" w:hint="default"/>
          <w:spacing w:val="-19"/>
        </w:rPr>
        <w:t> </w:t>
      </w:r>
      <w:r>
        <w:rPr/>
        <w:t>万</w:t>
      </w:r>
      <w:r>
        <w:rPr>
          <w:spacing w:val="-73"/>
        </w:rPr>
        <w:t> </w:t>
      </w:r>
      <w:r>
        <w:rPr/>
        <w:t>份</w:t>
      </w:r>
      <w:r>
        <w:rPr>
          <w:spacing w:val="-71"/>
        </w:rPr>
        <w:t> </w:t>
      </w:r>
      <w:r>
        <w:rPr/>
        <w:t>期</w:t>
      </w:r>
      <w:r>
        <w:rPr>
          <w:spacing w:val="-73"/>
        </w:rPr>
        <w:t> </w:t>
      </w:r>
      <w:r>
        <w:rPr/>
        <w:t>权</w:t>
      </w:r>
      <w:r>
        <w:rPr>
          <w:spacing w:val="-71"/>
        </w:rPr>
        <w:t> </w:t>
      </w:r>
      <w:r>
        <w:rPr/>
        <w:t>，</w:t>
      </w:r>
      <w:r>
        <w:rPr>
          <w:spacing w:val="-71"/>
        </w:rPr>
        <w:t> </w:t>
      </w:r>
      <w:r>
        <w:rPr/>
        <w:t>股</w:t>
      </w:r>
      <w:r>
        <w:rPr>
          <w:spacing w:val="-73"/>
        </w:rPr>
        <w:t> </w:t>
      </w:r>
      <w:r>
        <w:rPr/>
        <w:t>票</w:t>
      </w:r>
      <w:r>
        <w:rPr>
          <w:spacing w:val="-71"/>
        </w:rPr>
        <w:t> </w:t>
      </w:r>
      <w:r>
        <w:rPr/>
        <w:t>期</w:t>
      </w:r>
      <w:r>
        <w:rPr>
          <w:spacing w:val="-71"/>
        </w:rPr>
        <w:t> </w:t>
      </w:r>
      <w:r>
        <w:rPr/>
        <w:t>权</w:t>
      </w:r>
      <w:r>
        <w:rPr>
          <w:spacing w:val="-73"/>
        </w:rPr>
        <w:t> </w:t>
      </w:r>
      <w:r>
        <w:rPr/>
        <w:t>行</w:t>
      </w:r>
      <w:r>
        <w:rPr>
          <w:spacing w:val="-71"/>
        </w:rPr>
        <w:t> </w:t>
      </w:r>
      <w:r>
        <w:rPr/>
        <w:t>权</w:t>
      </w:r>
      <w:r>
        <w:rPr>
          <w:spacing w:val="-73"/>
        </w:rPr>
        <w:t> </w:t>
      </w:r>
      <w:r>
        <w:rPr/>
        <w:t>增</w:t>
      </w:r>
      <w:r>
        <w:rPr>
          <w:spacing w:val="-71"/>
        </w:rPr>
        <w:t> </w:t>
      </w:r>
      <w:r>
        <w:rPr/>
        <w:t>加</w:t>
      </w:r>
      <w:r>
        <w:rPr>
          <w:spacing w:val="-73"/>
        </w:rPr>
        <w:t> </w:t>
      </w:r>
      <w:r>
        <w:rPr/>
        <w:t>股</w:t>
      </w:r>
      <w:r>
        <w:rPr>
          <w:spacing w:val="-71"/>
        </w:rPr>
        <w:t> </w:t>
      </w:r>
      <w:r>
        <w:rPr/>
        <w:t>本</w:t>
      </w:r>
      <w:r>
        <w:rPr>
          <w:spacing w:val="-67"/>
        </w:rPr>
        <w:t> </w:t>
      </w:r>
      <w:r>
        <w:rPr>
          <w:rFonts w:ascii="Times New Roman" w:hAnsi="Times New Roman" w:cs="Times New Roman" w:eastAsia="Times New Roman" w:hint="default"/>
        </w:rPr>
        <w:t>606.6144</w:t>
      </w:r>
      <w:r>
        <w:rPr>
          <w:rFonts w:ascii="Times New Roman" w:hAnsi="Times New Roman" w:cs="Times New Roman" w:eastAsia="Times New Roman" w:hint="default"/>
          <w:spacing w:val="-21"/>
        </w:rPr>
        <w:t> </w:t>
      </w:r>
      <w:r>
        <w:rPr/>
        <w:t>万</w:t>
      </w:r>
      <w:r>
        <w:rPr>
          <w:spacing w:val="-71"/>
        </w:rPr>
        <w:t> </w:t>
      </w:r>
      <w:r>
        <w:rPr/>
        <w:t>股</w:t>
      </w:r>
      <w:r>
        <w:rPr>
          <w:spacing w:val="-73"/>
        </w:rPr>
        <w:t> </w:t>
      </w:r>
      <w:r>
        <w:rPr/>
        <w:t>，</w:t>
      </w:r>
      <w:r>
        <w:rPr>
          <w:spacing w:val="-71"/>
        </w:rPr>
        <w:t> </w:t>
      </w:r>
      <w:r>
        <w:rPr/>
        <w:t>变</w:t>
      </w:r>
      <w:r>
        <w:rPr>
          <w:spacing w:val="-73"/>
        </w:rPr>
        <w:t> </w:t>
      </w:r>
      <w:r>
        <w:rPr/>
        <w:t>更</w:t>
      </w:r>
      <w:r>
        <w:rPr>
          <w:spacing w:val="-71"/>
        </w:rPr>
        <w:t> </w:t>
      </w:r>
      <w:r>
        <w:rPr/>
        <w:t>后</w:t>
      </w:r>
      <w:r>
        <w:rPr>
          <w:spacing w:val="-71"/>
        </w:rPr>
        <w:t> </w:t>
      </w:r>
      <w:r>
        <w:rPr/>
        <w:t>的</w:t>
      </w:r>
      <w:r>
        <w:rPr>
          <w:spacing w:val="-73"/>
        </w:rPr>
        <w:t> </w:t>
      </w:r>
      <w:r>
        <w:rPr/>
        <w:t>注</w:t>
      </w:r>
      <w:r>
        <w:rPr>
          <w:spacing w:val="-71"/>
        </w:rPr>
        <w:t> </w:t>
      </w:r>
      <w:r>
        <w:rPr/>
        <w:t>册</w:t>
      </w:r>
      <w:r>
        <w:rPr>
          <w:spacing w:val="-71"/>
        </w:rPr>
        <w:t> </w:t>
      </w:r>
      <w:r>
        <w:rPr/>
        <w:t>资</w:t>
      </w:r>
      <w:r>
        <w:rPr>
          <w:spacing w:val="-73"/>
        </w:rPr>
        <w:t> </w:t>
      </w:r>
      <w:r>
        <w:rPr/>
        <w:t>本</w:t>
      </w:r>
      <w:r>
        <w:rPr>
          <w:spacing w:val="-71"/>
        </w:rPr>
        <w:t> </w:t>
      </w:r>
      <w:r>
        <w:rPr/>
        <w:t>为</w:t>
      </w:r>
      <w:r>
        <w:rPr>
          <w:spacing w:val="-73"/>
        </w:rPr>
        <w:t> </w:t>
      </w:r>
      <w:r>
        <w:rPr/>
        <w:t>人</w:t>
      </w:r>
      <w:r>
        <w:rPr>
          <w:spacing w:val="-71"/>
        </w:rPr>
        <w:t> </w:t>
      </w:r>
      <w:r>
        <w:rPr/>
        <w:t>民</w:t>
      </w:r>
      <w:r>
        <w:rPr>
          <w:spacing w:val="-73"/>
        </w:rPr>
        <w:t> </w:t>
      </w:r>
      <w:r>
        <w:rPr/>
        <w:t>币</w:t>
      </w:r>
    </w:p>
    <w:p>
      <w:pPr>
        <w:pStyle w:val="BodyText"/>
        <w:spacing w:line="256" w:lineRule="auto"/>
        <w:ind w:left="870" w:right="155"/>
        <w:jc w:val="both"/>
      </w:pPr>
      <w:r>
        <w:rPr>
          <w:rFonts w:ascii="Times New Roman" w:hAnsi="Times New Roman" w:cs="Times New Roman" w:eastAsia="Times New Roman" w:hint="default"/>
        </w:rPr>
        <w:t>1,699,506,144.00</w:t>
      </w:r>
      <w:r>
        <w:rPr/>
        <w:t>元，本次新增注册资本（股本）由立信会计师事务所（特殊普通合伙）出具信会</w:t>
      </w:r>
      <w:r>
        <w:rPr>
          <w:spacing w:val="-12"/>
        </w:rPr>
        <w:t> </w:t>
      </w:r>
      <w:r>
        <w:rPr>
          <w:spacing w:val="-12"/>
        </w:rPr>
      </w:r>
      <w:r>
        <w:rPr/>
        <w:t>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114397</w:t>
      </w:r>
      <w:r>
        <w:rPr/>
        <w:t>号验资报告验证。</w:t>
      </w:r>
    </w:p>
    <w:p>
      <w:pPr>
        <w:pStyle w:val="BodyText"/>
        <w:spacing w:line="261" w:lineRule="auto" w:before="5"/>
        <w:ind w:left="870" w:right="148"/>
        <w:jc w:val="both"/>
      </w:pPr>
      <w:r>
        <w:rPr>
          <w:spacing w:val="-2"/>
        </w:rPr>
        <w:t>（</w:t>
      </w:r>
      <w:r>
        <w:rPr>
          <w:rFonts w:ascii="Times New Roman" w:hAnsi="Times New Roman" w:cs="Times New Roman" w:eastAsia="Times New Roman" w:hint="default"/>
          <w:spacing w:val="-2"/>
        </w:rPr>
        <w:t>3</w:t>
      </w: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日召开的第三届董事会第二十次会议决议、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日召开的</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3"/>
        </w:rPr>
        <w:t>年第一次临时股东大会决议，并经中国证券监督管理委员会以证监许可</w:t>
      </w:r>
      <w:r>
        <w:rPr>
          <w:rFonts w:ascii="Times New Roman" w:hAnsi="Times New Roman" w:cs="Times New Roman" w:eastAsia="Times New Roman" w:hint="default"/>
          <w:spacing w:val="-3"/>
        </w:rPr>
        <w:t>[2015]2810</w:t>
      </w:r>
      <w:r>
        <w:rPr>
          <w:spacing w:val="-3"/>
        </w:rPr>
        <w:t>号《关于核准东</w:t>
      </w:r>
      <w:r>
        <w:rPr>
          <w:spacing w:val="-11"/>
        </w:rPr>
        <w:t> </w:t>
      </w:r>
      <w:r>
        <w:rPr>
          <w:spacing w:val="-11"/>
        </w:rPr>
      </w:r>
      <w:r>
        <w:rPr/>
        <w:t>方财富信息股份有限公司向郑州宇通集团有限公司等发行股份购买资产并募集配套资金的批复》</w:t>
      </w:r>
      <w:r>
        <w:rPr>
          <w:spacing w:val="-9"/>
        </w:rPr>
        <w:t> </w:t>
      </w:r>
      <w:r>
        <w:rPr>
          <w:spacing w:val="-9"/>
        </w:rPr>
      </w:r>
      <w:r>
        <w:rPr/>
        <w:t>核准，由公司向郑州宇通集团有限公司、西藏自治区投资有限公司等法人非公开发行股份购买资</w:t>
      </w:r>
      <w:r>
        <w:rPr>
          <w:spacing w:val="-9"/>
        </w:rPr>
        <w:t> </w:t>
      </w:r>
      <w:r>
        <w:rPr>
          <w:spacing w:val="-9"/>
        </w:rPr>
      </w:r>
      <w:r>
        <w:rPr/>
        <w:t>产的方式增加注册资本人民币</w:t>
      </w:r>
      <w:r>
        <w:rPr>
          <w:rFonts w:ascii="Times New Roman" w:hAnsi="Times New Roman" w:cs="Times New Roman" w:eastAsia="Times New Roman" w:hint="default"/>
        </w:rPr>
        <w:t>154,385,908.00</w:t>
      </w:r>
      <w:r>
        <w:rPr/>
        <w:t>元，变更后的注册资本为人民币</w:t>
      </w:r>
      <w:r>
        <w:rPr>
          <w:rFonts w:ascii="Times New Roman" w:hAnsi="Times New Roman" w:cs="Times New Roman" w:eastAsia="Times New Roman" w:hint="default"/>
        </w:rPr>
        <w:t>1,853,892,052.00</w:t>
      </w:r>
      <w:r>
        <w:rPr/>
        <w:t>元，</w:t>
      </w:r>
      <w:r>
        <w:rPr>
          <w:spacing w:val="-62"/>
        </w:rPr>
        <w:t> </w:t>
      </w:r>
      <w:r>
        <w:rPr>
          <w:spacing w:val="-3"/>
        </w:rPr>
        <w:t>本次新增注册资本（股本）由立信会计师事务所（特殊普通合伙）出具信会师报字</w:t>
      </w:r>
      <w:r>
        <w:rPr>
          <w:rFonts w:ascii="Times New Roman" w:hAnsi="Times New Roman" w:cs="Times New Roman" w:eastAsia="Times New Roman" w:hint="default"/>
          <w:spacing w:val="-3"/>
        </w:rPr>
        <w:t>[2015]</w:t>
      </w:r>
      <w:r>
        <w:rPr>
          <w:spacing w:val="-3"/>
        </w:rPr>
        <w:t>第</w:t>
      </w:r>
      <w:r>
        <w:rPr>
          <w:rFonts w:ascii="Times New Roman" w:hAnsi="Times New Roman" w:cs="Times New Roman" w:eastAsia="Times New Roman" w:hint="default"/>
          <w:spacing w:val="-3"/>
        </w:rPr>
        <w:t>115699</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号。</w:t>
      </w:r>
    </w:p>
    <w:p>
      <w:pPr>
        <w:spacing w:after="0" w:line="261" w:lineRule="auto"/>
        <w:jc w:val="both"/>
        <w:sectPr>
          <w:pgSz w:w="11910" w:h="16840"/>
          <w:pgMar w:header="852" w:footer="979" w:top="1300" w:bottom="1160" w:left="980" w:right="980"/>
        </w:sectPr>
      </w:pPr>
    </w:p>
    <w:p>
      <w:pPr>
        <w:pStyle w:val="Heading5"/>
        <w:spacing w:line="240" w:lineRule="auto" w:before="108"/>
        <w:ind w:right="0"/>
        <w:jc w:val="left"/>
        <w:rPr>
          <w:b w:val="0"/>
          <w:bCs w:val="0"/>
        </w:rPr>
      </w:pPr>
      <w:r>
        <w:rPr>
          <w:rFonts w:ascii="Times New Roman" w:hAnsi="Times New Roman" w:cs="Times New Roman" w:eastAsia="Times New Roman" w:hint="default"/>
        </w:rPr>
        <w:t>33</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252,857,166.55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4,272,929,241.96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4,283,866,408.51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39,838,296.21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82,504,454.73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2,424,229.00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119,918,521.94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-1,041,603.79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42,184,299.67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41,142,695.88</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）权益结算的股份支</w:t>
            </w:r>
            <w:r>
              <w:rPr>
                <w:rFonts w:ascii="宋体" w:hAnsi="宋体" w:cs="宋体" w:eastAsia="宋体" w:hint="default"/>
                <w:sz w:val="18"/>
                <w:szCs w:val="18"/>
              </w:rPr>
              <w:t> 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40,879,900.00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40,320,155.06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2,424,229.00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78,775,826.06</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36"/>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年股权激励 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2,276,200.00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148,029.00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2,424,229.00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年股权激励计划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38,603,700.00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40,172,126.06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78,775,826.06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292,695,462.76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4,355,433,696.69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244,344,229.00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4,403,784,930.45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6"/>
        <w:ind w:left="573" w:right="0"/>
        <w:jc w:val="left"/>
      </w:pPr>
      <w:r>
        <w:rPr/>
        <w:t>（</w:t>
      </w:r>
      <w:r>
        <w:rPr>
          <w:rFonts w:ascii="Times New Roman" w:hAnsi="Times New Roman" w:cs="Times New Roman" w:eastAsia="Times New Roman" w:hint="default"/>
        </w:rPr>
        <w:t>1</w:t>
      </w:r>
      <w:r>
        <w:rPr/>
        <w:t>）本期资本溢价增减变动原因</w:t>
      </w:r>
      <w:r>
        <w:rPr>
          <w:w w:val="100"/>
        </w:rPr>
        <w:t> </w:t>
      </w:r>
      <w:r>
        <w:rPr>
          <w:spacing w:val="-1"/>
        </w:rPr>
        <w:t>本期增加：因股票期权行权增加资本公积</w:t>
      </w:r>
      <w:r>
        <w:rPr>
          <w:rFonts w:ascii="Times New Roman" w:hAnsi="Times New Roman" w:cs="Times New Roman" w:eastAsia="Times New Roman" w:hint="default"/>
          <w:spacing w:val="-1"/>
        </w:rPr>
        <w:t>20,260,920.96</w:t>
      </w:r>
      <w:r>
        <w:rPr>
          <w:spacing w:val="-1"/>
        </w:rPr>
        <w:t>元，因股票期权行由其他资本公积转入资本溢</w:t>
      </w:r>
    </w:p>
    <w:p>
      <w:pPr>
        <w:pStyle w:val="BodyText"/>
        <w:spacing w:line="256" w:lineRule="auto" w:before="5"/>
        <w:ind w:right="0"/>
        <w:jc w:val="left"/>
      </w:pPr>
      <w:r>
        <w:rPr/>
        <w:t>价</w:t>
      </w:r>
      <w:r>
        <w:rPr>
          <w:rFonts w:ascii="Times New Roman" w:hAnsi="Times New Roman" w:cs="Times New Roman" w:eastAsia="Times New Roman" w:hint="default"/>
        </w:rPr>
        <w:t>2,424,229.00</w:t>
      </w:r>
      <w:r>
        <w:rPr/>
        <w:t>元，因发行股份购买资产增加资本公积</w:t>
      </w:r>
      <w:r>
        <w:rPr>
          <w:rFonts w:ascii="Times New Roman" w:hAnsi="Times New Roman" w:cs="Times New Roman" w:eastAsia="Times New Roman" w:hint="default"/>
        </w:rPr>
        <w:t>4,250,244,092.00</w:t>
      </w:r>
      <w:r>
        <w:rPr/>
        <w:t>元，三项合计增加</w:t>
      </w:r>
      <w:r>
        <w:rPr>
          <w:rFonts w:ascii="Times New Roman" w:hAnsi="Times New Roman" w:cs="Times New Roman" w:eastAsia="Times New Roman" w:hint="default"/>
        </w:rPr>
        <w:t>4,272,929,241.96</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w:t>
      </w:r>
    </w:p>
    <w:p>
      <w:pPr>
        <w:pStyle w:val="BodyText"/>
        <w:spacing w:line="240" w:lineRule="auto" w:before="22"/>
        <w:ind w:left="573" w:right="0"/>
        <w:jc w:val="left"/>
      </w:pPr>
      <w:r>
        <w:rPr/>
        <w:t>本期减少是由于资本公积转增股本。</w:t>
      </w:r>
    </w:p>
    <w:p>
      <w:pPr>
        <w:pStyle w:val="BodyText"/>
        <w:spacing w:line="240" w:lineRule="auto" w:before="37"/>
        <w:ind w:left="573" w:right="0"/>
        <w:jc w:val="left"/>
      </w:pPr>
      <w:r>
        <w:rPr/>
        <w:t>（</w:t>
      </w:r>
      <w:r>
        <w:rPr>
          <w:rFonts w:ascii="Times New Roman" w:hAnsi="Times New Roman" w:cs="Times New Roman" w:eastAsia="Times New Roman" w:hint="default"/>
        </w:rPr>
        <w:t>2</w:t>
      </w:r>
      <w:r>
        <w:rPr/>
        <w:t>）其他资本公积增减变动原因</w:t>
      </w:r>
    </w:p>
    <w:p>
      <w:pPr>
        <w:pStyle w:val="BodyText"/>
        <w:spacing w:line="256" w:lineRule="auto" w:before="21"/>
        <w:ind w:right="0" w:firstLine="420"/>
        <w:jc w:val="left"/>
      </w:pPr>
      <w:r>
        <w:rPr>
          <w:rFonts w:ascii="Times New Roman" w:hAnsi="Times New Roman" w:cs="Times New Roman" w:eastAsia="Times New Roman" w:hint="default"/>
        </w:rPr>
        <w:t>1</w:t>
      </w:r>
      <w:r>
        <w:rPr/>
        <w:t>）其他增加：因本期股票期权行权，按行权时股票公允价格计算可税前扣除的金额超过已确认的股</w:t>
      </w:r>
      <w:r>
        <w:rPr>
          <w:w w:val="100"/>
        </w:rPr>
        <w:t> </w:t>
      </w:r>
      <w:r>
        <w:rPr/>
        <w:t>份支付相关的成本费用，超过部分的所得税影响计入其他资本公积。</w:t>
      </w:r>
    </w:p>
    <w:p>
      <w:pPr>
        <w:pStyle w:val="BodyText"/>
        <w:spacing w:line="240" w:lineRule="auto" w:before="22"/>
        <w:ind w:left="573" w:right="0"/>
        <w:jc w:val="left"/>
      </w:pPr>
      <w:r>
        <w:rPr>
          <w:rFonts w:ascii="Times New Roman" w:hAnsi="Times New Roman" w:cs="Times New Roman" w:eastAsia="Times New Roman" w:hint="default"/>
        </w:rPr>
        <w:t>2</w:t>
      </w:r>
      <w:r>
        <w:rPr/>
        <w:t>）权益结算的股份支付变动情况见本报告附注十二、股份支付。</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2"/>
        <w:rPr>
          <w:rFonts w:ascii="宋体" w:hAnsi="宋体" w:cs="宋体" w:eastAsia="宋体" w:hint="default"/>
          <w:b/>
          <w:bCs/>
          <w:sz w:val="26"/>
          <w:szCs w:val="26"/>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41"/>
        <w:gridCol w:w="1146"/>
        <w:gridCol w:w="1128"/>
        <w:gridCol w:w="1152"/>
        <w:gridCol w:w="934"/>
        <w:gridCol w:w="937"/>
        <w:gridCol w:w="936"/>
        <w:gridCol w:w="970"/>
      </w:tblGrid>
      <w:tr>
        <w:trPr>
          <w:trHeight w:val="396" w:hRule="exact"/>
        </w:trPr>
        <w:tc>
          <w:tcPr>
            <w:tcW w:w="2541" w:type="dxa"/>
            <w:vMerge w:val="restart"/>
            <w:tcBorders>
              <w:top w:val="single" w:sz="4" w:space="0" w:color="000000"/>
              <w:left w:val="single" w:sz="4" w:space="0" w:color="000000"/>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shd w:val="clear" w:color="auto" w:fill="D2D2D2"/>
          </w:tcPr>
          <w:p>
            <w:pPr/>
          </w:p>
        </w:tc>
        <w:tc>
          <w:tcPr>
            <w:tcW w:w="508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970"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541" w:type="dxa"/>
            <w:vMerge/>
            <w:tcBorders>
              <w:left w:val="single" w:sz="4" w:space="0" w:color="000000"/>
              <w:bottom w:val="nil" w:sz="6" w:space="0" w:color="auto"/>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1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970"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2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4"/>
              <w:ind w:left="199" w:right="107"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541" w:type="dxa"/>
            <w:vMerge w:val="restart"/>
            <w:tcBorders>
              <w:top w:val="nil" w:sz="6" w:space="0" w:color="auto"/>
              <w:left w:val="single" w:sz="4" w:space="0" w:color="000000"/>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
        </w:tc>
        <w:tc>
          <w:tcPr>
            <w:tcW w:w="1128"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541" w:type="dxa"/>
            <w:vMerge/>
            <w:tcBorders>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1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以后将重分类进损益的其他综 合收益</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2,528.00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267,608.86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130,002.37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125,287.33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12,319.16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127,815.33</w:t>
            </w:r>
          </w:p>
        </w:tc>
      </w:tr>
      <w:tr>
        <w:trPr>
          <w:trHeight w:val="715"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价值变动损益</w:t>
            </w:r>
          </w:p>
        </w:tc>
        <w:tc>
          <w:tcPr>
            <w:tcW w:w="1146" w:type="dxa"/>
            <w:tcBorders>
              <w:top w:val="single" w:sz="4" w:space="0" w:color="000000"/>
              <w:left w:val="single" w:sz="10"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520,009.48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130,002.37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377,687.95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12,319.16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377,687.95</w:t>
            </w:r>
          </w:p>
        </w:tc>
      </w:tr>
      <w:tr>
        <w:trPr>
          <w:trHeight w:val="401"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2,528.00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-252,400.62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-252,400.62</w:t>
            </w:r>
          </w:p>
        </w:tc>
        <w:tc>
          <w:tcPr>
            <w:tcW w:w="93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-249,872.62</w:t>
            </w:r>
          </w:p>
        </w:tc>
      </w:tr>
      <w:tr>
        <w:trPr>
          <w:trHeight w:val="40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2,528.00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267,608.86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130,002.37</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125,287.33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12,319.16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127,815.33</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79" w:top="1300" w:bottom="1160" w:left="980" w:right="900"/>
        </w:sectPr>
      </w:pPr>
    </w:p>
    <w:p>
      <w:pPr>
        <w:pStyle w:val="Heading5"/>
        <w:spacing w:line="240" w:lineRule="auto" w:before="108"/>
        <w:ind w:right="0"/>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58,056,660.66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172,799,811.45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230,856,472.11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58,056,660.66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172,799,811.45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230,856,472.11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319,352,816.30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184,441,595.79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319,352,816.30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184,441,595.79</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1,848,571,186.42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165,723,821.57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172,799,811.45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17,372,601.06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72,576,000.00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13,440,000.00</w:t>
            </w:r>
          </w:p>
        </w:tc>
      </w:tr>
      <w:tr>
        <w:trPr>
          <w:trHeight w:val="42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241,920,000.00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40"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1,680,628,191.27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319,352,816.30</w:t>
            </w:r>
          </w:p>
        </w:tc>
      </w:tr>
    </w:tbl>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37</w:t>
      </w:r>
      <w:r>
        <w:rPr/>
        <w:t>、</w:t>
      </w:r>
      <w:r>
        <w:rPr>
          <w:spacing w:val="1"/>
        </w:rPr>
        <w:t> </w:t>
      </w:r>
      <w:r>
        <w:rPr/>
        <w:t>手续费及佣金收入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0"/>
          <w:szCs w:val="10"/>
        </w:rPr>
      </w:pPr>
    </w:p>
    <w:tbl>
      <w:tblPr>
        <w:tblW w:w="0" w:type="auto"/>
        <w:jc w:val="left"/>
        <w:tblInd w:w="724" w:type="dxa"/>
        <w:tblLayout w:type="fixed"/>
        <w:tblCellMar>
          <w:top w:w="0" w:type="dxa"/>
          <w:left w:w="0" w:type="dxa"/>
          <w:bottom w:w="0" w:type="dxa"/>
          <w:right w:w="0" w:type="dxa"/>
        </w:tblCellMar>
        <w:tblLook w:val="01E0"/>
      </w:tblPr>
      <w:tblGrid>
        <w:gridCol w:w="3253"/>
        <w:gridCol w:w="2268"/>
        <w:gridCol w:w="2269"/>
      </w:tblGrid>
      <w:tr>
        <w:trPr>
          <w:trHeight w:val="312" w:hRule="exact"/>
        </w:trPr>
        <w:tc>
          <w:tcPr>
            <w:tcW w:w="3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68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left="68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56"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right"/>
              <w:rPr>
                <w:rFonts w:ascii="Times New Roman" w:hAnsi="Times New Roman" w:cs="Times New Roman" w:eastAsia="Times New Roman" w:hint="default"/>
                <w:sz w:val="18"/>
                <w:szCs w:val="18"/>
              </w:rPr>
            </w:pPr>
            <w:r>
              <w:rPr>
                <w:rFonts w:ascii="Times New Roman"/>
                <w:spacing w:val="-1"/>
                <w:sz w:val="18"/>
              </w:rPr>
              <w:t>128,262,436.39</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证券经纪业务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81,246,309.41</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77,577,718.32</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56"/>
              <w:jc w:val="right"/>
              <w:rPr>
                <w:rFonts w:ascii="宋体" w:hAnsi="宋体" w:cs="宋体" w:eastAsia="宋体" w:hint="default"/>
                <w:sz w:val="18"/>
                <w:szCs w:val="18"/>
              </w:rPr>
            </w:pPr>
            <w:r>
              <w:rPr>
                <w:rFonts w:ascii="宋体" w:hAnsi="宋体" w:cs="宋体" w:eastAsia="宋体" w:hint="default"/>
                <w:sz w:val="18"/>
                <w:szCs w:val="18"/>
              </w:rPr>
              <w:t>交易单元席位租赁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2,362,072.81</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56"/>
              <w:jc w:val="right"/>
              <w:rPr>
                <w:rFonts w:ascii="宋体" w:hAnsi="宋体" w:cs="宋体" w:eastAsia="宋体" w:hint="default"/>
                <w:sz w:val="18"/>
                <w:szCs w:val="18"/>
              </w:rPr>
            </w:pPr>
            <w:r>
              <w:rPr>
                <w:rFonts w:ascii="宋体" w:hAnsi="宋体" w:cs="宋体" w:eastAsia="宋体" w:hint="default"/>
                <w:sz w:val="18"/>
                <w:szCs w:val="18"/>
              </w:rPr>
              <w:t>代销金融产品业务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1,306,518.28</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期货经纪业务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7,695,570.32</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投资银行业务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9,943,091.99</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其中：证券承销业务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9,443,091.99</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证券保荐业务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4" w:right="0"/>
              <w:jc w:val="left"/>
              <w:rPr>
                <w:rFonts w:ascii="宋体" w:hAnsi="宋体" w:cs="宋体" w:eastAsia="宋体" w:hint="default"/>
                <w:sz w:val="18"/>
                <w:szCs w:val="18"/>
              </w:rPr>
            </w:pPr>
            <w:r>
              <w:rPr>
                <w:rFonts w:ascii="宋体" w:hAnsi="宋体" w:cs="宋体" w:eastAsia="宋体" w:hint="default"/>
                <w:sz w:val="18"/>
                <w:szCs w:val="18"/>
              </w:rPr>
              <w:t>财务顾问业务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b/>
          <w:bCs/>
          <w:sz w:val="9"/>
          <w:szCs w:val="9"/>
        </w:rPr>
      </w:pPr>
    </w:p>
    <w:tbl>
      <w:tblPr>
        <w:tblW w:w="0" w:type="auto"/>
        <w:jc w:val="left"/>
        <w:tblInd w:w="724" w:type="dxa"/>
        <w:tblLayout w:type="fixed"/>
        <w:tblCellMar>
          <w:top w:w="0" w:type="dxa"/>
          <w:left w:w="0" w:type="dxa"/>
          <w:bottom w:w="0" w:type="dxa"/>
          <w:right w:w="0" w:type="dxa"/>
        </w:tblCellMar>
        <w:tblLook w:val="01E0"/>
      </w:tblPr>
      <w:tblGrid>
        <w:gridCol w:w="3253"/>
        <w:gridCol w:w="2268"/>
        <w:gridCol w:w="2269"/>
      </w:tblGrid>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资产管理业务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8,396,289.82</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基金管理业务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投资咨询业务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4,053,034.46</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其他财务顾问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16,928,140.39</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21,659,143.65</w:t>
            </w:r>
            <w:r>
              <w:rPr>
                <w:rFonts w:ascii="Times New Roman"/>
                <w:sz w:val="18"/>
              </w:rPr>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证券经纪业务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21,659,143.65</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其中：代理买卖证券业务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21,659,143.65</w:t>
            </w: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期货经纪业务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投资银行业务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资产管理业务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手续费及佣金净收入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106,603,292.74</w:t>
            </w:r>
          </w:p>
        </w:tc>
        <w:tc>
          <w:tcPr>
            <w:tcW w:w="22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38</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2,811,505,485.68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323,807,083.42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612,007,004.55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148,569,133.68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1,207,235.50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247,294.75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2,812,712,721.18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324,054,378.17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612,007,004.55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148,569,133.68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39</w:t>
      </w:r>
      <w:r>
        <w:rPr/>
        <w:t>、 利息净收入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681" w:right="0"/>
        <w:jc w:val="left"/>
        <w:rPr>
          <w:b w:val="0"/>
          <w:bCs w:val="0"/>
        </w:rPr>
      </w:pPr>
      <w:r>
        <w:rPr/>
        <w:t>利息净收入明细</w:t>
      </w:r>
      <w:r>
        <w:rPr>
          <w:b w:val="0"/>
          <w:bCs w:val="0"/>
        </w:rPr>
      </w:r>
    </w:p>
    <w:p>
      <w:pPr>
        <w:spacing w:line="240" w:lineRule="auto" w:before="10"/>
        <w:rPr>
          <w:rFonts w:ascii="宋体" w:hAnsi="宋体" w:cs="宋体" w:eastAsia="宋体" w:hint="default"/>
          <w:b/>
          <w:bCs/>
          <w:sz w:val="3"/>
          <w:szCs w:val="3"/>
        </w:rPr>
      </w:pPr>
    </w:p>
    <w:tbl>
      <w:tblPr>
        <w:tblW w:w="0" w:type="auto"/>
        <w:jc w:val="left"/>
        <w:tblInd w:w="714" w:type="dxa"/>
        <w:tblLayout w:type="fixed"/>
        <w:tblCellMar>
          <w:top w:w="0" w:type="dxa"/>
          <w:left w:w="0" w:type="dxa"/>
          <w:bottom w:w="0" w:type="dxa"/>
          <w:right w:w="0" w:type="dxa"/>
        </w:tblCellMar>
        <w:tblLook w:val="01E0"/>
      </w:tblPr>
      <w:tblGrid>
        <w:gridCol w:w="3404"/>
        <w:gridCol w:w="2151"/>
        <w:gridCol w:w="2240"/>
      </w:tblGrid>
      <w:tr>
        <w:trPr>
          <w:trHeight w:val="343" w:hRule="exact"/>
        </w:trPr>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6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1" w:hRule="exact"/>
        </w:trPr>
        <w:tc>
          <w:tcPr>
            <w:tcW w:w="340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left="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24,296,444.60</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存放金融同业利息收入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12,866,639.65</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其中：自有资金存款利息收入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1,572,879.93</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6"/>
              <w:jc w:val="right"/>
              <w:rPr>
                <w:rFonts w:ascii="宋体" w:hAnsi="宋体" w:cs="宋体" w:eastAsia="宋体" w:hint="default"/>
                <w:sz w:val="18"/>
                <w:szCs w:val="18"/>
              </w:rPr>
            </w:pPr>
            <w:r>
              <w:rPr>
                <w:rFonts w:ascii="宋体" w:hAnsi="宋体" w:cs="宋体" w:eastAsia="宋体" w:hint="default"/>
                <w:sz w:val="18"/>
                <w:szCs w:val="18"/>
              </w:rPr>
              <w:t>客户资金存款利息收入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11,293,759.72</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融资融券利息收入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11,180,614.00</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买入返售金融资产利息收入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249,190.95</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其中：约定购回利息收入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97,507.34</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6"/>
              <w:jc w:val="right"/>
              <w:rPr>
                <w:rFonts w:ascii="宋体" w:hAnsi="宋体" w:cs="宋体" w:eastAsia="宋体" w:hint="default"/>
                <w:sz w:val="18"/>
                <w:szCs w:val="18"/>
              </w:rPr>
            </w:pPr>
            <w:r>
              <w:rPr>
                <w:rFonts w:ascii="宋体" w:hAnsi="宋体" w:cs="宋体" w:eastAsia="宋体" w:hint="default"/>
                <w:sz w:val="18"/>
                <w:szCs w:val="18"/>
              </w:rPr>
              <w:t>股权质押回购利息收入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151,683.61</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17,733,050.21</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客户资金存款利息支出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6,978,992.64</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卖出回购金融资产利息支出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7,119,804.66</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其中：质押回购利息支出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1,399,390.50</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买断式回购利息支出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1,639,455.26</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t>收益权转让利息支出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4,080,958.90</w:t>
            </w:r>
          </w:p>
        </w:tc>
        <w:tc>
          <w:tcPr>
            <w:tcW w:w="22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b/>
          <w:bCs/>
          <w:sz w:val="9"/>
          <w:szCs w:val="9"/>
        </w:rPr>
      </w:pPr>
    </w:p>
    <w:tbl>
      <w:tblPr>
        <w:tblW w:w="0" w:type="auto"/>
        <w:jc w:val="left"/>
        <w:tblInd w:w="714" w:type="dxa"/>
        <w:tblLayout w:type="fixed"/>
        <w:tblCellMar>
          <w:top w:w="0" w:type="dxa"/>
          <w:left w:w="0" w:type="dxa"/>
          <w:bottom w:w="0" w:type="dxa"/>
          <w:right w:w="0" w:type="dxa"/>
        </w:tblCellMar>
        <w:tblLook w:val="01E0"/>
      </w:tblPr>
      <w:tblGrid>
        <w:gridCol w:w="3404"/>
        <w:gridCol w:w="2151"/>
        <w:gridCol w:w="2240"/>
      </w:tblGrid>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拆入资金利息支出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403,841.95</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应付债券利息支出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730,410.96</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次级债券利息支出</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2,500,000.00</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利息净收入</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6,563,394.39</w:t>
            </w:r>
          </w:p>
        </w:tc>
        <w:tc>
          <w:tcPr>
            <w:tcW w:w="22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BodyText"/>
        <w:spacing w:line="273" w:lineRule="auto" w:before="36"/>
        <w:ind w:left="993" w:right="0" w:hanging="312"/>
        <w:jc w:val="left"/>
      </w:pPr>
      <w:r>
        <w:rPr>
          <w:rFonts w:ascii="宋体" w:hAnsi="宋体" w:cs="宋体" w:eastAsia="宋体" w:hint="default"/>
          <w:b/>
          <w:bCs/>
        </w:rPr>
        <w:t>利息净收入说明</w:t>
      </w:r>
      <w:r>
        <w:rPr>
          <w:rFonts w:ascii="宋体" w:hAnsi="宋体" w:cs="宋体" w:eastAsia="宋体" w:hint="default"/>
          <w:b/>
          <w:bCs/>
          <w:spacing w:val="-104"/>
        </w:rPr>
        <w:t> </w:t>
      </w:r>
      <w:r>
        <w:rPr>
          <w:spacing w:val="-2"/>
        </w:rPr>
        <w:t>本项目系本公司所属子公司中证券公司以利息收入为主营业务的利息净收入，其他公司银行存款</w:t>
      </w:r>
      <w:r>
        <w:rPr>
          <w:w w:val="100"/>
        </w:rPr>
        <w:t> </w:t>
      </w:r>
      <w:r>
        <w:rPr/>
        <w:t>等利息收入计入财务费用。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40</w:t>
      </w:r>
      <w:r>
        <w:rPr/>
        <w:t>、营业税金及附加</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26,125,472.99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18,932,963.39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9,240,421.98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2,048,709.76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8,569,943.31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2,368,782.95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1,646,417.11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464,221.13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其他地方附加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7,555.86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1,048.54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45,589,811.25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23,815,725.77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41</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38"/>
        <w:gridCol w:w="2768"/>
        <w:gridCol w:w="2835"/>
      </w:tblGrid>
      <w:tr>
        <w:trPr>
          <w:trHeight w:val="466"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5"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202,505,335.17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115,249,744.46</w:t>
            </w: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2768"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107,383,065.55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77,712,533.67</w:t>
            </w: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广告费用</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65,091,271.54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12,345,920.92</w:t>
            </w:r>
          </w:p>
        </w:tc>
      </w:tr>
      <w:tr>
        <w:trPr>
          <w:trHeight w:val="469"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11,642,966.84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11,798,460.45</w:t>
            </w: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3,553,480.07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1,416,478.85</w:t>
            </w: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2,057,179.19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1,778,351.39</w:t>
            </w: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1,800,528.78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1,502,400.79</w:t>
            </w: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784,056.91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751,583.54</w:t>
            </w:r>
          </w:p>
        </w:tc>
      </w:tr>
      <w:tr>
        <w:trPr>
          <w:trHeight w:val="470" w:hRule="exact"/>
        </w:trPr>
        <w:tc>
          <w:tcPr>
            <w:tcW w:w="403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528,556.87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499,033.28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pStyle w:val="Heading5"/>
        <w:spacing w:line="240" w:lineRule="auto" w:before="108"/>
        <w:ind w:right="0"/>
        <w:jc w:val="left"/>
        <w:rPr>
          <w:b w:val="0"/>
          <w:bCs w:val="0"/>
        </w:rPr>
      </w:pPr>
      <w:r>
        <w:rPr>
          <w:rFonts w:ascii="Times New Roman" w:hAnsi="Times New Roman" w:cs="Times New Roman" w:eastAsia="Times New Roman" w:hint="default"/>
        </w:rPr>
        <w:t>42</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83"/>
        <w:gridCol w:w="2626"/>
        <w:gridCol w:w="2624"/>
      </w:tblGrid>
      <w:tr>
        <w:trPr>
          <w:trHeight w:val="386"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8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2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8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4"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spacing w:val="-1"/>
                <w:sz w:val="18"/>
              </w:rPr>
              <w:t>394,427,244.17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18"/>
                <w:szCs w:val="18"/>
              </w:rPr>
            </w:pPr>
            <w:r>
              <w:rPr>
                <w:rFonts w:ascii="Times New Roman"/>
                <w:spacing w:val="-1"/>
                <w:sz w:val="18"/>
              </w:rPr>
              <w:t>183,892,483.26</w:t>
            </w:r>
          </w:p>
        </w:tc>
      </w:tr>
      <w:tr>
        <w:trPr>
          <w:trHeight w:val="391"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其中：主要费用项目</w:t>
            </w:r>
          </w:p>
        </w:tc>
        <w:tc>
          <w:tcPr>
            <w:tcW w:w="2626" w:type="dxa"/>
            <w:tcBorders>
              <w:top w:val="single" w:sz="4" w:space="0" w:color="000000"/>
              <w:left w:val="single" w:sz="4" w:space="0" w:color="000000"/>
              <w:bottom w:val="single" w:sz="4" w:space="0" w:color="000000"/>
              <w:right w:val="single" w:sz="4" w:space="0" w:color="000000"/>
            </w:tcBorders>
          </w:tcPr>
          <w:p>
            <w:pP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155,742,464.31</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82,611,321.02</w:t>
            </w:r>
          </w:p>
        </w:tc>
      </w:tr>
      <w:tr>
        <w:trPr>
          <w:trHeight w:val="391"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130,935,933.99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67,070,134.93</w:t>
            </w:r>
          </w:p>
        </w:tc>
      </w:tr>
      <w:tr>
        <w:trPr>
          <w:trHeight w:val="389"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20,237,693.37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2,215,549.23</w:t>
            </w:r>
          </w:p>
        </w:tc>
      </w:tr>
      <w:tr>
        <w:trPr>
          <w:trHeight w:val="391"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17,638,181.94</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10,635,431.82</w:t>
            </w:r>
          </w:p>
        </w:tc>
      </w:tr>
      <w:tr>
        <w:trPr>
          <w:trHeight w:val="389"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耗材</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18"/>
                <w:szCs w:val="18"/>
              </w:rPr>
            </w:pPr>
            <w:r>
              <w:rPr>
                <w:rFonts w:ascii="Times New Roman"/>
                <w:spacing w:val="-1"/>
                <w:sz w:val="18"/>
              </w:rPr>
              <w:t>10,549,520.80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spacing w:val="-1"/>
                <w:sz w:val="18"/>
              </w:rPr>
              <w:t>1,007,089.90</w:t>
            </w:r>
          </w:p>
        </w:tc>
      </w:tr>
      <w:tr>
        <w:trPr>
          <w:trHeight w:val="391"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6,300,390.99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3,962,277.33</w:t>
            </w:r>
          </w:p>
        </w:tc>
      </w:tr>
      <w:tr>
        <w:trPr>
          <w:trHeight w:val="389"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4,556,284.07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2,010,384.33</w:t>
            </w:r>
          </w:p>
        </w:tc>
      </w:tr>
      <w:tr>
        <w:trPr>
          <w:trHeight w:val="391"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投资者保护基金</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2,313,363.87</w:t>
            </w:r>
          </w:p>
        </w:tc>
        <w:tc>
          <w:tcPr>
            <w:tcW w:w="2624"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3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2,276,692.90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1,398,771.87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5"/>
        <w:spacing w:line="240" w:lineRule="auto" w:before="36"/>
        <w:ind w:right="0"/>
        <w:jc w:val="left"/>
        <w:rPr>
          <w:b w:val="0"/>
          <w:bCs w:val="0"/>
        </w:rPr>
      </w:pPr>
      <w:r>
        <w:rPr>
          <w:rFonts w:ascii="Times New Roman" w:hAnsi="Times New Roman" w:cs="Times New Roman" w:eastAsia="Times New Roman" w:hint="default"/>
        </w:rPr>
        <w:t>43</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108,292,037.21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61,666,781.18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705,441.05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3,641,190.78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3,503,845.39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1,268,124.35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-108,382,490.13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-59,693,215.78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18,270,749.21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6,286,748.50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-51,743.28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18,219,005.93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6,286,748.50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pStyle w:val="Heading5"/>
        <w:spacing w:line="240" w:lineRule="auto" w:before="108"/>
        <w:ind w:left="352" w:right="0"/>
        <w:jc w:val="left"/>
        <w:rPr>
          <w:b w:val="0"/>
          <w:bCs w:val="0"/>
        </w:rPr>
      </w:pPr>
      <w:r>
        <w:rPr>
          <w:rFonts w:ascii="Times New Roman" w:hAnsi="Times New Roman" w:cs="Times New Roman" w:eastAsia="Times New Roman" w:hint="default"/>
        </w:rPr>
        <w:t>45</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3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347"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27,532,397.85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-5,176,551.59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22,355,846.26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left="352" w:right="0"/>
        <w:jc w:val="left"/>
        <w:rPr>
          <w:b w:val="0"/>
          <w:bCs w:val="0"/>
        </w:rPr>
      </w:pPr>
      <w:r>
        <w:rPr>
          <w:rFonts w:ascii="Times New Roman" w:hAnsi="Times New Roman" w:cs="Times New Roman" w:eastAsia="Times New Roman" w:hint="default"/>
        </w:rPr>
        <w:t>46</w:t>
      </w:r>
      <w:r>
        <w:rPr/>
        <w:t>、投资收益</w:t>
      </w:r>
      <w:r>
        <w:rPr>
          <w:b w:val="0"/>
          <w:bCs w:val="0"/>
        </w:rPr>
      </w:r>
    </w:p>
    <w:p>
      <w:pPr>
        <w:spacing w:line="240" w:lineRule="auto" w:before="13"/>
        <w:rPr>
          <w:rFonts w:ascii="宋体" w:hAnsi="宋体" w:cs="宋体" w:eastAsia="宋体" w:hint="default"/>
          <w:b/>
          <w:bCs/>
          <w:sz w:val="22"/>
          <w:szCs w:val="22"/>
        </w:rPr>
      </w:pPr>
    </w:p>
    <w:p>
      <w:pPr>
        <w:spacing w:before="44"/>
        <w:ind w:left="0" w:right="3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47"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16,256,761.83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金融工具投资收益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22,659,571.73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38,916,333.56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6"/>
        <w:ind w:left="352" w:right="0"/>
        <w:jc w:val="left"/>
        <w:rPr>
          <w:b w:val="0"/>
          <w:bCs w:val="0"/>
        </w:rPr>
      </w:pPr>
      <w:r>
        <w:rPr>
          <w:rFonts w:ascii="Times New Roman" w:hAnsi="Times New Roman" w:cs="Times New Roman" w:eastAsia="Times New Roman" w:hint="default"/>
        </w:rPr>
        <w:t>47</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3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49" w:type="dxa"/>
        <w:tblLayout w:type="fixed"/>
        <w:tblCellMar>
          <w:top w:w="0" w:type="dxa"/>
          <w:left w:w="0" w:type="dxa"/>
          <w:bottom w:w="0" w:type="dxa"/>
          <w:right w:w="0" w:type="dxa"/>
        </w:tblCellMar>
        <w:tblLook w:val="01E0"/>
      </w:tblPr>
      <w:tblGrid>
        <w:gridCol w:w="2387"/>
        <w:gridCol w:w="2396"/>
        <w:gridCol w:w="2393"/>
        <w:gridCol w:w="2393"/>
      </w:tblGrid>
      <w:tr>
        <w:trPr>
          <w:trHeight w:val="71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62,306,800.02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4,874,542.76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62,306,800.02</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576,252.52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5,683.00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576,252.52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62,883,052.54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4,880,225.76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62,883,052.54</w:t>
            </w:r>
          </w:p>
        </w:tc>
      </w:tr>
    </w:tbl>
    <w:p>
      <w:pPr>
        <w:spacing w:before="49"/>
        <w:ind w:left="3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3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27"/>
        <w:gridCol w:w="902"/>
        <w:gridCol w:w="566"/>
        <w:gridCol w:w="1712"/>
        <w:gridCol w:w="1275"/>
        <w:gridCol w:w="852"/>
        <w:gridCol w:w="1292"/>
        <w:gridCol w:w="1214"/>
        <w:gridCol w:w="1064"/>
      </w:tblGrid>
      <w:tr>
        <w:trPr>
          <w:trHeight w:val="716" w:hRule="exact"/>
        </w:trPr>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补贴是否影响 当年盈亏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2" w:right="5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both"/>
              <w:rPr>
                <w:rFonts w:ascii="宋体" w:hAnsi="宋体" w:cs="宋体" w:eastAsia="宋体" w:hint="default"/>
                <w:sz w:val="18"/>
                <w:szCs w:val="18"/>
              </w:rPr>
            </w:pPr>
            <w:r>
              <w:rPr>
                <w:rFonts w:ascii="宋体" w:hAnsi="宋体" w:cs="宋体" w:eastAsia="宋体" w:hint="default"/>
                <w:sz w:val="18"/>
                <w:szCs w:val="18"/>
              </w:rPr>
              <w:t>软件和集成电 路产业发展专 项资金</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60" w:lineRule="auto"/>
              <w:ind w:left="23" w:right="326"/>
              <w:jc w:val="left"/>
              <w:rPr>
                <w:rFonts w:ascii="宋体" w:hAnsi="宋体" w:cs="宋体" w:eastAsia="宋体" w:hint="default"/>
                <w:sz w:val="18"/>
                <w:szCs w:val="18"/>
              </w:rPr>
            </w:pPr>
            <w:r>
              <w:rPr>
                <w:rFonts w:ascii="宋体" w:hAnsi="宋体" w:cs="宋体" w:eastAsia="宋体" w:hint="default"/>
                <w:sz w:val="18"/>
                <w:szCs w:val="18"/>
              </w:rPr>
              <w:t>上海市 经信委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6"/>
              <w:jc w:val="righ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164,000.02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1,212,333.33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pacing w:val="-12"/>
                <w:sz w:val="18"/>
                <w:szCs w:val="18"/>
              </w:rPr>
              <w:t>与资产、收益</w:t>
            </w:r>
            <w:r>
              <w:rPr>
                <w:rFonts w:ascii="宋体" w:hAnsi="宋体" w:cs="宋体" w:eastAsia="宋体" w:hint="default"/>
                <w:sz w:val="18"/>
                <w:szCs w:val="18"/>
              </w:rPr>
              <w:t> 均相关</w:t>
            </w:r>
          </w:p>
        </w:tc>
      </w:tr>
      <w:tr>
        <w:trPr>
          <w:trHeight w:val="1027"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7"/>
              <w:jc w:val="center"/>
              <w:rPr>
                <w:rFonts w:ascii="宋体" w:hAnsi="宋体" w:cs="宋体" w:eastAsia="宋体" w:hint="default"/>
                <w:sz w:val="18"/>
                <w:szCs w:val="18"/>
              </w:rPr>
            </w:pPr>
            <w:r>
              <w:rPr>
                <w:rFonts w:ascii="宋体" w:hAnsi="宋体" w:cs="宋体" w:eastAsia="宋体" w:hint="default"/>
                <w:sz w:val="18"/>
                <w:szCs w:val="18"/>
              </w:rPr>
              <w:t>财政扶持资金</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地方财政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6"/>
              <w:jc w:val="righ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62,142,800.00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54"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11"/>
              <w:jc w:val="left"/>
              <w:rPr>
                <w:rFonts w:ascii="宋体" w:hAnsi="宋体" w:cs="宋体" w:eastAsia="宋体" w:hint="default"/>
                <w:sz w:val="18"/>
                <w:szCs w:val="18"/>
              </w:rPr>
            </w:pPr>
            <w:r>
              <w:rPr>
                <w:rFonts w:ascii="宋体" w:hAnsi="宋体" w:cs="宋体" w:eastAsia="宋体" w:hint="default"/>
                <w:sz w:val="18"/>
                <w:szCs w:val="18"/>
              </w:rPr>
              <w:t>网络视听产业 专项资金</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23" w:right="326"/>
              <w:jc w:val="left"/>
              <w:rPr>
                <w:rFonts w:ascii="宋体" w:hAnsi="宋体" w:cs="宋体" w:eastAsia="宋体" w:hint="default"/>
                <w:sz w:val="18"/>
                <w:szCs w:val="18"/>
              </w:rPr>
            </w:pPr>
            <w:r>
              <w:rPr>
                <w:rFonts w:ascii="宋体" w:hAnsi="宋体" w:cs="宋体" w:eastAsia="宋体" w:hint="default"/>
                <w:sz w:val="18"/>
                <w:szCs w:val="18"/>
              </w:rPr>
              <w:t>上海市 文广局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24" w:right="55"/>
              <w:jc w:val="left"/>
              <w:rPr>
                <w:rFonts w:ascii="宋体" w:hAnsi="宋体" w:cs="宋体" w:eastAsia="宋体" w:hint="default"/>
                <w:sz w:val="18"/>
                <w:szCs w:val="18"/>
              </w:rPr>
            </w:pPr>
            <w:r>
              <w:rPr>
                <w:rFonts w:ascii="宋体" w:hAnsi="宋体" w:cs="宋体" w:eastAsia="宋体" w:hint="default"/>
                <w:sz w:val="18"/>
                <w:szCs w:val="18"/>
              </w:rPr>
              <w:t>因研究开发、技术更 新及改造等获得的补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26"/>
              <w:jc w:val="right"/>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141,509.43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2" w:footer="979" w:top="1300" w:bottom="1160" w:left="780" w:right="780"/>
        </w:sectPr>
      </w:pPr>
    </w:p>
    <w:p>
      <w:pPr>
        <w:spacing w:line="240" w:lineRule="auto" w:before="3"/>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227"/>
        <w:gridCol w:w="902"/>
        <w:gridCol w:w="566"/>
        <w:gridCol w:w="1712"/>
        <w:gridCol w:w="1275"/>
        <w:gridCol w:w="852"/>
        <w:gridCol w:w="1292"/>
        <w:gridCol w:w="1214"/>
        <w:gridCol w:w="1064"/>
      </w:tblGrid>
      <w:tr>
        <w:trPr>
          <w:trHeight w:val="363" w:hRule="exact"/>
        </w:trPr>
        <w:tc>
          <w:tcPr>
            <w:tcW w:w="1227"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服务业发展专 项基金</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地方财政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职工职业培训 补贴资金</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地方财政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补助</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5" w:right="0"/>
              <w:jc w:val="left"/>
              <w:rPr>
                <w:rFonts w:ascii="Times New Roman" w:hAnsi="Times New Roman" w:cs="Times New Roman" w:eastAsia="Times New Roman" w:hint="default"/>
                <w:sz w:val="18"/>
                <w:szCs w:val="18"/>
              </w:rPr>
            </w:pPr>
            <w:r>
              <w:rPr>
                <w:rFonts w:ascii="Times New Roman"/>
                <w:sz w:val="18"/>
              </w:rPr>
              <w:t>62,306,800.02</w:t>
            </w:r>
          </w:p>
        </w:tc>
        <w:tc>
          <w:tcPr>
            <w:tcW w:w="12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4,874,542.76</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left="352" w:right="0"/>
        <w:jc w:val="left"/>
        <w:rPr>
          <w:b w:val="0"/>
          <w:bCs w:val="0"/>
        </w:rPr>
      </w:pPr>
      <w:r>
        <w:rPr>
          <w:rFonts w:ascii="Times New Roman" w:hAnsi="Times New Roman" w:cs="Times New Roman" w:eastAsia="Times New Roman" w:hint="default"/>
        </w:rPr>
        <w:t>48</w:t>
      </w:r>
      <w:r>
        <w:rPr/>
        <w:t>、营业外支出</w:t>
      </w:r>
      <w:r>
        <w:rPr>
          <w:b w:val="0"/>
          <w:bCs w:val="0"/>
        </w:rPr>
      </w:r>
    </w:p>
    <w:p>
      <w:pPr>
        <w:spacing w:line="240" w:lineRule="auto" w:before="13"/>
        <w:rPr>
          <w:rFonts w:ascii="宋体" w:hAnsi="宋体" w:cs="宋体" w:eastAsia="宋体" w:hint="default"/>
          <w:b/>
          <w:bCs/>
          <w:sz w:val="22"/>
          <w:szCs w:val="22"/>
        </w:rPr>
      </w:pPr>
    </w:p>
    <w:p>
      <w:pPr>
        <w:spacing w:before="44"/>
        <w:ind w:left="0" w:right="3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47"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131,821.38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131,821.38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131,821.38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131,821.38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81,040.44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81,040.44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2,812,861.82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1,512,810.02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2,812,861.82</w:t>
            </w:r>
          </w:p>
        </w:tc>
      </w:tr>
    </w:tbl>
    <w:p>
      <w:pPr>
        <w:spacing w:line="240" w:lineRule="auto" w:before="3"/>
        <w:rPr>
          <w:rFonts w:ascii="宋体" w:hAnsi="宋体" w:cs="宋体" w:eastAsia="宋体" w:hint="default"/>
          <w:sz w:val="19"/>
          <w:szCs w:val="19"/>
        </w:rPr>
      </w:pPr>
    </w:p>
    <w:p>
      <w:pPr>
        <w:pStyle w:val="Heading5"/>
        <w:spacing w:line="240" w:lineRule="auto" w:before="36"/>
        <w:ind w:left="352" w:right="0"/>
        <w:jc w:val="left"/>
        <w:rPr>
          <w:b w:val="0"/>
          <w:bCs w:val="0"/>
        </w:rPr>
      </w:pPr>
      <w:r>
        <w:rPr>
          <w:rFonts w:ascii="Times New Roman" w:hAnsi="Times New Roman" w:cs="Times New Roman" w:eastAsia="Times New Roman" w:hint="default"/>
        </w:rPr>
        <w:t>49</w:t>
      </w:r>
      <w:r>
        <w:rPr/>
        <w:t>、所得税费用</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352"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3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330,864,727.26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39,717,430.96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-8,452,212.22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-8,132,492.40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322,412,515.04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31,584,938.56</w:t>
            </w:r>
          </w:p>
        </w:tc>
      </w:tr>
    </w:tbl>
    <w:p>
      <w:pPr>
        <w:spacing w:line="240" w:lineRule="auto" w:before="3"/>
        <w:rPr>
          <w:rFonts w:ascii="宋体" w:hAnsi="宋体" w:cs="宋体" w:eastAsia="宋体" w:hint="default"/>
          <w:sz w:val="19"/>
          <w:szCs w:val="19"/>
        </w:rPr>
      </w:pPr>
    </w:p>
    <w:p>
      <w:pPr>
        <w:pStyle w:val="Heading5"/>
        <w:spacing w:line="240" w:lineRule="auto" w:before="36"/>
        <w:ind w:left="352" w:right="0"/>
        <w:jc w:val="left"/>
        <w:rPr>
          <w:b w:val="0"/>
          <w:bCs w:val="0"/>
        </w:rPr>
      </w:pPr>
      <w:r>
        <w:rPr>
          <w:rFonts w:ascii="Times New Roman" w:hAnsi="Times New Roman" w:cs="Times New Roman" w:eastAsia="Times New Roman" w:hint="default"/>
        </w:rPr>
        <w:t>50</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352"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3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34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收回往来款、代垫款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67,104,438.80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245,623.94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专项补贴、补助款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62,142,800.00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3,662,209.43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118,547,157.99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63,323,309.30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780" w:right="78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5,683.00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248,370,649.31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67,236,825.67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74,521,560.51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840,144.05</w:t>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代垫基金销售业务赎回款增加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533,305,520.00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54,425,922.30</w:t>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91,997,108.02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34,774,518.13</w:t>
            </w:r>
          </w:p>
        </w:tc>
      </w:tr>
      <w:tr>
        <w:trPr>
          <w:trHeight w:val="49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135,458,555.74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41,024,611.26</w:t>
            </w:r>
          </w:p>
        </w:tc>
      </w:tr>
      <w:tr>
        <w:trPr>
          <w:trHeight w:val="49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2,681,040.44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837,963,784.71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132,557,495.74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非同一控制下企业合并同信证券购买日 持有现金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9,676,544,747.43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10,002,544,747.43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349,982,043.88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70,959.52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350,053,003.40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P2B </w:t>
            </w:r>
            <w:r>
              <w:rPr>
                <w:rFonts w:ascii="宋体" w:hAnsi="宋体" w:cs="宋体" w:eastAsia="宋体" w:hint="default"/>
                <w:sz w:val="18"/>
                <w:szCs w:val="18"/>
              </w:rPr>
              <w:t>的东方财富非标准化金融资产 服务平台项目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sz w:val="9"/>
          <w:szCs w:val="9"/>
        </w:rPr>
      </w:pPr>
      <w:r>
        <w:rPr/>
        <w:pict>
          <v:group style="position:absolute;margin-left:223.369995pt;margin-top:618.76001pt;width:151.25pt;height:40.8pt;mso-position-horizontal-relative:page;mso-position-vertical-relative:page;z-index:-868840" coordorigin="4467,12375" coordsize="3025,816">
            <v:group style="position:absolute;left:4478;top:12386;width:2;height:392" coordorigin="4478,12386" coordsize="2,392">
              <v:shape style="position:absolute;left:4478;top:12386;width:2;height:392" coordorigin="4478,12386" coordsize="0,392" path="m4478,12386l4478,12777e" filled="false" stroked="true" strokeweight="1.08pt" strokecolor="#ffffff">
                <v:path arrowok="t"/>
              </v:shape>
            </v:group>
            <v:group style="position:absolute;left:4489;top:12386;width:3003;height:392" coordorigin="4489,12386" coordsize="3003,392">
              <v:shape style="position:absolute;left:4489;top:12386;width:3003;height:392" coordorigin="4489,12386" coordsize="3003,392" path="m4489,12777l7492,12777,7492,12386,4489,12386,4489,12777xe" filled="true" fillcolor="#ffffff" stroked="false">
                <v:path arrowok="t"/>
                <v:fill type="solid"/>
              </v:shape>
            </v:group>
            <v:group style="position:absolute;left:4478;top:12787;width:2;height:394" coordorigin="4478,12787" coordsize="2,394">
              <v:shape style="position:absolute;left:4478;top:12787;width:2;height:394" coordorigin="4478,12787" coordsize="0,394" path="m4478,12787l4478,13180e" filled="false" stroked="true" strokeweight="1.08pt" strokecolor="#ffffff">
                <v:path arrowok="t"/>
              </v:shape>
            </v:group>
            <v:group style="position:absolute;left:4489;top:12787;width:3003;height:394" coordorigin="4489,12787" coordsize="3003,394">
              <v:shape style="position:absolute;left:4489;top:12787;width:3003;height:394" coordorigin="4489,12787" coordsize="3003,394" path="m4489,13180l7492,13180,7492,12787,4489,12787,4489,1318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宣传部人才项目计划</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金融服务互动平台升级项目补助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中国证券登记结算有限责任公司股利分 配登记结算费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23,345.88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23,345.88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1,848,513,821.56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165,668,861.84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18,219,005.93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6,286,748.50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25,621,868.58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13,416,005.98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6,824,781.19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4,461,310.61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4,122,782.73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3,035,592.99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131,821.38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20,510.02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-22,355,846.26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-481,807.82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741,629.76</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-19,134,894.60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1940" w:val="left" w:leader="none"/>
              </w:tabs>
              <w:spacing w:line="240" w:lineRule="auto" w:before="49"/>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-11,791,929.42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-8,132,492.40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82" w:val="left" w:leader="none"/>
              </w:tabs>
              <w:spacing w:line="240" w:lineRule="auto" w:before="49"/>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4,620,148.63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-229,658,150.43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-1,420,114,315.77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1"/>
              <w:jc w:val="right"/>
              <w:rPr>
                <w:rFonts w:ascii="Times New Roman" w:hAnsi="Times New Roman" w:cs="Times New Roman" w:eastAsia="Times New Roman" w:hint="default"/>
                <w:sz w:val="18"/>
                <w:szCs w:val="18"/>
              </w:rPr>
            </w:pPr>
            <w:r>
              <w:rPr>
                <w:rFonts w:ascii="Times New Roman"/>
                <w:spacing w:val="-1"/>
                <w:sz w:val="18"/>
              </w:rPr>
              <w:t>-1,117,578,631.56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3,559,221,214.23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40,320,155.06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38,312,558.92</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547,373,124.97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2,362,917,624.68</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13,703,557,117.49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4,034,198,710.83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4,034,198,710.83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1,746,390,212.17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9,669,358,406.66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2,287,808,498.66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9"/>
        <w:gridCol w:w="4582"/>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7,996,148.55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东方财富国际证劵有限公司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7,996,148.55</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西藏同信证券股份有限公司</w:t>
            </w:r>
          </w:p>
        </w:tc>
        <w:tc>
          <w:tcPr>
            <w:tcW w:w="45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9,682,922,830.13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东方财富国际证劵有限公司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6,378,082.70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西藏同信证券股份有限公司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9,676,544,747.43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-9,674,926,681.58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13,703,557,117.49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4,034,198,710.83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94,185.48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119,043.11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12,222,835,076.39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4,028,373,722.65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25,806,745.43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13,703,557,117.49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4,034,198,710.83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before="129"/>
        <w:ind w:left="152" w:right="0" w:firstLine="0"/>
        <w:jc w:val="left"/>
        <w:rPr>
          <w:rFonts w:ascii="宋体" w:hAnsi="宋体" w:cs="宋体" w:eastAsia="宋体" w:hint="default"/>
          <w:sz w:val="18"/>
          <w:szCs w:val="18"/>
        </w:rPr>
      </w:pPr>
      <w:r>
        <w:rPr>
          <w:rFonts w:ascii="宋体" w:hAnsi="宋体" w:cs="宋体" w:eastAsia="宋体" w:hint="default"/>
          <w:sz w:val="18"/>
          <w:szCs w:val="18"/>
        </w:rPr>
        <w:t>除表中列示的项目外，现金项目期末余额中还包含结算备付金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1,454,821,110.19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52</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70"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652,550,445.00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卖出回购交易质押</w:t>
            </w:r>
          </w:p>
        </w:tc>
      </w:tr>
      <w:tr>
        <w:trPr>
          <w:trHeight w:val="468"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249,488,750.00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买断式回购交易质押</w:t>
            </w:r>
          </w:p>
        </w:tc>
      </w:tr>
      <w:tr>
        <w:trPr>
          <w:trHeight w:val="470"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13,339,740.20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证券已融出</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915,378,935.20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2,041,428.17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13,256,579.75</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59,804,282.99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50,102,825.08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1,298,720.00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418,890.00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204,987.91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1,331,109.49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1,667,039.30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1,396,612.20</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八、合并范围的变更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3"/>
        <w:gridCol w:w="1061"/>
      </w:tblGrid>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29"/>
              <w:jc w:val="left"/>
              <w:rPr>
                <w:rFonts w:ascii="宋体" w:hAnsi="宋体" w:cs="宋体" w:eastAsia="宋体" w:hint="default"/>
                <w:sz w:val="18"/>
                <w:szCs w:val="18"/>
              </w:rPr>
            </w:pPr>
            <w:r>
              <w:rPr>
                <w:rFonts w:ascii="宋体" w:hAnsi="宋体" w:cs="宋体" w:eastAsia="宋体" w:hint="default"/>
                <w:sz w:val="18"/>
                <w:szCs w:val="18"/>
              </w:rPr>
              <w:t>西藏同信证 券股份有限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4,404,630,00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非公开发行 股份购买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148,633,249.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57,575,937.1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207"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3"/>
        <w:gridCol w:w="1061"/>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东方财富国 际证劵有限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7,996,148.55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59,386.29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-7,731,364.52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left="212" w:right="10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西藏同信证券股份有限公司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东方财富国际证劵有限公司</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7,996,148.55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4,404,630,000.00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4,404,630,000.00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7,996,148.55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1,479,963,080.31</w:t>
            </w:r>
            <w:r>
              <w:rPr>
                <w:rFonts w:ascii="Times New Roman"/>
                <w:sz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5,224,108.11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2,924,666,919.69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2,772,040.44</w:t>
            </w:r>
          </w:p>
        </w:tc>
      </w:tr>
    </w:tbl>
    <w:p>
      <w:pPr>
        <w:spacing w:line="240" w:lineRule="auto" w:before="3"/>
        <w:rPr>
          <w:rFonts w:ascii="宋体" w:hAnsi="宋体" w:cs="宋体" w:eastAsia="宋体" w:hint="default"/>
          <w:sz w:val="19"/>
          <w:szCs w:val="19"/>
        </w:rPr>
      </w:pPr>
    </w:p>
    <w:p>
      <w:pPr>
        <w:pStyle w:val="Heading5"/>
        <w:spacing w:line="240" w:lineRule="auto" w:before="36"/>
        <w:ind w:left="212" w:right="10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376"/>
        <w:gridCol w:w="1844"/>
        <w:gridCol w:w="1702"/>
        <w:gridCol w:w="1736"/>
        <w:gridCol w:w="1915"/>
      </w:tblGrid>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54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西藏同信证券股份有限公司</w:t>
            </w:r>
          </w:p>
        </w:tc>
        <w:tc>
          <w:tcPr>
            <w:tcW w:w="365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东方财富国际证劵有限公司</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86"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13,893,349,981.38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13,846,364,385.10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7,362,675.81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7,362,675.81</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8,413,919,987.43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8,413,919,987.43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5,575,753.16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5,575,753.16</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1,262,624,760.00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1,262,624,760.00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1,649,459,535.57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1,649,459,535.57</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融出资金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1,385,752,789.37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1,385,752,789.37</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存出保证金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695,614,356.84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695,614,356.84</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211,545,360.58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164,559,764.30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12,408,337,941.28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7" w:right="0"/>
              <w:jc w:val="left"/>
              <w:rPr>
                <w:rFonts w:ascii="Times New Roman" w:hAnsi="Times New Roman" w:cs="Times New Roman" w:eastAsia="Times New Roman" w:hint="default"/>
                <w:sz w:val="18"/>
                <w:szCs w:val="18"/>
              </w:rPr>
            </w:pPr>
            <w:r>
              <w:rPr>
                <w:rFonts w:ascii="Times New Roman"/>
                <w:sz w:val="18"/>
              </w:rPr>
              <w:t>12,408,337,941.28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2,138,567.70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2,138,567.70</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1,649,625,231.01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1,649,625,231.01</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159,448,290.27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159,448,290.27</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2,592,845,841.57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2,592,845,841.57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206,687.82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206,687.82</w:t>
            </w: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7,269,391,233.81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7,269,391,233.81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1,931,879.88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1,931,879.88</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700,000,000.00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1,485,012,040.10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1,438,026,443.82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5,224,108.11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5,224,108.11</w:t>
            </w:r>
          </w:p>
        </w:tc>
      </w:tr>
      <w:tr>
        <w:trPr>
          <w:trHeight w:val="403"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5,048,959.79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5,048,959.79</w:t>
            </w:r>
          </w:p>
        </w:tc>
        <w:tc>
          <w:tcPr>
            <w:tcW w:w="173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20" w:right="980"/>
        </w:sectPr>
      </w:pPr>
    </w:p>
    <w:p>
      <w:pPr>
        <w:spacing w:line="240" w:lineRule="auto" w:before="3"/>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375"/>
        <w:gridCol w:w="1844"/>
        <w:gridCol w:w="1702"/>
        <w:gridCol w:w="1736"/>
        <w:gridCol w:w="1915"/>
      </w:tblGrid>
      <w:tr>
        <w:trPr>
          <w:trHeight w:val="404" w:hRule="exact"/>
        </w:trPr>
        <w:tc>
          <w:tcPr>
            <w:tcW w:w="2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1,479,963,080.31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1,432,977,484.03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3" w:right="0"/>
              <w:jc w:val="left"/>
              <w:rPr>
                <w:rFonts w:ascii="Times New Roman" w:hAnsi="Times New Roman" w:cs="Times New Roman" w:eastAsia="Times New Roman" w:hint="default"/>
                <w:sz w:val="18"/>
                <w:szCs w:val="18"/>
              </w:rPr>
            </w:pPr>
            <w:r>
              <w:rPr>
                <w:rFonts w:ascii="Times New Roman"/>
                <w:sz w:val="18"/>
              </w:rPr>
              <w:t>5,224,108.11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1" w:right="0"/>
              <w:jc w:val="left"/>
              <w:rPr>
                <w:rFonts w:ascii="Times New Roman" w:hAnsi="Times New Roman" w:cs="Times New Roman" w:eastAsia="Times New Roman" w:hint="default"/>
                <w:sz w:val="18"/>
                <w:szCs w:val="18"/>
              </w:rPr>
            </w:pPr>
            <w:r>
              <w:rPr>
                <w:rFonts w:ascii="Times New Roman"/>
                <w:sz w:val="18"/>
              </w:rPr>
              <w:t>5,224,108.11</w:t>
            </w:r>
          </w:p>
        </w:tc>
      </w:tr>
    </w:tbl>
    <w:p>
      <w:pPr>
        <w:spacing w:line="240" w:lineRule="auto" w:before="3"/>
        <w:rPr>
          <w:rFonts w:ascii="宋体" w:hAnsi="宋体" w:cs="宋体" w:eastAsia="宋体" w:hint="default"/>
          <w:sz w:val="19"/>
          <w:szCs w:val="19"/>
        </w:rPr>
      </w:pPr>
    </w:p>
    <w:p>
      <w:pPr>
        <w:pStyle w:val="Heading5"/>
        <w:spacing w:line="240" w:lineRule="auto" w:before="36"/>
        <w:ind w:left="212" w:right="10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212" w:right="10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2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2" w:right="10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12" w:right="10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2" w:right="10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2"/>
        <w:rPr>
          <w:rFonts w:ascii="宋体" w:hAnsi="宋体" w:cs="宋体" w:eastAsia="宋体" w:hint="default"/>
          <w:b/>
          <w:bCs/>
          <w:sz w:val="26"/>
          <w:szCs w:val="26"/>
        </w:rPr>
      </w:pPr>
    </w:p>
    <w:p>
      <w:pPr>
        <w:spacing w:before="0"/>
        <w:ind w:left="212" w:right="103"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7"/>
        <w:ind w:left="21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39"/>
        <w:ind w:left="2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left="212" w:right="10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212" w:right="103" w:firstLine="420"/>
        <w:jc w:val="left"/>
      </w:pPr>
      <w:r>
        <w:rPr/>
        <w:t>（</w:t>
      </w:r>
      <w:r>
        <w:rPr>
          <w:rFonts w:ascii="Times New Roman" w:hAnsi="Times New Roman" w:cs="Times New Roman" w:eastAsia="Times New Roman" w:hint="default"/>
        </w:rPr>
        <w:t>1</w:t>
      </w:r>
      <w:r>
        <w:rPr/>
        <w:t>）本期因新设而增加两家合并范围内子公司，分别为扬州东方财富金融信息服务有限公司，上海</w:t>
      </w:r>
      <w:r>
        <w:rPr>
          <w:w w:val="100"/>
        </w:rPr>
        <w:t> </w:t>
      </w:r>
      <w:r>
        <w:rPr/>
        <w:t>微兆信息科技有限公司。</w:t>
      </w:r>
    </w:p>
    <w:p>
      <w:pPr>
        <w:pStyle w:val="BodyText"/>
        <w:spacing w:line="259" w:lineRule="auto" w:before="22"/>
        <w:ind w:left="212" w:right="103" w:firstLine="420"/>
        <w:jc w:val="left"/>
      </w:pPr>
      <w:r>
        <w:rPr>
          <w:spacing w:val="-2"/>
        </w:rPr>
        <w:t>（</w:t>
      </w:r>
      <w:r>
        <w:rPr>
          <w:rFonts w:ascii="Times New Roman" w:hAnsi="Times New Roman" w:cs="Times New Roman" w:eastAsia="Times New Roman" w:hint="default"/>
          <w:spacing w:val="-2"/>
        </w:rPr>
        <w:t>2</w:t>
      </w:r>
      <w:r>
        <w:rPr>
          <w:spacing w:val="-2"/>
        </w:rPr>
        <w:t>）国泰君安东睿富盈基金由天天基金以自有资金认购，为该基金的单一投资人，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月起纳入</w:t>
      </w:r>
      <w:r>
        <w:rPr>
          <w:w w:val="100"/>
        </w:rPr>
        <w:t> </w:t>
      </w:r>
      <w:r>
        <w:rPr/>
        <w:t>合并范围。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ind w:left="212" w:right="103"/>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212" w:right="10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559"/>
        <w:gridCol w:w="1180"/>
        <w:gridCol w:w="1364"/>
        <w:gridCol w:w="1368"/>
        <w:gridCol w:w="2734"/>
        <w:gridCol w:w="1366"/>
      </w:tblGrid>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852" w:footer="979" w:top="1300" w:bottom="1160" w:left="92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560"/>
        <w:gridCol w:w="1179"/>
        <w:gridCol w:w="1366"/>
        <w:gridCol w:w="1368"/>
        <w:gridCol w:w="1368"/>
        <w:gridCol w:w="1366"/>
        <w:gridCol w:w="1366"/>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上海优优商务咨询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上海东方财富证券 研究所有限公司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北京京东财信息科 技有限公司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广州东财信息科技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上海天天基金销售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金融电子商务服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上海东方财富金融 数据服务有限公司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上海东方财富置业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房地产开发经营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上海长盛电子商务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东方财富（香港）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互联网信息服 务、互联网金融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上海东睿资产管理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受托资产管理、 资产管理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上海东鑫互联网金 融服务有限公司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互联网金融信息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深圳东财金融数据 服务有限公司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接受金融机构委 托，从事金融外 包服务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扬州东方财富金融 信息服务有限公司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上海微兆信息科技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西藏同信证券股份 有限公司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证券经纪、证券 自营、资产管理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同信久恒期货有限 责任公司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期货代理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同信投资有限责任 公司</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东方财富国际证劵</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证券经纪</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6"/>
        <w:rPr>
          <w:rFonts w:ascii="Times New Roman" w:hAnsi="Times New Roman" w:cs="Times New Roman" w:eastAsia="Times New Roman"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1560"/>
        <w:gridCol w:w="1179"/>
        <w:gridCol w:w="1366"/>
        <w:gridCol w:w="1368"/>
        <w:gridCol w:w="1368"/>
        <w:gridCol w:w="1366"/>
        <w:gridCol w:w="1366"/>
      </w:tblGrid>
      <w:tr>
        <w:trPr>
          <w:trHeight w:val="3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7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bl>
    <w:p>
      <w:pPr>
        <w:spacing w:line="240" w:lineRule="auto" w:before="10"/>
        <w:rPr>
          <w:rFonts w:ascii="Times New Roman" w:hAnsi="Times New Roman" w:cs="Times New Roman" w:eastAsia="Times New Roman" w:hint="default"/>
          <w:sz w:val="21"/>
          <w:szCs w:val="21"/>
        </w:rPr>
      </w:pPr>
    </w:p>
    <w:p>
      <w:pPr>
        <w:pStyle w:val="Heading5"/>
        <w:spacing w:line="506" w:lineRule="auto" w:before="36"/>
        <w:ind w:right="5814"/>
        <w:jc w:val="left"/>
        <w:rPr>
          <w:b w:val="0"/>
          <w:bCs w:val="0"/>
        </w:rPr>
      </w:pPr>
      <w:r>
        <w:rPr>
          <w:rFonts w:ascii="Times New Roman" w:hAnsi="Times New Roman" w:cs="Times New Roman" w:eastAsia="Times New Roman" w:hint="default"/>
          <w:spacing w:val="-1"/>
        </w:rPr>
        <w:t>2</w:t>
      </w:r>
      <w:r>
        <w:rPr>
          <w:spacing w:val="-1"/>
        </w:rPr>
        <w:t>、在合营安排或联营企业中的权益</w:t>
      </w:r>
      <w:r>
        <w:rPr>
          <w:spacing w:val="-90"/>
        </w:rPr>
        <w:t> </w:t>
      </w:r>
      <w:r>
        <w:rPr>
          <w:spacing w:val="-90"/>
        </w:rPr>
      </w:r>
      <w:r>
        <w:rPr/>
        <w:t>重要的合营企业或联营企业</w:t>
      </w:r>
      <w:r>
        <w:rPr>
          <w:b w:val="0"/>
          <w:bCs w:val="0"/>
        </w:rPr>
      </w:r>
    </w:p>
    <w:p>
      <w:pPr>
        <w:spacing w:line="240" w:lineRule="auto" w:before="12"/>
        <w:rPr>
          <w:rFonts w:ascii="宋体" w:hAnsi="宋体" w:cs="宋体" w:eastAsia="宋体" w:hint="default"/>
          <w:b/>
          <w:bCs/>
          <w:sz w:val="8"/>
          <w:szCs w:val="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4" w:hRule="exact"/>
        </w:trPr>
        <w:tc>
          <w:tcPr>
            <w:tcW w:w="13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上海漫道金融服</w:t>
            </w:r>
          </w:p>
        </w:tc>
        <w:tc>
          <w:tcPr>
            <w:tcW w:w="136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务信息股份有限</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779" w:right="0"/>
              <w:jc w:val="left"/>
              <w:rPr>
                <w:rFonts w:ascii="Times New Roman" w:hAnsi="Times New Roman" w:cs="Times New Roman" w:eastAsia="Times New Roman" w:hint="default"/>
                <w:sz w:val="18"/>
                <w:szCs w:val="18"/>
              </w:rPr>
            </w:pPr>
            <w:r>
              <w:rPr>
                <w:rFonts w:ascii="Times New Roman"/>
                <w:sz w:val="18"/>
              </w:rPr>
              <w:t>27.00%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4" w:hRule="exact"/>
        </w:trPr>
        <w:tc>
          <w:tcPr>
            <w:tcW w:w="13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pStyle w:val="BodyText"/>
        <w:spacing w:line="273" w:lineRule="auto" w:before="94"/>
        <w:ind w:right="0"/>
        <w:jc w:val="left"/>
      </w:pPr>
      <w:r>
        <w:rPr>
          <w:spacing w:val="-2"/>
        </w:rPr>
        <w:t>子公司同信证券发起设立的未纳入合并财务报表范围的结构化主体，主要包括同信证券发起设立的集合资</w:t>
      </w:r>
      <w:r>
        <w:rPr>
          <w:spacing w:val="-43"/>
        </w:rPr>
        <w:t> </w:t>
      </w:r>
      <w:r>
        <w:rPr>
          <w:spacing w:val="-43"/>
        </w:rPr>
      </w:r>
      <w:r>
        <w:rPr>
          <w:spacing w:val="-2"/>
        </w:rPr>
        <w:t>产管理计划，其融资方式是向投资者发行投资产品，这些结构化主体的目的主要是管理投资者的资产并赚</w:t>
      </w:r>
      <w:r>
        <w:rPr>
          <w:spacing w:val="-44"/>
        </w:rPr>
        <w:t> </w:t>
      </w:r>
      <w:r>
        <w:rPr>
          <w:spacing w:val="-44"/>
        </w:rPr>
      </w:r>
      <w:r>
        <w:rPr/>
        <w:t>取管理费或剩余收益。</w:t>
      </w:r>
      <w:r>
        <w:rPr>
          <w:w w:val="100"/>
        </w:rPr>
        <w:t> </w:t>
      </w:r>
      <w:r>
        <w:rPr/>
        <w:t>同信证券在这些未纳入合并财务报表范围的结构化主体中享有的权益主要包括直接持有投资或通过管理</w:t>
      </w:r>
      <w:r>
        <w:rPr>
          <w:w w:val="100"/>
        </w:rPr>
        <w:t> </w:t>
      </w:r>
      <w:r>
        <w:rPr>
          <w:spacing w:val="-2"/>
        </w:rPr>
        <w:t>这些结构化主体赚取管理费收入或剩余收益。综合分析自有资金参与程度、预期可变回报以及风险敞口损</w:t>
      </w:r>
      <w:r>
        <w:rPr>
          <w:spacing w:val="-42"/>
        </w:rPr>
        <w:t> </w:t>
      </w:r>
      <w:r>
        <w:rPr>
          <w:spacing w:val="-42"/>
        </w:rPr>
      </w:r>
      <w:r>
        <w:rPr/>
        <w:t>失等情况，本公司对该等结构化主体不具有控制，未纳入合并范围。</w:t>
      </w:r>
      <w:r>
        <w:rPr>
          <w:w w:val="100"/>
        </w:rPr>
        <w:t> </w:t>
      </w:r>
      <w:r>
        <w:rPr/>
        <w:t>期末同信证券通过直接持有自身发起设立的结构化主体中享有的权益在同信证券资产负债表中的相关资</w:t>
      </w:r>
      <w:r>
        <w:rPr>
          <w:w w:val="100"/>
        </w:rPr>
        <w:t> </w:t>
      </w:r>
      <w:r>
        <w:rPr/>
        <w:t>产负债项目账面价值及最大损失风险敞口列示如下：</w:t>
      </w:r>
    </w:p>
    <w:p>
      <w:pPr>
        <w:spacing w:line="240" w:lineRule="auto" w:before="11"/>
        <w:rPr>
          <w:rFonts w:ascii="宋体" w:hAnsi="宋体" w:cs="宋体" w:eastAsia="宋体" w:hint="default"/>
          <w:sz w:val="25"/>
          <w:szCs w:val="25"/>
        </w:rPr>
      </w:pPr>
    </w:p>
    <w:tbl>
      <w:tblPr>
        <w:tblW w:w="0" w:type="auto"/>
        <w:jc w:val="left"/>
        <w:tblInd w:w="702" w:type="dxa"/>
        <w:tblLayout w:type="fixed"/>
        <w:tblCellMar>
          <w:top w:w="0" w:type="dxa"/>
          <w:left w:w="0" w:type="dxa"/>
          <w:bottom w:w="0" w:type="dxa"/>
          <w:right w:w="0" w:type="dxa"/>
        </w:tblCellMar>
        <w:tblLook w:val="01E0"/>
      </w:tblPr>
      <w:tblGrid>
        <w:gridCol w:w="377"/>
        <w:gridCol w:w="1522"/>
        <w:gridCol w:w="538"/>
        <w:gridCol w:w="1769"/>
        <w:gridCol w:w="867"/>
        <w:gridCol w:w="1935"/>
        <w:gridCol w:w="1524"/>
      </w:tblGrid>
      <w:tr>
        <w:trPr>
          <w:trHeight w:val="1040" w:hRule="exact"/>
        </w:trPr>
        <w:tc>
          <w:tcPr>
            <w:tcW w:w="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5"/>
              <w:ind w:left="91" w:right="93"/>
              <w:jc w:val="left"/>
              <w:rPr>
                <w:rFonts w:ascii="宋体" w:hAnsi="宋体" w:cs="宋体" w:eastAsia="宋体" w:hint="default"/>
                <w:sz w:val="18"/>
                <w:szCs w:val="18"/>
              </w:rPr>
            </w:pPr>
            <w:r>
              <w:rPr>
                <w:rFonts w:ascii="宋体" w:hAnsi="宋体" w:cs="宋体" w:eastAsia="宋体" w:hint="default"/>
                <w:sz w:val="18"/>
                <w:szCs w:val="18"/>
              </w:rPr>
              <w:t>序 号</w:t>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395" w:right="0"/>
              <w:jc w:val="left"/>
              <w:rPr>
                <w:rFonts w:ascii="宋体" w:hAnsi="宋体" w:cs="宋体" w:eastAsia="宋体" w:hint="default"/>
                <w:sz w:val="18"/>
                <w:szCs w:val="18"/>
              </w:rPr>
            </w:pPr>
            <w:r>
              <w:rPr>
                <w:rFonts w:ascii="宋体" w:hAnsi="宋体" w:cs="宋体" w:eastAsia="宋体" w:hint="default"/>
                <w:sz w:val="18"/>
                <w:szCs w:val="18"/>
              </w:rPr>
              <w:t>集合名称</w:t>
            </w:r>
          </w:p>
        </w:tc>
        <w:tc>
          <w:tcPr>
            <w:tcW w:w="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5"/>
              <w:ind w:left="84" w:right="8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7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5"/>
              <w:ind w:left="69" w:right="67"/>
              <w:jc w:val="center"/>
              <w:rPr>
                <w:rFonts w:ascii="宋体" w:hAnsi="宋体" w:cs="宋体" w:eastAsia="宋体" w:hint="default"/>
                <w:sz w:val="18"/>
                <w:szCs w:val="18"/>
              </w:rPr>
            </w:pPr>
            <w:r>
              <w:rPr>
                <w:rFonts w:ascii="宋体" w:hAnsi="宋体" w:cs="宋体" w:eastAsia="宋体" w:hint="default"/>
                <w:sz w:val="18"/>
                <w:szCs w:val="18"/>
              </w:rPr>
              <w:t>财务报表中确认的与 结构化主体相关的资 产</w:t>
            </w:r>
          </w:p>
        </w:tc>
        <w:tc>
          <w:tcPr>
            <w:tcW w:w="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5"/>
              <w:ind w:left="69" w:right="65"/>
              <w:jc w:val="left"/>
              <w:rPr>
                <w:rFonts w:ascii="宋体" w:hAnsi="宋体" w:cs="宋体" w:eastAsia="宋体" w:hint="default"/>
                <w:sz w:val="18"/>
                <w:szCs w:val="18"/>
              </w:rPr>
            </w:pPr>
            <w:r>
              <w:rPr>
                <w:rFonts w:ascii="宋体" w:hAnsi="宋体" w:cs="宋体" w:eastAsia="宋体" w:hint="default"/>
                <w:sz w:val="18"/>
                <w:szCs w:val="18"/>
              </w:rPr>
              <w:t>自有资金 投资比例</w:t>
            </w:r>
          </w:p>
        </w:tc>
        <w:tc>
          <w:tcPr>
            <w:tcW w:w="1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5"/>
              <w:ind w:left="62" w:right="62"/>
              <w:jc w:val="center"/>
              <w:rPr>
                <w:rFonts w:ascii="宋体" w:hAnsi="宋体" w:cs="宋体" w:eastAsia="宋体" w:hint="default"/>
                <w:sz w:val="18"/>
                <w:szCs w:val="18"/>
              </w:rPr>
            </w:pPr>
            <w:r>
              <w:rPr>
                <w:rFonts w:ascii="宋体" w:hAnsi="宋体" w:cs="宋体" w:eastAsia="宋体" w:hint="default"/>
                <w:sz w:val="18"/>
                <w:szCs w:val="18"/>
              </w:rPr>
              <w:t>财务报表中确认的与结 构化主体相关的资产余 额</w:t>
            </w:r>
          </w:p>
        </w:tc>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5"/>
              <w:ind w:left="38" w:right="35"/>
              <w:jc w:val="left"/>
              <w:rPr>
                <w:rFonts w:ascii="宋体" w:hAnsi="宋体" w:cs="宋体" w:eastAsia="宋体" w:hint="default"/>
                <w:sz w:val="18"/>
                <w:szCs w:val="18"/>
              </w:rPr>
            </w:pPr>
            <w:r>
              <w:rPr>
                <w:rFonts w:ascii="宋体" w:hAnsi="宋体" w:cs="宋体" w:eastAsia="宋体" w:hint="default"/>
                <w:sz w:val="18"/>
                <w:szCs w:val="18"/>
              </w:rPr>
              <w:t>在结构化主体中权 益的最大损失敞口</w:t>
            </w:r>
          </w:p>
        </w:tc>
      </w:tr>
      <w:tr>
        <w:trPr>
          <w:trHeight w:val="371" w:hRule="exact"/>
        </w:trPr>
        <w:tc>
          <w:tcPr>
            <w:tcW w:w="3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w:t>
            </w:r>
          </w:p>
        </w:tc>
        <w:tc>
          <w:tcPr>
            <w:tcW w:w="15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right="79"/>
              <w:jc w:val="right"/>
              <w:rPr>
                <w:rFonts w:ascii="宋体" w:hAnsi="宋体" w:cs="宋体" w:eastAsia="宋体" w:hint="default"/>
                <w:sz w:val="18"/>
                <w:szCs w:val="18"/>
              </w:rPr>
            </w:pPr>
            <w:r>
              <w:rPr>
                <w:rFonts w:ascii="宋体" w:hAnsi="宋体" w:cs="宋体" w:eastAsia="宋体" w:hint="default"/>
                <w:sz w:val="18"/>
                <w:szCs w:val="18"/>
              </w:rPr>
              <w:t>同信如意稳健</w:t>
            </w:r>
            <w:r>
              <w:rPr>
                <w:rFonts w:ascii="宋体" w:hAnsi="宋体" w:cs="宋体" w:eastAsia="宋体" w:hint="default"/>
                <w:sz w:val="18"/>
                <w:szCs w:val="18"/>
              </w:rPr>
              <w:t>1</w:t>
            </w:r>
            <w:r>
              <w:rPr>
                <w:rFonts w:ascii="宋体" w:hAnsi="宋体" w:cs="宋体" w:eastAsia="宋体" w:hint="default"/>
                <w:sz w:val="18"/>
                <w:szCs w:val="18"/>
              </w:rPr>
              <w:t>号</w:t>
            </w:r>
          </w:p>
        </w:tc>
        <w:tc>
          <w:tcPr>
            <w:tcW w:w="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8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249"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2.18%</w:t>
            </w:r>
          </w:p>
        </w:tc>
        <w:tc>
          <w:tcPr>
            <w:tcW w:w="1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19,136,537.68</w:t>
            </w:r>
          </w:p>
        </w:tc>
        <w:tc>
          <w:tcPr>
            <w:tcW w:w="15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363" w:hRule="exact"/>
        </w:trPr>
        <w:tc>
          <w:tcPr>
            <w:tcW w:w="377"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35"/>
              <w:jc w:val="right"/>
              <w:rPr>
                <w:rFonts w:ascii="宋体" w:hAnsi="宋体" w:cs="宋体" w:eastAsia="宋体" w:hint="default"/>
                <w:sz w:val="18"/>
                <w:szCs w:val="18"/>
              </w:rPr>
            </w:pPr>
            <w:r>
              <w:rPr>
                <w:rFonts w:ascii="宋体" w:hAnsi="宋体" w:cs="宋体" w:eastAsia="宋体" w:hint="default"/>
                <w:sz w:val="18"/>
                <w:szCs w:val="18"/>
              </w:rPr>
              <w:t>集合资产管理计划</w:t>
            </w:r>
          </w:p>
        </w:tc>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8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769"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1935"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3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15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79"/>
              <w:jc w:val="right"/>
              <w:rPr>
                <w:rFonts w:ascii="宋体" w:hAnsi="宋体" w:cs="宋体" w:eastAsia="宋体" w:hint="default"/>
                <w:sz w:val="18"/>
                <w:szCs w:val="18"/>
              </w:rPr>
            </w:pPr>
            <w:r>
              <w:rPr>
                <w:rFonts w:ascii="宋体" w:hAnsi="宋体" w:cs="宋体" w:eastAsia="宋体" w:hint="default"/>
                <w:sz w:val="18"/>
                <w:szCs w:val="18"/>
              </w:rPr>
              <w:t>稳健</w:t>
            </w:r>
            <w:r>
              <w:rPr>
                <w:rFonts w:ascii="宋体" w:hAnsi="宋体" w:cs="宋体" w:eastAsia="宋体" w:hint="default"/>
                <w:sz w:val="18"/>
                <w:szCs w:val="18"/>
              </w:rPr>
              <w:t>2</w:t>
            </w:r>
            <w:r>
              <w:rPr>
                <w:rFonts w:ascii="宋体" w:hAnsi="宋体" w:cs="宋体" w:eastAsia="宋体" w:hint="default"/>
                <w:sz w:val="18"/>
                <w:szCs w:val="18"/>
              </w:rPr>
              <w:t>号集合资产</w:t>
            </w:r>
          </w:p>
        </w:tc>
        <w:tc>
          <w:tcPr>
            <w:tcW w:w="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8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49"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1.29%</w:t>
            </w:r>
          </w:p>
        </w:tc>
        <w:tc>
          <w:tcPr>
            <w:tcW w:w="1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10,750,868.06</w:t>
            </w:r>
          </w:p>
        </w:tc>
        <w:tc>
          <w:tcPr>
            <w:tcW w:w="15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65" w:hRule="exact"/>
        </w:trPr>
        <w:tc>
          <w:tcPr>
            <w:tcW w:w="377"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管理计划</w:t>
            </w:r>
          </w:p>
        </w:tc>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8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769"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1935"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3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3</w:t>
            </w:r>
          </w:p>
        </w:tc>
        <w:tc>
          <w:tcPr>
            <w:tcW w:w="15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9"/>
              <w:ind w:right="79"/>
              <w:jc w:val="right"/>
              <w:rPr>
                <w:rFonts w:ascii="宋体" w:hAnsi="宋体" w:cs="宋体" w:eastAsia="宋体" w:hint="default"/>
                <w:sz w:val="18"/>
                <w:szCs w:val="18"/>
              </w:rPr>
            </w:pPr>
            <w:r>
              <w:rPr>
                <w:rFonts w:ascii="宋体" w:hAnsi="宋体" w:cs="宋体" w:eastAsia="宋体" w:hint="default"/>
                <w:sz w:val="18"/>
                <w:szCs w:val="18"/>
              </w:rPr>
              <w:t>同心</w:t>
            </w:r>
            <w:r>
              <w:rPr>
                <w:rFonts w:ascii="宋体" w:hAnsi="宋体" w:cs="宋体" w:eastAsia="宋体" w:hint="default"/>
                <w:sz w:val="18"/>
                <w:szCs w:val="18"/>
              </w:rPr>
              <w:t>5</w:t>
            </w:r>
            <w:r>
              <w:rPr>
                <w:rFonts w:ascii="宋体" w:hAnsi="宋体" w:cs="宋体" w:eastAsia="宋体" w:hint="default"/>
                <w:sz w:val="18"/>
                <w:szCs w:val="18"/>
              </w:rPr>
              <w:t>号集合资产</w:t>
            </w:r>
          </w:p>
        </w:tc>
        <w:tc>
          <w:tcPr>
            <w:tcW w:w="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9"/>
              <w:ind w:left="8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9"/>
              <w:ind w:left="249"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20.86%</w:t>
            </w:r>
          </w:p>
        </w:tc>
        <w:tc>
          <w:tcPr>
            <w:tcW w:w="1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18,076,635.18</w:t>
            </w:r>
          </w:p>
        </w:tc>
        <w:tc>
          <w:tcPr>
            <w:tcW w:w="15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365" w:hRule="exact"/>
        </w:trPr>
        <w:tc>
          <w:tcPr>
            <w:tcW w:w="377"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395" w:right="0"/>
              <w:jc w:val="left"/>
              <w:rPr>
                <w:rFonts w:ascii="宋体" w:hAnsi="宋体" w:cs="宋体" w:eastAsia="宋体" w:hint="default"/>
                <w:sz w:val="18"/>
                <w:szCs w:val="18"/>
              </w:rPr>
            </w:pPr>
            <w:r>
              <w:rPr>
                <w:rFonts w:ascii="宋体" w:hAnsi="宋体" w:cs="宋体" w:eastAsia="宋体" w:hint="default"/>
                <w:sz w:val="18"/>
                <w:szCs w:val="18"/>
              </w:rPr>
              <w:t>管理计划</w:t>
            </w:r>
          </w:p>
        </w:tc>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8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769"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1935"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3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15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79"/>
              <w:jc w:val="right"/>
              <w:rPr>
                <w:rFonts w:ascii="宋体" w:hAnsi="宋体" w:cs="宋体" w:eastAsia="宋体" w:hint="default"/>
                <w:sz w:val="18"/>
                <w:szCs w:val="18"/>
              </w:rPr>
            </w:pPr>
            <w:r>
              <w:rPr>
                <w:rFonts w:ascii="宋体" w:hAnsi="宋体" w:cs="宋体" w:eastAsia="宋体" w:hint="default"/>
                <w:sz w:val="18"/>
                <w:szCs w:val="18"/>
              </w:rPr>
              <w:t>质押宝</w:t>
            </w:r>
            <w:r>
              <w:rPr>
                <w:rFonts w:ascii="宋体" w:hAnsi="宋体" w:cs="宋体" w:eastAsia="宋体" w:hint="default"/>
                <w:sz w:val="18"/>
                <w:szCs w:val="18"/>
              </w:rPr>
              <w:t>1</w:t>
            </w:r>
            <w:r>
              <w:rPr>
                <w:rFonts w:ascii="宋体" w:hAnsi="宋体" w:cs="宋体" w:eastAsia="宋体" w:hint="default"/>
                <w:sz w:val="18"/>
                <w:szCs w:val="18"/>
              </w:rPr>
              <w:t>号分级集</w:t>
            </w:r>
          </w:p>
        </w:tc>
        <w:tc>
          <w:tcPr>
            <w:tcW w:w="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8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49"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10.46%</w:t>
            </w:r>
          </w:p>
        </w:tc>
        <w:tc>
          <w:tcPr>
            <w:tcW w:w="19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2,661,872.20</w:t>
            </w:r>
          </w:p>
        </w:tc>
        <w:tc>
          <w:tcPr>
            <w:tcW w:w="15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65" w:hRule="exact"/>
        </w:trPr>
        <w:tc>
          <w:tcPr>
            <w:tcW w:w="377"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合资产管理计划</w:t>
            </w:r>
          </w:p>
        </w:tc>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84"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769" w:type="dxa"/>
            <w:tcBorders>
              <w:top w:val="nil" w:sz="6" w:space="0" w:color="auto"/>
              <w:left w:val="single" w:sz="4" w:space="0" w:color="000000"/>
              <w:bottom w:val="single" w:sz="4" w:space="0" w:color="000000"/>
              <w:right w:val="single" w:sz="4" w:space="0" w:color="000000"/>
            </w:tcBorders>
          </w:tcPr>
          <w:p>
            <w:pPr/>
          </w:p>
        </w:tc>
        <w:tc>
          <w:tcPr>
            <w:tcW w:w="867" w:type="dxa"/>
            <w:tcBorders>
              <w:top w:val="nil" w:sz="6" w:space="0" w:color="auto"/>
              <w:left w:val="single" w:sz="4" w:space="0" w:color="000000"/>
              <w:bottom w:val="single" w:sz="4" w:space="0" w:color="000000"/>
              <w:right w:val="single" w:sz="4" w:space="0" w:color="000000"/>
            </w:tcBorders>
          </w:tcPr>
          <w:p>
            <w:pPr/>
          </w:p>
        </w:tc>
        <w:tc>
          <w:tcPr>
            <w:tcW w:w="1935"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r>
      <w:tr>
        <w:trPr>
          <w:trHeight w:val="422" w:hRule="exact"/>
        </w:trPr>
        <w:tc>
          <w:tcPr>
            <w:tcW w:w="37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38"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50,625,913.12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58,000,000.00</w:t>
            </w:r>
          </w:p>
        </w:tc>
      </w:tr>
    </w:tbl>
    <w:p>
      <w:pPr>
        <w:pStyle w:val="BodyText"/>
        <w:spacing w:line="273" w:lineRule="auto"/>
        <w:ind w:right="0"/>
        <w:jc w:val="left"/>
      </w:pPr>
      <w:r>
        <w:rPr>
          <w:spacing w:val="-2"/>
        </w:rPr>
        <w:t>本期同信证券发起设立未纳入合并财务报表范围的结构化主体，且资产负债表日在该结构化主体中没有权</w:t>
      </w:r>
      <w:r>
        <w:rPr>
          <w:spacing w:val="-43"/>
        </w:rPr>
        <w:t> </w:t>
      </w:r>
      <w:r>
        <w:rPr>
          <w:spacing w:val="-43"/>
        </w:rPr>
      </w:r>
      <w:r>
        <w:rPr/>
        <w:t>益的，本期（即</w:t>
      </w:r>
      <w:r>
        <w:rPr>
          <w:rFonts w:ascii="宋体" w:hAnsi="宋体" w:cs="宋体" w:eastAsia="宋体" w:hint="default"/>
        </w:rPr>
        <w:t>2015</w:t>
      </w:r>
      <w:r>
        <w:rPr/>
        <w:t>年</w:t>
      </w:r>
      <w:r>
        <w:rPr>
          <w:rFonts w:ascii="宋体" w:hAnsi="宋体" w:cs="宋体" w:eastAsia="宋体" w:hint="default"/>
        </w:rPr>
        <w:t>12</w:t>
      </w:r>
      <w:r>
        <w:rPr/>
        <w:t>月）从结构化主体获得的管理费收入为人民币</w:t>
      </w:r>
      <w:r>
        <w:rPr>
          <w:rFonts w:ascii="宋体" w:hAnsi="宋体" w:cs="宋体" w:eastAsia="宋体" w:hint="default"/>
        </w:rPr>
        <w:t>858,381.64</w:t>
      </w:r>
      <w:r>
        <w:rPr/>
        <w:t>元，业绩报酬</w:t>
      </w:r>
      <w:r>
        <w:rPr>
          <w:w w:val="100"/>
        </w:rPr>
        <w:t> </w:t>
      </w:r>
      <w:r>
        <w:rPr>
          <w:rFonts w:ascii="宋体" w:hAnsi="宋体" w:cs="宋体" w:eastAsia="宋体" w:hint="default"/>
        </w:rPr>
        <w:t>7,227,908.18</w:t>
      </w:r>
      <w:r>
        <w:rPr/>
        <w:t>元。</w:t>
      </w:r>
    </w:p>
    <w:p>
      <w:pPr>
        <w:spacing w:after="0" w:line="273" w:lineRule="auto"/>
        <w:jc w:val="left"/>
        <w:sectPr>
          <w:pgSz w:w="11910" w:h="16840"/>
          <w:pgMar w:header="852" w:footer="979" w:top="1300" w:bottom="1160" w:left="980" w:right="980"/>
        </w:sectPr>
      </w:pPr>
    </w:p>
    <w:p>
      <w:pPr>
        <w:spacing w:line="240" w:lineRule="auto" w:before="11"/>
        <w:rPr>
          <w:rFonts w:ascii="宋体" w:hAnsi="宋体" w:cs="宋体" w:eastAsia="宋体" w:hint="default"/>
          <w:sz w:val="2"/>
          <w:szCs w:val="2"/>
        </w:rPr>
      </w:pPr>
    </w:p>
    <w:p>
      <w:pPr>
        <w:spacing w:line="20" w:lineRule="exact"/>
        <w:ind w:left="7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26"/>
        <w:ind w:left="772" w:right="0"/>
        <w:jc w:val="left"/>
        <w:rPr>
          <w:b w:val="0"/>
          <w:bCs w:val="0"/>
        </w:rPr>
      </w:pPr>
      <w:r>
        <w:rPr/>
        <w:t>十、公允价值的披露</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772"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0" w:right="77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3596"/>
        <w:gridCol w:w="1966"/>
        <w:gridCol w:w="1709"/>
        <w:gridCol w:w="1707"/>
        <w:gridCol w:w="1968"/>
      </w:tblGrid>
      <w:tr>
        <w:trPr>
          <w:trHeight w:val="490" w:hRule="exact"/>
        </w:trPr>
        <w:tc>
          <w:tcPr>
            <w:tcW w:w="3596" w:type="dxa"/>
            <w:tcBorders>
              <w:top w:val="single" w:sz="4" w:space="0" w:color="000000"/>
              <w:left w:val="single" w:sz="4" w:space="0" w:color="000000"/>
              <w:bottom w:val="nil" w:sz="6" w:space="0" w:color="auto"/>
              <w:right w:val="single" w:sz="4" w:space="0" w:color="000000"/>
            </w:tcBorders>
            <w:shd w:val="clear" w:color="auto" w:fill="D9D9D9"/>
          </w:tcPr>
          <w:p>
            <w:pPr/>
          </w:p>
        </w:tc>
        <w:tc>
          <w:tcPr>
            <w:tcW w:w="735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929" w:hRule="exact"/>
        </w:trPr>
        <w:tc>
          <w:tcPr>
            <w:tcW w:w="359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40" w:lineRule="exact" w:before="34"/>
              <w:ind w:left="619" w:right="435"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40" w:lineRule="exact" w:before="34"/>
              <w:ind w:left="489" w:right="307"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40" w:lineRule="exact" w:before="34"/>
              <w:ind w:left="487" w:right="308" w:hanging="180"/>
              <w:jc w:val="left"/>
              <w:rPr>
                <w:rFonts w:ascii="宋体" w:hAnsi="宋体" w:cs="宋体" w:eastAsia="宋体" w:hint="default"/>
                <w:sz w:val="18"/>
                <w:szCs w:val="18"/>
              </w:rPr>
            </w:pPr>
            <w:r>
              <w:rPr>
                <w:rFonts w:ascii="宋体" w:hAnsi="宋体" w:cs="宋体" w:eastAsia="宋体" w:hint="default"/>
                <w:sz w:val="18"/>
                <w:szCs w:val="18"/>
              </w:rPr>
              <w:t>第三层次公允 价值计量</w:t>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92"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6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889"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400" w:lineRule="atLeast" w:before="12"/>
              <w:ind w:left="103" w:right="102"/>
              <w:jc w:val="left"/>
              <w:rPr>
                <w:rFonts w:ascii="宋体" w:hAnsi="宋体" w:cs="宋体" w:eastAsia="宋体" w:hint="default"/>
                <w:sz w:val="18"/>
                <w:szCs w:val="18"/>
              </w:rPr>
            </w:pPr>
            <w:r>
              <w:rPr>
                <w:rFonts w:ascii="宋体" w:hAnsi="宋体" w:cs="宋体" w:eastAsia="宋体" w:hint="default"/>
                <w:spacing w:val="-3"/>
                <w:sz w:val="18"/>
                <w:szCs w:val="18"/>
              </w:rPr>
              <w:t>（一）以公允价值计量且变动计入当期损益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的金融资产</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1,967,549,345.37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1,967,549,345.37</w:t>
            </w:r>
          </w:p>
        </w:tc>
      </w:tr>
      <w:tr>
        <w:trPr>
          <w:trHeight w:val="492"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1,958,860,808.57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1,958,860,808.57</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债券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987,853,790.90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987,853,790.90</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基金</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15,336,239.60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15,336,239.60</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股票</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442,437,850.13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442,437,850.13</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513,232,927.94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513,232,927.94</w:t>
            </w:r>
          </w:p>
        </w:tc>
      </w:tr>
      <w:tr>
        <w:trPr>
          <w:trHeight w:val="891"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0" w:lineRule="atLeast" w:before="45"/>
              <w:ind w:left="103"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．指定以公允价值计量且其变动计入当期 损益的金融资产</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8,688,536.80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8,688,536.80</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债券</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8,688,536.80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8,688,536.80</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（二）衍生金融资产</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3,864,216.81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3,864,216.81</w:t>
            </w:r>
          </w:p>
        </w:tc>
      </w:tr>
      <w:tr>
        <w:trPr>
          <w:trHeight w:val="492"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16,416,135.18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16,416,135.18</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）其他</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16,416,135.18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16,416,135.18</w:t>
            </w:r>
          </w:p>
        </w:tc>
      </w:tr>
      <w:tr>
        <w:trPr>
          <w:trHeight w:val="490" w:hRule="exact"/>
        </w:trPr>
        <w:tc>
          <w:tcPr>
            <w:tcW w:w="3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1,987,829,697.36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1,987,829,697.36</w:t>
            </w:r>
          </w:p>
        </w:tc>
      </w:tr>
    </w:tbl>
    <w:p>
      <w:pPr>
        <w:spacing w:line="240" w:lineRule="auto" w:before="3"/>
        <w:rPr>
          <w:rFonts w:ascii="宋体" w:hAnsi="宋体" w:cs="宋体" w:eastAsia="宋体" w:hint="default"/>
          <w:sz w:val="19"/>
          <w:szCs w:val="19"/>
        </w:rPr>
      </w:pPr>
    </w:p>
    <w:p>
      <w:pPr>
        <w:pStyle w:val="Heading5"/>
        <w:spacing w:line="240" w:lineRule="auto" w:before="36"/>
        <w:ind w:left="772"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spacing w:before="0"/>
        <w:ind w:left="772" w:right="0" w:firstLine="0"/>
        <w:jc w:val="left"/>
        <w:rPr>
          <w:rFonts w:ascii="宋体" w:hAnsi="宋体" w:cs="宋体" w:eastAsia="宋体" w:hint="default"/>
          <w:sz w:val="18"/>
          <w:szCs w:val="18"/>
        </w:rPr>
      </w:pPr>
      <w:r>
        <w:rPr>
          <w:rFonts w:ascii="宋体" w:hAnsi="宋体" w:cs="宋体" w:eastAsia="宋体" w:hint="default"/>
          <w:sz w:val="18"/>
          <w:szCs w:val="18"/>
        </w:rPr>
        <w:t>本公司持续第一层次公允价值计量项目市价为交易所等活跃市场期末时点数收盘价。</w:t>
      </w:r>
    </w:p>
    <w:p>
      <w:pPr>
        <w:spacing w:line="240" w:lineRule="auto" w:before="3"/>
        <w:rPr>
          <w:rFonts w:ascii="宋体" w:hAnsi="宋体" w:cs="宋体" w:eastAsia="宋体" w:hint="default"/>
          <w:sz w:val="25"/>
          <w:szCs w:val="25"/>
        </w:rPr>
      </w:pPr>
    </w:p>
    <w:p>
      <w:pPr>
        <w:spacing w:line="506" w:lineRule="auto" w:before="0"/>
        <w:ind w:left="772" w:right="7744" w:firstLine="0"/>
        <w:jc w:val="left"/>
        <w:rPr>
          <w:rFonts w:ascii="宋体" w:hAnsi="宋体" w:cs="宋体" w:eastAsia="宋体" w:hint="default"/>
          <w:sz w:val="18"/>
          <w:szCs w:val="18"/>
        </w:rPr>
      </w:pP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本企业最终控制方是其实先生。</w:t>
      </w:r>
    </w:p>
    <w:p>
      <w:pPr>
        <w:spacing w:after="0" w:line="506" w:lineRule="auto"/>
        <w:jc w:val="left"/>
        <w:rPr>
          <w:rFonts w:ascii="宋体" w:hAnsi="宋体" w:cs="宋体" w:eastAsia="宋体" w:hint="default"/>
          <w:sz w:val="18"/>
          <w:szCs w:val="18"/>
        </w:rPr>
        <w:sectPr>
          <w:pgSz w:w="11910" w:h="16840"/>
          <w:pgMar w:header="852" w:footer="979" w:top="1300" w:bottom="1160" w:left="360" w:right="36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544" w:lineRule="auto" w:before="51"/>
        <w:ind w:left="212" w:right="42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49"/>
        <w:ind w:left="212" w:right="103" w:firstLine="0"/>
        <w:jc w:val="left"/>
        <w:rPr>
          <w:rFonts w:ascii="宋体" w:hAnsi="宋体" w:cs="宋体" w:eastAsia="宋体" w:hint="default"/>
          <w:sz w:val="18"/>
          <w:szCs w:val="18"/>
        </w:rPr>
      </w:pPr>
      <w:r>
        <w:rPr>
          <w:rFonts w:ascii="宋体" w:hAnsi="宋体" w:cs="宋体" w:eastAsia="宋体" w:hint="default"/>
          <w:sz w:val="18"/>
          <w:szCs w:val="18"/>
        </w:rPr>
        <w:t>本企业联营企业的情况详见附注“九、在其</w:t>
      </w:r>
      <w:r>
        <w:rPr>
          <w:rFonts w:ascii="宋体" w:hAnsi="宋体" w:cs="宋体" w:eastAsia="宋体" w:hint="default"/>
          <w:spacing w:val="1"/>
          <w:sz w:val="18"/>
          <w:szCs w:val="18"/>
        </w:rPr>
        <w:t>他</w:t>
      </w:r>
      <w:r>
        <w:rPr>
          <w:rFonts w:ascii="宋体" w:hAnsi="宋体" w:cs="宋体" w:eastAsia="宋体" w:hint="default"/>
          <w:sz w:val="18"/>
          <w:szCs w:val="18"/>
        </w:rPr>
        <w:t>主体中的权益</w:t>
      </w:r>
      <w:r>
        <w:rPr>
          <w:rFonts w:ascii="宋体" w:hAnsi="宋体" w:cs="宋体" w:eastAsia="宋体" w:hint="default"/>
          <w:spacing w:val="-89"/>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pStyle w:val="Heading5"/>
        <w:spacing w:line="240" w:lineRule="auto" w:before="120"/>
        <w:ind w:left="212" w:right="10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207"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日其持有本公司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5.83%</w:t>
            </w:r>
            <w:r>
              <w:rPr>
                <w:rFonts w:ascii="宋体" w:hAnsi="宋体" w:cs="宋体" w:eastAsia="宋体" w:hint="default"/>
                <w:sz w:val="18"/>
                <w:szCs w:val="18"/>
              </w:rPr>
              <w:t>的股份</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郑州宇通集团财务有限公司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郑州宇通集团有限公司的子公司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郑州宇通重工有限公司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郑州宇通集团有限公司的子公司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西藏自治区投资有限责任公司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日其持有本公司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w:t>
            </w:r>
            <w:r>
              <w:rPr>
                <w:rFonts w:ascii="宋体" w:hAnsi="宋体" w:cs="宋体" w:eastAsia="宋体" w:hint="default"/>
                <w:sz w:val="18"/>
                <w:szCs w:val="18"/>
              </w:rPr>
              <w:t>的股份</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上海漫道的全资子公司</w:t>
            </w:r>
          </w:p>
        </w:tc>
      </w:tr>
    </w:tbl>
    <w:p>
      <w:pPr>
        <w:spacing w:line="240" w:lineRule="auto" w:before="3"/>
        <w:rPr>
          <w:rFonts w:ascii="宋体" w:hAnsi="宋体" w:cs="宋体" w:eastAsia="宋体" w:hint="default"/>
          <w:b/>
          <w:bCs/>
          <w:sz w:val="19"/>
          <w:szCs w:val="19"/>
        </w:rPr>
      </w:pPr>
    </w:p>
    <w:p>
      <w:pPr>
        <w:pStyle w:val="Heading5"/>
        <w:spacing w:line="240" w:lineRule="auto" w:before="36"/>
        <w:ind w:left="212" w:right="10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835"/>
        <w:gridCol w:w="2129"/>
        <w:gridCol w:w="1951"/>
        <w:gridCol w:w="2655"/>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宇通集团</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同信证券为其债券承销</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宝付网络科技（上海）有限公司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支付结算手续费</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53,737.00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62" w:lineRule="exact"/>
        <w:ind w:left="267" w:right="103"/>
        <w:jc w:val="left"/>
        <w:rPr>
          <w:b w:val="0"/>
          <w:bCs w:val="0"/>
        </w:rPr>
      </w:pPr>
      <w:r>
        <w:rPr/>
        <w:t>存在控制关系且已纳入本公司合并报表范围的子公司，其相互间交易及母子公司交易已作抵销。</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212" w:right="103"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590" w:right="110"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139" w:right="110"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115" w:right="110" w:firstLine="2"/>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郑州宇通集团</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西藏同信证券</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定向资产管理</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537" w:right="0"/>
              <w:jc w:val="left"/>
              <w:rPr>
                <w:rFonts w:ascii="宋体" w:hAnsi="宋体" w:cs="宋体" w:eastAsia="宋体" w:hint="default"/>
                <w:sz w:val="18"/>
                <w:szCs w:val="18"/>
              </w:rPr>
            </w:pPr>
            <w:r>
              <w:rPr>
                <w:rFonts w:ascii="宋体"/>
                <w:sz w:val="18"/>
              </w:rPr>
              <w:t>6,635.42</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财务有限公司</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郑州宇通重工</w:t>
            </w: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西藏同信证券</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定向资产管理</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368" w:type="dxa"/>
            <w:vMerge w:val="restart"/>
            <w:tcBorders>
              <w:top w:val="single" w:sz="4" w:space="0" w:color="000000"/>
              <w:left w:val="single" w:sz="4" w:space="0" w:color="000000"/>
              <w:right w:val="single" w:sz="4" w:space="0" w:color="000000"/>
            </w:tcBorders>
          </w:tcPr>
          <w:p>
            <w:pPr/>
          </w:p>
        </w:tc>
      </w:tr>
      <w:tr>
        <w:trPr>
          <w:trHeight w:val="355"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郑州宇通集团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西藏同信证券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定向资产管理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20" w:right="980"/>
        </w:sectPr>
      </w:pPr>
    </w:p>
    <w:p>
      <w:pPr>
        <w:spacing w:line="240" w:lineRule="auto" w:before="3"/>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郑州宇通重工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西藏同信证券 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定向资产管理 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pacing w:val="-1"/>
                <w:sz w:val="18"/>
              </w:rPr>
              <w:t>100,000.00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郑州宇通集团 财务有限公司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西藏同信证券 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定向资产管理 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15,500.00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郑州宇通重工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西藏同信证券 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定向资产管理 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16,986.45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郑州宇通集团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西藏同信证券 股份有限公司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定向资产管理 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22,222.22</w:t>
            </w:r>
          </w:p>
        </w:tc>
      </w:tr>
    </w:tbl>
    <w:p>
      <w:pPr>
        <w:spacing w:line="240" w:lineRule="auto" w:before="3"/>
        <w:rPr>
          <w:rFonts w:ascii="宋体" w:hAnsi="宋体" w:cs="宋体" w:eastAsia="宋体" w:hint="default"/>
          <w:sz w:val="19"/>
          <w:szCs w:val="19"/>
        </w:rPr>
      </w:pPr>
    </w:p>
    <w:p>
      <w:pPr>
        <w:pStyle w:val="Heading5"/>
        <w:spacing w:line="240" w:lineRule="auto" w:before="36"/>
        <w:ind w:left="212" w:right="10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宇通集团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90,614.48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49"/>
        <w:ind w:left="212" w:right="6894" w:firstLine="0"/>
        <w:jc w:val="left"/>
        <w:rPr>
          <w:rFonts w:ascii="宋体" w:hAnsi="宋体" w:cs="宋体" w:eastAsia="宋体" w:hint="default"/>
          <w:sz w:val="18"/>
          <w:szCs w:val="18"/>
        </w:rPr>
      </w:pPr>
      <w:r>
        <w:rPr>
          <w:rFonts w:ascii="宋体" w:hAnsi="宋体" w:cs="宋体" w:eastAsia="宋体" w:hint="default"/>
          <w:sz w:val="18"/>
          <w:szCs w:val="18"/>
        </w:rPr>
        <w:t>关联租赁情况说明 本公司子公司同信证券作为承租方。</w:t>
      </w:r>
    </w:p>
    <w:p>
      <w:pPr>
        <w:spacing w:line="240" w:lineRule="auto" w:before="2"/>
        <w:rPr>
          <w:rFonts w:ascii="宋体" w:hAnsi="宋体" w:cs="宋体" w:eastAsia="宋体" w:hint="default"/>
          <w:sz w:val="20"/>
          <w:szCs w:val="20"/>
        </w:rPr>
      </w:pPr>
    </w:p>
    <w:p>
      <w:pPr>
        <w:pStyle w:val="Heading5"/>
        <w:spacing w:line="240" w:lineRule="auto"/>
        <w:ind w:left="212" w:right="103"/>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6,152,900.00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3,087,000.00</w:t>
            </w:r>
          </w:p>
        </w:tc>
      </w:tr>
    </w:tbl>
    <w:p>
      <w:pPr>
        <w:spacing w:line="240" w:lineRule="auto" w:before="3"/>
        <w:rPr>
          <w:rFonts w:ascii="宋体" w:hAnsi="宋体" w:cs="宋体" w:eastAsia="宋体" w:hint="default"/>
          <w:sz w:val="19"/>
          <w:szCs w:val="19"/>
        </w:rPr>
      </w:pPr>
    </w:p>
    <w:p>
      <w:pPr>
        <w:pStyle w:val="Heading5"/>
        <w:spacing w:line="506" w:lineRule="auto" w:before="36"/>
        <w:ind w:left="212" w:right="7561"/>
        <w:jc w:val="left"/>
        <w:rPr>
          <w:b w:val="0"/>
          <w:bCs w:val="0"/>
        </w:rPr>
      </w:pPr>
      <w:r>
        <w:rPr>
          <w:rFonts w:ascii="Times New Roman" w:hAnsi="Times New Roman" w:cs="Times New Roman" w:eastAsia="Times New Roman" w:hint="default"/>
        </w:rPr>
        <w:t>6</w:t>
      </w:r>
      <w:r>
        <w:rPr/>
        <w:t>、关联方应收应付款项</w:t>
      </w:r>
      <w:r>
        <w:rPr>
          <w:w w:val="100"/>
        </w:rPr>
        <w:t> </w:t>
      </w:r>
      <w:r>
        <w:rPr/>
        <w:t>应收项目</w:t>
      </w:r>
      <w:r>
        <w:rPr>
          <w:b w:val="0"/>
          <w:bCs w:val="0"/>
        </w:rPr>
      </w:r>
    </w:p>
    <w:p>
      <w:pPr>
        <w:spacing w:before="12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宇通集团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1,280,000.00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64,000.00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240" w:lineRule="auto" w:before="26"/>
        <w:ind w:left="212" w:right="103"/>
        <w:jc w:val="left"/>
        <w:rPr>
          <w:b w:val="0"/>
          <w:bCs w:val="0"/>
        </w:rPr>
      </w:pPr>
      <w:r>
        <w:rPr/>
        <w:t>十二、股份支付</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212" w:right="10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before="44"/>
        <w:ind w:left="21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2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445;top:14;width:2;height:392" coordorigin="5445,14" coordsize="2,392">
              <v:shape style="position:absolute;left:5445;top:14;width:2;height:392" coordorigin="5445,14" coordsize="0,392" path="m5445,14l5445,406e" filled="false" stroked="true" strokeweight="1.2pt" strokecolor="#d2d2d2">
                <v:path arrowok="t"/>
              </v:shape>
            </v:group>
            <v:group style="position:absolute;left:34;top:14;width:5399;height:392" coordorigin="34,14" coordsize="5399,392">
              <v:shape style="position:absolute;left:34;top:14;width:5399;height:392" coordorigin="34,14" coordsize="5399,392" path="m34,406l5433,406,5433,14,34,14,34,406xe" filled="true" fillcolor="#d2d2d2" stroked="false">
                <v:path arrowok="t"/>
                <v:fill type="solid"/>
              </v:shape>
            </v:group>
            <v:group style="position:absolute;left:10;top:10;width:5447;height:2" coordorigin="10,10" coordsize="5447,2">
              <v:shape style="position:absolute;left:10;top:10;width:5447;height:2" coordorigin="10,10" coordsize="5447,0" path="m10,10l5457,10e" filled="false" stroked="true" strokeweight=".47998pt" strokecolor="#000000">
                <v:path arrowok="t"/>
              </v:shape>
            </v:group>
            <v:group style="position:absolute;left:5466;top:10;width:4105;height:2" coordorigin="5466,10" coordsize="4105,2">
              <v:shape style="position:absolute;left:5466;top:10;width:4105;height:2" coordorigin="5466,10" coordsize="4105,0" path="m5466,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447;height:2" coordorigin="10,413" coordsize="5447,2">
              <v:shape style="position:absolute;left:10;top:413;width:5447;height:2" coordorigin="10,413" coordsize="5447,0" path="m10,413l5457,413e" filled="false" stroked="true" strokeweight=".47998pt" strokecolor="#000000">
                <v:path arrowok="t"/>
              </v:shape>
            </v:group>
            <v:group style="position:absolute;left:5461;top:5;width:2;height:413" coordorigin="5461,5" coordsize="2,413">
              <v:shape style="position:absolute;left:5461;top:5;width:2;height:413" coordorigin="5461,5" coordsize="0,413" path="m5461,5l5461,418e" filled="false" stroked="true" strokeweight=".48001pt" strokecolor="#000000">
                <v:path arrowok="t"/>
              </v:shape>
            </v:group>
            <v:group style="position:absolute;left:5466;top:413;width:4105;height:2" coordorigin="5466,413" coordsize="4105,2">
              <v:shape style="position:absolute;left:5466;top:413;width:4105;height:2" coordorigin="5466,413" coordsize="4105,0" path="m5466,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5456;height:404" type="#_x0000_t202" filled="false" stroked="false">
                <v:textbox inset="0,0,0,0">
                  <w:txbxContent>
                    <w:p>
                      <w:pPr>
                        <w:spacing w:before="53"/>
                        <w:ind w:left="27" w:right="0" w:firstLine="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xbxContent>
                </v:textbox>
                <w10:wrap type="none"/>
              </v:shape>
              <v:shape style="position:absolute;left:5461;top:10;width:4115;height:404"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26,011,789.96</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52" w:footer="979" w:top="1300" w:bottom="1160" w:left="920" w:right="98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1,112,828.50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867,059.67</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年股票期权激励计划首次授予的期权将于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日到期，目前行权价为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年股票期权激励计划授予的预留期权将于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日到期，目前行权价为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65.19 </w:t>
            </w:r>
            <w:r>
              <w:rPr>
                <w:rFonts w:ascii="宋体" w:hAnsi="宋体" w:cs="宋体" w:eastAsia="宋体" w:hint="default"/>
                <w:sz w:val="18"/>
                <w:szCs w:val="18"/>
              </w:rPr>
              <w:t>元。</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158" w:firstLine="0"/>
        <w:jc w:val="right"/>
        <w:rPr>
          <w:rFonts w:ascii="宋体" w:hAnsi="宋体" w:cs="宋体" w:eastAsia="宋体" w:hint="default"/>
          <w:sz w:val="18"/>
          <w:szCs w:val="18"/>
        </w:rPr>
      </w:pPr>
      <w:r>
        <w:rPr/>
        <w:pict>
          <v:shape style="position:absolute;margin-left:56.459999pt;margin-top:-83.168251pt;width:479.2pt;height:178.9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3"/>
                    <w:gridCol w:w="4587"/>
                  </w:tblGrid>
                  <w:tr>
                    <w:trPr>
                      <w:trHeight w:val="71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公司采用期权定价模型（</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模型）的方式估计 确定首次实施股票期权激励计划在授予日的公允价值。</w:t>
                        </w:r>
                      </w:p>
                    </w:tc>
                  </w:tr>
                  <w:tr>
                    <w:trPr>
                      <w:trHeight w:val="360" w:hRule="exact"/>
                    </w:trPr>
                    <w:tc>
                      <w:tcPr>
                        <w:tcW w:w="4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股份支付》的有关规定，公</w:t>
                        </w:r>
                      </w:p>
                    </w:tc>
                  </w:tr>
                  <w:tr>
                    <w:trPr>
                      <w:trHeight w:val="307" w:hRule="exact"/>
                    </w:trPr>
                    <w:tc>
                      <w:tcPr>
                        <w:tcW w:w="4983" w:type="dxa"/>
                        <w:tcBorders>
                          <w:top w:val="nil" w:sz="6" w:space="0" w:color="auto"/>
                          <w:left w:val="single" w:sz="4" w:space="0" w:color="000000"/>
                          <w:bottom w:val="nil" w:sz="6" w:space="0" w:color="auto"/>
                          <w:right w:val="single" w:sz="4" w:space="0" w:color="000000"/>
                        </w:tcBorders>
                        <w:shd w:val="clear" w:color="auto" w:fill="D2D2D2"/>
                      </w:tcPr>
                      <w:p>
                        <w:pPr/>
                      </w:p>
                    </w:tc>
                    <w:tc>
                      <w:tcPr>
                        <w:tcW w:w="45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司将在等待期的每个资产负债表日，根据最新取得的可行</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权人数变动、业绩指标完成情况等后续信息，修正预计可</w:t>
                        </w:r>
                      </w:p>
                    </w:tc>
                  </w:tr>
                  <w:tr>
                    <w:trPr>
                      <w:trHeight w:val="312" w:hRule="exact"/>
                    </w:trPr>
                    <w:tc>
                      <w:tcPr>
                        <w:tcW w:w="4983" w:type="dxa"/>
                        <w:tcBorders>
                          <w:top w:val="nil" w:sz="6" w:space="0" w:color="auto"/>
                          <w:left w:val="single" w:sz="4" w:space="0" w:color="000000"/>
                          <w:bottom w:val="nil" w:sz="6" w:space="0" w:color="auto"/>
                          <w:right w:val="single" w:sz="4" w:space="0" w:color="000000"/>
                        </w:tcBorders>
                        <w:shd w:val="clear" w:color="auto" w:fill="D2D2D2"/>
                      </w:tcPr>
                      <w:p>
                        <w:pPr/>
                      </w:p>
                    </w:tc>
                    <w:tc>
                      <w:tcPr>
                        <w:tcW w:w="45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行权的股票期权数量，并按照股票期权授权日的公允价值</w:t>
                        </w:r>
                      </w:p>
                    </w:tc>
                  </w:tr>
                  <w:tr>
                    <w:trPr>
                      <w:trHeight w:val="360" w:hRule="exact"/>
                    </w:trPr>
                    <w:tc>
                      <w:tcPr>
                        <w:tcW w:w="4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将当期取得的服务计入相关成本或费用和资本公积。</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78,775,826.06</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40,320,155.06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2" w:footer="979" w:top="13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8"/>
          <w:szCs w:val="28"/>
        </w:rPr>
      </w:pPr>
      <w:r>
        <w:rPr/>
        <w:br w:type="column"/>
      </w:r>
      <w:r>
        <w:rPr>
          <w:rFonts w:ascii="宋体"/>
          <w:sz w:val="28"/>
        </w:rPr>
      </w:r>
    </w:p>
    <w:p>
      <w:pPr>
        <w:pStyle w:val="BodyText"/>
        <w:spacing w:line="259" w:lineRule="auto"/>
        <w:ind w:right="0"/>
        <w:jc w:val="left"/>
      </w:pPr>
      <w:r>
        <w:rPr>
          <w:rFonts w:ascii="Times New Roman" w:hAnsi="Times New Roman" w:cs="Times New Roman" w:eastAsia="Times New Roman" w:hint="default"/>
          <w:b/>
          <w:bCs/>
        </w:rPr>
        <w:t>2011</w:t>
      </w:r>
      <w:r>
        <w:rPr>
          <w:rFonts w:ascii="宋体" w:hAnsi="宋体" w:cs="宋体" w:eastAsia="宋体" w:hint="default"/>
          <w:b/>
          <w:bCs/>
        </w:rPr>
        <w:t>年股票期权激励计划</w:t>
      </w:r>
      <w:r>
        <w:rPr>
          <w:rFonts w:ascii="宋体" w:hAnsi="宋体" w:cs="宋体" w:eastAsia="宋体" w:hint="default"/>
          <w:b/>
          <w:bCs/>
          <w:spacing w:val="-103"/>
        </w:rPr>
        <w:t> </w:t>
      </w:r>
      <w:r>
        <w:rPr>
          <w:spacing w:val="-2"/>
        </w:rPr>
        <w:t>经本公司</w:t>
      </w:r>
      <w:r>
        <w:rPr>
          <w:rFonts w:ascii="Times New Roman" w:hAnsi="Times New Roman" w:cs="Times New Roman" w:eastAsia="Times New Roman" w:hint="default"/>
          <w:spacing w:val="-2"/>
        </w:rPr>
        <w:t>2010</w:t>
      </w:r>
      <w:r>
        <w:rPr>
          <w:spacing w:val="-2"/>
        </w:rPr>
        <w:t>年股东大会</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日审议批准，本公司于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日起实行一项股份</w:t>
      </w:r>
      <w:r>
        <w:rPr>
          <w:spacing w:val="-43"/>
        </w:rPr>
        <w:t> </w:t>
      </w:r>
      <w:r>
        <w:rPr>
          <w:spacing w:val="-43"/>
        </w:rPr>
      </w:r>
      <w:r>
        <w:rPr>
          <w:spacing w:val="-3"/>
        </w:rPr>
        <w:t>期权计划。据此，本公司董事会获授权酌情授予本公司高级管理人员及其他职工以</w:t>
      </w:r>
      <w:r>
        <w:rPr>
          <w:rFonts w:ascii="Times New Roman" w:hAnsi="Times New Roman" w:cs="Times New Roman" w:eastAsia="Times New Roman" w:hint="default"/>
          <w:spacing w:val="-3"/>
        </w:rPr>
        <w:t>35.70</w:t>
      </w:r>
      <w:r>
        <w:rPr>
          <w:spacing w:val="-3"/>
        </w:rPr>
        <w:t>元的</w:t>
      </w:r>
      <w:r>
        <w:rPr>
          <w:spacing w:val="-57"/>
        </w:rPr>
        <w:t> </w:t>
      </w:r>
      <w:r>
        <w:rPr/>
        <w:t>行权获得股份期权。股票期权的有效期自首次股票期权授予之日起计算，最长不超过</w:t>
      </w:r>
      <w:r>
        <w:rPr>
          <w:rFonts w:ascii="Times New Roman" w:hAnsi="Times New Roman" w:cs="Times New Roman" w:eastAsia="Times New Roman" w:hint="default"/>
        </w:rPr>
        <w:t>6</w:t>
      </w:r>
      <w:r>
        <w:rPr/>
        <w:t>年。</w:t>
      </w:r>
      <w:r>
        <w:rPr>
          <w:spacing w:val="-23"/>
        </w:rPr>
        <w:t> </w:t>
      </w:r>
      <w:r>
        <w:rPr>
          <w:spacing w:val="-2"/>
        </w:rPr>
        <w:t>自授权日起满</w:t>
      </w:r>
      <w:r>
        <w:rPr>
          <w:rFonts w:ascii="Times New Roman" w:hAnsi="Times New Roman" w:cs="Times New Roman" w:eastAsia="Times New Roman" w:hint="default"/>
          <w:spacing w:val="-2"/>
        </w:rPr>
        <w:t>12</w:t>
      </w:r>
      <w:r>
        <w:rPr>
          <w:spacing w:val="-2"/>
        </w:rPr>
        <w:t>个月后，激励对象应在未来</w:t>
      </w:r>
      <w:r>
        <w:rPr>
          <w:rFonts w:ascii="Times New Roman" w:hAnsi="Times New Roman" w:cs="Times New Roman" w:eastAsia="Times New Roman" w:hint="default"/>
          <w:spacing w:val="-2"/>
        </w:rPr>
        <w:t>48</w:t>
      </w:r>
      <w:r>
        <w:rPr>
          <w:spacing w:val="-2"/>
        </w:rPr>
        <w:t>个月内分四次行权，每一个行权期可行权数量</w:t>
      </w:r>
      <w:r>
        <w:rPr>
          <w:spacing w:val="-48"/>
        </w:rPr>
        <w:t> </w:t>
      </w:r>
      <w:r>
        <w:rPr>
          <w:spacing w:val="-48"/>
        </w:rPr>
      </w:r>
      <w:r>
        <w:rPr/>
        <w:t>占获授权数量的</w:t>
      </w:r>
      <w:r>
        <w:rPr>
          <w:rFonts w:ascii="Times New Roman" w:hAnsi="Times New Roman" w:cs="Times New Roman" w:eastAsia="Times New Roman" w:hint="default"/>
        </w:rPr>
        <w:t>25%</w:t>
      </w:r>
      <w:r>
        <w:rPr/>
        <w:t>。每份股份期权赋予持有人认购</w:t>
      </w:r>
      <w:r>
        <w:rPr>
          <w:rFonts w:ascii="Times New Roman" w:hAnsi="Times New Roman" w:cs="Times New Roman" w:eastAsia="Times New Roman" w:hint="default"/>
        </w:rPr>
        <w:t>1</w:t>
      </w:r>
      <w:r>
        <w:rPr/>
        <w:t>股本公司普通股的权利。</w:t>
      </w:r>
      <w:r>
        <w:rPr>
          <w:w w:val="100"/>
        </w:rPr>
        <w:t>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2011</w:t>
      </w:r>
      <w:r>
        <w:rPr>
          <w:spacing w:val="-2"/>
        </w:rPr>
        <w:t>年股票期权激励计划共计</w:t>
      </w:r>
      <w:r>
        <w:rPr>
          <w:rFonts w:ascii="Times New Roman" w:hAnsi="Times New Roman" w:cs="Times New Roman" w:eastAsia="Times New Roman" w:hint="default"/>
          <w:spacing w:val="-2"/>
        </w:rPr>
        <w:t>6,066,144</w:t>
      </w:r>
      <w:r>
        <w:rPr>
          <w:spacing w:val="-2"/>
        </w:rPr>
        <w:t>份股票期权满足行权条件，已</w:t>
      </w:r>
      <w:r>
        <w:rPr>
          <w:spacing w:val="-36"/>
        </w:rPr>
        <w:t> </w:t>
      </w:r>
      <w:r>
        <w:rPr>
          <w:spacing w:val="-36"/>
        </w:rPr>
      </w:r>
      <w:r>
        <w:rPr>
          <w:spacing w:val="-1"/>
        </w:rPr>
        <w:t>于本期行权完毕，行权价格为</w:t>
      </w:r>
      <w:r>
        <w:rPr>
          <w:rFonts w:ascii="Times New Roman" w:hAnsi="Times New Roman" w:cs="Times New Roman" w:eastAsia="Times New Roman" w:hint="default"/>
          <w:spacing w:val="-1"/>
        </w:rPr>
        <w:t>4.34</w:t>
      </w:r>
      <w:r>
        <w:rPr>
          <w:spacing w:val="-1"/>
        </w:rPr>
        <w:t>元（因资本公积转增资本、配送股票红利、股票细拆或缩</w:t>
      </w:r>
      <w:r>
        <w:rPr>
          <w:spacing w:val="-34"/>
        </w:rPr>
        <w:t> </w:t>
      </w:r>
      <w:r>
        <w:rPr>
          <w:spacing w:val="-34"/>
        </w:rPr>
      </w:r>
      <w:r>
        <w:rPr>
          <w:spacing w:val="-2"/>
        </w:rPr>
        <w:t>股等事项，股票期权的数量和行权价格均进行了调整），其余因市场条件、非市场条件及员</w:t>
      </w:r>
      <w:r>
        <w:rPr>
          <w:spacing w:val="-54"/>
        </w:rPr>
        <w:t> </w:t>
      </w:r>
      <w:r>
        <w:rPr>
          <w:spacing w:val="-54"/>
        </w:rPr>
      </w:r>
      <w:r>
        <w:rPr/>
        <w:t>工离职等不满足行权条件而由公司进行注销。</w:t>
      </w:r>
      <w:r>
        <w:rPr>
          <w:w w:val="100"/>
        </w:rPr>
        <w:t> </w:t>
      </w: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2011</w:t>
      </w:r>
      <w:r>
        <w:rPr>
          <w:spacing w:val="-3"/>
        </w:rPr>
        <w:t>年股权激励计划计入资本公积的累计金额为</w:t>
      </w:r>
      <w:r>
        <w:rPr>
          <w:rFonts w:ascii="Times New Roman" w:hAnsi="Times New Roman" w:cs="Times New Roman" w:eastAsia="Times New Roman" w:hint="default"/>
          <w:spacing w:val="-3"/>
        </w:rPr>
        <w:t>2,424,229.00</w:t>
      </w:r>
      <w:r>
        <w:rPr>
          <w:spacing w:val="-3"/>
        </w:rPr>
        <w:t>元，本期</w:t>
      </w:r>
      <w:r>
        <w:rPr>
          <w:spacing w:val="-30"/>
        </w:rPr>
        <w:t> </w:t>
      </w:r>
      <w:r>
        <w:rPr>
          <w:spacing w:val="-30"/>
        </w:rPr>
      </w:r>
      <w:r>
        <w:rPr>
          <w:spacing w:val="-3"/>
        </w:rPr>
        <w:t>因行权由其他资本公积结转至资本溢价中金额为</w:t>
      </w:r>
      <w:r>
        <w:rPr>
          <w:rFonts w:ascii="Times New Roman" w:hAnsi="Times New Roman" w:cs="Times New Roman" w:eastAsia="Times New Roman" w:hint="default"/>
          <w:spacing w:val="-3"/>
        </w:rPr>
        <w:t>2,424,229.00</w:t>
      </w:r>
      <w:r>
        <w:rPr>
          <w:spacing w:val="-3"/>
        </w:rPr>
        <w:t>元。本期确认</w:t>
      </w:r>
      <w:r>
        <w:rPr>
          <w:rFonts w:ascii="Times New Roman" w:hAnsi="Times New Roman" w:cs="Times New Roman" w:eastAsia="Times New Roman" w:hint="default"/>
          <w:spacing w:val="-3"/>
        </w:rPr>
        <w:t>2011</w:t>
      </w:r>
      <w:r>
        <w:rPr>
          <w:spacing w:val="-3"/>
        </w:rPr>
        <w:t>年股份支付费</w:t>
      </w:r>
      <w:r>
        <w:rPr>
          <w:spacing w:val="-43"/>
        </w:rPr>
        <w:t> </w:t>
      </w:r>
      <w:r>
        <w:rPr>
          <w:spacing w:val="-43"/>
        </w:rPr>
      </w:r>
      <w:r>
        <w:rPr/>
        <w:t>用总额</w:t>
      </w:r>
      <w:r>
        <w:rPr>
          <w:rFonts w:ascii="Times New Roman" w:hAnsi="Times New Roman" w:cs="Times New Roman" w:eastAsia="Times New Roman" w:hint="default"/>
        </w:rPr>
        <w:t>148,029.00</w:t>
      </w:r>
      <w:r>
        <w:rPr/>
        <w:t>元。</w:t>
      </w:r>
      <w:r>
        <w:rPr>
          <w:spacing w:val="-3"/>
          <w:w w:val="100"/>
        </w:rPr>
        <w:t> </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2011</w:t>
      </w:r>
      <w:r>
        <w:rPr/>
        <w:t>年股票期权激励计划首次及预留期权已实施完毕。</w:t>
      </w:r>
    </w:p>
    <w:p>
      <w:pPr>
        <w:spacing w:line="240" w:lineRule="auto" w:before="1"/>
        <w:rPr>
          <w:rFonts w:ascii="宋体" w:hAnsi="宋体" w:cs="宋体" w:eastAsia="宋体" w:hint="default"/>
          <w:sz w:val="24"/>
          <w:szCs w:val="24"/>
        </w:rPr>
      </w:pPr>
    </w:p>
    <w:p>
      <w:pPr>
        <w:spacing w:line="256" w:lineRule="auto"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年股票期权激励计划</w:t>
      </w:r>
      <w:r>
        <w:rPr>
          <w:rFonts w:ascii="宋体" w:hAnsi="宋体" w:cs="宋体" w:eastAsia="宋体" w:hint="default"/>
          <w:b/>
          <w:bCs/>
          <w:spacing w:val="-103"/>
          <w:sz w:val="21"/>
          <w:szCs w:val="21"/>
        </w:rPr>
        <w:t> </w:t>
      </w:r>
      <w:r>
        <w:rPr>
          <w:rFonts w:ascii="宋体" w:hAnsi="宋体" w:cs="宋体" w:eastAsia="宋体" w:hint="default"/>
          <w:spacing w:val="-2"/>
          <w:sz w:val="21"/>
          <w:szCs w:val="21"/>
        </w:rPr>
        <w:t>经本公司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年第二次临时股东大会审议批准，公司于</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日起实行</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年股份期</w:t>
      </w:r>
    </w:p>
    <w:p>
      <w:pPr>
        <w:spacing w:after="0" w:line="256" w:lineRule="auto"/>
        <w:jc w:val="left"/>
        <w:rPr>
          <w:rFonts w:ascii="宋体" w:hAnsi="宋体" w:cs="宋体" w:eastAsia="宋体" w:hint="default"/>
          <w:sz w:val="21"/>
          <w:szCs w:val="21"/>
        </w:rPr>
        <w:sectPr>
          <w:type w:val="continuous"/>
          <w:pgSz w:w="11910" w:h="16840"/>
          <w:pgMar w:top="1300" w:bottom="1160" w:left="980" w:right="980"/>
          <w:cols w:num="2" w:equalWidth="0">
            <w:col w:w="873" w:space="387"/>
            <w:col w:w="8690"/>
          </w:cols>
        </w:sectPr>
      </w:pPr>
    </w:p>
    <w:p>
      <w:pPr>
        <w:pStyle w:val="BodyText"/>
        <w:spacing w:line="256" w:lineRule="auto" w:before="108"/>
        <w:ind w:left="1413" w:right="0"/>
        <w:jc w:val="left"/>
      </w:pPr>
      <w:r>
        <w:rPr>
          <w:spacing w:val="-3"/>
        </w:rPr>
        <w:t>权计划，据此，本公司董事会获授权酌情授予本公司高级管理人员及其他职工以</w:t>
      </w:r>
      <w:r>
        <w:rPr>
          <w:rFonts w:ascii="Times New Roman" w:hAnsi="Times New Roman" w:cs="Times New Roman" w:eastAsia="Times New Roman" w:hint="default"/>
          <w:spacing w:val="-3"/>
        </w:rPr>
        <w:t>13.03</w:t>
      </w:r>
      <w:r>
        <w:rPr>
          <w:spacing w:val="-3"/>
        </w:rPr>
        <w:t>元的行</w:t>
      </w:r>
      <w:r>
        <w:rPr>
          <w:spacing w:val="-56"/>
        </w:rPr>
        <w:t> </w:t>
      </w:r>
      <w:r>
        <w:rPr>
          <w:spacing w:val="-56"/>
        </w:rPr>
      </w:r>
      <w:r>
        <w:rPr/>
        <w:t>权对价获得股份期权，以认购本公司股份。股份期权的权利在授予日起分</w:t>
      </w:r>
      <w:r>
        <w:rPr>
          <w:rFonts w:ascii="Times New Roman" w:hAnsi="Times New Roman" w:cs="Times New Roman" w:eastAsia="Times New Roman" w:hint="default"/>
        </w:rPr>
        <w:t>4</w:t>
      </w:r>
      <w:r>
        <w:rPr/>
        <w:t>个会计年度进行</w:t>
      </w:r>
      <w:r>
        <w:rPr>
          <w:spacing w:val="-23"/>
        </w:rPr>
        <w:t> </w:t>
      </w:r>
      <w:r>
        <w:rPr>
          <w:spacing w:val="-23"/>
        </w:rPr>
      </w:r>
      <w:r>
        <w:rPr>
          <w:spacing w:val="-2"/>
        </w:rPr>
        <w:t>绩效考核并行权，以达到绩效考核目标作为激励对象的行权条件。</w:t>
      </w:r>
      <w:r>
        <w:rPr>
          <w:rFonts w:ascii="Times New Roman" w:hAnsi="Times New Roman" w:cs="Times New Roman" w:eastAsia="Times New Roman" w:hint="default"/>
          <w:spacing w:val="-2"/>
        </w:rPr>
        <w:t>2014</w:t>
      </w:r>
      <w:r>
        <w:rPr>
          <w:spacing w:val="-2"/>
        </w:rPr>
        <w:t>年股票期权首次授予</w:t>
      </w:r>
      <w:r>
        <w:rPr>
          <w:spacing w:val="-49"/>
        </w:rPr>
        <w:t> </w:t>
      </w:r>
      <w:r>
        <w:rPr>
          <w:spacing w:val="-49"/>
        </w:rPr>
      </w:r>
      <w:r>
        <w:rPr/>
        <w:t>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日，首次授予激励对象的人数为</w:t>
      </w:r>
      <w:r>
        <w:rPr>
          <w:rFonts w:ascii="Times New Roman" w:hAnsi="Times New Roman" w:cs="Times New Roman" w:eastAsia="Times New Roman" w:hint="default"/>
        </w:rPr>
        <w:t>176</w:t>
      </w:r>
      <w:r>
        <w:rPr/>
        <w:t>人，股票期权为</w:t>
      </w:r>
      <w:r>
        <w:rPr>
          <w:rFonts w:ascii="Times New Roman" w:hAnsi="Times New Roman" w:cs="Times New Roman" w:eastAsia="Times New Roman" w:hint="default"/>
        </w:rPr>
        <w:t>2,655</w:t>
      </w:r>
      <w:r>
        <w:rPr/>
        <w:t>万份。</w:t>
      </w:r>
      <w:r>
        <w:rPr>
          <w:w w:val="100"/>
        </w:rPr>
        <w:t> </w:t>
      </w:r>
      <w:r>
        <w:rPr>
          <w:spacing w:val="-2"/>
        </w:rPr>
        <w:t>根据第三届董事会第二十四次会议审议通过的《关于</w:t>
      </w:r>
      <w:r>
        <w:rPr>
          <w:rFonts w:ascii="Times New Roman" w:hAnsi="Times New Roman" w:cs="Times New Roman" w:eastAsia="Times New Roman" w:hint="default"/>
          <w:spacing w:val="-2"/>
        </w:rPr>
        <w:t>2014</w:t>
      </w:r>
      <w:r>
        <w:rPr>
          <w:spacing w:val="-2"/>
        </w:rPr>
        <w:t>年公司股票期权激励计划预留股票</w:t>
      </w:r>
      <w:r>
        <w:rPr>
          <w:spacing w:val="-49"/>
        </w:rPr>
        <w:t> </w:t>
      </w:r>
      <w:r>
        <w:rPr>
          <w:spacing w:val="-49"/>
        </w:rPr>
      </w:r>
      <w:r>
        <w:rPr>
          <w:spacing w:val="-2"/>
        </w:rPr>
        <w:t>授予相关事项的议案》，董事会同意将</w:t>
      </w:r>
      <w:r>
        <w:rPr>
          <w:rFonts w:ascii="Times New Roman" w:hAnsi="Times New Roman" w:cs="Times New Roman" w:eastAsia="Times New Roman" w:hint="default"/>
          <w:spacing w:val="-2"/>
        </w:rPr>
        <w:t>420</w:t>
      </w:r>
      <w:r>
        <w:rPr>
          <w:spacing w:val="-2"/>
        </w:rPr>
        <w:t>万份预留股票期权授出，授予日期为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4"/>
        </w:rPr>
        <w:t> </w:t>
      </w:r>
      <w:r>
        <w:rPr/>
        <w:t>日，行权价格为</w:t>
      </w:r>
      <w:r>
        <w:rPr>
          <w:rFonts w:ascii="Times New Roman" w:hAnsi="Times New Roman" w:cs="Times New Roman" w:eastAsia="Times New Roman" w:hint="default"/>
        </w:rPr>
        <w:t>65.19</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日，实际授出期权为</w:t>
      </w:r>
      <w:r>
        <w:rPr>
          <w:rFonts w:ascii="Times New Roman" w:hAnsi="Times New Roman" w:cs="Times New Roman" w:eastAsia="Times New Roman" w:hint="default"/>
        </w:rPr>
        <w:t>406</w:t>
      </w:r>
      <w:r>
        <w:rPr/>
        <w:t>万份。</w:t>
      </w:r>
      <w:r>
        <w:rPr>
          <w:w w:val="100"/>
        </w:rPr>
        <w:t> </w:t>
      </w: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2014</w:t>
      </w:r>
      <w:r>
        <w:rPr>
          <w:spacing w:val="-1"/>
        </w:rPr>
        <w:t>年股权激励计划计入资本公积的累计金额</w:t>
      </w:r>
      <w:r>
        <w:rPr>
          <w:rFonts w:ascii="Times New Roman" w:hAnsi="Times New Roman" w:cs="Times New Roman" w:eastAsia="Times New Roman" w:hint="default"/>
          <w:spacing w:val="-1"/>
        </w:rPr>
        <w:t>78,775,826.06</w:t>
      </w:r>
      <w:r>
        <w:rPr>
          <w:spacing w:val="-1"/>
        </w:rPr>
        <w:t>元，本期</w:t>
      </w:r>
      <w:r>
        <w:rPr>
          <w:spacing w:val="-25"/>
        </w:rPr>
        <w:t> </w:t>
      </w:r>
      <w:r>
        <w:rPr/>
        <w:t>确认的</w:t>
      </w:r>
      <w:r>
        <w:rPr>
          <w:rFonts w:ascii="Times New Roman" w:hAnsi="Times New Roman" w:cs="Times New Roman" w:eastAsia="Times New Roman" w:hint="default"/>
        </w:rPr>
        <w:t>2014</w:t>
      </w:r>
      <w:r>
        <w:rPr/>
        <w:t>年股份支付费用总额</w:t>
      </w:r>
      <w:r>
        <w:rPr>
          <w:rFonts w:ascii="Times New Roman" w:hAnsi="Times New Roman" w:cs="Times New Roman" w:eastAsia="Times New Roman" w:hint="default"/>
        </w:rPr>
        <w:t>40,172,126.06</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56" w:lineRule="auto" w:before="94"/>
        <w:ind w:left="784" w:right="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）质押情况</w:t>
      </w:r>
      <w:r>
        <w:rPr>
          <w:rFonts w:ascii="宋体" w:hAnsi="宋体" w:cs="宋体" w:eastAsia="宋体" w:hint="default"/>
          <w:b/>
          <w:bCs/>
          <w:w w:val="100"/>
        </w:rPr>
        <w:t> </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日，子公司同信证券因开展卖出回购业务，以公允价值计量且其变动计入当期损</w:t>
      </w:r>
      <w:r>
        <w:rPr>
          <w:spacing w:val="-44"/>
        </w:rPr>
        <w:t> </w:t>
      </w:r>
      <w:r>
        <w:rPr>
          <w:spacing w:val="-44"/>
        </w:rPr>
      </w:r>
      <w:r>
        <w:rPr/>
        <w:t>益的金融资产中被质押的证券情况：</w:t>
      </w:r>
    </w:p>
    <w:p>
      <w:pPr>
        <w:spacing w:line="240" w:lineRule="auto" w:before="1"/>
        <w:rPr>
          <w:rFonts w:ascii="宋体" w:hAnsi="宋体" w:cs="宋体" w:eastAsia="宋体" w:hint="default"/>
          <w:sz w:val="3"/>
          <w:szCs w:val="3"/>
        </w:rPr>
      </w:pPr>
    </w:p>
    <w:tbl>
      <w:tblPr>
        <w:tblW w:w="0" w:type="auto"/>
        <w:jc w:val="left"/>
        <w:tblInd w:w="714" w:type="dxa"/>
        <w:tblLayout w:type="fixed"/>
        <w:tblCellMar>
          <w:top w:w="0" w:type="dxa"/>
          <w:left w:w="0" w:type="dxa"/>
          <w:bottom w:w="0" w:type="dxa"/>
          <w:right w:w="0" w:type="dxa"/>
        </w:tblCellMar>
        <w:tblLook w:val="01E0"/>
      </w:tblPr>
      <w:tblGrid>
        <w:gridCol w:w="4328"/>
        <w:gridCol w:w="3421"/>
      </w:tblGrid>
      <w:tr>
        <w:trPr>
          <w:trHeight w:val="339" w:hRule="exact"/>
        </w:trPr>
        <w:tc>
          <w:tcPr>
            <w:tcW w:w="4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right="1796"/>
              <w:jc w:val="right"/>
              <w:rPr>
                <w:rFonts w:ascii="宋体" w:hAnsi="宋体" w:cs="宋体" w:eastAsia="宋体" w:hint="default"/>
                <w:sz w:val="18"/>
                <w:szCs w:val="18"/>
              </w:rPr>
            </w:pPr>
            <w:r>
              <w:rPr>
                <w:rFonts w:ascii="宋体" w:hAnsi="宋体" w:cs="宋体" w:eastAsia="宋体" w:hint="default"/>
                <w:sz w:val="18"/>
                <w:szCs w:val="18"/>
              </w:rPr>
              <w:t>债券类型</w:t>
            </w:r>
          </w:p>
        </w:tc>
        <w:tc>
          <w:tcPr>
            <w:tcW w:w="3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质押金额</w:t>
            </w:r>
          </w:p>
        </w:tc>
      </w:tr>
      <w:tr>
        <w:trPr>
          <w:trHeight w:val="341"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企业债</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253,636,475.00</w:t>
            </w:r>
          </w:p>
        </w:tc>
      </w:tr>
      <w:tr>
        <w:trPr>
          <w:trHeight w:val="343"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70,171,730.00</w:t>
            </w:r>
          </w:p>
        </w:tc>
      </w:tr>
      <w:tr>
        <w:trPr>
          <w:trHeight w:val="341"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380,052,440.00</w:t>
            </w:r>
          </w:p>
        </w:tc>
      </w:tr>
      <w:tr>
        <w:trPr>
          <w:trHeight w:val="343"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金融债</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102,088,650.00</w:t>
            </w:r>
          </w:p>
        </w:tc>
      </w:tr>
      <w:tr>
        <w:trPr>
          <w:trHeight w:val="341"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96,089,900.00</w:t>
            </w:r>
          </w:p>
        </w:tc>
      </w:tr>
      <w:tr>
        <w:trPr>
          <w:trHeight w:val="343" w:hRule="exact"/>
        </w:trPr>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812"/>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902,039,195.00</w:t>
            </w:r>
          </w:p>
        </w:tc>
      </w:tr>
    </w:tbl>
    <w:p>
      <w:pPr>
        <w:spacing w:line="240" w:lineRule="auto" w:before="2"/>
        <w:rPr>
          <w:rFonts w:ascii="宋体" w:hAnsi="宋体" w:cs="宋体" w:eastAsia="宋体" w:hint="default"/>
          <w:sz w:val="20"/>
          <w:szCs w:val="20"/>
        </w:rPr>
      </w:pPr>
    </w:p>
    <w:p>
      <w:pPr>
        <w:pStyle w:val="Heading5"/>
        <w:spacing w:line="240" w:lineRule="auto" w:before="36"/>
        <w:ind w:left="784" w:right="0"/>
        <w:jc w:val="left"/>
        <w:rPr>
          <w:b w:val="0"/>
          <w:bCs w:val="0"/>
        </w:rPr>
      </w:pPr>
      <w:r>
        <w:rPr/>
        <w:t>（</w:t>
      </w:r>
      <w:r>
        <w:rPr>
          <w:rFonts w:ascii="Times New Roman" w:hAnsi="Times New Roman" w:cs="Times New Roman" w:eastAsia="Times New Roman" w:hint="default"/>
        </w:rPr>
        <w:t>2</w:t>
      </w:r>
      <w:r>
        <w:rPr/>
        <w:t>）经营租赁租入</w:t>
      </w:r>
      <w:r>
        <w:rPr>
          <w:b w:val="0"/>
          <w:bCs w:val="0"/>
        </w:rPr>
      </w:r>
    </w:p>
    <w:p>
      <w:pPr>
        <w:pStyle w:val="BodyText"/>
        <w:spacing w:line="240" w:lineRule="auto" w:before="21"/>
        <w:ind w:left="1408" w:right="0"/>
        <w:jc w:val="left"/>
      </w:pPr>
      <w:r>
        <w:rPr/>
        <w:t>本公司重要经营租赁租入情况如下：</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667"/>
        <w:gridCol w:w="1894"/>
        <w:gridCol w:w="1416"/>
        <w:gridCol w:w="1885"/>
        <w:gridCol w:w="1776"/>
      </w:tblGrid>
      <w:tr>
        <w:trPr>
          <w:trHeight w:val="312" w:hRule="exact"/>
        </w:trPr>
        <w:tc>
          <w:tcPr>
            <w:tcW w:w="26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出租方</w:t>
            </w:r>
          </w:p>
        </w:tc>
        <w:tc>
          <w:tcPr>
            <w:tcW w:w="1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 w:right="0"/>
              <w:jc w:val="center"/>
              <w:rPr>
                <w:rFonts w:ascii="宋体" w:hAnsi="宋体" w:cs="宋体" w:eastAsia="宋体" w:hint="default"/>
                <w:sz w:val="18"/>
                <w:szCs w:val="18"/>
              </w:rPr>
            </w:pPr>
            <w:r>
              <w:rPr>
                <w:rFonts w:ascii="宋体" w:hAnsi="宋体" w:cs="宋体" w:eastAsia="宋体" w:hint="default"/>
                <w:sz w:val="18"/>
                <w:szCs w:val="18"/>
              </w:rPr>
              <w:t>物业地点</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5" w:right="0"/>
              <w:jc w:val="center"/>
              <w:rPr>
                <w:rFonts w:ascii="宋体" w:hAnsi="宋体" w:cs="宋体" w:eastAsia="宋体" w:hint="default"/>
                <w:sz w:val="18"/>
                <w:szCs w:val="18"/>
              </w:rPr>
            </w:pPr>
            <w:r>
              <w:rPr>
                <w:rFonts w:ascii="宋体" w:hAnsi="宋体" w:cs="宋体" w:eastAsia="宋体" w:hint="default"/>
                <w:sz w:val="18"/>
                <w:szCs w:val="18"/>
              </w:rPr>
              <w:t>面积</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合同约定的租赁期间</w:t>
            </w:r>
          </w:p>
        </w:tc>
        <w:tc>
          <w:tcPr>
            <w:tcW w:w="1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月租金</w:t>
            </w:r>
          </w:p>
        </w:tc>
      </w:tr>
      <w:tr>
        <w:trPr>
          <w:trHeight w:val="341"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上海巨航投资管理有限公司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上海市徐汇区龙田路</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4,634.96</w:t>
            </w:r>
            <w:r>
              <w:rPr>
                <w:rFonts w:ascii="宋体" w:hAnsi="宋体" w:cs="宋体" w:eastAsia="宋体" w:hint="default"/>
                <w:sz w:val="18"/>
                <w:szCs w:val="18"/>
              </w:rPr>
              <w:t>平方米</w:t>
            </w: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2018</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4"/>
              <w:ind w:left="4" w:right="0"/>
              <w:jc w:val="left"/>
              <w:rPr>
                <w:rFonts w:ascii="宋体" w:hAnsi="宋体" w:cs="宋体" w:eastAsia="宋体" w:hint="default"/>
                <w:sz w:val="18"/>
                <w:szCs w:val="18"/>
              </w:rPr>
            </w:pPr>
            <w:r>
              <w:rPr>
                <w:rFonts w:ascii="宋体"/>
                <w:sz w:val="18"/>
              </w:rPr>
              <w:t>493,430.12</w:t>
            </w: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190</w:t>
            </w:r>
            <w:r>
              <w:rPr>
                <w:rFonts w:ascii="宋体" w:hAnsi="宋体" w:cs="宋体" w:eastAsia="宋体" w:hint="default"/>
                <w:sz w:val="18"/>
                <w:szCs w:val="18"/>
              </w:rPr>
              <w:t>号</w:t>
            </w:r>
            <w:r>
              <w:rPr>
                <w:rFonts w:ascii="宋体" w:hAnsi="宋体" w:cs="宋体" w:eastAsia="宋体" w:hint="default"/>
                <w:sz w:val="18"/>
                <w:szCs w:val="18"/>
              </w:rPr>
              <w:t>2</w:t>
            </w:r>
            <w:r>
              <w:rPr>
                <w:rFonts w:ascii="宋体" w:hAnsi="宋体" w:cs="宋体" w:eastAsia="宋体" w:hint="default"/>
                <w:sz w:val="18"/>
                <w:szCs w:val="18"/>
              </w:rPr>
              <w:t>幢全楼</w:t>
            </w:r>
          </w:p>
        </w:tc>
        <w:tc>
          <w:tcPr>
            <w:tcW w:w="1416" w:type="dxa"/>
            <w:tcBorders>
              <w:top w:val="nil" w:sz="6" w:space="0" w:color="auto"/>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上海巨航投资管理有限公司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上海市徐家汇龙漕路</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3,400.00</w:t>
            </w:r>
            <w:r>
              <w:rPr>
                <w:rFonts w:ascii="宋体" w:hAnsi="宋体" w:cs="宋体" w:eastAsia="宋体" w:hint="default"/>
                <w:sz w:val="18"/>
                <w:szCs w:val="18"/>
              </w:rPr>
              <w:t>平方米</w:t>
            </w: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号至</w:t>
            </w:r>
            <w:r>
              <w:rPr>
                <w:rFonts w:ascii="宋体" w:hAnsi="宋体" w:cs="宋体" w:eastAsia="宋体" w:hint="default"/>
                <w:sz w:val="18"/>
                <w:szCs w:val="18"/>
              </w:rPr>
              <w:t>2016</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首期月租金</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pacing w:val="-2"/>
                <w:sz w:val="18"/>
                <w:szCs w:val="18"/>
              </w:rPr>
              <w:t>299</w:t>
            </w:r>
            <w:r>
              <w:rPr>
                <w:rFonts w:ascii="宋体" w:hAnsi="宋体" w:cs="宋体" w:eastAsia="宋体" w:hint="default"/>
                <w:spacing w:val="-2"/>
                <w:sz w:val="18"/>
                <w:szCs w:val="18"/>
              </w:rPr>
              <w:t>号园区内</w:t>
            </w:r>
            <w:r>
              <w:rPr>
                <w:rFonts w:ascii="宋体" w:hAnsi="宋体" w:cs="宋体" w:eastAsia="宋体" w:hint="default"/>
                <w:spacing w:val="-2"/>
                <w:sz w:val="18"/>
                <w:szCs w:val="18"/>
              </w:rPr>
              <w:t>3</w:t>
            </w:r>
            <w:r>
              <w:rPr>
                <w:rFonts w:ascii="宋体" w:hAnsi="宋体" w:cs="宋体" w:eastAsia="宋体" w:hint="default"/>
                <w:spacing w:val="-2"/>
                <w:sz w:val="18"/>
                <w:szCs w:val="18"/>
              </w:rPr>
              <w:t>幢北部（</w:t>
            </w:r>
            <w:r>
              <w:rPr>
                <w:rFonts w:ascii="宋体" w:hAnsi="宋体" w:cs="宋体" w:eastAsia="宋体" w:hint="default"/>
                <w:spacing w:val="-2"/>
                <w:sz w:val="18"/>
                <w:szCs w:val="18"/>
              </w:rPr>
              <w:t>C</w:t>
            </w: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号</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310,250.00</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4</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座）第七</w:t>
            </w:r>
            <w:r>
              <w:rPr>
                <w:rFonts w:ascii="宋体" w:hAnsi="宋体" w:cs="宋体" w:eastAsia="宋体" w:hint="default"/>
                <w:sz w:val="18"/>
                <w:szCs w:val="18"/>
              </w:rPr>
              <w:t>-</w:t>
            </w:r>
            <w:r>
              <w:rPr>
                <w:rFonts w:ascii="宋体" w:hAnsi="宋体" w:cs="宋体" w:eastAsia="宋体" w:hint="default"/>
                <w:sz w:val="18"/>
                <w:szCs w:val="18"/>
              </w:rPr>
              <w:t>第十整层</w:t>
            </w: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pacing w:val="-4"/>
                <w:sz w:val="18"/>
                <w:szCs w:val="18"/>
              </w:rPr>
              <w:t>月</w:t>
            </w:r>
            <w:r>
              <w:rPr>
                <w:rFonts w:ascii="宋体" w:hAnsi="宋体" w:cs="宋体" w:eastAsia="宋体" w:hint="default"/>
                <w:spacing w:val="-4"/>
                <w:sz w:val="18"/>
                <w:szCs w:val="18"/>
              </w:rPr>
              <w:t>1</w:t>
            </w:r>
            <w:r>
              <w:rPr>
                <w:rFonts w:ascii="宋体" w:hAnsi="宋体" w:cs="宋体" w:eastAsia="宋体" w:hint="default"/>
                <w:spacing w:val="-4"/>
                <w:sz w:val="18"/>
                <w:szCs w:val="18"/>
              </w:rPr>
              <w:t>日起</w:t>
            </w:r>
            <w:r>
              <w:rPr>
                <w:rFonts w:ascii="宋体" w:hAnsi="宋体" w:cs="宋体" w:eastAsia="宋体" w:hint="default"/>
                <w:spacing w:val="-4"/>
                <w:sz w:val="18"/>
                <w:szCs w:val="18"/>
              </w:rPr>
              <w:t>3</w:t>
            </w:r>
            <w:r>
              <w:rPr>
                <w:rFonts w:ascii="宋体" w:hAnsi="宋体" w:cs="宋体" w:eastAsia="宋体" w:hint="default"/>
                <w:spacing w:val="-4"/>
                <w:sz w:val="18"/>
                <w:szCs w:val="18"/>
              </w:rPr>
              <w:t>年内不变；自</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日起租金</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递增</w:t>
            </w:r>
            <w:r>
              <w:rPr>
                <w:rFonts w:ascii="宋体" w:hAnsi="宋体" w:cs="宋体" w:eastAsia="宋体" w:hint="default"/>
                <w:sz w:val="18"/>
                <w:szCs w:val="18"/>
              </w:rPr>
              <w:t>10%</w:t>
            </w:r>
            <w:r>
              <w:rPr>
                <w:rFonts w:ascii="宋体" w:hAnsi="宋体" w:cs="宋体" w:eastAsia="宋体" w:hint="default"/>
                <w:sz w:val="18"/>
                <w:szCs w:val="18"/>
              </w:rPr>
              <w:t>计算，以后每</w:t>
            </w: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满</w:t>
            </w:r>
            <w:r>
              <w:rPr>
                <w:rFonts w:ascii="宋体" w:hAnsi="宋体" w:cs="宋体" w:eastAsia="宋体" w:hint="default"/>
                <w:sz w:val="18"/>
                <w:szCs w:val="18"/>
              </w:rPr>
              <w:t>2</w:t>
            </w:r>
            <w:r>
              <w:rPr>
                <w:rFonts w:ascii="宋体" w:hAnsi="宋体" w:cs="宋体" w:eastAsia="宋体" w:hint="default"/>
                <w:sz w:val="18"/>
                <w:szCs w:val="18"/>
              </w:rPr>
              <w:t>年按此标准执行</w:t>
            </w:r>
          </w:p>
        </w:tc>
      </w:tr>
      <w:tr>
        <w:trPr>
          <w:trHeight w:val="343" w:hRule="exact"/>
        </w:trPr>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上海东湖宾馆</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上海市徐汇区淮海中路</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z w:val="18"/>
                <w:szCs w:val="18"/>
              </w:rPr>
              <w:t>181.00</w:t>
            </w:r>
            <w:r>
              <w:rPr>
                <w:rFonts w:ascii="宋体" w:hAnsi="宋体" w:cs="宋体" w:eastAsia="宋体" w:hint="default"/>
                <w:sz w:val="18"/>
                <w:szCs w:val="18"/>
              </w:rPr>
              <w:t>平方米</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号至</w:t>
            </w:r>
            <w:r>
              <w:rPr>
                <w:rFonts w:ascii="宋体" w:hAnsi="宋体" w:cs="宋体" w:eastAsia="宋体" w:hint="default"/>
                <w:sz w:val="18"/>
                <w:szCs w:val="18"/>
              </w:rPr>
              <w:t>2020</w:t>
            </w:r>
            <w:r>
              <w:rPr>
                <w:rFonts w:ascii="宋体" w:hAnsi="宋体" w:cs="宋体" w:eastAsia="宋体" w:hint="default"/>
                <w:sz w:val="18"/>
                <w:szCs w:val="18"/>
              </w:rPr>
              <w:t>年</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71,798.60</w:t>
            </w:r>
          </w:p>
        </w:tc>
      </w:tr>
    </w:tbl>
    <w:p>
      <w:pPr>
        <w:spacing w:after="0" w:line="240" w:lineRule="auto"/>
        <w:jc w:val="right"/>
        <w:rPr>
          <w:rFonts w:ascii="宋体" w:hAnsi="宋体" w:cs="宋体" w:eastAsia="宋体" w:hint="default"/>
          <w:sz w:val="18"/>
          <w:szCs w:val="18"/>
        </w:rPr>
        <w:sectPr>
          <w:pgSz w:w="11910" w:h="16840"/>
          <w:pgMar w:header="852" w:footer="979" w:top="1300" w:bottom="1160" w:left="980" w:right="980"/>
        </w:sectPr>
      </w:pPr>
    </w:p>
    <w:p>
      <w:pPr>
        <w:spacing w:line="240" w:lineRule="auto" w:before="3"/>
        <w:rPr>
          <w:rFonts w:ascii="宋体" w:hAnsi="宋体" w:cs="宋体" w:eastAsia="宋体" w:hint="default"/>
          <w:sz w:val="9"/>
          <w:szCs w:val="9"/>
        </w:rPr>
      </w:pPr>
      <w:r>
        <w:rPr/>
        <w:pict>
          <v:shape style="position:absolute;margin-left:279.890015pt;margin-top:428.205994pt;width:75.4pt;height:47.35pt;mso-position-horizontal-relative:page;mso-position-vertical-relative:page;z-index:-868672" type="#_x0000_t202" filled="false" stroked="false">
            <v:textbox inset="0,0,0,0">
              <w:txbxContent>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84.450012pt;margin-top:428.205994pt;width:71.350pt;height:47.35pt;mso-position-horizontal-relative:page;mso-position-vertical-relative:page;z-index:-868648" coordorigin="5689,8564" coordsize="1427,947">
            <v:group style="position:absolute;left:5701;top:8564;width:1405;height:947" coordorigin="5701,8564" coordsize="1405,947">
              <v:shape style="position:absolute;left:5701;top:8564;width:1405;height:947" coordorigin="5701,8564" coordsize="1405,947" path="m5701,9510l7105,9510,7105,8564,5701,8564,5701,9510xe" filled="true" fillcolor="#ffffff" stroked="false">
                <v:path arrowok="t"/>
                <v:fill type="solid"/>
              </v:shape>
            </v:group>
            <v:group style="position:absolute;left:5694;top:9505;width:1417;height:2" coordorigin="5694,9505" coordsize="1417,2">
              <v:shape style="position:absolute;left:5694;top:9505;width:1417;height:2" coordorigin="5694,9505" coordsize="1417,0" path="m5694,9505l7110,9505e" filled="false" stroked="true" strokeweight=".47998pt" strokecolor="#ffffff">
                <v:path arrowok="t"/>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2667"/>
        <w:gridCol w:w="1894"/>
        <w:gridCol w:w="1416"/>
        <w:gridCol w:w="1885"/>
        <w:gridCol w:w="1776"/>
      </w:tblGrid>
      <w:tr>
        <w:trPr>
          <w:trHeight w:val="341" w:hRule="exact"/>
        </w:trPr>
        <w:tc>
          <w:tcPr>
            <w:tcW w:w="2667"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1110</w:t>
            </w:r>
            <w:r>
              <w:rPr>
                <w:rFonts w:ascii="宋体" w:hAnsi="宋体" w:cs="宋体" w:eastAsia="宋体" w:hint="default"/>
                <w:sz w:val="18"/>
                <w:szCs w:val="18"/>
              </w:rPr>
              <w:t>号</w:t>
            </w:r>
            <w:r>
              <w:rPr>
                <w:rFonts w:ascii="宋体" w:hAnsi="宋体" w:cs="宋体" w:eastAsia="宋体" w:hint="default"/>
                <w:sz w:val="18"/>
                <w:szCs w:val="18"/>
              </w:rPr>
              <w:t>A</w:t>
            </w:r>
            <w:r>
              <w:rPr>
                <w:rFonts w:ascii="宋体" w:hAnsi="宋体" w:cs="宋体" w:eastAsia="宋体" w:hint="default"/>
                <w:sz w:val="18"/>
                <w:szCs w:val="18"/>
              </w:rPr>
              <w:t>座别墅</w:t>
            </w:r>
          </w:p>
        </w:tc>
        <w:tc>
          <w:tcPr>
            <w:tcW w:w="1416"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号</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上海东湖宾馆</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上海市徐汇区东湖路</w:t>
            </w:r>
            <w:r>
              <w:rPr>
                <w:rFonts w:ascii="宋体" w:hAnsi="宋体" w:cs="宋体" w:eastAsia="宋体" w:hint="default"/>
                <w:sz w:val="18"/>
                <w:szCs w:val="18"/>
              </w:rPr>
              <w:t>7</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z w:val="18"/>
                <w:szCs w:val="18"/>
              </w:rPr>
              <w:t>1,330.00</w:t>
            </w:r>
            <w:r>
              <w:rPr>
                <w:rFonts w:ascii="宋体" w:hAnsi="宋体" w:cs="宋体" w:eastAsia="宋体" w:hint="default"/>
                <w:sz w:val="18"/>
                <w:szCs w:val="18"/>
              </w:rPr>
              <w:t>平方</w:t>
            </w: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号至</w:t>
            </w:r>
            <w:r>
              <w:rPr>
                <w:rFonts w:ascii="宋体" w:hAnsi="宋体" w:cs="宋体" w:eastAsia="宋体" w:hint="default"/>
                <w:sz w:val="18"/>
                <w:szCs w:val="18"/>
              </w:rPr>
              <w:t>2020</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458,334.00</w:t>
            </w: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号东湖宾馆</w:t>
            </w:r>
            <w:r>
              <w:rPr>
                <w:rFonts w:ascii="宋体" w:hAnsi="宋体" w:cs="宋体" w:eastAsia="宋体" w:hint="default"/>
                <w:sz w:val="18"/>
                <w:szCs w:val="18"/>
              </w:rPr>
              <w:t>7</w:t>
            </w:r>
            <w:r>
              <w:rPr>
                <w:rFonts w:ascii="宋体" w:hAnsi="宋体" w:cs="宋体" w:eastAsia="宋体" w:hint="default"/>
                <w:sz w:val="18"/>
                <w:szCs w:val="18"/>
              </w:rPr>
              <w:t>号楼</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米</w:t>
            </w:r>
          </w:p>
        </w:tc>
        <w:tc>
          <w:tcPr>
            <w:tcW w:w="18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号</w:t>
            </w: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上海市徐汇区平福路</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平方米</w:t>
            </w: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2019</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pacing w:val="-1"/>
                <w:sz w:val="18"/>
              </w:rPr>
              <w:t>228,125.00</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188</w:t>
            </w:r>
            <w:r>
              <w:rPr>
                <w:rFonts w:ascii="宋体" w:hAnsi="宋体" w:cs="宋体" w:eastAsia="宋体" w:hint="default"/>
                <w:sz w:val="18"/>
                <w:szCs w:val="18"/>
              </w:rPr>
              <w:t>号漕河泾聚鑫园区</w:t>
            </w: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776"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z w:val="18"/>
                <w:szCs w:val="18"/>
              </w:rPr>
              <w:t>1</w:t>
            </w:r>
            <w:r>
              <w:rPr>
                <w:rFonts w:ascii="宋体" w:hAnsi="宋体" w:cs="宋体" w:eastAsia="宋体" w:hint="default"/>
                <w:sz w:val="18"/>
                <w:szCs w:val="18"/>
              </w:rPr>
              <w:t>幢第三层</w:t>
            </w:r>
          </w:p>
        </w:tc>
        <w:tc>
          <w:tcPr>
            <w:tcW w:w="1416" w:type="dxa"/>
            <w:tcBorders>
              <w:top w:val="nil" w:sz="6" w:space="0" w:color="auto"/>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7"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上海市徐汇区平福路</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平方米</w:t>
            </w: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2021</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241,812.50</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188</w:t>
            </w:r>
            <w:r>
              <w:rPr>
                <w:rFonts w:ascii="宋体" w:hAnsi="宋体" w:cs="宋体" w:eastAsia="宋体" w:hint="default"/>
                <w:sz w:val="18"/>
                <w:szCs w:val="18"/>
              </w:rPr>
              <w:t>号漕河泾聚鑫园区</w:t>
            </w: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776"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z w:val="18"/>
                <w:szCs w:val="18"/>
              </w:rPr>
              <w:t>1</w:t>
            </w:r>
            <w:r>
              <w:rPr>
                <w:rFonts w:ascii="宋体" w:hAnsi="宋体" w:cs="宋体" w:eastAsia="宋体" w:hint="default"/>
                <w:sz w:val="18"/>
                <w:szCs w:val="18"/>
              </w:rPr>
              <w:t>幢第四层</w:t>
            </w:r>
          </w:p>
        </w:tc>
        <w:tc>
          <w:tcPr>
            <w:tcW w:w="1416" w:type="dxa"/>
            <w:tcBorders>
              <w:top w:val="nil" w:sz="6" w:space="0" w:color="auto"/>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上海聚鑫置业有限公司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上海市徐汇区平福路</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平方米</w:t>
            </w: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日至</w:t>
            </w:r>
            <w:r>
              <w:rPr>
                <w:rFonts w:ascii="宋体" w:hAnsi="宋体" w:cs="宋体" w:eastAsia="宋体" w:hint="default"/>
                <w:sz w:val="18"/>
                <w:szCs w:val="18"/>
              </w:rPr>
              <w:t>2021</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241,812.50</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188</w:t>
            </w:r>
            <w:r>
              <w:rPr>
                <w:rFonts w:ascii="宋体" w:hAnsi="宋体" w:cs="宋体" w:eastAsia="宋体" w:hint="default"/>
                <w:sz w:val="18"/>
                <w:szCs w:val="18"/>
              </w:rPr>
              <w:t>号漕河泾聚鑫园区</w:t>
            </w: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14</w:t>
            </w:r>
            <w:r>
              <w:rPr>
                <w:rFonts w:ascii="宋体" w:hAnsi="宋体" w:cs="宋体" w:eastAsia="宋体" w:hint="default"/>
                <w:sz w:val="18"/>
                <w:szCs w:val="18"/>
              </w:rPr>
              <w:t>日</w:t>
            </w:r>
          </w:p>
        </w:tc>
        <w:tc>
          <w:tcPr>
            <w:tcW w:w="1776"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z w:val="18"/>
                <w:szCs w:val="18"/>
              </w:rPr>
              <w:t>1</w:t>
            </w:r>
            <w:r>
              <w:rPr>
                <w:rFonts w:ascii="宋体" w:hAnsi="宋体" w:cs="宋体" w:eastAsia="宋体" w:hint="default"/>
                <w:sz w:val="18"/>
                <w:szCs w:val="18"/>
              </w:rPr>
              <w:t>幢第六层</w:t>
            </w:r>
          </w:p>
        </w:tc>
        <w:tc>
          <w:tcPr>
            <w:tcW w:w="1416" w:type="dxa"/>
            <w:tcBorders>
              <w:top w:val="nil" w:sz="6" w:space="0" w:color="auto"/>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7"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上海巨隆投资管理有限公司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上海市徐汇区龙漕路</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1700</w:t>
            </w:r>
            <w:r>
              <w:rPr>
                <w:rFonts w:ascii="宋体" w:hAnsi="宋体" w:cs="宋体" w:eastAsia="宋体" w:hint="default"/>
                <w:sz w:val="18"/>
                <w:szCs w:val="18"/>
              </w:rPr>
              <w:t>平方米</w:t>
            </w: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2017</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首期租金</w:t>
            </w:r>
            <w:r>
              <w:rPr>
                <w:rFonts w:ascii="宋体" w:hAnsi="宋体" w:cs="宋体" w:eastAsia="宋体" w:hint="default"/>
                <w:sz w:val="18"/>
                <w:szCs w:val="18"/>
              </w:rPr>
              <w:t>324,275.00</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pacing w:val="-2"/>
                <w:sz w:val="18"/>
                <w:szCs w:val="18"/>
              </w:rPr>
              <w:t>299</w:t>
            </w:r>
            <w:r>
              <w:rPr>
                <w:rFonts w:ascii="宋体" w:hAnsi="宋体" w:cs="宋体" w:eastAsia="宋体" w:hint="default"/>
                <w:spacing w:val="-2"/>
                <w:sz w:val="18"/>
                <w:szCs w:val="18"/>
              </w:rPr>
              <w:t>号园区内</w:t>
            </w:r>
            <w:r>
              <w:rPr>
                <w:rFonts w:ascii="宋体" w:hAnsi="宋体" w:cs="宋体" w:eastAsia="宋体" w:hint="default"/>
                <w:spacing w:val="-2"/>
                <w:sz w:val="18"/>
                <w:szCs w:val="18"/>
              </w:rPr>
              <w:t>2</w:t>
            </w:r>
            <w:r>
              <w:rPr>
                <w:rFonts w:ascii="宋体" w:hAnsi="宋体" w:cs="宋体" w:eastAsia="宋体" w:hint="default"/>
                <w:spacing w:val="-2"/>
                <w:sz w:val="18"/>
                <w:szCs w:val="18"/>
              </w:rPr>
              <w:t>幢南部（</w:t>
            </w:r>
            <w:r>
              <w:rPr>
                <w:rFonts w:ascii="宋体" w:hAnsi="宋体" w:cs="宋体" w:eastAsia="宋体" w:hint="default"/>
                <w:spacing w:val="-2"/>
                <w:sz w:val="18"/>
                <w:szCs w:val="18"/>
              </w:rPr>
              <w:t>A</w:t>
            </w: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元，每月月租</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座）第九层、第十层</w:t>
            </w:r>
          </w:p>
        </w:tc>
        <w:tc>
          <w:tcPr>
            <w:tcW w:w="1416" w:type="dxa"/>
            <w:tcBorders>
              <w:top w:val="nil" w:sz="6" w:space="0" w:color="auto"/>
              <w:left w:val="single" w:sz="4" w:space="0" w:color="000000"/>
              <w:bottom w:val="nil" w:sz="6" w:space="0" w:color="auto"/>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3"/>
                <w:sz w:val="18"/>
                <w:szCs w:val="18"/>
              </w:rPr>
              <w:t>217,175.00</w:t>
            </w:r>
            <w:r>
              <w:rPr>
                <w:rFonts w:ascii="宋体" w:hAnsi="宋体" w:cs="宋体" w:eastAsia="宋体" w:hint="default"/>
                <w:spacing w:val="-3"/>
                <w:sz w:val="18"/>
                <w:szCs w:val="18"/>
              </w:rPr>
              <w:t>元，</w:t>
            </w:r>
            <w:r>
              <w:rPr>
                <w:rFonts w:ascii="宋体" w:hAnsi="宋体" w:cs="宋体" w:eastAsia="宋体" w:hint="default"/>
                <w:spacing w:val="-3"/>
                <w:sz w:val="18"/>
                <w:szCs w:val="18"/>
              </w:rPr>
              <w:t>2015</w:t>
            </w:r>
            <w:r>
              <w:rPr>
                <w:rFonts w:ascii="宋体" w:hAnsi="宋体" w:cs="宋体" w:eastAsia="宋体" w:hint="default"/>
                <w:spacing w:val="-3"/>
                <w:sz w:val="18"/>
                <w:szCs w:val="18"/>
              </w:rPr>
              <w:t>年</w:t>
            </w: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日起</w:t>
            </w:r>
            <w:r>
              <w:rPr>
                <w:rFonts w:ascii="宋体" w:hAnsi="宋体" w:cs="宋体" w:eastAsia="宋体" w:hint="default"/>
                <w:sz w:val="18"/>
                <w:szCs w:val="18"/>
              </w:rPr>
              <w:t>2</w:t>
            </w:r>
            <w:r>
              <w:rPr>
                <w:rFonts w:ascii="宋体" w:hAnsi="宋体" w:cs="宋体" w:eastAsia="宋体" w:hint="default"/>
                <w:sz w:val="18"/>
                <w:szCs w:val="18"/>
              </w:rPr>
              <w:t>年内不变</w:t>
            </w:r>
          </w:p>
        </w:tc>
      </w:tr>
      <w:tr>
        <w:trPr>
          <w:trHeight w:val="324"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杭州东杭房地产开发有限公司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北京西城区陶然亭路</w:t>
            </w:r>
            <w:r>
              <w:rPr>
                <w:rFonts w:ascii="宋体" w:hAnsi="宋体" w:cs="宋体" w:eastAsia="宋体" w:hint="default"/>
                <w:sz w:val="18"/>
                <w:szCs w:val="18"/>
              </w:rPr>
              <w:t>16</w:t>
            </w:r>
          </w:p>
        </w:tc>
        <w:tc>
          <w:tcPr>
            <w:tcW w:w="1416" w:type="dxa"/>
            <w:vMerge w:val="restart"/>
            <w:tcBorders>
              <w:top w:val="single" w:sz="4" w:space="0" w:color="000000"/>
              <w:left w:val="single" w:sz="4" w:space="0" w:color="000000"/>
              <w:right w:val="single" w:sz="4" w:space="0" w:color="000000"/>
            </w:tcBorders>
          </w:tcPr>
          <w:p>
            <w:pP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日至</w:t>
            </w:r>
            <w:r>
              <w:rPr>
                <w:rFonts w:ascii="宋体" w:hAnsi="宋体" w:cs="宋体" w:eastAsia="宋体" w:hint="default"/>
                <w:sz w:val="18"/>
                <w:szCs w:val="18"/>
              </w:rPr>
              <w:t>2016</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383,333.33</w:t>
            </w: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号商用楼一座</w:t>
            </w:r>
          </w:p>
        </w:tc>
        <w:tc>
          <w:tcPr>
            <w:tcW w:w="1416" w:type="dxa"/>
            <w:vMerge/>
            <w:tcBorders>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7"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北京宝龙达信息技术有限公司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深圳市福田区金田路与</w:t>
            </w:r>
          </w:p>
        </w:tc>
        <w:tc>
          <w:tcPr>
            <w:tcW w:w="1416" w:type="dxa"/>
            <w:vMerge w:val="restart"/>
            <w:tcBorders>
              <w:top w:val="single" w:sz="4" w:space="0" w:color="000000"/>
              <w:left w:val="single" w:sz="4" w:space="0" w:color="000000"/>
              <w:right w:val="single" w:sz="4" w:space="0" w:color="000000"/>
            </w:tcBorders>
          </w:tcPr>
          <w:p>
            <w:pP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日至</w:t>
            </w:r>
            <w:r>
              <w:rPr>
                <w:rFonts w:ascii="宋体" w:hAnsi="宋体" w:cs="宋体" w:eastAsia="宋体" w:hint="default"/>
                <w:sz w:val="18"/>
                <w:szCs w:val="18"/>
              </w:rPr>
              <w:t>2017</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138,927.72</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福华路交汇处现代商务</w:t>
            </w:r>
          </w:p>
        </w:tc>
        <w:tc>
          <w:tcPr>
            <w:tcW w:w="1416" w:type="dxa"/>
            <w:vMerge/>
            <w:tcBorders>
              <w:left w:val="single" w:sz="4" w:space="0" w:color="000000"/>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p>
        </w:tc>
        <w:tc>
          <w:tcPr>
            <w:tcW w:w="1776"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z w:val="18"/>
                <w:szCs w:val="18"/>
              </w:rPr>
              <w:t>3207</w:t>
            </w:r>
            <w:r>
              <w:rPr>
                <w:rFonts w:ascii="宋体" w:hAnsi="宋体" w:cs="宋体" w:eastAsia="宋体" w:hint="default"/>
                <w:sz w:val="18"/>
                <w:szCs w:val="18"/>
              </w:rPr>
              <w:t>、</w:t>
            </w:r>
            <w:r>
              <w:rPr>
                <w:rFonts w:ascii="宋体" w:hAnsi="宋体" w:cs="宋体" w:eastAsia="宋体" w:hint="default"/>
                <w:sz w:val="18"/>
                <w:szCs w:val="18"/>
              </w:rPr>
              <w:t>3208</w:t>
            </w:r>
            <w:r>
              <w:rPr>
                <w:rFonts w:ascii="宋体" w:hAnsi="宋体" w:cs="宋体" w:eastAsia="宋体" w:hint="default"/>
                <w:sz w:val="18"/>
                <w:szCs w:val="18"/>
              </w:rPr>
              <w:t>、</w:t>
            </w:r>
            <w:r>
              <w:rPr>
                <w:rFonts w:ascii="宋体" w:hAnsi="宋体" w:cs="宋体" w:eastAsia="宋体" w:hint="default"/>
                <w:sz w:val="18"/>
                <w:szCs w:val="18"/>
              </w:rPr>
              <w:t>3209</w:t>
            </w:r>
          </w:p>
        </w:tc>
        <w:tc>
          <w:tcPr>
            <w:tcW w:w="1416" w:type="dxa"/>
            <w:vMerge/>
            <w:tcBorders>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pacing w:val="-4"/>
                <w:sz w:val="18"/>
                <w:szCs w:val="18"/>
              </w:rPr>
              <w:t>江胜房地产开发（深圳）有限公司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深圳市福田区益田路</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2016</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315,187.00</w:t>
            </w:r>
            <w:r>
              <w:rPr>
                <w:rFonts w:ascii="宋体"/>
                <w:sz w:val="18"/>
              </w:rPr>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6003</w:t>
            </w:r>
            <w:r>
              <w:rPr>
                <w:rFonts w:ascii="宋体" w:hAnsi="宋体" w:cs="宋体" w:eastAsia="宋体" w:hint="default"/>
                <w:sz w:val="18"/>
                <w:szCs w:val="18"/>
              </w:rPr>
              <w:t>号荣超商务中心</w:t>
            </w:r>
            <w:r>
              <w:rPr>
                <w:rFonts w:ascii="宋体" w:hAnsi="宋体" w:cs="宋体" w:eastAsia="宋体" w:hint="default"/>
                <w:sz w:val="18"/>
                <w:szCs w:val="18"/>
              </w:rPr>
              <w:t>A</w:t>
            </w:r>
          </w:p>
        </w:tc>
        <w:tc>
          <w:tcPr>
            <w:tcW w:w="1416" w:type="dxa"/>
            <w:vMerge/>
            <w:tcBorders>
              <w:left w:val="single" w:sz="4" w:space="0" w:color="000000"/>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7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4"/>
              <w:jc w:val="center"/>
              <w:rPr>
                <w:rFonts w:ascii="宋体" w:hAnsi="宋体" w:cs="宋体" w:eastAsia="宋体" w:hint="default"/>
                <w:sz w:val="18"/>
                <w:szCs w:val="18"/>
              </w:rPr>
            </w:pPr>
            <w:r>
              <w:rPr>
                <w:rFonts w:ascii="宋体" w:hAnsi="宋体" w:cs="宋体" w:eastAsia="宋体" w:hint="default"/>
                <w:spacing w:val="-2"/>
                <w:sz w:val="18"/>
                <w:szCs w:val="18"/>
              </w:rPr>
              <w:t>栋</w:t>
            </w:r>
            <w:r>
              <w:rPr>
                <w:rFonts w:ascii="宋体" w:hAnsi="宋体" w:cs="宋体" w:eastAsia="宋体" w:hint="default"/>
                <w:spacing w:val="-2"/>
                <w:sz w:val="18"/>
                <w:szCs w:val="18"/>
              </w:rPr>
              <w:t>16</w:t>
            </w:r>
            <w:r>
              <w:rPr>
                <w:rFonts w:ascii="宋体" w:hAnsi="宋体" w:cs="宋体" w:eastAsia="宋体" w:hint="default"/>
                <w:spacing w:val="-2"/>
                <w:sz w:val="18"/>
                <w:szCs w:val="18"/>
              </w:rPr>
              <w:t>层</w:t>
            </w:r>
            <w:r>
              <w:rPr>
                <w:rFonts w:ascii="宋体" w:hAnsi="宋体" w:cs="宋体" w:eastAsia="宋体" w:hint="default"/>
                <w:spacing w:val="-2"/>
                <w:sz w:val="18"/>
                <w:szCs w:val="18"/>
              </w:rPr>
              <w:t>03</w:t>
            </w:r>
            <w:r>
              <w:rPr>
                <w:rFonts w:ascii="宋体" w:hAnsi="宋体" w:cs="宋体" w:eastAsia="宋体" w:hint="default"/>
                <w:spacing w:val="-2"/>
                <w:sz w:val="18"/>
                <w:szCs w:val="18"/>
              </w:rPr>
              <w:t>、</w:t>
            </w:r>
            <w:r>
              <w:rPr>
                <w:rFonts w:ascii="宋体" w:hAnsi="宋体" w:cs="宋体" w:eastAsia="宋体" w:hint="default"/>
                <w:spacing w:val="-2"/>
                <w:sz w:val="18"/>
                <w:szCs w:val="18"/>
              </w:rPr>
              <w:t>05</w:t>
            </w:r>
            <w:r>
              <w:rPr>
                <w:rFonts w:ascii="宋体" w:hAnsi="宋体" w:cs="宋体" w:eastAsia="宋体" w:hint="default"/>
                <w:spacing w:val="-2"/>
                <w:sz w:val="18"/>
                <w:szCs w:val="18"/>
              </w:rPr>
              <w:t>、</w:t>
            </w:r>
            <w:r>
              <w:rPr>
                <w:rFonts w:ascii="宋体" w:hAnsi="宋体" w:cs="宋体" w:eastAsia="宋体" w:hint="default"/>
                <w:spacing w:val="-2"/>
                <w:sz w:val="18"/>
                <w:szCs w:val="18"/>
              </w:rPr>
              <w:t>06</w:t>
            </w:r>
            <w:r>
              <w:rPr>
                <w:rFonts w:ascii="宋体" w:hAnsi="宋体" w:cs="宋体" w:eastAsia="宋体" w:hint="default"/>
                <w:spacing w:val="-2"/>
                <w:sz w:val="18"/>
                <w:szCs w:val="18"/>
              </w:rPr>
              <w:t>、</w:t>
            </w:r>
            <w:r>
              <w:rPr>
                <w:rFonts w:ascii="宋体" w:hAnsi="宋体" w:cs="宋体" w:eastAsia="宋体" w:hint="default"/>
                <w:spacing w:val="-2"/>
                <w:sz w:val="18"/>
                <w:szCs w:val="18"/>
              </w:rPr>
              <w:t>08</w:t>
            </w:r>
            <w:r>
              <w:rPr>
                <w:rFonts w:ascii="宋体" w:hAnsi="宋体" w:cs="宋体" w:eastAsia="宋体" w:hint="default"/>
                <w:sz w:val="18"/>
                <w:szCs w:val="18"/>
              </w:rPr>
            </w:r>
          </w:p>
        </w:tc>
        <w:tc>
          <w:tcPr>
            <w:tcW w:w="1416" w:type="dxa"/>
            <w:vMerge/>
            <w:tcBorders>
              <w:left w:val="single" w:sz="4" w:space="0" w:color="000000"/>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
        </w:tc>
        <w:tc>
          <w:tcPr>
            <w:tcW w:w="1776"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单元</w:t>
            </w:r>
          </w:p>
        </w:tc>
        <w:tc>
          <w:tcPr>
            <w:tcW w:w="1416" w:type="dxa"/>
            <w:vMerge/>
            <w:tcBorders>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7"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四川省石棉县物资有限公司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成都锦江区东大街</w:t>
            </w:r>
            <w:r>
              <w:rPr>
                <w:rFonts w:ascii="宋体" w:hAnsi="宋体" w:cs="宋体" w:eastAsia="宋体" w:hint="default"/>
                <w:sz w:val="18"/>
                <w:szCs w:val="18"/>
              </w:rPr>
              <w:t>216</w:t>
            </w:r>
          </w:p>
        </w:tc>
        <w:tc>
          <w:tcPr>
            <w:tcW w:w="1416" w:type="dxa"/>
            <w:vMerge w:val="restart"/>
            <w:tcBorders>
              <w:top w:val="single" w:sz="4" w:space="0" w:color="000000"/>
              <w:left w:val="single" w:sz="4" w:space="0" w:color="000000"/>
              <w:right w:val="single" w:sz="4" w:space="0" w:color="000000"/>
            </w:tcBorders>
          </w:tcPr>
          <w:p>
            <w:pP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2020</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149,137.19</w:t>
            </w: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号喜年</w:t>
            </w:r>
            <w:r>
              <w:rPr>
                <w:rFonts w:ascii="宋体" w:hAnsi="宋体" w:cs="宋体" w:eastAsia="宋体" w:hint="default"/>
                <w:sz w:val="18"/>
                <w:szCs w:val="18"/>
              </w:rPr>
              <w:t>A</w:t>
            </w:r>
            <w:r>
              <w:rPr>
                <w:rFonts w:ascii="宋体" w:hAnsi="宋体" w:cs="宋体" w:eastAsia="宋体" w:hint="default"/>
                <w:sz w:val="18"/>
                <w:szCs w:val="18"/>
              </w:rPr>
              <w:t>年栋</w:t>
            </w:r>
            <w:r>
              <w:rPr>
                <w:rFonts w:ascii="宋体" w:hAnsi="宋体" w:cs="宋体" w:eastAsia="宋体" w:hint="default"/>
                <w:sz w:val="18"/>
                <w:szCs w:val="18"/>
              </w:rPr>
              <w:t>5</w:t>
            </w:r>
            <w:r>
              <w:rPr>
                <w:rFonts w:ascii="宋体" w:hAnsi="宋体" w:cs="宋体" w:eastAsia="宋体" w:hint="default"/>
                <w:sz w:val="18"/>
                <w:szCs w:val="18"/>
              </w:rPr>
              <w:t>层</w:t>
            </w:r>
          </w:p>
        </w:tc>
        <w:tc>
          <w:tcPr>
            <w:tcW w:w="1416" w:type="dxa"/>
            <w:vMerge/>
            <w:tcBorders>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4"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武汉聚腾钢铁贸易有限公司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武汉市江汉区青年路</w:t>
            </w:r>
          </w:p>
        </w:tc>
        <w:tc>
          <w:tcPr>
            <w:tcW w:w="1416" w:type="dxa"/>
            <w:vMerge w:val="restart"/>
            <w:tcBorders>
              <w:top w:val="single" w:sz="4" w:space="0" w:color="000000"/>
              <w:left w:val="single" w:sz="4" w:space="0" w:color="000000"/>
              <w:right w:val="single" w:sz="4" w:space="0" w:color="000000"/>
            </w:tcBorders>
          </w:tcPr>
          <w:p>
            <w:pP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日至</w:t>
            </w:r>
            <w:r>
              <w:rPr>
                <w:rFonts w:ascii="宋体" w:hAnsi="宋体" w:cs="宋体" w:eastAsia="宋体" w:hint="default"/>
                <w:sz w:val="18"/>
                <w:szCs w:val="18"/>
              </w:rPr>
              <w:t>2019</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pacing w:val="-1"/>
                <w:sz w:val="18"/>
              </w:rPr>
              <w:t>101,593.95</w:t>
            </w:r>
          </w:p>
        </w:tc>
      </w:tr>
      <w:tr>
        <w:trPr>
          <w:trHeight w:val="312" w:hRule="exact"/>
        </w:trPr>
        <w:tc>
          <w:tcPr>
            <w:tcW w:w="2667"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378</w:t>
            </w:r>
            <w:r>
              <w:rPr>
                <w:rFonts w:ascii="宋体" w:hAnsi="宋体" w:cs="宋体" w:eastAsia="宋体" w:hint="default"/>
                <w:sz w:val="18"/>
                <w:szCs w:val="18"/>
              </w:rPr>
              <w:t>号万国花园</w:t>
            </w:r>
            <w:r>
              <w:rPr>
                <w:rFonts w:ascii="宋体" w:hAnsi="宋体" w:cs="宋体" w:eastAsia="宋体" w:hint="default"/>
                <w:sz w:val="18"/>
                <w:szCs w:val="18"/>
              </w:rPr>
              <w:t>6-7</w:t>
            </w:r>
            <w:r>
              <w:rPr>
                <w:rFonts w:ascii="宋体" w:hAnsi="宋体" w:cs="宋体" w:eastAsia="宋体" w:hint="default"/>
                <w:sz w:val="18"/>
                <w:szCs w:val="18"/>
              </w:rPr>
              <w:t>栋二</w:t>
            </w:r>
          </w:p>
        </w:tc>
        <w:tc>
          <w:tcPr>
            <w:tcW w:w="1416" w:type="dxa"/>
            <w:vMerge/>
            <w:tcBorders>
              <w:left w:val="single" w:sz="4" w:space="0" w:color="000000"/>
              <w:right w:val="single" w:sz="4" w:space="0" w:color="000000"/>
            </w:tcBorders>
          </w:tcPr>
          <w:p>
            <w:pPr/>
          </w:p>
        </w:tc>
        <w:tc>
          <w:tcPr>
            <w:tcW w:w="18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p>
        </w:tc>
        <w:tc>
          <w:tcPr>
            <w:tcW w:w="1776" w:type="dxa"/>
            <w:tcBorders>
              <w:top w:val="nil" w:sz="6" w:space="0" w:color="auto"/>
              <w:left w:val="single" w:sz="4" w:space="0" w:color="000000"/>
              <w:bottom w:val="nil" w:sz="6" w:space="0" w:color="auto"/>
              <w:right w:val="single" w:sz="4" w:space="0" w:color="000000"/>
            </w:tcBorders>
          </w:tcPr>
          <w:p>
            <w:pP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层一室</w:t>
            </w:r>
          </w:p>
        </w:tc>
        <w:tc>
          <w:tcPr>
            <w:tcW w:w="1416" w:type="dxa"/>
            <w:vMerge/>
            <w:tcBorders>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27" w:hRule="exact"/>
        </w:trPr>
        <w:tc>
          <w:tcPr>
            <w:tcW w:w="2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郑州宇通集团有限公司</w:t>
            </w:r>
          </w:p>
        </w:tc>
        <w:tc>
          <w:tcPr>
            <w:tcW w:w="1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郑州市金水区花园路</w:t>
            </w:r>
            <w:r>
              <w:rPr>
                <w:rFonts w:ascii="宋体" w:hAnsi="宋体" w:cs="宋体" w:eastAsia="宋体" w:hint="default"/>
                <w:sz w:val="18"/>
                <w:szCs w:val="18"/>
              </w:rPr>
              <w:t>39</w:t>
            </w:r>
          </w:p>
        </w:tc>
        <w:tc>
          <w:tcPr>
            <w:tcW w:w="1416" w:type="dxa"/>
            <w:vMerge w:val="restart"/>
            <w:tcBorders>
              <w:top w:val="single" w:sz="4" w:space="0" w:color="000000"/>
              <w:left w:val="single" w:sz="4" w:space="0" w:color="000000"/>
              <w:right w:val="single" w:sz="4" w:space="0" w:color="000000"/>
            </w:tcBorders>
          </w:tcPr>
          <w:p>
            <w:pPr/>
          </w:p>
        </w:tc>
        <w:tc>
          <w:tcPr>
            <w:tcW w:w="18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日至</w:t>
            </w:r>
            <w:r>
              <w:rPr>
                <w:rFonts w:ascii="宋体" w:hAnsi="宋体" w:cs="宋体" w:eastAsia="宋体" w:hint="default"/>
                <w:sz w:val="18"/>
                <w:szCs w:val="18"/>
              </w:rPr>
              <w:t>2018</w:t>
            </w:r>
            <w:r>
              <w:rPr>
                <w:rFonts w:ascii="宋体" w:hAnsi="宋体" w:cs="宋体" w:eastAsia="宋体" w:hint="default"/>
                <w:sz w:val="18"/>
                <w:szCs w:val="18"/>
              </w:rPr>
              <w:t>年</w:t>
            </w:r>
          </w:p>
        </w:tc>
        <w:tc>
          <w:tcPr>
            <w:tcW w:w="1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90,614.48</w:t>
            </w:r>
          </w:p>
        </w:tc>
      </w:tr>
      <w:tr>
        <w:trPr>
          <w:trHeight w:val="329" w:hRule="exact"/>
        </w:trPr>
        <w:tc>
          <w:tcPr>
            <w:tcW w:w="2667" w:type="dxa"/>
            <w:tcBorders>
              <w:top w:val="nil" w:sz="6" w:space="0" w:color="auto"/>
              <w:left w:val="single" w:sz="4" w:space="0" w:color="000000"/>
              <w:bottom w:val="single" w:sz="4" w:space="0" w:color="000000"/>
              <w:right w:val="single" w:sz="4" w:space="0" w:color="000000"/>
            </w:tcBorders>
          </w:tcPr>
          <w:p>
            <w:pPr/>
          </w:p>
        </w:tc>
        <w:tc>
          <w:tcPr>
            <w:tcW w:w="1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号招银大厦</w:t>
            </w:r>
            <w:r>
              <w:rPr>
                <w:rFonts w:ascii="宋体" w:hAnsi="宋体" w:cs="宋体" w:eastAsia="宋体" w:hint="default"/>
                <w:sz w:val="18"/>
                <w:szCs w:val="18"/>
              </w:rPr>
              <w:t>17</w:t>
            </w:r>
            <w:r>
              <w:rPr>
                <w:rFonts w:ascii="宋体" w:hAnsi="宋体" w:cs="宋体" w:eastAsia="宋体" w:hint="default"/>
                <w:sz w:val="18"/>
                <w:szCs w:val="18"/>
              </w:rPr>
              <w:t>层</w:t>
            </w:r>
          </w:p>
        </w:tc>
        <w:tc>
          <w:tcPr>
            <w:tcW w:w="1416" w:type="dxa"/>
            <w:vMerge/>
            <w:tcBorders>
              <w:left w:val="single" w:sz="4" w:space="0" w:color="000000"/>
              <w:bottom w:val="single" w:sz="4" w:space="0" w:color="000000"/>
              <w:right w:val="single" w:sz="4" w:space="0" w:color="000000"/>
            </w:tcBorders>
          </w:tcPr>
          <w:p>
            <w:pPr/>
          </w:p>
        </w:tc>
        <w:tc>
          <w:tcPr>
            <w:tcW w:w="18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776"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BodyText"/>
        <w:spacing w:line="256" w:lineRule="auto"/>
        <w:ind w:left="861" w:right="0"/>
        <w:jc w:val="left"/>
      </w:pPr>
      <w:r>
        <w:rPr>
          <w:rFonts w:ascii="Times New Roman" w:hAnsi="Times New Roman" w:cs="Times New Roman" w:eastAsia="Times New Roman" w:hint="default"/>
          <w:b/>
          <w:bCs/>
        </w:rPr>
        <w:t>“12</w:t>
      </w:r>
      <w:r>
        <w:rPr>
          <w:rFonts w:ascii="宋体" w:hAnsi="宋体" w:cs="宋体" w:eastAsia="宋体" w:hint="default"/>
          <w:b/>
          <w:bCs/>
        </w:rPr>
        <w:t>蓝博</w:t>
      </w:r>
      <w:r>
        <w:rPr>
          <w:rFonts w:ascii="Times New Roman" w:hAnsi="Times New Roman" w:cs="Times New Roman" w:eastAsia="Times New Roman" w:hint="default"/>
          <w:b/>
          <w:bCs/>
        </w:rPr>
        <w:t>01”</w:t>
      </w:r>
      <w:r>
        <w:rPr>
          <w:rFonts w:ascii="宋体" w:hAnsi="宋体" w:cs="宋体" w:eastAsia="宋体" w:hint="default"/>
          <w:b/>
          <w:bCs/>
        </w:rPr>
        <w:t>、</w:t>
      </w:r>
      <w:r>
        <w:rPr>
          <w:rFonts w:ascii="Times New Roman" w:hAnsi="Times New Roman" w:cs="Times New Roman" w:eastAsia="Times New Roman" w:hint="default"/>
          <w:b/>
          <w:bCs/>
        </w:rPr>
        <w:t>“12</w:t>
      </w:r>
      <w:r>
        <w:rPr>
          <w:rFonts w:ascii="宋体" w:hAnsi="宋体" w:cs="宋体" w:eastAsia="宋体" w:hint="default"/>
          <w:b/>
          <w:bCs/>
        </w:rPr>
        <w:t>蓝博</w:t>
      </w:r>
      <w:r>
        <w:rPr>
          <w:rFonts w:ascii="Times New Roman" w:hAnsi="Times New Roman" w:cs="Times New Roman" w:eastAsia="Times New Roman" w:hint="default"/>
          <w:b/>
          <w:bCs/>
        </w:rPr>
        <w:t>02</w:t>
      </w:r>
      <w:r>
        <w:rPr>
          <w:rFonts w:ascii="Times New Roman" w:hAnsi="Times New Roman" w:cs="Times New Roman" w:eastAsia="Times New Roman" w:hint="default"/>
          <w:b/>
          <w:bCs/>
        </w:rPr>
        <w:t>”</w:t>
      </w:r>
      <w:r>
        <w:rPr>
          <w:rFonts w:ascii="宋体" w:hAnsi="宋体" w:cs="宋体" w:eastAsia="宋体" w:hint="default"/>
          <w:b/>
          <w:bCs/>
        </w:rPr>
        <w:t>债券仲裁</w:t>
      </w:r>
      <w:r>
        <w:rPr>
          <w:rFonts w:ascii="宋体" w:hAnsi="宋体" w:cs="宋体" w:eastAsia="宋体" w:hint="default"/>
          <w:b/>
          <w:bCs/>
          <w:w w:val="100"/>
        </w:rPr>
        <w:t> </w:t>
      </w:r>
      <w:r>
        <w:rPr/>
        <w:t>本公司以人民币</w:t>
      </w:r>
      <w:r>
        <w:rPr>
          <w:rFonts w:ascii="Times New Roman" w:hAnsi="Times New Roman" w:cs="Times New Roman" w:eastAsia="Times New Roman" w:hint="default"/>
        </w:rPr>
        <w:t>70,923,420.00</w:t>
      </w:r>
      <w:r>
        <w:rPr/>
        <w:t>元购买了由安徽蓝博旺机械集团下属三家企业作为联合发起人发行</w:t>
      </w:r>
      <w:r>
        <w:rPr>
          <w:spacing w:val="40"/>
        </w:rPr>
        <w:t> </w:t>
      </w:r>
      <w:r>
        <w:rPr>
          <w:spacing w:val="40"/>
        </w:rPr>
      </w:r>
      <w:r>
        <w:rPr>
          <w:spacing w:val="-4"/>
        </w:rPr>
        <w:t>的</w:t>
      </w:r>
      <w:r>
        <w:rPr>
          <w:rFonts w:ascii="Times New Roman" w:hAnsi="Times New Roman" w:cs="Times New Roman" w:eastAsia="Times New Roman" w:hint="default"/>
          <w:spacing w:val="-4"/>
        </w:rPr>
        <w:t>2012</w:t>
      </w:r>
      <w:r>
        <w:rPr>
          <w:spacing w:val="-4"/>
        </w:rPr>
        <w:t>中小企业集合私募债券（其中第一期债券</w:t>
      </w:r>
      <w:r>
        <w:rPr>
          <w:rFonts w:ascii="Times New Roman" w:hAnsi="Times New Roman" w:cs="Times New Roman" w:eastAsia="Times New Roman" w:hint="default"/>
          <w:spacing w:val="-4"/>
        </w:rPr>
        <w:t>“12</w:t>
      </w:r>
      <w:r>
        <w:rPr>
          <w:spacing w:val="-4"/>
        </w:rPr>
        <w:t>蓝博</w:t>
      </w:r>
      <w:r>
        <w:rPr>
          <w:rFonts w:ascii="Times New Roman" w:hAnsi="Times New Roman" w:cs="Times New Roman" w:eastAsia="Times New Roman" w:hint="default"/>
          <w:spacing w:val="-4"/>
        </w:rPr>
        <w:t>01”</w:t>
      </w:r>
      <w:r>
        <w:rPr>
          <w:spacing w:val="-4"/>
        </w:rPr>
        <w:t>面值</w:t>
      </w:r>
      <w:r>
        <w:rPr>
          <w:rFonts w:ascii="Times New Roman" w:hAnsi="Times New Roman" w:cs="Times New Roman" w:eastAsia="Times New Roman" w:hint="default"/>
          <w:spacing w:val="-4"/>
        </w:rPr>
        <w:t>2,400</w:t>
      </w:r>
      <w:r>
        <w:rPr>
          <w:spacing w:val="-4"/>
        </w:rPr>
        <w:t>万元、第二期债券</w:t>
      </w:r>
      <w:r>
        <w:rPr>
          <w:rFonts w:ascii="Times New Roman" w:hAnsi="Times New Roman" w:cs="Times New Roman" w:eastAsia="Times New Roman" w:hint="default"/>
          <w:spacing w:val="-4"/>
        </w:rPr>
        <w:t>“12</w:t>
      </w:r>
      <w:r>
        <w:rPr>
          <w:spacing w:val="-4"/>
        </w:rPr>
        <w:t>蓝博</w:t>
      </w:r>
      <w:r>
        <w:rPr>
          <w:rFonts w:ascii="Times New Roman" w:hAnsi="Times New Roman" w:cs="Times New Roman" w:eastAsia="Times New Roman" w:hint="default"/>
          <w:spacing w:val="-4"/>
        </w:rPr>
        <w:t>02”</w:t>
      </w:r>
      <w:r>
        <w:rPr>
          <w:rFonts w:ascii="Times New Roman" w:hAnsi="Times New Roman" w:cs="Times New Roman" w:eastAsia="Times New Roman" w:hint="default"/>
          <w:spacing w:val="-3"/>
        </w:rPr>
        <w:t> </w:t>
      </w:r>
      <w:r>
        <w:rPr>
          <w:spacing w:val="-1"/>
        </w:rPr>
        <w:t>面值</w:t>
      </w:r>
      <w:r>
        <w:rPr>
          <w:rFonts w:ascii="Times New Roman" w:hAnsi="Times New Roman" w:cs="Times New Roman" w:eastAsia="Times New Roman" w:hint="default"/>
          <w:spacing w:val="-1"/>
        </w:rPr>
        <w:t>4,500</w:t>
      </w:r>
      <w:r>
        <w:rPr>
          <w:spacing w:val="-1"/>
        </w:rPr>
        <w:t>万元），上述债券的债券票面年利率为</w:t>
      </w:r>
      <w:r>
        <w:rPr>
          <w:rFonts w:ascii="Times New Roman" w:hAnsi="Times New Roman" w:cs="Times New Roman" w:eastAsia="Times New Roman" w:hint="default"/>
          <w:spacing w:val="-1"/>
        </w:rPr>
        <w:t>9.8%</w:t>
      </w:r>
      <w:r>
        <w:rPr>
          <w:spacing w:val="-1"/>
        </w:rPr>
        <w:t>，按年付息，存续期为</w:t>
      </w:r>
      <w:r>
        <w:rPr>
          <w:rFonts w:ascii="Times New Roman" w:hAnsi="Times New Roman" w:cs="Times New Roman" w:eastAsia="Times New Roman" w:hint="default"/>
          <w:spacing w:val="-1"/>
        </w:rPr>
        <w:t>3</w:t>
      </w:r>
      <w:r>
        <w:rPr>
          <w:spacing w:val="-1"/>
        </w:rPr>
        <w:t>年（附第</w:t>
      </w:r>
      <w:r>
        <w:rPr>
          <w:rFonts w:ascii="Times New Roman" w:hAnsi="Times New Roman" w:cs="Times New Roman" w:eastAsia="Times New Roman" w:hint="default"/>
          <w:spacing w:val="-1"/>
        </w:rPr>
        <w:t>2</w:t>
      </w:r>
      <w:r>
        <w:rPr>
          <w:spacing w:val="-1"/>
        </w:rPr>
        <w:t>年末投资</w:t>
      </w:r>
    </w:p>
    <w:p>
      <w:pPr>
        <w:spacing w:after="0" w:line="256" w:lineRule="auto"/>
        <w:jc w:val="left"/>
        <w:sectPr>
          <w:pgSz w:w="11910" w:h="16840"/>
          <w:pgMar w:header="852" w:footer="979" w:top="1300" w:bottom="1160" w:left="980" w:right="980"/>
        </w:sectPr>
      </w:pPr>
    </w:p>
    <w:p>
      <w:pPr>
        <w:pStyle w:val="BodyText"/>
        <w:spacing w:line="264" w:lineRule="auto" w:before="108"/>
        <w:ind w:left="861" w:right="103"/>
        <w:jc w:val="left"/>
      </w:pPr>
      <w:r>
        <w:rPr>
          <w:spacing w:val="-3"/>
        </w:rPr>
        <w:t>者回售选择权）。</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w:t>
      </w:r>
      <w:r>
        <w:rPr>
          <w:spacing w:val="-3"/>
        </w:rPr>
        <w:t>月本公司分别对</w:t>
      </w:r>
      <w:r>
        <w:rPr>
          <w:rFonts w:ascii="Times New Roman" w:hAnsi="Times New Roman" w:cs="Times New Roman" w:eastAsia="Times New Roman" w:hint="default"/>
          <w:spacing w:val="-3"/>
        </w:rPr>
        <w:t>“12</w:t>
      </w:r>
      <w:r>
        <w:rPr>
          <w:spacing w:val="-3"/>
        </w:rPr>
        <w:t>蓝博</w:t>
      </w:r>
      <w:r>
        <w:rPr>
          <w:rFonts w:ascii="Times New Roman" w:hAnsi="Times New Roman" w:cs="Times New Roman" w:eastAsia="Times New Roman" w:hint="default"/>
          <w:spacing w:val="-3"/>
        </w:rPr>
        <w:t>01”</w:t>
      </w:r>
      <w:r>
        <w:rPr>
          <w:spacing w:val="-3"/>
        </w:rPr>
        <w:t>、</w:t>
      </w:r>
      <w:r>
        <w:rPr>
          <w:rFonts w:ascii="Times New Roman" w:hAnsi="Times New Roman" w:cs="Times New Roman" w:eastAsia="Times New Roman" w:hint="default"/>
          <w:spacing w:val="-3"/>
        </w:rPr>
        <w:t>“12</w:t>
      </w:r>
      <w:r>
        <w:rPr>
          <w:spacing w:val="-3"/>
        </w:rPr>
        <w:t>蓝博</w:t>
      </w:r>
      <w:r>
        <w:rPr>
          <w:rFonts w:ascii="Times New Roman" w:hAnsi="Times New Roman" w:cs="Times New Roman" w:eastAsia="Times New Roman" w:hint="default"/>
          <w:spacing w:val="-3"/>
        </w:rPr>
        <w:t>02”</w:t>
      </w:r>
      <w:r>
        <w:rPr>
          <w:spacing w:val="-3"/>
        </w:rPr>
        <w:t>行使回售选择权。因三家</w:t>
      </w:r>
      <w:r>
        <w:rPr>
          <w:spacing w:val="-15"/>
        </w:rPr>
        <w:t> </w:t>
      </w:r>
      <w:r>
        <w:rPr>
          <w:spacing w:val="-15"/>
        </w:rPr>
      </w:r>
      <w:r>
        <w:rPr>
          <w:spacing w:val="-4"/>
          <w:w w:val="100"/>
        </w:rPr>
        <w:t>联合发起人及担保公司未能支付上述债券的本金及利息，本公司向华南国际经济贸易仲裁委员会申</w:t>
      </w:r>
      <w:r>
        <w:rPr>
          <w:spacing w:val="-92"/>
          <w:w w:val="100"/>
        </w:rPr>
        <w:t> </w:t>
      </w:r>
      <w:r>
        <w:rPr>
          <w:spacing w:val="-92"/>
          <w:w w:val="100"/>
        </w:rPr>
      </w:r>
      <w:r>
        <w:rPr/>
        <w:t>请仲裁，仲裁庭于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日就本案进行庭前调解和开庭审理，但本次调解未能就相关债务清</w:t>
      </w:r>
      <w:r>
        <w:rPr>
          <w:w w:val="100"/>
        </w:rPr>
        <w:t> </w:t>
      </w:r>
      <w:r>
        <w:rPr>
          <w:spacing w:val="-2"/>
        </w:rPr>
        <w:t>偿、违约责任承担及担保责任承担达成一致意见。截至本财务报表批准日，本次仲裁尚在进行中。</w:t>
      </w:r>
      <w:r>
        <w:rPr>
          <w:spacing w:val="-27"/>
        </w:rPr>
        <w:t> </w:t>
      </w:r>
      <w:r>
        <w:rPr>
          <w:spacing w:val="-27"/>
        </w:rPr>
      </w: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日，本公司对上述债券成本</w:t>
      </w:r>
      <w:r>
        <w:rPr>
          <w:rFonts w:ascii="Times New Roman" w:hAnsi="Times New Roman" w:cs="Times New Roman" w:eastAsia="Times New Roman" w:hint="default"/>
          <w:spacing w:val="-3"/>
        </w:rPr>
        <w:t>70,923,420.00</w:t>
      </w:r>
      <w:r>
        <w:rPr>
          <w:spacing w:val="-3"/>
        </w:rPr>
        <w:t>元结转至其他应收款，并全额计提了减 </w:t>
      </w:r>
      <w:r>
        <w:rPr/>
        <w:t>值准备。</w:t>
      </w:r>
    </w:p>
    <w:p>
      <w:pPr>
        <w:pStyle w:val="BodyText"/>
        <w:spacing w:line="259" w:lineRule="auto" w:before="16"/>
        <w:ind w:left="861" w:right="103"/>
        <w:jc w:val="left"/>
      </w:pPr>
      <w:r>
        <w:rPr>
          <w:rFonts w:ascii="Times New Roman" w:hAnsi="Times New Roman" w:cs="Times New Roman" w:eastAsia="Times New Roman" w:hint="default"/>
          <w:b/>
          <w:bCs/>
        </w:rPr>
        <w:t>13</w:t>
      </w:r>
      <w:r>
        <w:rPr>
          <w:rFonts w:ascii="宋体" w:hAnsi="宋体" w:cs="宋体" w:eastAsia="宋体" w:hint="default"/>
          <w:b/>
          <w:bCs/>
        </w:rPr>
        <w:t>天威</w:t>
      </w:r>
      <w:r>
        <w:rPr>
          <w:rFonts w:ascii="Times New Roman" w:hAnsi="Times New Roman" w:cs="Times New Roman" w:eastAsia="Times New Roman" w:hint="default"/>
          <w:b/>
          <w:bCs/>
        </w:rPr>
        <w:t>PPN00</w:t>
      </w:r>
      <w:r>
        <w:rPr>
          <w:rFonts w:ascii="Times New Roman" w:hAnsi="Times New Roman" w:cs="Times New Roman" w:eastAsia="Times New Roman" w:hint="default"/>
          <w:b/>
          <w:bCs/>
        </w:rPr>
        <w:t>1”</w:t>
      </w:r>
      <w:r>
        <w:rPr>
          <w:rFonts w:ascii="宋体" w:hAnsi="宋体" w:cs="宋体" w:eastAsia="宋体" w:hint="default"/>
          <w:b/>
          <w:bCs/>
        </w:rPr>
        <w:t>债券仲裁</w:t>
      </w:r>
      <w:r>
        <w:rPr>
          <w:rFonts w:ascii="宋体" w:hAnsi="宋体" w:cs="宋体" w:eastAsia="宋体" w:hint="default"/>
          <w:b/>
          <w:bCs/>
          <w:w w:val="100"/>
        </w:rPr>
        <w:t> </w:t>
      </w:r>
      <w:r>
        <w:rPr/>
        <w:t>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月以人民币</w:t>
      </w:r>
      <w:r>
        <w:rPr>
          <w:rFonts w:ascii="Times New Roman" w:hAnsi="Times New Roman" w:cs="Times New Roman" w:eastAsia="Times New Roman" w:hint="default"/>
        </w:rPr>
        <w:t>59,702,000.00</w:t>
      </w:r>
      <w:r>
        <w:rPr/>
        <w:t>元购买天威集团发行的面值为</w:t>
      </w:r>
      <w:r>
        <w:rPr>
          <w:rFonts w:ascii="Times New Roman" w:hAnsi="Times New Roman" w:cs="Times New Roman" w:eastAsia="Times New Roman" w:hint="default"/>
        </w:rPr>
        <w:t>6,000</w:t>
      </w:r>
      <w:r>
        <w:rPr/>
        <w:t>万元的</w:t>
      </w:r>
      <w:r>
        <w:rPr>
          <w:rFonts w:ascii="Times New Roman" w:hAnsi="Times New Roman" w:cs="Times New Roman" w:eastAsia="Times New Roman" w:hint="default"/>
        </w:rPr>
        <w:t>2013</w:t>
      </w:r>
      <w:r>
        <w:rPr/>
        <w:t>年度第一</w:t>
      </w:r>
      <w:r>
        <w:rPr>
          <w:w w:val="100"/>
        </w:rPr>
        <w:t> </w:t>
      </w:r>
      <w:r>
        <w:rPr/>
        <w:t>期非公开定向债务融资工具（以下简称</w:t>
      </w:r>
      <w:r>
        <w:rPr>
          <w:rFonts w:ascii="Times New Roman" w:hAnsi="Times New Roman" w:cs="Times New Roman" w:eastAsia="Times New Roman" w:hint="default"/>
        </w:rPr>
        <w:t>“13</w:t>
      </w:r>
      <w:r>
        <w:rPr/>
        <w:t>天威</w:t>
      </w:r>
      <w:r>
        <w:rPr>
          <w:rFonts w:ascii="Times New Roman" w:hAnsi="Times New Roman" w:cs="Times New Roman" w:eastAsia="Times New Roman" w:hint="default"/>
        </w:rPr>
        <w:t>PPN001”</w:t>
      </w:r>
      <w:r>
        <w:rPr/>
        <w:t>），</w:t>
      </w:r>
      <w:r>
        <w:rPr>
          <w:rFonts w:ascii="Times New Roman" w:hAnsi="Times New Roman" w:cs="Times New Roman" w:eastAsia="Times New Roman" w:hint="default"/>
        </w:rPr>
        <w:t>“13</w:t>
      </w:r>
      <w:r>
        <w:rPr/>
        <w:t>天威</w:t>
      </w:r>
      <w:r>
        <w:rPr>
          <w:rFonts w:ascii="Times New Roman" w:hAnsi="Times New Roman" w:cs="Times New Roman" w:eastAsia="Times New Roman" w:hint="default"/>
        </w:rPr>
        <w:t>PPN001”</w:t>
      </w:r>
      <w:r>
        <w:rPr/>
        <w:t>存续期间，由于天威</w:t>
      </w:r>
      <w:r>
        <w:rPr>
          <w:spacing w:val="-95"/>
        </w:rPr>
        <w:t> </w:t>
      </w:r>
      <w:r>
        <w:rPr>
          <w:spacing w:val="-95"/>
        </w:rPr>
      </w:r>
      <w:r>
        <w:rPr>
          <w:spacing w:val="-3"/>
        </w:rPr>
        <w:t>集团财务状况出现严重恶化，偿债能力存在重大不确定性，</w:t>
      </w:r>
      <w:r>
        <w:rPr>
          <w:rFonts w:ascii="Times New Roman" w:hAnsi="Times New Roman" w:cs="Times New Roman" w:eastAsia="Times New Roman" w:hint="default"/>
          <w:spacing w:val="-3"/>
        </w:rPr>
        <w:t>“13</w:t>
      </w:r>
      <w:r>
        <w:rPr>
          <w:spacing w:val="-3"/>
        </w:rPr>
        <w:t>天威</w:t>
      </w:r>
      <w:r>
        <w:rPr>
          <w:rFonts w:ascii="Times New Roman" w:hAnsi="Times New Roman" w:cs="Times New Roman" w:eastAsia="Times New Roman" w:hint="default"/>
          <w:spacing w:val="-3"/>
        </w:rPr>
        <w:t>PPN001”</w:t>
      </w:r>
      <w:r>
        <w:rPr>
          <w:spacing w:val="-3"/>
        </w:rPr>
        <w:t>持有人会议于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42"/>
        </w:rPr>
        <w:t> </w:t>
      </w:r>
      <w:r>
        <w:rPr/>
        <w:t>月通过决议，宣布该债项于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日提前到期。因天威集团未能偿还其到期债务，各持有人</w:t>
      </w:r>
      <w:r>
        <w:rPr>
          <w:w w:val="100"/>
        </w:rPr>
        <w:t> </w:t>
      </w:r>
      <w:r>
        <w:rPr>
          <w:spacing w:val="-4"/>
        </w:rPr>
        <w:t>作为共同提起仲裁，中国国际经济贸易仲裁委员会于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31</w:t>
      </w:r>
      <w:r>
        <w:rPr>
          <w:spacing w:val="-4"/>
        </w:rPr>
        <w:t>日受理，截至本财务报表批准日，</w:t>
      </w:r>
      <w:r>
        <w:rPr>
          <w:spacing w:val="-25"/>
        </w:rPr>
        <w:t> </w:t>
      </w:r>
      <w:r>
        <w:rPr>
          <w:spacing w:val="-25"/>
        </w:rPr>
      </w:r>
      <w:r>
        <w:rPr/>
        <w:t>本次仲裁尚在进行中。</w:t>
      </w:r>
      <w:r>
        <w:rPr>
          <w:w w:val="100"/>
        </w:rPr>
        <w:t> </w:t>
      </w: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日，本公司对上述债券成本</w:t>
      </w:r>
      <w:r>
        <w:rPr>
          <w:rFonts w:ascii="Times New Roman" w:hAnsi="Times New Roman" w:cs="Times New Roman" w:eastAsia="Times New Roman" w:hint="default"/>
          <w:spacing w:val="-3"/>
        </w:rPr>
        <w:t>59,702,000.00</w:t>
      </w:r>
      <w:r>
        <w:rPr>
          <w:spacing w:val="-3"/>
        </w:rPr>
        <w:t>元结转至其他应收款，并全额计提了减</w:t>
      </w:r>
      <w:r>
        <w:rPr>
          <w:spacing w:val="-4"/>
        </w:rPr>
        <w:t> </w:t>
      </w:r>
      <w:r>
        <w:rPr>
          <w:spacing w:val="-4"/>
        </w:rPr>
      </w:r>
      <w:r>
        <w:rPr/>
        <w:t>值准备。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5"/>
        <w:spacing w:line="240" w:lineRule="auto"/>
        <w:ind w:right="10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4"/>
        <w:spacing w:line="240" w:lineRule="auto"/>
        <w:ind w:right="103"/>
        <w:jc w:val="left"/>
        <w:rPr>
          <w:b w:val="0"/>
          <w:bCs w:val="0"/>
        </w:rPr>
      </w:pPr>
      <w:r>
        <w:rPr/>
        <w:t>十四、资产负债表日后事项</w:t>
      </w:r>
      <w:r>
        <w:rPr>
          <w:b w:val="0"/>
          <w:bCs w:val="0"/>
        </w:rPr>
      </w:r>
    </w:p>
    <w:p>
      <w:pPr>
        <w:spacing w:line="240" w:lineRule="auto" w:before="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2" w:footer="979" w:top="1300" w:bottom="1160" w:left="980" w:right="920"/>
        </w:sectPr>
      </w:pPr>
    </w:p>
    <w:p>
      <w:pPr>
        <w:pStyle w:val="Heading5"/>
        <w:spacing w:line="240" w:lineRule="auto" w:before="36"/>
        <w:ind w:right="-17"/>
        <w:jc w:val="left"/>
        <w:rPr>
          <w:b w:val="0"/>
          <w:bCs w:val="0"/>
        </w:rPr>
      </w:pPr>
      <w:r>
        <w:rPr/>
        <w:t>利润分配情况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00" w:bottom="1160" w:left="980" w:right="920"/>
          <w:cols w:num="2" w:equalWidth="0">
            <w:col w:w="1421" w:space="7409"/>
            <w:col w:w="118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185,389,205.20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185,389,205.20</w:t>
            </w:r>
          </w:p>
        </w:tc>
      </w:tr>
    </w:tbl>
    <w:p>
      <w:pPr>
        <w:spacing w:line="240" w:lineRule="auto" w:before="1"/>
        <w:rPr>
          <w:rFonts w:ascii="宋体" w:hAnsi="宋体" w:cs="宋体" w:eastAsia="宋体" w:hint="default"/>
          <w:sz w:val="18"/>
          <w:szCs w:val="18"/>
        </w:rPr>
      </w:pPr>
    </w:p>
    <w:p>
      <w:pPr>
        <w:pStyle w:val="Heading4"/>
        <w:spacing w:line="240" w:lineRule="auto" w:before="26"/>
        <w:ind w:right="103"/>
        <w:jc w:val="left"/>
        <w:rPr>
          <w:b w:val="0"/>
          <w:bCs w:val="0"/>
        </w:rPr>
      </w:pPr>
      <w:r>
        <w:rPr/>
        <w:t>十五、其他重要事项</w:t>
      </w:r>
      <w:r>
        <w:rPr>
          <w:b w:val="0"/>
          <w:bCs w:val="0"/>
        </w:rPr>
      </w:r>
    </w:p>
    <w:p>
      <w:pPr>
        <w:spacing w:line="240" w:lineRule="auto" w:before="9"/>
        <w:rPr>
          <w:rFonts w:ascii="宋体" w:hAnsi="宋体" w:cs="宋体" w:eastAsia="宋体" w:hint="default"/>
          <w:b/>
          <w:bCs/>
          <w:sz w:val="24"/>
          <w:szCs w:val="24"/>
        </w:rPr>
      </w:pPr>
    </w:p>
    <w:p>
      <w:pPr>
        <w:pStyle w:val="BodyText"/>
        <w:spacing w:line="268" w:lineRule="auto"/>
        <w:ind w:left="909" w:right="103"/>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非公开发行股份募集配套资金的说明</w:t>
      </w:r>
      <w:r>
        <w:rPr>
          <w:rFonts w:ascii="宋体" w:hAnsi="宋体" w:cs="宋体" w:eastAsia="宋体" w:hint="default"/>
          <w:b/>
          <w:bCs/>
          <w:spacing w:val="-104"/>
        </w:rPr>
        <w:t> </w:t>
      </w:r>
      <w:r>
        <w:rPr>
          <w:rFonts w:ascii="宋体" w:hAnsi="宋体" w:cs="宋体" w:eastAsia="宋体" w:hint="default"/>
          <w:b/>
          <w:bCs/>
          <w:spacing w:val="-104"/>
        </w:rPr>
      </w:r>
      <w:r>
        <w:rPr/>
        <w:t>根据中国证券监督管理委员会证监许可</w:t>
      </w:r>
      <w:r>
        <w:rPr>
          <w:rFonts w:ascii="宋体" w:hAnsi="宋体" w:cs="宋体" w:eastAsia="宋体" w:hint="default"/>
        </w:rPr>
        <w:t>[2015]2810</w:t>
      </w:r>
      <w:r>
        <w:rPr/>
        <w:t>号文，核准本公司非公开发行股份募集配套资</w:t>
      </w:r>
      <w:r>
        <w:rPr>
          <w:spacing w:val="-48"/>
        </w:rPr>
        <w:t> </w:t>
      </w:r>
      <w:r>
        <w:rPr>
          <w:spacing w:val="-48"/>
        </w:rPr>
      </w:r>
      <w:r>
        <w:rPr>
          <w:spacing w:val="-3"/>
        </w:rPr>
        <w:t>金不超过</w:t>
      </w:r>
      <w:r>
        <w:rPr>
          <w:rFonts w:ascii="宋体" w:hAnsi="宋体" w:cs="宋体" w:eastAsia="宋体" w:hint="default"/>
          <w:spacing w:val="-3"/>
        </w:rPr>
        <w:t>400,000.0</w:t>
      </w:r>
      <w:r>
        <w:rPr>
          <w:spacing w:val="-3"/>
        </w:rPr>
        <w:t>万元，截至本财务报告日，本公司尚未完成非公开发行股份募集配套资金，证</w:t>
      </w:r>
      <w:r>
        <w:rPr>
          <w:spacing w:val="-13"/>
        </w:rPr>
        <w:t> </w:t>
      </w:r>
      <w:r>
        <w:rPr>
          <w:spacing w:val="-13"/>
        </w:rPr>
      </w:r>
      <w:r>
        <w:rPr/>
        <w:t>监许可</w:t>
      </w:r>
      <w:r>
        <w:rPr>
          <w:rFonts w:ascii="宋体" w:hAnsi="宋体" w:cs="宋体" w:eastAsia="宋体" w:hint="default"/>
        </w:rPr>
        <w:t>[2015]2810</w:t>
      </w:r>
      <w:r>
        <w:rPr/>
        <w:t>号文自下发之日起</w:t>
      </w:r>
      <w:r>
        <w:rPr>
          <w:rFonts w:ascii="宋体" w:hAnsi="宋体" w:cs="宋体" w:eastAsia="宋体" w:hint="default"/>
        </w:rPr>
        <w:t>12</w:t>
      </w:r>
      <w:r>
        <w:rPr/>
        <w:t>个月内有效。</w:t>
      </w:r>
    </w:p>
    <w:p>
      <w:pPr>
        <w:spacing w:line="273" w:lineRule="auto" w:before="12"/>
        <w:ind w:left="909" w:right="103" w:firstLine="0"/>
        <w:jc w:val="left"/>
        <w:rPr>
          <w:rFonts w:ascii="宋体" w:hAnsi="宋体" w:cs="宋体" w:eastAsia="宋体" w:hint="default"/>
          <w:sz w:val="21"/>
          <w:szCs w:val="21"/>
        </w:rPr>
      </w:pPr>
      <w:r>
        <w:rPr>
          <w:rFonts w:ascii="宋体" w:hAnsi="宋体" w:cs="宋体" w:eastAsia="宋体" w:hint="default"/>
          <w:b/>
          <w:bCs/>
          <w:sz w:val="21"/>
          <w:szCs w:val="21"/>
        </w:rPr>
        <w:t>（二）宇通集团对本公司不可撤销地作出如下承诺：</w:t>
      </w:r>
      <w:r>
        <w:rPr>
          <w:rFonts w:ascii="宋体" w:hAnsi="宋体" w:cs="宋体" w:eastAsia="宋体" w:hint="default"/>
          <w:b/>
          <w:bCs/>
          <w:w w:val="100"/>
          <w:sz w:val="21"/>
          <w:szCs w:val="21"/>
        </w:rPr>
        <w:t> </w:t>
      </w:r>
      <w:r>
        <w:rPr>
          <w:rFonts w:ascii="宋体" w:hAnsi="宋体" w:cs="宋体" w:eastAsia="宋体" w:hint="default"/>
          <w:spacing w:val="8"/>
          <w:sz w:val="21"/>
          <w:szCs w:val="21"/>
        </w:rPr>
        <w:t>1.</w:t>
      </w:r>
      <w:r>
        <w:rPr>
          <w:rFonts w:ascii="宋体" w:hAnsi="宋体" w:cs="宋体" w:eastAsia="宋体" w:hint="default"/>
          <w:spacing w:val="8"/>
          <w:sz w:val="21"/>
          <w:szCs w:val="21"/>
        </w:rPr>
        <w:t>如果安徽蓝博旺机械集团合诚机械有限公司等七个主体向同信证券偿还的金额不足人民币</w:t>
      </w:r>
    </w:p>
    <w:p>
      <w:pPr>
        <w:pStyle w:val="BodyText"/>
        <w:spacing w:line="273" w:lineRule="auto" w:before="7"/>
        <w:ind w:left="909" w:right="103"/>
        <w:jc w:val="left"/>
      </w:pPr>
      <w:r>
        <w:rPr>
          <w:rFonts w:ascii="宋体" w:hAnsi="宋体" w:cs="宋体" w:eastAsia="宋体" w:hint="default"/>
          <w:spacing w:val="-2"/>
        </w:rPr>
        <w:t>21,277,026.00</w:t>
      </w:r>
      <w:r>
        <w:rPr>
          <w:spacing w:val="-2"/>
        </w:rPr>
        <w:t>元（即截至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日该等债券在同信证券账上体现的账面价值）的，宇通集</w:t>
      </w:r>
      <w:r>
        <w:rPr>
          <w:spacing w:val="-49"/>
        </w:rPr>
        <w:t> </w:t>
      </w:r>
      <w:r>
        <w:rPr>
          <w:spacing w:val="-49"/>
        </w:rPr>
      </w:r>
      <w:r>
        <w:rPr/>
        <w:t>团将在收到东方财富书面付款通知之日起</w:t>
      </w:r>
      <w:r>
        <w:rPr>
          <w:rFonts w:ascii="宋体" w:hAnsi="宋体" w:cs="宋体" w:eastAsia="宋体" w:hint="default"/>
        </w:rPr>
        <w:t>10</w:t>
      </w:r>
      <w:r>
        <w:rPr/>
        <w:t>个工作日内，以现金方式向同信证券足额补偿该等债</w:t>
      </w:r>
      <w:r>
        <w:rPr>
          <w:spacing w:val="-39"/>
        </w:rPr>
        <w:t> </w:t>
      </w:r>
      <w:r>
        <w:rPr>
          <w:spacing w:val="-39"/>
        </w:rPr>
      </w:r>
      <w:r>
        <w:rPr/>
        <w:t>券实际偿还金额与人民币</w:t>
      </w:r>
      <w:r>
        <w:rPr>
          <w:rFonts w:ascii="宋体" w:hAnsi="宋体" w:cs="宋体" w:eastAsia="宋体" w:hint="default"/>
        </w:rPr>
        <w:t>21,277,026.00</w:t>
      </w:r>
      <w:r>
        <w:rPr/>
        <w:t>元之间的差额以及与该仲裁事项相关的仲裁费用。</w:t>
      </w:r>
      <w:r>
        <w:rPr>
          <w:w w:val="100"/>
        </w:rPr>
        <w:t> </w:t>
      </w:r>
      <w:r>
        <w:rPr>
          <w:rFonts w:ascii="宋体" w:hAnsi="宋体" w:cs="宋体" w:eastAsia="宋体" w:hint="default"/>
        </w:rPr>
        <w:t>2.</w:t>
      </w:r>
      <w:r>
        <w:rPr/>
        <w:t>对于同信证券以自有资金购买的天威集团定向工具，相关仲裁完成后，如果天威集团就该部分</w:t>
      </w:r>
      <w:r>
        <w:rPr>
          <w:spacing w:val="-42"/>
        </w:rPr>
        <w:t> </w:t>
      </w:r>
      <w:r>
        <w:rPr>
          <w:spacing w:val="-42"/>
        </w:rPr>
      </w:r>
      <w:r>
        <w:rPr>
          <w:spacing w:val="-2"/>
        </w:rPr>
        <w:t>天威集团定向工具向同信证券偿还的金额不足人民币</w:t>
      </w:r>
      <w:r>
        <w:rPr>
          <w:rFonts w:ascii="宋体" w:hAnsi="宋体" w:cs="宋体" w:eastAsia="宋体" w:hint="default"/>
          <w:spacing w:val="-2"/>
        </w:rPr>
        <w:t>58,559,940.00</w:t>
      </w:r>
      <w:r>
        <w:rPr>
          <w:spacing w:val="-2"/>
        </w:rPr>
        <w:t>元（即截至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日天</w:t>
      </w:r>
      <w:r>
        <w:rPr>
          <w:spacing w:val="-49"/>
        </w:rPr>
        <w:t> </w:t>
      </w:r>
      <w:r>
        <w:rPr/>
        <w:t>威集团定向工具账面价值及应收利息合计金额），宇通集团将在收到东方财富书面付款通知之日</w:t>
      </w:r>
      <w:r>
        <w:rPr>
          <w:spacing w:val="-41"/>
        </w:rPr>
        <w:t> </w:t>
      </w:r>
      <w:r>
        <w:rPr>
          <w:spacing w:val="-41"/>
        </w:rPr>
      </w:r>
      <w:r>
        <w:rPr/>
        <w:t>起</w:t>
      </w:r>
      <w:r>
        <w:rPr>
          <w:rFonts w:ascii="宋体" w:hAnsi="宋体" w:cs="宋体" w:eastAsia="宋体" w:hint="default"/>
        </w:rPr>
        <w:t>10</w:t>
      </w:r>
      <w:r>
        <w:rPr/>
        <w:t>个工作日内，以现金方式向同信证券足额补偿该等天威集团定向工具实际偿还金额与人民币</w:t>
      </w:r>
      <w:r>
        <w:rPr>
          <w:spacing w:val="-42"/>
        </w:rPr>
        <w:t> </w:t>
      </w:r>
      <w:r>
        <w:rPr>
          <w:spacing w:val="-42"/>
        </w:rPr>
      </w:r>
      <w:r>
        <w:rPr>
          <w:rFonts w:ascii="宋体" w:hAnsi="宋体" w:cs="宋体" w:eastAsia="宋体" w:hint="default"/>
        </w:rPr>
        <w:t>58,559,940.00</w:t>
      </w:r>
      <w:r>
        <w:rPr/>
        <w:t>元之间的差额，以及同信证券承担的与该仲裁事项相关的仲裁费用。</w:t>
      </w:r>
    </w:p>
    <w:p>
      <w:pPr>
        <w:spacing w:after="0" w:line="273" w:lineRule="auto"/>
        <w:jc w:val="left"/>
        <w:sectPr>
          <w:type w:val="continuous"/>
          <w:pgSz w:w="11910" w:h="16840"/>
          <w:pgMar w:top="1300" w:bottom="1160" w:left="980" w:right="920"/>
        </w:sectPr>
      </w:pPr>
    </w:p>
    <w:p>
      <w:pPr>
        <w:pStyle w:val="BodyText"/>
        <w:spacing w:line="271" w:lineRule="auto" w:before="108"/>
        <w:ind w:left="909" w:right="238"/>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国泰君安东睿富盈基金业务情况说明：</w:t>
      </w:r>
      <w:r>
        <w:rPr>
          <w:rFonts w:ascii="宋体" w:hAnsi="宋体" w:cs="宋体" w:eastAsia="宋体" w:hint="default"/>
          <w:b/>
          <w:bCs/>
          <w:spacing w:val="-104"/>
        </w:rPr>
        <w:t> </w:t>
      </w:r>
      <w:r>
        <w:rPr>
          <w:rFonts w:ascii="宋体" w:hAnsi="宋体" w:cs="宋体" w:eastAsia="宋体" w:hint="default"/>
          <w:b/>
          <w:bCs/>
          <w:spacing w:val="-104"/>
        </w:rPr>
      </w:r>
      <w:r>
        <w:rPr/>
        <w:t>上海东睿资产管理有限公司（以下简称“东睿资产”）是在中国证券基金业协会（以下简称“基</w:t>
      </w:r>
      <w:r>
        <w:rPr>
          <w:spacing w:val="-41"/>
        </w:rPr>
        <w:t> </w:t>
      </w:r>
      <w:r>
        <w:rPr>
          <w:spacing w:val="-41"/>
        </w:rPr>
      </w:r>
      <w:r>
        <w:rPr/>
        <w:t>金业协会”）备案的私募基金管理人（备案号：</w:t>
      </w:r>
      <w:r>
        <w:rPr>
          <w:rFonts w:ascii="宋体" w:hAnsi="宋体" w:cs="宋体" w:eastAsia="宋体" w:hint="default"/>
        </w:rPr>
        <w:t>P1012887</w:t>
      </w:r>
      <w:r>
        <w:rPr/>
        <w:t>）。国泰君安东睿富盈基金是东睿资产</w:t>
      </w:r>
      <w:r>
        <w:rPr>
          <w:spacing w:val="-43"/>
        </w:rPr>
        <w:t> </w:t>
      </w:r>
      <w:r>
        <w:rPr>
          <w:spacing w:val="-43"/>
        </w:rPr>
      </w:r>
      <w:r>
        <w:rPr/>
        <w:t>发行并担任管理人的私募契约式基金并在基金业协会备案（基金编号：</w:t>
      </w:r>
      <w:r>
        <w:rPr>
          <w:rFonts w:ascii="宋体" w:hAnsi="宋体" w:cs="宋体" w:eastAsia="宋体" w:hint="default"/>
        </w:rPr>
        <w:t>S60212</w:t>
      </w:r>
      <w:r>
        <w:rPr/>
        <w:t>）。天天基金以自</w:t>
      </w:r>
      <w:r>
        <w:rPr>
          <w:spacing w:val="-42"/>
        </w:rPr>
        <w:t> </w:t>
      </w:r>
      <w:r>
        <w:rPr>
          <w:spacing w:val="-42"/>
        </w:rPr>
      </w:r>
      <w:r>
        <w:rPr/>
        <w:t>有资金认购该基金，作为该基金的单一投资人，并委托东睿资产作为国泰君安东睿富盈基金的管</w:t>
      </w:r>
      <w:r>
        <w:rPr>
          <w:spacing w:val="-38"/>
        </w:rPr>
        <w:t> </w:t>
      </w:r>
      <w:r>
        <w:rPr>
          <w:spacing w:val="-38"/>
        </w:rPr>
      </w:r>
      <w:r>
        <w:rPr/>
        <w:t>理人，本财务报告将国泰君安东睿富盈基金纳入合并财务报表范围。</w:t>
      </w:r>
      <w:r>
        <w:rPr>
          <w:w w:val="100"/>
        </w:rPr>
        <w:t> </w:t>
      </w:r>
      <w:r>
        <w:rPr/>
        <w:t>本期国泰君安东睿富盈基金开展资产收益权转让业务，将国泰君安东睿富盈基金持有的金融资产</w:t>
      </w:r>
      <w:r>
        <w:rPr>
          <w:spacing w:val="-41"/>
        </w:rPr>
        <w:t> </w:t>
      </w:r>
      <w:r>
        <w:rPr>
          <w:spacing w:val="-41"/>
        </w:rPr>
      </w:r>
      <w:r>
        <w:rPr/>
        <w:t>收益权通过本公司网站平台“中财所”进行转让，根据《资产收益权转让协议》，金融资产收益</w:t>
      </w:r>
      <w:r>
        <w:rPr>
          <w:spacing w:val="-40"/>
        </w:rPr>
        <w:t> </w:t>
      </w:r>
      <w:r>
        <w:rPr>
          <w:spacing w:val="-40"/>
        </w:rPr>
      </w:r>
      <w:r>
        <w:rPr/>
        <w:t>权转让后国泰君安东睿富盈基金负有资产收益权范围内向受让方履行转付义务的责任，但不负有</w:t>
      </w:r>
      <w:r>
        <w:rPr>
          <w:spacing w:val="-40"/>
        </w:rPr>
        <w:t> </w:t>
      </w:r>
      <w:r>
        <w:rPr>
          <w:spacing w:val="-40"/>
        </w:rPr>
      </w:r>
      <w:r>
        <w:rPr/>
        <w:t>金融资产发生损失及未达预期收益的担保责任，也不负有补足差额的义务。根据《企业会计准则</w:t>
      </w:r>
      <w:r>
        <w:rPr>
          <w:spacing w:val="-41"/>
        </w:rPr>
        <w:t> </w:t>
      </w:r>
      <w:r>
        <w:rPr>
          <w:spacing w:val="-41"/>
        </w:rPr>
      </w:r>
      <w:r>
        <w:rPr/>
        <w:t>第</w:t>
      </w:r>
      <w:r>
        <w:rPr>
          <w:spacing w:val="31"/>
        </w:rPr>
        <w:t> </w:t>
      </w:r>
      <w:r>
        <w:rPr>
          <w:rFonts w:ascii="宋体" w:hAnsi="宋体" w:cs="宋体" w:eastAsia="宋体" w:hint="default"/>
        </w:rPr>
        <w:t>23</w:t>
      </w:r>
      <w:r>
        <w:rPr>
          <w:rFonts w:ascii="宋体" w:hAnsi="宋体" w:cs="宋体" w:eastAsia="宋体" w:hint="default"/>
          <w:spacing w:val="28"/>
        </w:rPr>
        <w:t> </w:t>
      </w:r>
      <w:r>
        <w:rPr/>
        <w:t>号—金融资产转移》，该等收益权转让的金融资产和金融负债符合终止确认条件，因此本</w:t>
      </w:r>
      <w:r>
        <w:rPr>
          <w:spacing w:val="-102"/>
        </w:rPr>
        <w:t> </w:t>
      </w:r>
      <w:r>
        <w:rPr>
          <w:spacing w:val="-102"/>
        </w:rPr>
      </w:r>
      <w:r>
        <w:rPr/>
        <w:t>公司财务报表终止确认相关资产和负债，本期终止确认的资产和负债情况如下：</w:t>
      </w:r>
    </w:p>
    <w:p>
      <w:pPr>
        <w:pStyle w:val="BodyText"/>
        <w:spacing w:line="240" w:lineRule="auto" w:before="51"/>
        <w:ind w:left="0" w:right="399"/>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731" w:type="dxa"/>
        <w:tblLayout w:type="fixed"/>
        <w:tblCellMar>
          <w:top w:w="0" w:type="dxa"/>
          <w:left w:w="0" w:type="dxa"/>
          <w:bottom w:w="0" w:type="dxa"/>
          <w:right w:w="0" w:type="dxa"/>
        </w:tblCellMar>
        <w:tblLook w:val="01E0"/>
      </w:tblPr>
      <w:tblGrid>
        <w:gridCol w:w="3521"/>
        <w:gridCol w:w="1421"/>
        <w:gridCol w:w="1274"/>
        <w:gridCol w:w="1414"/>
        <w:gridCol w:w="1524"/>
      </w:tblGrid>
      <w:tr>
        <w:trPr>
          <w:trHeight w:val="900" w:hRule="exact"/>
        </w:trPr>
        <w:tc>
          <w:tcPr>
            <w:tcW w:w="352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12" w:space="0" w:color="000000"/>
              <w:left w:val="dotted" w:sz="4" w:space="0" w:color="000000"/>
              <w:bottom w:val="dotted" w:sz="4" w:space="0" w:color="000000"/>
              <w:right w:val="dotted" w:sz="4" w:space="0" w:color="000000"/>
            </w:tcBorders>
          </w:tcPr>
          <w:p>
            <w:pPr>
              <w:pStyle w:val="TableParagraph"/>
              <w:spacing w:line="400" w:lineRule="atLeast" w:before="14"/>
              <w:ind w:left="347" w:right="161" w:hanging="180"/>
              <w:jc w:val="left"/>
              <w:rPr>
                <w:rFonts w:ascii="宋体" w:hAnsi="宋体" w:cs="宋体" w:eastAsia="宋体" w:hint="default"/>
                <w:sz w:val="18"/>
                <w:szCs w:val="18"/>
              </w:rPr>
            </w:pPr>
            <w:r>
              <w:rPr>
                <w:rFonts w:ascii="宋体" w:hAnsi="宋体" w:cs="宋体" w:eastAsia="宋体" w:hint="default"/>
                <w:sz w:val="18"/>
                <w:szCs w:val="18"/>
              </w:rPr>
              <w:t>终止确认金融 资产金额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400" w:lineRule="atLeast" w:before="14"/>
              <w:ind w:left="184" w:right="179"/>
              <w:jc w:val="left"/>
              <w:rPr>
                <w:rFonts w:ascii="宋体" w:hAnsi="宋体" w:cs="宋体" w:eastAsia="宋体" w:hint="default"/>
                <w:sz w:val="18"/>
                <w:szCs w:val="18"/>
              </w:rPr>
            </w:pPr>
            <w:r>
              <w:rPr>
                <w:rFonts w:ascii="宋体" w:hAnsi="宋体" w:cs="宋体" w:eastAsia="宋体" w:hint="default"/>
                <w:sz w:val="18"/>
                <w:szCs w:val="18"/>
              </w:rPr>
              <w:t>终止确认金 融负债金额</w:t>
            </w:r>
          </w:p>
        </w:tc>
        <w:tc>
          <w:tcPr>
            <w:tcW w:w="1414" w:type="dxa"/>
            <w:tcBorders>
              <w:top w:val="single" w:sz="12" w:space="0" w:color="000000"/>
              <w:left w:val="dotted" w:sz="4" w:space="0" w:color="000000"/>
              <w:bottom w:val="dotted" w:sz="4" w:space="0" w:color="000000"/>
              <w:right w:val="dotted" w:sz="4" w:space="0" w:color="000000"/>
            </w:tcBorders>
          </w:tcPr>
          <w:p>
            <w:pPr>
              <w:pStyle w:val="TableParagraph"/>
              <w:spacing w:line="400" w:lineRule="atLeast" w:before="14"/>
              <w:ind w:left="434" w:right="159" w:hanging="272"/>
              <w:jc w:val="left"/>
              <w:rPr>
                <w:rFonts w:ascii="宋体" w:hAnsi="宋体" w:cs="宋体" w:eastAsia="宋体" w:hint="default"/>
                <w:sz w:val="18"/>
                <w:szCs w:val="18"/>
              </w:rPr>
            </w:pPr>
            <w:r>
              <w:rPr>
                <w:rFonts w:ascii="宋体" w:hAnsi="宋体" w:cs="宋体" w:eastAsia="宋体" w:hint="default"/>
                <w:sz w:val="18"/>
                <w:szCs w:val="18"/>
              </w:rPr>
              <w:t>金融资产转移 的方式</w:t>
            </w:r>
          </w:p>
        </w:tc>
        <w:tc>
          <w:tcPr>
            <w:tcW w:w="1524" w:type="dxa"/>
            <w:tcBorders>
              <w:top w:val="single" w:sz="12" w:space="0" w:color="000000"/>
              <w:left w:val="dotted" w:sz="4" w:space="0" w:color="000000"/>
              <w:bottom w:val="dotted" w:sz="4" w:space="0" w:color="000000"/>
              <w:right w:val="nil" w:sz="6" w:space="0" w:color="auto"/>
            </w:tcBorders>
          </w:tcPr>
          <w:p>
            <w:pPr>
              <w:pStyle w:val="TableParagraph"/>
              <w:spacing w:line="400" w:lineRule="atLeast" w:before="14"/>
              <w:ind w:left="215" w:right="130" w:hanging="89"/>
              <w:jc w:val="left"/>
              <w:rPr>
                <w:rFonts w:ascii="宋体" w:hAnsi="宋体" w:cs="宋体" w:eastAsia="宋体" w:hint="default"/>
                <w:sz w:val="18"/>
                <w:szCs w:val="18"/>
              </w:rPr>
            </w:pPr>
            <w:r>
              <w:rPr>
                <w:rFonts w:ascii="宋体" w:hAnsi="宋体" w:cs="宋体" w:eastAsia="宋体" w:hint="default"/>
                <w:sz w:val="18"/>
                <w:szCs w:val="18"/>
              </w:rPr>
              <w:t>与终止确认相关 的利得或损失</w:t>
            </w:r>
          </w:p>
        </w:tc>
      </w:tr>
      <w:tr>
        <w:trPr>
          <w:trHeight w:val="502" w:hRule="exact"/>
        </w:trPr>
        <w:tc>
          <w:tcPr>
            <w:tcW w:w="35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终止确认的金融资产和金融负债总额</w:t>
            </w: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1,506,060,000</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1,506,060,000</w:t>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收益权转让</w:t>
            </w:r>
          </w:p>
        </w:tc>
        <w:tc>
          <w:tcPr>
            <w:tcW w:w="15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26"/>
        <w:ind w:right="0"/>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2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862"/>
        <w:gridCol w:w="763"/>
        <w:gridCol w:w="790"/>
        <w:gridCol w:w="655"/>
        <w:gridCol w:w="761"/>
        <w:gridCol w:w="814"/>
        <w:gridCol w:w="931"/>
        <w:gridCol w:w="934"/>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9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4"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625"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8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0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4"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2,067,31</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4,802.76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8,682,295.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0.42%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2,058,632</w:t>
            </w:r>
          </w:p>
          <w:p>
            <w:pPr>
              <w:pStyle w:val="TableParagraph"/>
              <w:spacing w:line="240" w:lineRule="auto" w:before="103"/>
              <w:ind w:left="192" w:right="0"/>
              <w:jc w:val="center"/>
              <w:rPr>
                <w:rFonts w:ascii="Times New Roman" w:hAnsi="Times New Roman" w:cs="Times New Roman" w:eastAsia="Times New Roman" w:hint="default"/>
                <w:sz w:val="18"/>
                <w:szCs w:val="18"/>
              </w:rPr>
            </w:pPr>
            <w:r>
              <w:rPr>
                <w:rFonts w:ascii="Times New Roman"/>
                <w:sz w:val="18"/>
              </w:rPr>
              <w:t>,507.21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363,101</w:t>
            </w:r>
          </w:p>
          <w:p>
            <w:pPr>
              <w:pStyle w:val="TableParagraph"/>
              <w:spacing w:line="240" w:lineRule="auto" w:before="103"/>
              <w:ind w:left="81" w:right="0"/>
              <w:jc w:val="left"/>
              <w:rPr>
                <w:rFonts w:ascii="Times New Roman" w:hAnsi="Times New Roman" w:cs="Times New Roman" w:eastAsia="Times New Roman" w:hint="default"/>
                <w:sz w:val="18"/>
                <w:szCs w:val="18"/>
              </w:rPr>
            </w:pPr>
            <w:r>
              <w:rPr>
                <w:rFonts w:ascii="Times New Roman"/>
                <w:sz w:val="18"/>
              </w:rPr>
              <w:t>,176.32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5,517,503</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1.52%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357,583,67</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2.63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2,067,31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4,802.76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8,682,295.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0.42%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2,058,632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,507.21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363,101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,176.32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5,517,503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1.52%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357,583,67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2.63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52" w:footer="979" w:top="1300" w:bottom="1160" w:left="980" w:right="880"/>
        </w:sectPr>
      </w:pPr>
    </w:p>
    <w:p>
      <w:pPr>
        <w:spacing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00" w:bottom="1160" w:left="980" w:right="880"/>
          <w:cols w:num="2" w:equalWidth="0">
            <w:col w:w="4114" w:space="4715"/>
            <w:col w:w="1221"/>
          </w:cols>
        </w:sectPr>
      </w:pP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2483;top:14;width:2;height:394" coordorigin="2483,14" coordsize="2,394">
              <v:shape style="position:absolute;left:2483;top:14;width:2;height:394" coordorigin="2483,14" coordsize="0,394" path="m2483,14l2483,408e" filled="false" stroked="true" strokeweight="1.104pt" strokecolor="#d2d2d2">
                <v:path arrowok="t"/>
              </v:shape>
            </v:group>
            <v:group style="position:absolute;left:34;top:14;width:2439;height:394" coordorigin="34,14" coordsize="2439,394">
              <v:shape style="position:absolute;left:34;top:14;width:2439;height:394" coordorigin="34,14" coordsize="2439,394" path="m34,408l2472,408,2472,14,34,14,34,408xe" filled="true" fillcolor="#d2d2d2" stroked="false">
                <v:path arrowok="t"/>
                <v:fill type="solid"/>
              </v:shape>
            </v:group>
            <v:group style="position:absolute;left:2516;top:14;width:2;height:394" coordorigin="2516,14" coordsize="2,394">
              <v:shape style="position:absolute;left:2516;top:14;width:2;height:394" coordorigin="2516,14" coordsize="0,394" path="m2516,14l2516,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2528;top:14;width:7019;height:394" coordorigin="2528,14" coordsize="7019,394">
              <v:shape style="position:absolute;left:2528;top:14;width:7019;height:394" coordorigin="2528,14" coordsize="7019,394" path="m2528,408l9547,408,9547,14,2528,14,2528,408xe" filled="true" fillcolor="#d2d2d2" stroked="false">
                <v:path arrowok="t"/>
                <v:fill type="solid"/>
              </v:shape>
            </v:group>
            <v:group style="position:absolute;left:10;top:10;width:2485;height:2" coordorigin="10,10" coordsize="2485,2">
              <v:shape style="position:absolute;left:10;top:10;width:2485;height:2" coordorigin="10,10" coordsize="2485,0" path="m10,10l2495,10e" filled="false" stroked="true" strokeweight=".47998pt" strokecolor="#000000">
                <v:path arrowok="t"/>
              </v:shape>
            </v:group>
            <v:group style="position:absolute;left:2504;top:10;width:7067;height:2" coordorigin="2504,10" coordsize="7067,2">
              <v:shape style="position:absolute;left:2504;top:10;width:7067;height:2" coordorigin="2504,10" coordsize="7067,0" path="m250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2485;height:2" coordorigin="10,413" coordsize="2485,2">
              <v:shape style="position:absolute;left:10;top:413;width:2485;height:2" coordorigin="10,413" coordsize="2485,0" path="m10,413l2495,413e" filled="false" stroked="true" strokeweight=".47998pt" strokecolor="#000000">
                <v:path arrowok="t"/>
              </v:shape>
            </v:group>
            <v:group style="position:absolute;left:2499;top:5;width:2;height:413" coordorigin="2499,5" coordsize="2,413">
              <v:shape style="position:absolute;left:2499;top:5;width:2;height:413" coordorigin="2499,5" coordsize="0,413" path="m2499,5l2499,418e" filled="false" stroked="true" strokeweight=".48pt" strokecolor="#000000">
                <v:path arrowok="t"/>
              </v:shape>
            </v:group>
            <v:group style="position:absolute;left:2504;top:413;width:7067;height:2" coordorigin="2504,413" coordsize="7067,2">
              <v:shape style="position:absolute;left:2504;top:413;width:7067;height:2" coordorigin="2504,413" coordsize="7067,0" path="m250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2494;height:404"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77;top:11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type w:val="continuous"/>
          <w:pgSz w:w="11910" w:h="16840"/>
          <w:pgMar w:top="1300" w:bottom="1160" w:left="980" w:right="88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28,809,541.39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1,440,477.07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28,809,541.39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1,440,477.07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5,812,431.00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1,743,729.30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2,032,610.00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1,016,305.00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4,481,784.18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4,481,784.18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41,136,366.57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8,682,295.55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both"/>
      </w:pPr>
      <w:r>
        <w:rPr/>
        <w:t>本期计提坏账准备金额</w:t>
      </w:r>
      <w:r>
        <w:rPr>
          <w:spacing w:val="-56"/>
        </w:rPr>
        <w:t> </w:t>
      </w:r>
      <w:r>
        <w:rPr>
          <w:rFonts w:ascii="宋体" w:hAnsi="宋体" w:cs="宋体" w:eastAsia="宋体" w:hint="default"/>
        </w:rPr>
        <w:t>3,164,791.86</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03"/>
        <w:jc w:val="both"/>
      </w:pPr>
      <w:r>
        <w:rPr>
          <w:spacing w:val="-3"/>
        </w:rPr>
        <w:t>按欠款方集中度归集的期末余额前五名（不包含集团公司内部往来）应收账款汇总金额</w:t>
      </w:r>
      <w:r>
        <w:rPr>
          <w:spacing w:val="-17"/>
        </w:rPr>
        <w:t> </w:t>
      </w:r>
      <w:r>
        <w:rPr>
          <w:rFonts w:ascii="宋体" w:hAnsi="宋体" w:cs="宋体" w:eastAsia="宋体" w:hint="default"/>
        </w:rPr>
        <w:t>9,715,252.92</w:t>
      </w:r>
      <w:r>
        <w:rPr>
          <w:rFonts w:ascii="宋体" w:hAnsi="宋体" w:cs="宋体" w:eastAsia="宋体" w:hint="default"/>
          <w:spacing w:val="-22"/>
        </w:rPr>
        <w:t> </w:t>
      </w:r>
      <w:r>
        <w:rPr/>
        <w:t>元，</w:t>
      </w:r>
      <w:r>
        <w:rPr>
          <w:spacing w:val="-90"/>
        </w:rPr>
        <w:t> </w:t>
      </w:r>
      <w:r>
        <w:rPr>
          <w:spacing w:val="-10"/>
          <w:w w:val="100"/>
        </w:rPr>
        <w:t>占应收账款期末余额（不包含集团公司内部往来）的比例</w:t>
      </w:r>
      <w:r>
        <w:rPr>
          <w:spacing w:val="-62"/>
          <w:w w:val="100"/>
        </w:rPr>
        <w:t> </w:t>
      </w:r>
      <w:r>
        <w:rPr>
          <w:rFonts w:ascii="宋体" w:hAnsi="宋体" w:cs="宋体" w:eastAsia="宋体" w:hint="default"/>
          <w:spacing w:val="-6"/>
          <w:w w:val="100"/>
        </w:rPr>
        <w:t>23.62%</w:t>
      </w:r>
      <w:r>
        <w:rPr>
          <w:spacing w:val="-6"/>
          <w:w w:val="100"/>
        </w:rPr>
        <w:t>，占应收账款期末余额合计数的比例</w:t>
      </w:r>
      <w:r>
        <w:rPr>
          <w:spacing w:val="-63"/>
          <w:w w:val="100"/>
        </w:rPr>
        <w:t> </w:t>
      </w:r>
      <w:r>
        <w:rPr>
          <w:rFonts w:ascii="宋体" w:hAnsi="宋体" w:cs="宋体" w:eastAsia="宋体" w:hint="default"/>
          <w:spacing w:val="-2"/>
          <w:w w:val="100"/>
        </w:rPr>
        <w:t>0.47%</w:t>
      </w:r>
      <w:r>
        <w:rPr>
          <w:spacing w:val="-2"/>
          <w:w w:val="100"/>
        </w:rPr>
        <w:t>，</w:t>
      </w:r>
      <w:r>
        <w:rPr>
          <w:spacing w:val="-104"/>
          <w:w w:val="100"/>
        </w:rPr>
        <w:t> </w:t>
      </w:r>
      <w:r>
        <w:rPr/>
        <w:t>相应计提的坏账准备期末余额汇总金额</w:t>
      </w:r>
      <w:r>
        <w:rPr>
          <w:spacing w:val="-54"/>
        </w:rPr>
        <w:t> </w:t>
      </w:r>
      <w:r>
        <w:rPr>
          <w:rFonts w:ascii="宋体" w:hAnsi="宋体" w:cs="宋体" w:eastAsia="宋体" w:hint="default"/>
        </w:rPr>
        <w:t>1,479,562.67</w:t>
      </w:r>
      <w:r>
        <w:rPr>
          <w:rFonts w:ascii="宋体" w:hAnsi="宋体" w:cs="宋体" w:eastAsia="宋体" w:hint="default"/>
          <w:spacing w:val="-55"/>
        </w:rPr>
        <w:t> </w:t>
      </w:r>
      <w:r>
        <w:rPr>
          <w:spacing w:val="-3"/>
        </w:rPr>
        <w:t>元。</w:t>
      </w:r>
      <w:r>
        <w:rPr/>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75,810,2</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08.70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3,874,91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7.49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5.11%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71,935,29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517,265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,035.60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3,535,072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513,729,96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2.81</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75,810,2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08.70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3,874,91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7.49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5.11%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71,935,29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517,265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,035.60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3,535,072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0.68%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513,729,96</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2.81</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2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300" w:bottom="1160" w:left="980" w:right="920"/>
          <w:cols w:num="2" w:equalWidth="0">
            <w:col w:w="4293" w:space="4536"/>
            <w:col w:w="118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7" w:right="0"/>
              <w:jc w:val="left"/>
              <w:rPr>
                <w:rFonts w:ascii="Times New Roman" w:hAnsi="Times New Roman" w:cs="Times New Roman" w:eastAsia="Times New Roman" w:hint="default"/>
                <w:sz w:val="18"/>
                <w:szCs w:val="18"/>
              </w:rPr>
            </w:pPr>
            <w:r>
              <w:rPr>
                <w:rFonts w:ascii="Times New Roman"/>
                <w:sz w:val="18"/>
              </w:rPr>
              <w:t>2,140,922.92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5" w:right="0"/>
              <w:jc w:val="left"/>
              <w:rPr>
                <w:rFonts w:ascii="Times New Roman" w:hAnsi="Times New Roman" w:cs="Times New Roman" w:eastAsia="Times New Roman" w:hint="default"/>
                <w:sz w:val="18"/>
                <w:szCs w:val="18"/>
              </w:rPr>
            </w:pPr>
            <w:r>
              <w:rPr>
                <w:rFonts w:ascii="Times New Roman"/>
                <w:sz w:val="18"/>
              </w:rPr>
              <w:t>107,046.15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00" w:bottom="1160" w:left="980" w:right="92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493"/>
        <w:gridCol w:w="2294"/>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2,140,922.92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107,046.15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242,057.81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72,617.34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322,544.00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3,372,710.00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3,372,710.00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6,400,778.73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3,874,917.49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339,844.70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与子公司内部往来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69,409,429.97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511,759,709.86</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应收第三方支付平台款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1,340,544.39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298,738.35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5,060,234.34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5,206,587.39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75,810,208.70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517,265,035.60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5,043,635,633.55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5,043,635,633.55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412,951,933.55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412,951,933.55</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266,256,761.83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266,256,761.83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5,309,892,395.38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5,309,892,395.38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412,951,933.55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412,951,933.55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上海优优商务咨 询有限公司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181,033.55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181,033.55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北京京东财信息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广州东财信息科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36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上海天天基金销 售有限公司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上海东方财富证 券研究所有限公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9,982,000.00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49,982,000.00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上海东方财富置 业有限公司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上海东方财富金 融数据服务有限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上海长盛电子商 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东方财富（香港） 有限公司</w:t>
            </w:r>
          </w:p>
        </w:tc>
        <w:tc>
          <w:tcPr>
            <w:tcW w:w="13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上海东睿资产管 理有限公司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上海东鑫互联网 金融服务有限公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扬州东方财富金 融信息服务有限 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西藏同信证券股 份有限公司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4,404,630,000.00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44,046,300.00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4,360,583,700.00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上海微兆信息科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412,951,933.55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4,674,730,000.00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44,046,300.00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5,043,635,633.55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上海漫道</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16,256,76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266,256,7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61.83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79" w:top="1300" w:bottom="1160" w:left="980" w:right="980"/>
        </w:sectPr>
      </w:pPr>
    </w:p>
    <w:p>
      <w:pPr>
        <w:spacing w:line="240" w:lineRule="auto" w:before="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16,256,76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266,256,7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16,256,76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266,256,7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61.83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2,503,802,678.53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185,628,897.29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456,877,360.39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97,880,512.59</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232,515.22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232,515.22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2,504,035,193.75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185,861,412.51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456,877,360.39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97,880,512.59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16,256,761.83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6,979,238.54</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16,256,761.83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6,979,238.54</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十七、补充资料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33"/>
        <w:gridCol w:w="1855"/>
        <w:gridCol w:w="1771"/>
      </w:tblGrid>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-131,821.38</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定量享受的政府补助除外）</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62,306,800.02</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性金融负债和可供出售金融资产取得的投资收益</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2,878,132.77</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-2,104,787.92</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5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10,047,860.95</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52,900,462.54</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852" w:footer="979" w:top="1300" w:bottom="1160" w:left="980" w:right="980"/>
        </w:sectPr>
      </w:pPr>
    </w:p>
    <w:p>
      <w:pPr>
        <w:spacing w:line="300" w:lineRule="auto" w:before="129"/>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392"/>
        <w:gridCol w:w="2340"/>
        <w:gridCol w:w="1913"/>
        <w:gridCol w:w="1913"/>
      </w:tblGrid>
      <w:tr>
        <w:trPr>
          <w:trHeight w:val="206" w:hRule="exact"/>
        </w:trPr>
        <w:tc>
          <w:tcPr>
            <w:tcW w:w="3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392" w:type="dxa"/>
            <w:vMerge/>
            <w:tcBorders>
              <w:left w:val="single" w:sz="4" w:space="0" w:color="000000"/>
              <w:bottom w:val="nil" w:sz="6" w:space="0" w:color="auto"/>
              <w:right w:val="single" w:sz="4" w:space="0" w:color="000000"/>
            </w:tcBorders>
            <w:shd w:val="clear" w:color="auto" w:fill="D2D2D2"/>
          </w:tcPr>
          <w:p>
            <w:pPr/>
          </w:p>
        </w:tc>
        <w:tc>
          <w:tcPr>
            <w:tcW w:w="234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w:t>
            </w:r>
          </w:p>
        </w:tc>
      </w:tr>
      <w:tr>
        <w:trPr>
          <w:trHeight w:val="71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东的净利润</w:t>
            </w:r>
          </w:p>
        </w:tc>
        <w:tc>
          <w:tcPr>
            <w:tcW w:w="23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1.0585</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79" w:top="1300" w:bottom="1160" w:left="980" w:right="980"/>
        </w:sectPr>
      </w:pPr>
    </w:p>
    <w:p>
      <w:pPr>
        <w:spacing w:line="240" w:lineRule="auto" w:before="0"/>
        <w:rPr>
          <w:rFonts w:ascii="宋体" w:hAnsi="宋体" w:cs="宋体" w:eastAsia="宋体" w:hint="default"/>
          <w:sz w:val="21"/>
          <w:szCs w:val="21"/>
        </w:rPr>
      </w:pPr>
    </w:p>
    <w:p>
      <w:pPr>
        <w:pStyle w:val="Heading1"/>
        <w:spacing w:line="240" w:lineRule="auto"/>
        <w:ind w:left="3285" w:right="0"/>
        <w:jc w:val="left"/>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BodyText"/>
        <w:spacing w:line="266" w:lineRule="auto"/>
        <w:ind w:right="0"/>
        <w:jc w:val="left"/>
      </w:pPr>
      <w:r>
        <w:rPr/>
        <w:t>一、载有董事长其实签名的</w:t>
      </w:r>
      <w:r>
        <w:rPr>
          <w:rFonts w:ascii="Times New Roman" w:hAnsi="Times New Roman" w:cs="Times New Roman" w:eastAsia="Times New Roman" w:hint="default"/>
        </w:rPr>
        <w:t>2015</w:t>
      </w:r>
      <w:r>
        <w:rPr/>
        <w:t>年年度报告文件原件；</w:t>
      </w:r>
      <w:r>
        <w:rPr>
          <w:w w:val="100"/>
        </w:rPr>
        <w:t> </w:t>
      </w:r>
      <w:r>
        <w:rPr>
          <w:spacing w:val="-2"/>
        </w:rPr>
        <w:t>二、载有法定代表人其实、主管会计工作负责人陆威、会计机构负责人叶露签名并盖章的财务报告文本；</w:t>
      </w:r>
      <w:r>
        <w:rPr>
          <w:spacing w:val="-24"/>
        </w:rPr>
        <w:t> </w:t>
      </w:r>
      <w:r>
        <w:rPr>
          <w:spacing w:val="-24"/>
        </w:rPr>
      </w:r>
      <w:r>
        <w:rPr/>
        <w:t>三、报告期内在中国证监会指定报纸上公开披露过的所有公司文件的正本及公告的原稿；</w:t>
      </w:r>
      <w:r>
        <w:rPr>
          <w:w w:val="100"/>
        </w:rPr>
        <w:t> </w:t>
      </w:r>
      <w:r>
        <w:rPr/>
        <w:t>四、其它相关资料。</w:t>
      </w:r>
    </w:p>
    <w:p>
      <w:pPr>
        <w:pStyle w:val="BodyText"/>
        <w:spacing w:line="240" w:lineRule="auto" w:before="14"/>
        <w:ind w:right="0"/>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51"/>
        <w:jc w:val="right"/>
      </w:pPr>
      <w:r>
        <w:rPr>
          <w:spacing w:val="-2"/>
        </w:rPr>
        <w:t>东方财富信息股份有限公司</w:t>
      </w:r>
    </w:p>
    <w:p>
      <w:pPr>
        <w:pStyle w:val="BodyText"/>
        <w:spacing w:line="273" w:lineRule="auto" w:before="37"/>
        <w:ind w:left="7693" w:right="148" w:firstLine="835"/>
        <w:jc w:val="right"/>
      </w:pPr>
      <w:r>
        <w:rPr>
          <w:spacing w:val="-1"/>
        </w:rPr>
        <w:t>董事长：其实</w:t>
      </w:r>
      <w:r>
        <w:rPr>
          <w:w w:val="100"/>
        </w:rPr>
        <w:t> </w:t>
      </w:r>
      <w:r>
        <w:rPr>
          <w:spacing w:val="-2"/>
        </w:rPr>
        <w:t>二〇一六年三月十九日</w:t>
      </w:r>
    </w:p>
    <w:sectPr>
      <w:pgSz w:w="11910" w:h="16840"/>
      <w:pgMar w:header="852" w:footer="979" w:top="13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703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70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870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70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70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70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41.809998pt;margin-top:49.357918pt;width:29.05pt;height:11pt;mso-position-horizontal-relative:page;mso-position-vertical-relative:page;z-index:-870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r>
      <w:rPr/>
      <w:pict>
        <v:shape style="position:absolute;margin-left:345.51001pt;margin-top:48.865608pt;width:194.3pt;height:11.5pt;mso-position-horizontal-relative:page;mso-position-vertical-relative:page;z-index:-870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599983pt;width:85.55pt;height:21.6pt;mso-position-horizontal-relative:page;mso-position-vertical-relative:page;z-index:-870328" type="#_x0000_t75" stroked="false">
          <v:imagedata r:id="rId1" o:title=""/>
        </v:shape>
      </w:pict>
    </w:r>
    <w:r>
      <w:rPr/>
      <w:pict>
        <v:group style="position:absolute;margin-left:55.200001pt;margin-top:68.159981pt;width:484.9pt;height:.1pt;mso-position-horizontal-relative:page;mso-position-vertical-relative:page;z-index:-870304" coordorigin="1104,1363" coordsize="9698,2">
          <v:shape style="position:absolute;left:1104;top:1363;width:9698;height:2" coordorigin="1104,1363" coordsize="9698,0" path="m1104,1363l10802,1363e" filled="false" stroked="true" strokeweight=".72pt" strokecolor="#000000">
            <v:path arrowok="t"/>
          </v:shape>
          <w10:wrap type="none"/>
        </v:group>
      </w:pict>
    </w:r>
    <w:r>
      <w:rPr/>
      <w:pict>
        <v:shape style="position:absolute;margin-left:241.809998pt;margin-top:55.95792pt;width:29.05pt;height:11pt;mso-position-horizontal-relative:page;mso-position-vertical-relative:page;z-index:-870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300059</w:t>
                </w:r>
              </w:p>
            </w:txbxContent>
          </v:textbox>
          <w10:wrap type="none"/>
        </v:shape>
      </w:pict>
    </w:r>
    <w:r>
      <w:rPr/>
      <w:pict>
        <v:shape style="position:absolute;margin-left:345.51001pt;margin-top:55.465607pt;width:194.3pt;height:11.5pt;mso-position-horizontal-relative:page;mso-position-vertical-relative:page;z-index:-870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东方财富信息股份有限公司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spacing w:before="61"/>
      <w:ind w:left="152"/>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宋体" w:hAnsi="宋体" w:eastAsia="宋体"/>
      <w:b/>
      <w:bCs/>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eastmoney.com/" TargetMode="External"/><Relationship Id="rId12" Type="http://schemas.openxmlformats.org/officeDocument/2006/relationships/hyperlink" Target="http://www.18.com.cn/" TargetMode="External"/><Relationship Id="rId13" Type="http://schemas.openxmlformats.org/officeDocument/2006/relationships/hyperlink" Target="http://www.1234567.com.cn/" TargetMode="External"/><Relationship Id="rId14" Type="http://schemas.openxmlformats.org/officeDocument/2006/relationships/hyperlink" Target="http://www.chinarank.org.cn/" TargetMode="External"/><Relationship Id="rId15" Type="http://schemas.openxmlformats.org/officeDocument/2006/relationships/hyperlink" Target="mailto:dongmi@eastmoney.com" TargetMode="External"/><Relationship Id="rId16" Type="http://schemas.openxmlformats.org/officeDocument/2006/relationships/hyperlink" Target="http://www.cninfo.com.cn/" TargetMode="Externa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hyperlink" Target="http://ww/" TargetMode="External"/><Relationship Id="rId22" Type="http://schemas.openxmlformats.org/officeDocument/2006/relationships/image" Target="media/image7.jpeg"/><Relationship Id="rId23" Type="http://schemas.openxmlformats.org/officeDocument/2006/relationships/hyperlink" Target="http://www.cninfo.com.cn&#20026;&#20844;&#21496;&#20449;&#24687;&#25259;&#38706;&#30340;&#25351;&#23450;&#32593;&#31449;/" TargetMode="Externa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东方财富信息股份有限公司</dc:creator>
  <dc:title>东方财富信息股份有限公司2015年年度报告全文</dc:title>
  <dcterms:created xsi:type="dcterms:W3CDTF">2020-05-04T15:43:12Z</dcterms:created>
  <dcterms:modified xsi:type="dcterms:W3CDTF">2020-05-04T15:43:12Z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Microsoft® Word 2010</vt:lpwstr>
  </property>
  <property fmtid="{D5CDD505-2E9C-101B-9397-08002B2CF9AE}" pid="4" name="LastSaved">
    <vt:filetime>2020-05-04T00:00:00Z</vt:filetime>
  </property>
</Properties>
</file>